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D6E" w:rsidRPr="00D82F84" w:rsidRDefault="00401D6E" w:rsidP="00401D6E">
      <w:pPr>
        <w:jc w:val="center"/>
        <w:rPr>
          <w:rFonts w:ascii="Times New Roman" w:hAnsi="Times New Roman" w:cs="Times New Roman"/>
          <w:b/>
          <w:bCs/>
          <w:sz w:val="24"/>
          <w:szCs w:val="24"/>
        </w:rPr>
      </w:pPr>
      <w:bookmarkStart w:id="0" w:name="_f1zopv8anbsj" w:colFirst="0" w:colLast="0"/>
      <w:bookmarkStart w:id="1" w:name="_gxx23cv8erzm" w:colFirst="0" w:colLast="0"/>
      <w:bookmarkStart w:id="2" w:name="_GoBack"/>
      <w:bookmarkEnd w:id="0"/>
      <w:bookmarkEnd w:id="1"/>
      <w:bookmarkEnd w:id="2"/>
      <w:r w:rsidRPr="00D82F84">
        <w:rPr>
          <w:rFonts w:ascii="Times New Roman" w:hAnsi="Times New Roman" w:cs="Times New Roman"/>
          <w:b/>
          <w:bCs/>
          <w:sz w:val="24"/>
          <w:szCs w:val="24"/>
        </w:rPr>
        <w:t xml:space="preserve">CORPORATE GOVERNANCE AND FINANCIAL PERFORMANCE OF SELECTED LISTED CONSUMER GOODS FIRM IN NIGERIA </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BY</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 xml:space="preserve">UYANNA MICHEAL CHIDERA </w:t>
      </w: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GOU/U21/ACC/357</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DEPARTMENT OF ACCOUNTING AND FINANCE</w:t>
      </w: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FACULTY OF MANAGEMENT AND SOCIAL SCIENCES</w:t>
      </w: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GODFERY OKOYE UNIVERSITY UGWUOMU-NIKE ENUGU</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ind w:left="-720"/>
        <w:jc w:val="center"/>
        <w:rPr>
          <w:rFonts w:ascii="Times New Roman" w:hAnsi="Times New Roman" w:cs="Times New Roman"/>
          <w:b/>
          <w:bCs/>
          <w:sz w:val="24"/>
          <w:szCs w:val="24"/>
        </w:rPr>
      </w:pPr>
    </w:p>
    <w:p w:rsidR="00401D6E" w:rsidRPr="00D82F84" w:rsidRDefault="00401D6E" w:rsidP="00401D6E">
      <w:pPr>
        <w:ind w:left="-720"/>
        <w:jc w:val="center"/>
        <w:rPr>
          <w:rFonts w:ascii="Times New Roman" w:hAnsi="Times New Roman" w:cs="Times New Roman"/>
          <w:b/>
          <w:bCs/>
          <w:sz w:val="24"/>
          <w:szCs w:val="24"/>
        </w:rPr>
      </w:pPr>
    </w:p>
    <w:p w:rsidR="00401D6E" w:rsidRPr="00D82F84" w:rsidRDefault="00401D6E" w:rsidP="00401D6E">
      <w:pPr>
        <w:ind w:left="-720"/>
        <w:jc w:val="center"/>
        <w:rPr>
          <w:rFonts w:ascii="Times New Roman" w:hAnsi="Times New Roman" w:cs="Times New Roman"/>
          <w:b/>
          <w:bCs/>
          <w:sz w:val="24"/>
          <w:szCs w:val="24"/>
        </w:rPr>
      </w:pPr>
    </w:p>
    <w:p w:rsidR="00401D6E" w:rsidRPr="00D82F84" w:rsidRDefault="00401D6E" w:rsidP="00401D6E">
      <w:pPr>
        <w:ind w:left="-720"/>
        <w:jc w:val="center"/>
        <w:rPr>
          <w:rFonts w:ascii="Times New Roman" w:hAnsi="Times New Roman" w:cs="Times New Roman"/>
          <w:b/>
          <w:bCs/>
          <w:sz w:val="24"/>
          <w:szCs w:val="24"/>
        </w:rPr>
      </w:pPr>
    </w:p>
    <w:p w:rsidR="00401D6E" w:rsidRPr="00D82F84" w:rsidRDefault="00401D6E" w:rsidP="00401D6E">
      <w:pPr>
        <w:ind w:left="-720"/>
        <w:jc w:val="center"/>
        <w:rPr>
          <w:rFonts w:ascii="Times New Roman" w:hAnsi="Times New Roman" w:cs="Times New Roman"/>
          <w:b/>
          <w:bCs/>
          <w:sz w:val="24"/>
          <w:szCs w:val="24"/>
        </w:rPr>
      </w:pPr>
    </w:p>
    <w:p w:rsidR="00401D6E" w:rsidRPr="00D82F84" w:rsidRDefault="00401D6E" w:rsidP="00401D6E">
      <w:pPr>
        <w:ind w:left="-720"/>
        <w:jc w:val="center"/>
        <w:rPr>
          <w:rFonts w:ascii="Times New Roman" w:hAnsi="Times New Roman" w:cs="Times New Roman"/>
          <w:b/>
          <w:bCs/>
          <w:sz w:val="24"/>
          <w:szCs w:val="24"/>
        </w:rPr>
      </w:pPr>
    </w:p>
    <w:p w:rsidR="00401D6E" w:rsidRPr="00D82F84" w:rsidRDefault="00401D6E" w:rsidP="00401D6E">
      <w:pPr>
        <w:ind w:left="-720"/>
        <w:jc w:val="center"/>
        <w:rPr>
          <w:rFonts w:ascii="Times New Roman" w:hAnsi="Times New Roman" w:cs="Times New Roman"/>
          <w:b/>
          <w:bCs/>
          <w:sz w:val="24"/>
          <w:szCs w:val="24"/>
        </w:rPr>
      </w:pPr>
    </w:p>
    <w:p w:rsidR="00401D6E" w:rsidRPr="00D82F84" w:rsidRDefault="00401D6E" w:rsidP="00401D6E">
      <w:pPr>
        <w:ind w:left="-720"/>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AUGUST, 2025.</w:t>
      </w:r>
    </w:p>
    <w:p w:rsidR="00401D6E" w:rsidRPr="00D82F84" w:rsidRDefault="00401D6E" w:rsidP="00401D6E">
      <w:pPr>
        <w:jc w:val="center"/>
        <w:rPr>
          <w:rFonts w:ascii="Times New Roman" w:hAnsi="Times New Roman" w:cs="Times New Roman"/>
          <w:b/>
          <w:bCs/>
          <w:sz w:val="24"/>
          <w:szCs w:val="24"/>
        </w:rPr>
        <w:sectPr w:rsidR="00401D6E" w:rsidRPr="00D82F84" w:rsidSect="00A705F8">
          <w:headerReference w:type="default" r:id="rId7"/>
          <w:footerReference w:type="default" r:id="rId8"/>
          <w:pgSz w:w="12240" w:h="15840"/>
          <w:pgMar w:top="1440" w:right="1440" w:bottom="1440" w:left="1440" w:header="360" w:footer="360" w:gutter="0"/>
          <w:pgNumType w:start="1"/>
          <w:cols w:space="720"/>
          <w:titlePg/>
          <w:docGrid w:linePitch="326"/>
        </w:sect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lastRenderedPageBreak/>
        <w:t>TITLE PAGE</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 xml:space="preserve">CORPORATE GOVERNANCE AND FINANCIAL PERFORMANCE OF SELECTED LISTED CONSUMER GOODS FIRM IN NIGERIA </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BY</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 xml:space="preserve">UYANNA MICHEAL CHIDERA </w:t>
      </w: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GOU/U21/ACC/357</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sz w:val="24"/>
          <w:szCs w:val="24"/>
        </w:rPr>
      </w:pPr>
      <w:r w:rsidRPr="00D82F84">
        <w:rPr>
          <w:rFonts w:ascii="Times New Roman" w:hAnsi="Times New Roman" w:cs="Times New Roman"/>
          <w:b/>
          <w:sz w:val="24"/>
          <w:szCs w:val="24"/>
        </w:rPr>
        <w:t xml:space="preserve">PROJECT SUBMITTED TO DEPARTMENT OF ACCOUNTING AND </w:t>
      </w:r>
    </w:p>
    <w:p w:rsidR="00401D6E" w:rsidRPr="00D82F84" w:rsidRDefault="00401D6E" w:rsidP="00401D6E">
      <w:pPr>
        <w:jc w:val="center"/>
        <w:rPr>
          <w:rFonts w:ascii="Times New Roman" w:hAnsi="Times New Roman" w:cs="Times New Roman"/>
          <w:b/>
          <w:sz w:val="24"/>
          <w:szCs w:val="24"/>
        </w:rPr>
      </w:pPr>
      <w:r w:rsidRPr="00D82F84">
        <w:rPr>
          <w:rFonts w:ascii="Times New Roman" w:hAnsi="Times New Roman" w:cs="Times New Roman"/>
          <w:b/>
          <w:sz w:val="24"/>
          <w:szCs w:val="24"/>
        </w:rPr>
        <w:t>FINANCE, FACULTY OF MANAGEMENT AND SOCIAL SCIENCES</w:t>
      </w:r>
    </w:p>
    <w:p w:rsidR="00401D6E" w:rsidRPr="00D82F84" w:rsidRDefault="00401D6E" w:rsidP="00401D6E">
      <w:pPr>
        <w:jc w:val="center"/>
        <w:rPr>
          <w:rFonts w:ascii="Times New Roman" w:hAnsi="Times New Roman" w:cs="Times New Roman"/>
          <w:b/>
          <w:sz w:val="24"/>
          <w:szCs w:val="24"/>
        </w:rPr>
      </w:pPr>
      <w:r w:rsidRPr="00D82F84">
        <w:rPr>
          <w:rFonts w:ascii="Times New Roman" w:hAnsi="Times New Roman" w:cs="Times New Roman"/>
          <w:b/>
          <w:sz w:val="24"/>
          <w:szCs w:val="24"/>
        </w:rPr>
        <w:t>GODFERY OKOYE UNIVERSITY, UGWUOMU-NIKE, ENUGU</w:t>
      </w:r>
    </w:p>
    <w:p w:rsidR="00401D6E" w:rsidRPr="00D82F84" w:rsidRDefault="00401D6E" w:rsidP="00401D6E">
      <w:pPr>
        <w:jc w:val="center"/>
        <w:rPr>
          <w:rFonts w:ascii="Times New Roman" w:hAnsi="Times New Roman" w:cs="Times New Roman"/>
          <w:b/>
          <w:sz w:val="24"/>
          <w:szCs w:val="24"/>
        </w:rPr>
      </w:pPr>
    </w:p>
    <w:p w:rsidR="00401D6E" w:rsidRPr="00D82F84" w:rsidRDefault="00401D6E" w:rsidP="00401D6E">
      <w:pPr>
        <w:jc w:val="center"/>
        <w:rPr>
          <w:rFonts w:ascii="Times New Roman" w:hAnsi="Times New Roman" w:cs="Times New Roman"/>
          <w:b/>
          <w:sz w:val="24"/>
          <w:szCs w:val="24"/>
        </w:rPr>
      </w:pPr>
      <w:r w:rsidRPr="00D82F84">
        <w:rPr>
          <w:rFonts w:ascii="Times New Roman" w:hAnsi="Times New Roman" w:cs="Times New Roman"/>
          <w:b/>
          <w:sz w:val="24"/>
          <w:szCs w:val="24"/>
        </w:rPr>
        <w:t xml:space="preserve">IN PARTIAL FULFILMENT OF THE REQUIREMENTS FOR THE </w:t>
      </w:r>
    </w:p>
    <w:p w:rsidR="00401D6E" w:rsidRPr="00D82F84" w:rsidRDefault="00401D6E" w:rsidP="00401D6E">
      <w:pPr>
        <w:jc w:val="center"/>
        <w:rPr>
          <w:rFonts w:ascii="Times New Roman" w:hAnsi="Times New Roman" w:cs="Times New Roman"/>
          <w:b/>
          <w:sz w:val="24"/>
          <w:szCs w:val="24"/>
        </w:rPr>
      </w:pPr>
      <w:r w:rsidRPr="00D82F84">
        <w:rPr>
          <w:rFonts w:ascii="Times New Roman" w:hAnsi="Times New Roman" w:cs="Times New Roman"/>
          <w:b/>
          <w:sz w:val="24"/>
          <w:szCs w:val="24"/>
        </w:rPr>
        <w:t>AWARD OF BACHELOR OF SCIENCE (</w:t>
      </w:r>
      <w:proofErr w:type="spellStart"/>
      <w:r w:rsidRPr="00D82F84">
        <w:rPr>
          <w:rFonts w:ascii="Times New Roman" w:hAnsi="Times New Roman" w:cs="Times New Roman"/>
          <w:b/>
          <w:sz w:val="24"/>
          <w:szCs w:val="24"/>
        </w:rPr>
        <w:t>B.Sc</w:t>
      </w:r>
      <w:proofErr w:type="spellEnd"/>
      <w:r w:rsidRPr="00D82F84">
        <w:rPr>
          <w:rFonts w:ascii="Times New Roman" w:hAnsi="Times New Roman" w:cs="Times New Roman"/>
          <w:b/>
          <w:sz w:val="24"/>
          <w:szCs w:val="24"/>
        </w:rPr>
        <w:t xml:space="preserve">) DEGREE </w:t>
      </w:r>
    </w:p>
    <w:p w:rsidR="00401D6E" w:rsidRPr="00D82F84" w:rsidRDefault="00401D6E" w:rsidP="00401D6E">
      <w:pPr>
        <w:jc w:val="center"/>
        <w:rPr>
          <w:rFonts w:ascii="Times New Roman" w:hAnsi="Times New Roman" w:cs="Times New Roman"/>
          <w:b/>
          <w:sz w:val="24"/>
          <w:szCs w:val="24"/>
        </w:rPr>
      </w:pPr>
      <w:r w:rsidRPr="00D82F84">
        <w:rPr>
          <w:rFonts w:ascii="Times New Roman" w:hAnsi="Times New Roman" w:cs="Times New Roman"/>
          <w:b/>
          <w:sz w:val="24"/>
          <w:szCs w:val="24"/>
        </w:rPr>
        <w:t>IN ACCOUNTING</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SUPERVISOR: PROF S. N. UDEH</w:t>
      </w: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p>
    <w:p w:rsidR="00401D6E" w:rsidRPr="00D82F84" w:rsidRDefault="00401D6E" w:rsidP="00401D6E">
      <w:pPr>
        <w:jc w:val="center"/>
        <w:rPr>
          <w:rFonts w:ascii="Times New Roman" w:hAnsi="Times New Roman" w:cs="Times New Roman"/>
          <w:b/>
          <w:bCs/>
          <w:sz w:val="24"/>
          <w:szCs w:val="24"/>
        </w:rPr>
      </w:pPr>
      <w:r w:rsidRPr="00D82F84">
        <w:rPr>
          <w:rFonts w:ascii="Times New Roman" w:hAnsi="Times New Roman" w:cs="Times New Roman"/>
          <w:b/>
          <w:bCs/>
          <w:sz w:val="24"/>
          <w:szCs w:val="24"/>
        </w:rPr>
        <w:t>AUGUST, 2025</w:t>
      </w:r>
    </w:p>
    <w:p w:rsidR="00401D6E" w:rsidRPr="002B62A0" w:rsidRDefault="00401D6E" w:rsidP="00401D6E">
      <w:pPr>
        <w:ind w:left="-720"/>
        <w:jc w:val="center"/>
        <w:rPr>
          <w:rFonts w:ascii="Times New Roman" w:hAnsi="Times New Roman" w:cs="Times New Roman"/>
          <w:b/>
          <w:bCs/>
        </w:rPr>
      </w:pPr>
    </w:p>
    <w:p w:rsidR="006B6AD2" w:rsidRPr="006B6AD2" w:rsidRDefault="006B6AD2" w:rsidP="006B6AD2">
      <w:pPr>
        <w:jc w:val="center"/>
        <w:rPr>
          <w:rFonts w:ascii="Times New Roman" w:hAnsi="Times New Roman" w:cs="Times New Roman"/>
          <w:b/>
          <w:bCs/>
          <w:sz w:val="24"/>
          <w:szCs w:val="24"/>
        </w:rPr>
      </w:pPr>
      <w:r w:rsidRPr="006B6AD2">
        <w:rPr>
          <w:rFonts w:ascii="Times New Roman" w:hAnsi="Times New Roman" w:cs="Times New Roman"/>
          <w:b/>
          <w:bCs/>
          <w:sz w:val="24"/>
          <w:szCs w:val="24"/>
        </w:rPr>
        <w:lastRenderedPageBreak/>
        <w:t>DECLARATION</w:t>
      </w:r>
    </w:p>
    <w:p w:rsidR="006B6AD2" w:rsidRPr="006B6AD2" w:rsidRDefault="006B6AD2" w:rsidP="006B6AD2">
      <w:pPr>
        <w:jc w:val="both"/>
        <w:rPr>
          <w:rFonts w:ascii="Times New Roman" w:hAnsi="Times New Roman" w:cs="Times New Roman"/>
          <w:bCs/>
          <w:sz w:val="24"/>
          <w:szCs w:val="24"/>
        </w:rPr>
      </w:pPr>
      <w:r w:rsidRPr="006B6AD2">
        <w:rPr>
          <w:rFonts w:ascii="Times New Roman" w:hAnsi="Times New Roman" w:cs="Times New Roman"/>
          <w:sz w:val="24"/>
          <w:szCs w:val="24"/>
        </w:rPr>
        <w:t xml:space="preserve">I, </w:t>
      </w:r>
      <w:proofErr w:type="spellStart"/>
      <w:r w:rsidRPr="006B6AD2">
        <w:rPr>
          <w:rFonts w:ascii="Times New Roman" w:hAnsi="Times New Roman" w:cs="Times New Roman"/>
          <w:sz w:val="24"/>
          <w:szCs w:val="24"/>
        </w:rPr>
        <w:t>Uyanna</w:t>
      </w:r>
      <w:proofErr w:type="spellEnd"/>
      <w:r w:rsidRPr="006B6AD2">
        <w:rPr>
          <w:rFonts w:ascii="Times New Roman" w:hAnsi="Times New Roman" w:cs="Times New Roman"/>
          <w:sz w:val="24"/>
          <w:szCs w:val="24"/>
        </w:rPr>
        <w:t xml:space="preserve"> Michael </w:t>
      </w:r>
      <w:proofErr w:type="spellStart"/>
      <w:r w:rsidRPr="006B6AD2">
        <w:rPr>
          <w:rFonts w:ascii="Times New Roman" w:hAnsi="Times New Roman" w:cs="Times New Roman"/>
          <w:sz w:val="24"/>
          <w:szCs w:val="24"/>
        </w:rPr>
        <w:t>Chidera</w:t>
      </w:r>
      <w:proofErr w:type="spellEnd"/>
      <w:r w:rsidRPr="006B6AD2">
        <w:rPr>
          <w:rFonts w:ascii="Times New Roman" w:hAnsi="Times New Roman" w:cs="Times New Roman"/>
          <w:sz w:val="24"/>
          <w:szCs w:val="24"/>
        </w:rPr>
        <w:t xml:space="preserve"> is a bona fide student in the Department of Accounting and Finance under the Faculty of Management and Social Sciences in Godfrey </w:t>
      </w:r>
      <w:proofErr w:type="spellStart"/>
      <w:r w:rsidRPr="006B6AD2">
        <w:rPr>
          <w:rFonts w:ascii="Times New Roman" w:hAnsi="Times New Roman" w:cs="Times New Roman"/>
          <w:sz w:val="24"/>
          <w:szCs w:val="24"/>
        </w:rPr>
        <w:t>Okoye</w:t>
      </w:r>
      <w:proofErr w:type="spellEnd"/>
      <w:r w:rsidRPr="006B6AD2">
        <w:rPr>
          <w:rFonts w:ascii="Times New Roman" w:hAnsi="Times New Roman" w:cs="Times New Roman"/>
          <w:sz w:val="24"/>
          <w:szCs w:val="24"/>
        </w:rPr>
        <w:t xml:space="preserve"> University.  I hereby declare that the work </w:t>
      </w:r>
      <w:r w:rsidRPr="006B6AD2">
        <w:rPr>
          <w:rFonts w:ascii="Times New Roman" w:hAnsi="Times New Roman" w:cs="Times New Roman"/>
          <w:bCs/>
          <w:sz w:val="24"/>
          <w:szCs w:val="24"/>
        </w:rPr>
        <w:t xml:space="preserve">CORPORATE GOVERNANCE AND FINANCIAL PERFORMANCE OF SELECTED LISTED CONSUMER GOODS FIRM IN NIGERIA </w:t>
      </w:r>
      <w:r w:rsidRPr="006B6AD2">
        <w:rPr>
          <w:rFonts w:ascii="Times New Roman" w:hAnsi="Times New Roman" w:cs="Times New Roman"/>
          <w:sz w:val="24"/>
          <w:szCs w:val="24"/>
        </w:rPr>
        <w:t>submitted by me in partial fulfillment of the requirements for the award of Bachelor of Science (</w:t>
      </w:r>
      <w:proofErr w:type="spellStart"/>
      <w:r w:rsidRPr="006B6AD2">
        <w:rPr>
          <w:rFonts w:ascii="Times New Roman" w:hAnsi="Times New Roman" w:cs="Times New Roman"/>
          <w:sz w:val="24"/>
          <w:szCs w:val="24"/>
        </w:rPr>
        <w:t>B.Sc</w:t>
      </w:r>
      <w:proofErr w:type="spellEnd"/>
      <w:r w:rsidRPr="006B6AD2">
        <w:rPr>
          <w:rFonts w:ascii="Times New Roman" w:hAnsi="Times New Roman" w:cs="Times New Roman"/>
          <w:sz w:val="24"/>
          <w:szCs w:val="24"/>
        </w:rPr>
        <w:t>) degree in ACCOUNTING is my original work and has not been submitted either in part or full for any other degree or diploma either in this or any other tertiary institution.</w:t>
      </w: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rPr>
          <w:rFonts w:ascii="Times New Roman" w:hAnsi="Times New Roman" w:cs="Times New Roman"/>
          <w:b/>
          <w:bCs/>
          <w:sz w:val="24"/>
          <w:szCs w:val="24"/>
        </w:rPr>
      </w:pPr>
    </w:p>
    <w:p w:rsidR="006B6AD2" w:rsidRPr="006B6AD2" w:rsidRDefault="006B6AD2" w:rsidP="006B6AD2">
      <w:pPr>
        <w:rPr>
          <w:rFonts w:ascii="Times New Roman" w:hAnsi="Times New Roman" w:cs="Times New Roman"/>
          <w:b/>
          <w:bCs/>
          <w:sz w:val="24"/>
          <w:szCs w:val="24"/>
        </w:rPr>
      </w:pPr>
      <w:r w:rsidRPr="006B6AD2">
        <w:rPr>
          <w:rFonts w:ascii="Times New Roman" w:hAnsi="Times New Roman" w:cs="Times New Roman"/>
          <w:b/>
          <w:bCs/>
          <w:sz w:val="24"/>
          <w:szCs w:val="24"/>
        </w:rPr>
        <w:t>………………………….</w:t>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t>……………..</w:t>
      </w:r>
    </w:p>
    <w:p w:rsidR="006B6AD2" w:rsidRPr="006B6AD2" w:rsidRDefault="006B6AD2" w:rsidP="006B6AD2">
      <w:pPr>
        <w:rPr>
          <w:rFonts w:ascii="Times New Roman" w:hAnsi="Times New Roman" w:cs="Times New Roman"/>
          <w:b/>
          <w:bCs/>
          <w:sz w:val="24"/>
          <w:szCs w:val="24"/>
        </w:rPr>
      </w:pPr>
      <w:r w:rsidRPr="006B6AD2">
        <w:rPr>
          <w:rFonts w:ascii="Times New Roman" w:hAnsi="Times New Roman" w:cs="Times New Roman"/>
          <w:b/>
          <w:bCs/>
          <w:sz w:val="24"/>
          <w:szCs w:val="24"/>
        </w:rPr>
        <w:t>UYANNA MICHEAL CHIDERA</w:t>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r>
      <w:r w:rsidRPr="006B6AD2">
        <w:rPr>
          <w:rFonts w:ascii="Times New Roman" w:hAnsi="Times New Roman" w:cs="Times New Roman"/>
          <w:b/>
          <w:bCs/>
          <w:sz w:val="24"/>
          <w:szCs w:val="24"/>
        </w:rPr>
        <w:tab/>
        <w:t>Date</w:t>
      </w: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spacing w:line="480" w:lineRule="auto"/>
        <w:jc w:val="center"/>
        <w:rPr>
          <w:rFonts w:ascii="Times New Roman" w:hAnsi="Times New Roman" w:cs="Times New Roman"/>
          <w:b/>
          <w:bCs/>
          <w:sz w:val="24"/>
          <w:szCs w:val="24"/>
        </w:rPr>
      </w:pPr>
      <w:r w:rsidRPr="006B6AD2">
        <w:rPr>
          <w:rFonts w:ascii="Times New Roman" w:hAnsi="Times New Roman" w:cs="Times New Roman"/>
          <w:b/>
          <w:bCs/>
          <w:sz w:val="24"/>
          <w:szCs w:val="24"/>
        </w:rPr>
        <w:lastRenderedPageBreak/>
        <w:t>CERTIFICATION</w:t>
      </w:r>
    </w:p>
    <w:p w:rsidR="006B6AD2" w:rsidRPr="006B6AD2" w:rsidRDefault="006B6AD2" w:rsidP="006B6AD2">
      <w:pPr>
        <w:jc w:val="both"/>
        <w:rPr>
          <w:rFonts w:ascii="Times New Roman" w:hAnsi="Times New Roman" w:cs="Times New Roman"/>
          <w:sz w:val="24"/>
          <w:szCs w:val="24"/>
        </w:rPr>
      </w:pPr>
      <w:r w:rsidRPr="006B6AD2">
        <w:rPr>
          <w:rFonts w:ascii="Times New Roman" w:hAnsi="Times New Roman" w:cs="Times New Roman"/>
          <w:sz w:val="24"/>
          <w:szCs w:val="24"/>
        </w:rPr>
        <w:t xml:space="preserve">This is to certify that this research entitled </w:t>
      </w:r>
      <w:r w:rsidRPr="006B6AD2">
        <w:rPr>
          <w:rFonts w:ascii="Times New Roman" w:hAnsi="Times New Roman" w:cs="Times New Roman"/>
          <w:bCs/>
          <w:sz w:val="24"/>
          <w:szCs w:val="24"/>
        </w:rPr>
        <w:t>CORPORATE GOVERNANCE AND FINANCIAL PERFORMANCE OF SELECTED LISTED CONSUMER GOODS FIRM IN NIGERIA</w:t>
      </w:r>
      <w:r w:rsidRPr="006B6AD2">
        <w:rPr>
          <w:rFonts w:ascii="Times New Roman" w:hAnsi="Times New Roman" w:cs="Times New Roman"/>
          <w:sz w:val="24"/>
          <w:szCs w:val="24"/>
        </w:rPr>
        <w:t xml:space="preserve"> written by </w:t>
      </w:r>
      <w:r w:rsidRPr="006B6AD2">
        <w:rPr>
          <w:rFonts w:ascii="Times New Roman" w:hAnsi="Times New Roman" w:cs="Times New Roman"/>
          <w:bCs/>
          <w:sz w:val="24"/>
          <w:szCs w:val="24"/>
        </w:rPr>
        <w:t>UYANNA MICHEAL CHIDERA</w:t>
      </w:r>
      <w:r w:rsidRPr="006B6AD2">
        <w:rPr>
          <w:rFonts w:ascii="Times New Roman" w:hAnsi="Times New Roman" w:cs="Times New Roman"/>
          <w:sz w:val="24"/>
          <w:szCs w:val="24"/>
        </w:rPr>
        <w:t xml:space="preserve"> with Registration Number </w:t>
      </w:r>
      <w:r w:rsidRPr="006B6AD2">
        <w:rPr>
          <w:rFonts w:ascii="Times New Roman" w:hAnsi="Times New Roman" w:cs="Times New Roman"/>
          <w:bCs/>
          <w:sz w:val="24"/>
          <w:szCs w:val="24"/>
        </w:rPr>
        <w:t>GOU/U21/ACC/357</w:t>
      </w:r>
      <w:r w:rsidRPr="006B6AD2">
        <w:rPr>
          <w:rFonts w:ascii="Times New Roman" w:hAnsi="Times New Roman" w:cs="Times New Roman"/>
          <w:b/>
          <w:bCs/>
          <w:sz w:val="24"/>
          <w:szCs w:val="24"/>
        </w:rPr>
        <w:t xml:space="preserve"> </w:t>
      </w:r>
      <w:r w:rsidRPr="006B6AD2">
        <w:rPr>
          <w:rFonts w:ascii="Times New Roman" w:hAnsi="Times New Roman" w:cs="Times New Roman"/>
          <w:sz w:val="24"/>
          <w:szCs w:val="24"/>
        </w:rPr>
        <w:t xml:space="preserve">presented to the Department of Accounting and Finance of Godfrey </w:t>
      </w:r>
      <w:proofErr w:type="spellStart"/>
      <w:r w:rsidRPr="006B6AD2">
        <w:rPr>
          <w:rFonts w:ascii="Times New Roman" w:hAnsi="Times New Roman" w:cs="Times New Roman"/>
          <w:sz w:val="24"/>
          <w:szCs w:val="24"/>
        </w:rPr>
        <w:t>Okoye</w:t>
      </w:r>
      <w:proofErr w:type="spellEnd"/>
      <w:r w:rsidRPr="006B6AD2">
        <w:rPr>
          <w:rFonts w:ascii="Times New Roman" w:hAnsi="Times New Roman" w:cs="Times New Roman"/>
          <w:sz w:val="24"/>
          <w:szCs w:val="24"/>
        </w:rPr>
        <w:t xml:space="preserve"> University, Enugu has been assessed and approved for oral examination/defense by the Department of Accounting and Finance, Godfrey </w:t>
      </w:r>
      <w:proofErr w:type="spellStart"/>
      <w:r w:rsidRPr="006B6AD2">
        <w:rPr>
          <w:rFonts w:ascii="Times New Roman" w:hAnsi="Times New Roman" w:cs="Times New Roman"/>
          <w:sz w:val="24"/>
          <w:szCs w:val="24"/>
        </w:rPr>
        <w:t>Okoye</w:t>
      </w:r>
      <w:proofErr w:type="spellEnd"/>
      <w:r w:rsidRPr="006B6AD2">
        <w:rPr>
          <w:rFonts w:ascii="Times New Roman" w:hAnsi="Times New Roman" w:cs="Times New Roman"/>
          <w:sz w:val="24"/>
          <w:szCs w:val="24"/>
        </w:rPr>
        <w:t xml:space="preserve"> University, Enugu.</w:t>
      </w: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b/>
          <w:sz w:val="24"/>
          <w:szCs w:val="24"/>
        </w:rPr>
        <w:t>_____________________</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b/>
          <w:sz w:val="24"/>
          <w:szCs w:val="24"/>
        </w:rPr>
        <w:t>____________________</w:t>
      </w:r>
    </w:p>
    <w:p w:rsidR="006B6AD2" w:rsidRPr="006B6AD2" w:rsidRDefault="006B6AD2" w:rsidP="006B6AD2">
      <w:pPr>
        <w:rPr>
          <w:rFonts w:ascii="Times New Roman" w:hAnsi="Times New Roman" w:cs="Times New Roman"/>
          <w:b/>
          <w:sz w:val="24"/>
          <w:szCs w:val="24"/>
        </w:rPr>
      </w:pPr>
      <w:r w:rsidRPr="006B6AD2">
        <w:rPr>
          <w:rFonts w:ascii="Times New Roman" w:hAnsi="Times New Roman" w:cs="Times New Roman"/>
          <w:b/>
          <w:bCs/>
          <w:sz w:val="24"/>
          <w:szCs w:val="24"/>
        </w:rPr>
        <w:t>PROF S. N UDEH</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b/>
          <w:sz w:val="24"/>
          <w:szCs w:val="24"/>
        </w:rPr>
        <w:t xml:space="preserve">Date </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 xml:space="preserve"> Supervisor </w:t>
      </w: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b/>
          <w:sz w:val="24"/>
          <w:szCs w:val="24"/>
        </w:rPr>
        <w:t>_____________________</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b/>
          <w:sz w:val="24"/>
          <w:szCs w:val="24"/>
        </w:rPr>
        <w:t>____________________</w:t>
      </w:r>
    </w:p>
    <w:p w:rsidR="006B6AD2" w:rsidRPr="006B6AD2" w:rsidRDefault="006B6AD2" w:rsidP="006B6AD2">
      <w:pPr>
        <w:rPr>
          <w:rFonts w:ascii="Times New Roman" w:hAnsi="Times New Roman" w:cs="Times New Roman"/>
          <w:b/>
          <w:sz w:val="24"/>
          <w:szCs w:val="24"/>
        </w:rPr>
      </w:pPr>
      <w:r w:rsidRPr="006B6AD2">
        <w:rPr>
          <w:rFonts w:ascii="Times New Roman" w:hAnsi="Times New Roman" w:cs="Times New Roman"/>
          <w:b/>
          <w:sz w:val="24"/>
          <w:szCs w:val="24"/>
        </w:rPr>
        <w:t>ASSO.PROF JOHN ODO</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Date</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 xml:space="preserve">Head of Department </w:t>
      </w: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b/>
          <w:sz w:val="24"/>
          <w:szCs w:val="24"/>
        </w:rPr>
        <w:t>_______________________</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b/>
          <w:sz w:val="24"/>
          <w:szCs w:val="24"/>
        </w:rPr>
        <w:t>____________________</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b/>
          <w:sz w:val="24"/>
          <w:szCs w:val="24"/>
        </w:rPr>
        <w:t>ASSO.PROF JOHN ODO</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b/>
          <w:sz w:val="24"/>
          <w:szCs w:val="24"/>
        </w:rPr>
        <w:t>Date</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 xml:space="preserve">Dean, Faculty of MSS </w:t>
      </w: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b/>
          <w:sz w:val="24"/>
          <w:szCs w:val="24"/>
        </w:rPr>
        <w:t>_______________________</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b/>
          <w:sz w:val="24"/>
          <w:szCs w:val="24"/>
        </w:rPr>
        <w:tab/>
        <w:t xml:space="preserve"> </w:t>
      </w:r>
      <w:r w:rsidRPr="006B6AD2">
        <w:rPr>
          <w:rFonts w:ascii="Times New Roman" w:hAnsi="Times New Roman" w:cs="Times New Roman"/>
          <w:b/>
          <w:sz w:val="24"/>
          <w:szCs w:val="24"/>
        </w:rPr>
        <w:tab/>
      </w:r>
      <w:r w:rsidRPr="006B6AD2">
        <w:rPr>
          <w:rFonts w:ascii="Times New Roman" w:hAnsi="Times New Roman" w:cs="Times New Roman"/>
          <w:b/>
          <w:sz w:val="24"/>
          <w:szCs w:val="24"/>
        </w:rPr>
        <w:tab/>
        <w:t>______________________</w:t>
      </w:r>
    </w:p>
    <w:p w:rsidR="006B6AD2" w:rsidRPr="006B6AD2" w:rsidRDefault="006B6AD2" w:rsidP="006B6AD2">
      <w:pPr>
        <w:rPr>
          <w:rFonts w:ascii="Times New Roman" w:hAnsi="Times New Roman" w:cs="Times New Roman"/>
          <w:b/>
          <w:sz w:val="24"/>
          <w:szCs w:val="24"/>
        </w:rPr>
      </w:pPr>
      <w:r w:rsidRPr="006B6AD2">
        <w:rPr>
          <w:rFonts w:ascii="Times New Roman" w:hAnsi="Times New Roman" w:cs="Times New Roman"/>
          <w:b/>
          <w:sz w:val="24"/>
          <w:szCs w:val="24"/>
        </w:rPr>
        <w:t xml:space="preserve">External Examiner </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b/>
          <w:sz w:val="24"/>
          <w:szCs w:val="24"/>
        </w:rPr>
        <w:t xml:space="preserve">Date       </w:t>
      </w:r>
    </w:p>
    <w:p w:rsidR="006B6AD2" w:rsidRPr="006B6AD2" w:rsidRDefault="006B6AD2" w:rsidP="006B6AD2">
      <w:pPr>
        <w:spacing w:line="259" w:lineRule="auto"/>
        <w:jc w:val="center"/>
        <w:rPr>
          <w:rFonts w:ascii="Times New Roman" w:hAnsi="Times New Roman" w:cs="Times New Roman"/>
          <w:b/>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r w:rsidRPr="006B6AD2">
        <w:rPr>
          <w:rFonts w:ascii="Times New Roman" w:hAnsi="Times New Roman" w:cs="Times New Roman"/>
          <w:b/>
          <w:bCs/>
          <w:sz w:val="24"/>
          <w:szCs w:val="24"/>
        </w:rPr>
        <w:lastRenderedPageBreak/>
        <w:t>DEDICATION</w:t>
      </w:r>
    </w:p>
    <w:p w:rsidR="006B6AD2" w:rsidRPr="006B6AD2" w:rsidRDefault="006B6AD2" w:rsidP="006B6AD2">
      <w:pPr>
        <w:jc w:val="center"/>
        <w:rPr>
          <w:rFonts w:ascii="Times New Roman" w:hAnsi="Times New Roman" w:cs="Times New Roman"/>
          <w:sz w:val="24"/>
          <w:szCs w:val="24"/>
        </w:rPr>
      </w:pPr>
      <w:r w:rsidRPr="006B6AD2">
        <w:rPr>
          <w:rFonts w:ascii="Times New Roman" w:hAnsi="Times New Roman" w:cs="Times New Roman"/>
          <w:sz w:val="24"/>
          <w:szCs w:val="24"/>
        </w:rPr>
        <w:t>This work is dedicated to God Almighty for his grace and mercy towards me.</w:t>
      </w: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b/>
          <w:bCs/>
          <w:sz w:val="24"/>
          <w:szCs w:val="24"/>
        </w:rPr>
      </w:pPr>
      <w:r w:rsidRPr="006B6AD2">
        <w:rPr>
          <w:rFonts w:ascii="Times New Roman" w:hAnsi="Times New Roman" w:cs="Times New Roman"/>
          <w:b/>
          <w:bCs/>
          <w:sz w:val="24"/>
          <w:szCs w:val="24"/>
        </w:rPr>
        <w:lastRenderedPageBreak/>
        <w:t>ACKNOWLEDGMENTS</w:t>
      </w:r>
    </w:p>
    <w:p w:rsidR="006B6AD2" w:rsidRPr="006B6AD2" w:rsidRDefault="006B6AD2" w:rsidP="006B6AD2">
      <w:pPr>
        <w:jc w:val="both"/>
        <w:rPr>
          <w:rFonts w:ascii="Times New Roman" w:hAnsi="Times New Roman" w:cs="Times New Roman"/>
          <w:sz w:val="24"/>
          <w:szCs w:val="24"/>
        </w:rPr>
      </w:pPr>
      <w:r w:rsidRPr="006B6AD2">
        <w:rPr>
          <w:rFonts w:ascii="Times New Roman" w:hAnsi="Times New Roman" w:cs="Times New Roman"/>
          <w:sz w:val="24"/>
          <w:szCs w:val="24"/>
        </w:rPr>
        <w:t xml:space="preserve">My profound gratitude goes to God Almighty whose grace and faithfulness saw me through this work. To my supervisor, </w:t>
      </w:r>
      <w:r w:rsidRPr="006B6AD2">
        <w:rPr>
          <w:rFonts w:ascii="Times New Roman" w:hAnsi="Times New Roman" w:cs="Times New Roman"/>
          <w:bCs/>
          <w:sz w:val="24"/>
          <w:szCs w:val="24"/>
        </w:rPr>
        <w:t xml:space="preserve">Prof S. N </w:t>
      </w:r>
      <w:proofErr w:type="spellStart"/>
      <w:r w:rsidRPr="006B6AD2">
        <w:rPr>
          <w:rFonts w:ascii="Times New Roman" w:hAnsi="Times New Roman" w:cs="Times New Roman"/>
          <w:bCs/>
          <w:sz w:val="24"/>
          <w:szCs w:val="24"/>
        </w:rPr>
        <w:t>Udeh</w:t>
      </w:r>
      <w:proofErr w:type="spellEnd"/>
      <w:r w:rsidRPr="006B6AD2">
        <w:rPr>
          <w:rFonts w:ascii="Times New Roman" w:hAnsi="Times New Roman" w:cs="Times New Roman"/>
          <w:sz w:val="24"/>
          <w:szCs w:val="24"/>
        </w:rPr>
        <w:t xml:space="preserve"> for his understanding, patience, guidance, support and for dedicating his time towards helping me accomplish this project. I am grateful sir.</w:t>
      </w:r>
    </w:p>
    <w:p w:rsidR="006B6AD2" w:rsidRPr="006B6AD2" w:rsidRDefault="006B6AD2" w:rsidP="006B6AD2">
      <w:pPr>
        <w:jc w:val="both"/>
        <w:rPr>
          <w:rFonts w:ascii="Times New Roman" w:hAnsi="Times New Roman" w:cs="Times New Roman"/>
          <w:sz w:val="24"/>
          <w:szCs w:val="24"/>
        </w:rPr>
      </w:pPr>
      <w:r w:rsidRPr="006B6AD2">
        <w:rPr>
          <w:rFonts w:ascii="Times New Roman" w:hAnsi="Times New Roman" w:cs="Times New Roman"/>
          <w:sz w:val="24"/>
          <w:szCs w:val="24"/>
        </w:rPr>
        <w:t xml:space="preserve">I am immensely grateful to the Head of Department who is also the Dean of Management and Social Sciences, </w:t>
      </w:r>
      <w:proofErr w:type="spellStart"/>
      <w:r w:rsidRPr="006B6AD2">
        <w:rPr>
          <w:rFonts w:ascii="Times New Roman" w:hAnsi="Times New Roman" w:cs="Times New Roman"/>
          <w:sz w:val="24"/>
          <w:szCs w:val="24"/>
        </w:rPr>
        <w:t>Asso</w:t>
      </w:r>
      <w:proofErr w:type="spellEnd"/>
      <w:r w:rsidRPr="006B6AD2">
        <w:rPr>
          <w:rFonts w:ascii="Times New Roman" w:hAnsi="Times New Roman" w:cs="Times New Roman"/>
          <w:sz w:val="24"/>
          <w:szCs w:val="24"/>
        </w:rPr>
        <w:t xml:space="preserve">. Prof. J. </w:t>
      </w:r>
      <w:proofErr w:type="spellStart"/>
      <w:r w:rsidRPr="006B6AD2">
        <w:rPr>
          <w:rFonts w:ascii="Times New Roman" w:hAnsi="Times New Roman" w:cs="Times New Roman"/>
          <w:sz w:val="24"/>
          <w:szCs w:val="24"/>
        </w:rPr>
        <w:t>Odo</w:t>
      </w:r>
      <w:proofErr w:type="spellEnd"/>
      <w:r w:rsidRPr="006B6AD2">
        <w:rPr>
          <w:rFonts w:ascii="Times New Roman" w:hAnsi="Times New Roman" w:cs="Times New Roman"/>
          <w:sz w:val="24"/>
          <w:szCs w:val="24"/>
        </w:rPr>
        <w:t xml:space="preserve"> for his words of advice and support.</w:t>
      </w:r>
    </w:p>
    <w:p w:rsidR="006B6AD2" w:rsidRPr="006B6AD2" w:rsidRDefault="006B6AD2" w:rsidP="006B6AD2">
      <w:pPr>
        <w:jc w:val="both"/>
        <w:rPr>
          <w:rFonts w:ascii="Times New Roman" w:hAnsi="Times New Roman" w:cs="Times New Roman"/>
          <w:sz w:val="24"/>
          <w:szCs w:val="24"/>
        </w:rPr>
      </w:pPr>
      <w:r w:rsidRPr="006B6AD2">
        <w:rPr>
          <w:rFonts w:ascii="Times New Roman" w:hAnsi="Times New Roman" w:cs="Times New Roman"/>
          <w:sz w:val="24"/>
          <w:szCs w:val="24"/>
        </w:rPr>
        <w:t xml:space="preserve">To my lecturers </w:t>
      </w:r>
      <w:proofErr w:type="spellStart"/>
      <w:r w:rsidRPr="006B6AD2">
        <w:rPr>
          <w:rFonts w:ascii="Times New Roman" w:hAnsi="Times New Roman" w:cs="Times New Roman"/>
          <w:sz w:val="24"/>
          <w:szCs w:val="24"/>
        </w:rPr>
        <w:t>Asso</w:t>
      </w:r>
      <w:proofErr w:type="spellEnd"/>
      <w:r w:rsidRPr="006B6AD2">
        <w:rPr>
          <w:rFonts w:ascii="Times New Roman" w:hAnsi="Times New Roman" w:cs="Times New Roman"/>
          <w:sz w:val="24"/>
          <w:szCs w:val="24"/>
        </w:rPr>
        <w:t xml:space="preserve">. Prof. J. </w:t>
      </w:r>
      <w:proofErr w:type="spellStart"/>
      <w:r w:rsidRPr="006B6AD2">
        <w:rPr>
          <w:rFonts w:ascii="Times New Roman" w:hAnsi="Times New Roman" w:cs="Times New Roman"/>
          <w:sz w:val="24"/>
          <w:szCs w:val="24"/>
        </w:rPr>
        <w:t>Odo</w:t>
      </w:r>
      <w:proofErr w:type="spellEnd"/>
      <w:r w:rsidRPr="006B6AD2">
        <w:rPr>
          <w:rFonts w:ascii="Times New Roman" w:hAnsi="Times New Roman" w:cs="Times New Roman"/>
          <w:sz w:val="24"/>
          <w:szCs w:val="24"/>
        </w:rPr>
        <w:t xml:space="preserve">, Prof. S. N. </w:t>
      </w:r>
      <w:proofErr w:type="spellStart"/>
      <w:r w:rsidRPr="006B6AD2">
        <w:rPr>
          <w:rFonts w:ascii="Times New Roman" w:hAnsi="Times New Roman" w:cs="Times New Roman"/>
          <w:sz w:val="24"/>
          <w:szCs w:val="24"/>
        </w:rPr>
        <w:t>Udeh</w:t>
      </w:r>
      <w:proofErr w:type="spellEnd"/>
      <w:r w:rsidRPr="006B6AD2">
        <w:rPr>
          <w:rFonts w:ascii="Times New Roman" w:hAnsi="Times New Roman" w:cs="Times New Roman"/>
          <w:sz w:val="24"/>
          <w:szCs w:val="24"/>
        </w:rPr>
        <w:t xml:space="preserve">, Prof. O. </w:t>
      </w:r>
      <w:proofErr w:type="spellStart"/>
      <w:r w:rsidRPr="006B6AD2">
        <w:rPr>
          <w:rFonts w:ascii="Times New Roman" w:hAnsi="Times New Roman" w:cs="Times New Roman"/>
          <w:sz w:val="24"/>
          <w:szCs w:val="24"/>
        </w:rPr>
        <w:t>Inyiama</w:t>
      </w:r>
      <w:proofErr w:type="spellEnd"/>
      <w:r w:rsidRPr="006B6AD2">
        <w:rPr>
          <w:rFonts w:ascii="Times New Roman" w:hAnsi="Times New Roman" w:cs="Times New Roman"/>
          <w:sz w:val="24"/>
          <w:szCs w:val="24"/>
        </w:rPr>
        <w:t xml:space="preserve">, Mrs. V. I. </w:t>
      </w:r>
      <w:proofErr w:type="spellStart"/>
      <w:r w:rsidRPr="006B6AD2">
        <w:rPr>
          <w:rFonts w:ascii="Times New Roman" w:hAnsi="Times New Roman" w:cs="Times New Roman"/>
          <w:sz w:val="24"/>
          <w:szCs w:val="24"/>
        </w:rPr>
        <w:t>Okoro</w:t>
      </w:r>
      <w:proofErr w:type="spellEnd"/>
      <w:r w:rsidRPr="006B6AD2">
        <w:rPr>
          <w:rFonts w:ascii="Times New Roman" w:hAnsi="Times New Roman" w:cs="Times New Roman"/>
          <w:sz w:val="24"/>
          <w:szCs w:val="24"/>
        </w:rPr>
        <w:t xml:space="preserve">, Dr. J. </w:t>
      </w:r>
      <w:proofErr w:type="spellStart"/>
      <w:r w:rsidRPr="006B6AD2">
        <w:rPr>
          <w:rFonts w:ascii="Times New Roman" w:hAnsi="Times New Roman" w:cs="Times New Roman"/>
          <w:sz w:val="24"/>
          <w:szCs w:val="24"/>
        </w:rPr>
        <w:t>Ugwu</w:t>
      </w:r>
      <w:proofErr w:type="spellEnd"/>
      <w:r w:rsidRPr="006B6AD2">
        <w:rPr>
          <w:rFonts w:ascii="Times New Roman" w:hAnsi="Times New Roman" w:cs="Times New Roman"/>
          <w:sz w:val="24"/>
          <w:szCs w:val="24"/>
        </w:rPr>
        <w:t xml:space="preserve">, Prof. S. N. P. </w:t>
      </w:r>
      <w:proofErr w:type="spellStart"/>
      <w:r w:rsidRPr="006B6AD2">
        <w:rPr>
          <w:rFonts w:ascii="Times New Roman" w:hAnsi="Times New Roman" w:cs="Times New Roman"/>
          <w:sz w:val="24"/>
          <w:szCs w:val="24"/>
        </w:rPr>
        <w:t>Nwankwo</w:t>
      </w:r>
      <w:proofErr w:type="spellEnd"/>
      <w:r w:rsidRPr="006B6AD2">
        <w:rPr>
          <w:rFonts w:ascii="Times New Roman" w:hAnsi="Times New Roman" w:cs="Times New Roman"/>
          <w:sz w:val="24"/>
          <w:szCs w:val="24"/>
        </w:rPr>
        <w:t xml:space="preserve">, Dr. E. </w:t>
      </w:r>
      <w:proofErr w:type="spellStart"/>
      <w:r w:rsidRPr="006B6AD2">
        <w:rPr>
          <w:rFonts w:ascii="Times New Roman" w:hAnsi="Times New Roman" w:cs="Times New Roman"/>
          <w:sz w:val="24"/>
          <w:szCs w:val="24"/>
        </w:rPr>
        <w:t>Bassey</w:t>
      </w:r>
      <w:proofErr w:type="spellEnd"/>
      <w:r w:rsidRPr="006B6AD2">
        <w:rPr>
          <w:rFonts w:ascii="Times New Roman" w:hAnsi="Times New Roman" w:cs="Times New Roman"/>
          <w:sz w:val="24"/>
          <w:szCs w:val="24"/>
        </w:rPr>
        <w:t xml:space="preserve">, Dr. P. Allison, </w:t>
      </w:r>
      <w:r w:rsidRPr="006B6AD2">
        <w:rPr>
          <w:rFonts w:ascii="Times New Roman" w:hAnsi="Times New Roman" w:cs="Times New Roman"/>
          <w:bCs/>
          <w:sz w:val="24"/>
          <w:szCs w:val="24"/>
        </w:rPr>
        <w:t xml:space="preserve">Prof. Elias I. </w:t>
      </w:r>
      <w:proofErr w:type="spellStart"/>
      <w:r w:rsidRPr="006B6AD2">
        <w:rPr>
          <w:rFonts w:ascii="Times New Roman" w:hAnsi="Times New Roman" w:cs="Times New Roman"/>
          <w:bCs/>
          <w:sz w:val="24"/>
          <w:szCs w:val="24"/>
        </w:rPr>
        <w:t>Agbo</w:t>
      </w:r>
      <w:proofErr w:type="spellEnd"/>
      <w:r w:rsidRPr="006B6AD2">
        <w:rPr>
          <w:rFonts w:ascii="Times New Roman" w:hAnsi="Times New Roman" w:cs="Times New Roman"/>
          <w:sz w:val="24"/>
          <w:szCs w:val="24"/>
        </w:rPr>
        <w:t xml:space="preserve">, Dr. M. </w:t>
      </w:r>
      <w:proofErr w:type="spellStart"/>
      <w:r w:rsidRPr="006B6AD2">
        <w:rPr>
          <w:rFonts w:ascii="Times New Roman" w:hAnsi="Times New Roman" w:cs="Times New Roman"/>
          <w:sz w:val="24"/>
          <w:szCs w:val="24"/>
        </w:rPr>
        <w:t>Egiyi</w:t>
      </w:r>
      <w:proofErr w:type="spellEnd"/>
      <w:r w:rsidRPr="006B6AD2">
        <w:rPr>
          <w:rFonts w:ascii="Times New Roman" w:hAnsi="Times New Roman" w:cs="Times New Roman"/>
          <w:sz w:val="24"/>
          <w:szCs w:val="24"/>
        </w:rPr>
        <w:t xml:space="preserve">, Rev. Fr. W. </w:t>
      </w:r>
      <w:proofErr w:type="spellStart"/>
      <w:r w:rsidRPr="006B6AD2">
        <w:rPr>
          <w:rFonts w:ascii="Times New Roman" w:hAnsi="Times New Roman" w:cs="Times New Roman"/>
          <w:sz w:val="24"/>
          <w:szCs w:val="24"/>
        </w:rPr>
        <w:t>Agu</w:t>
      </w:r>
      <w:proofErr w:type="spellEnd"/>
      <w:r w:rsidRPr="006B6AD2">
        <w:rPr>
          <w:rFonts w:ascii="Times New Roman" w:hAnsi="Times New Roman" w:cs="Times New Roman"/>
          <w:sz w:val="24"/>
          <w:szCs w:val="24"/>
        </w:rPr>
        <w:t>. I sincerely thank you all for impacting your knowledge and experience in me.</w:t>
      </w:r>
    </w:p>
    <w:p w:rsidR="006B6AD2" w:rsidRPr="006B6AD2" w:rsidRDefault="006B6AD2" w:rsidP="006B6AD2">
      <w:pPr>
        <w:jc w:val="both"/>
        <w:rPr>
          <w:rFonts w:ascii="Times New Roman" w:hAnsi="Times New Roman" w:cs="Times New Roman"/>
          <w:sz w:val="24"/>
          <w:szCs w:val="24"/>
        </w:rPr>
      </w:pPr>
      <w:r w:rsidRPr="006B6AD2">
        <w:rPr>
          <w:rFonts w:ascii="Times New Roman" w:hAnsi="Times New Roman" w:cs="Times New Roman"/>
          <w:sz w:val="24"/>
          <w:szCs w:val="24"/>
        </w:rPr>
        <w:t xml:space="preserve">My utmost gratitude goes to my loving and wonderful parents Mr. &amp; Mrs. </w:t>
      </w:r>
      <w:proofErr w:type="spellStart"/>
      <w:r w:rsidRPr="006B6AD2">
        <w:rPr>
          <w:rFonts w:ascii="Times New Roman" w:hAnsi="Times New Roman" w:cs="Times New Roman"/>
          <w:bCs/>
          <w:sz w:val="24"/>
          <w:szCs w:val="24"/>
        </w:rPr>
        <w:t>Uyanna</w:t>
      </w:r>
      <w:proofErr w:type="spellEnd"/>
    </w:p>
    <w:p w:rsidR="006B6AD2" w:rsidRPr="006B6AD2" w:rsidRDefault="006B6AD2" w:rsidP="006B6AD2">
      <w:pPr>
        <w:jc w:val="center"/>
        <w:rPr>
          <w:rFonts w:ascii="Times New Roman" w:hAnsi="Times New Roman" w:cs="Times New Roman"/>
          <w:b/>
          <w:bCs/>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Default="006B6AD2" w:rsidP="006B6AD2">
      <w:pPr>
        <w:jc w:val="center"/>
        <w:rPr>
          <w:rFonts w:ascii="Times New Roman" w:hAnsi="Times New Roman" w:cs="Times New Roman"/>
          <w:sz w:val="24"/>
          <w:szCs w:val="24"/>
        </w:rPr>
      </w:pPr>
    </w:p>
    <w:p w:rsidR="006B6AD2" w:rsidRPr="006B6AD2" w:rsidRDefault="006B6AD2" w:rsidP="006B6AD2">
      <w:pPr>
        <w:jc w:val="center"/>
        <w:rPr>
          <w:rFonts w:ascii="Times New Roman" w:hAnsi="Times New Roman" w:cs="Times New Roman"/>
          <w:sz w:val="24"/>
          <w:szCs w:val="24"/>
        </w:rPr>
      </w:pPr>
    </w:p>
    <w:p w:rsidR="006B6AD2" w:rsidRPr="006B6AD2" w:rsidRDefault="006B6AD2" w:rsidP="006B6AD2">
      <w:pPr>
        <w:spacing w:line="259" w:lineRule="auto"/>
        <w:jc w:val="center"/>
        <w:rPr>
          <w:rFonts w:ascii="Times New Roman" w:hAnsi="Times New Roman" w:cs="Times New Roman"/>
          <w:b/>
          <w:sz w:val="24"/>
          <w:szCs w:val="24"/>
        </w:rPr>
      </w:pPr>
      <w:r w:rsidRPr="006B6AD2">
        <w:rPr>
          <w:rFonts w:ascii="Times New Roman" w:hAnsi="Times New Roman" w:cs="Times New Roman"/>
          <w:b/>
          <w:sz w:val="24"/>
          <w:szCs w:val="24"/>
        </w:rPr>
        <w:lastRenderedPageBreak/>
        <w:t>TABLE OF CONTENTS</w:t>
      </w:r>
    </w:p>
    <w:p w:rsidR="006B6AD2" w:rsidRPr="006B6AD2" w:rsidRDefault="006B6AD2" w:rsidP="006B6AD2">
      <w:pPr>
        <w:spacing w:line="259" w:lineRule="auto"/>
        <w:rPr>
          <w:rFonts w:ascii="Times New Roman" w:hAnsi="Times New Roman" w:cs="Times New Roman"/>
          <w:b/>
          <w:sz w:val="24"/>
          <w:szCs w:val="24"/>
        </w:rPr>
      </w:pPr>
      <w:r w:rsidRPr="006B6AD2">
        <w:rPr>
          <w:rFonts w:ascii="Times New Roman" w:hAnsi="Times New Roman" w:cs="Times New Roman"/>
          <w:b/>
          <w:sz w:val="24"/>
          <w:szCs w:val="24"/>
        </w:rPr>
        <w:t xml:space="preserve">Title page                                                                                            </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1</w:t>
      </w:r>
    </w:p>
    <w:p w:rsidR="006B6AD2" w:rsidRPr="006B6AD2" w:rsidRDefault="006B6AD2" w:rsidP="006B6AD2">
      <w:pPr>
        <w:tabs>
          <w:tab w:val="left" w:pos="0"/>
        </w:tabs>
        <w:spacing w:line="259" w:lineRule="auto"/>
        <w:rPr>
          <w:rFonts w:ascii="Times New Roman" w:hAnsi="Times New Roman" w:cs="Times New Roman"/>
          <w:b/>
          <w:sz w:val="24"/>
          <w:szCs w:val="24"/>
        </w:rPr>
      </w:pPr>
      <w:r w:rsidRPr="006B6AD2">
        <w:rPr>
          <w:rFonts w:ascii="Times New Roman" w:hAnsi="Times New Roman" w:cs="Times New Roman"/>
          <w:b/>
          <w:sz w:val="24"/>
          <w:szCs w:val="24"/>
        </w:rPr>
        <w:t xml:space="preserve">Declaration                                                                                                                </w:t>
      </w:r>
      <w:r w:rsidRPr="006B6AD2">
        <w:rPr>
          <w:rFonts w:ascii="Times New Roman" w:hAnsi="Times New Roman" w:cs="Times New Roman"/>
          <w:b/>
          <w:sz w:val="24"/>
          <w:szCs w:val="24"/>
        </w:rPr>
        <w:tab/>
      </w:r>
      <w:r w:rsidRPr="006B6AD2">
        <w:rPr>
          <w:rFonts w:ascii="Times New Roman" w:hAnsi="Times New Roman" w:cs="Times New Roman"/>
          <w:b/>
          <w:sz w:val="24"/>
          <w:szCs w:val="24"/>
        </w:rPr>
        <w:tab/>
        <w:t>2</w:t>
      </w:r>
    </w:p>
    <w:p w:rsidR="006B6AD2" w:rsidRPr="006B6AD2" w:rsidRDefault="006B6AD2" w:rsidP="006B6AD2">
      <w:pPr>
        <w:tabs>
          <w:tab w:val="left" w:pos="0"/>
        </w:tabs>
        <w:spacing w:line="259" w:lineRule="auto"/>
        <w:rPr>
          <w:rFonts w:ascii="Times New Roman" w:hAnsi="Times New Roman" w:cs="Times New Roman"/>
          <w:b/>
          <w:sz w:val="24"/>
          <w:szCs w:val="24"/>
        </w:rPr>
      </w:pPr>
      <w:r w:rsidRPr="006B6AD2">
        <w:rPr>
          <w:rFonts w:ascii="Times New Roman" w:hAnsi="Times New Roman" w:cs="Times New Roman"/>
          <w:b/>
          <w:sz w:val="24"/>
          <w:szCs w:val="24"/>
        </w:rPr>
        <w:t xml:space="preserve">Certification                                                                                                              </w:t>
      </w:r>
      <w:r w:rsidRPr="006B6AD2">
        <w:rPr>
          <w:rFonts w:ascii="Times New Roman" w:hAnsi="Times New Roman" w:cs="Times New Roman"/>
          <w:b/>
          <w:sz w:val="24"/>
          <w:szCs w:val="24"/>
        </w:rPr>
        <w:tab/>
      </w:r>
      <w:r w:rsidRPr="006B6AD2">
        <w:rPr>
          <w:rFonts w:ascii="Times New Roman" w:hAnsi="Times New Roman" w:cs="Times New Roman"/>
          <w:b/>
          <w:sz w:val="24"/>
          <w:szCs w:val="24"/>
        </w:rPr>
        <w:tab/>
        <w:t>3</w:t>
      </w:r>
    </w:p>
    <w:p w:rsidR="006B6AD2" w:rsidRPr="006B6AD2" w:rsidRDefault="006B6AD2" w:rsidP="006B6AD2">
      <w:pPr>
        <w:tabs>
          <w:tab w:val="left" w:pos="0"/>
        </w:tabs>
        <w:spacing w:line="259" w:lineRule="auto"/>
        <w:rPr>
          <w:rFonts w:ascii="Times New Roman" w:hAnsi="Times New Roman" w:cs="Times New Roman"/>
          <w:b/>
          <w:sz w:val="24"/>
          <w:szCs w:val="24"/>
        </w:rPr>
      </w:pPr>
      <w:r w:rsidRPr="006B6AD2">
        <w:rPr>
          <w:rFonts w:ascii="Times New Roman" w:hAnsi="Times New Roman" w:cs="Times New Roman"/>
          <w:b/>
          <w:sz w:val="24"/>
          <w:szCs w:val="24"/>
        </w:rPr>
        <w:t xml:space="preserve">Dedication                                                                                                                 </w:t>
      </w:r>
      <w:r w:rsidRPr="006B6AD2">
        <w:rPr>
          <w:rFonts w:ascii="Times New Roman" w:hAnsi="Times New Roman" w:cs="Times New Roman"/>
          <w:b/>
          <w:sz w:val="24"/>
          <w:szCs w:val="24"/>
        </w:rPr>
        <w:tab/>
      </w:r>
      <w:r w:rsidRPr="006B6AD2">
        <w:rPr>
          <w:rFonts w:ascii="Times New Roman" w:hAnsi="Times New Roman" w:cs="Times New Roman"/>
          <w:b/>
          <w:sz w:val="24"/>
          <w:szCs w:val="24"/>
        </w:rPr>
        <w:tab/>
        <w:t>4</w:t>
      </w:r>
    </w:p>
    <w:p w:rsidR="006B6AD2" w:rsidRPr="006B6AD2" w:rsidRDefault="006B6AD2" w:rsidP="006B6AD2">
      <w:pPr>
        <w:tabs>
          <w:tab w:val="left" w:pos="0"/>
        </w:tabs>
        <w:spacing w:line="259" w:lineRule="auto"/>
        <w:rPr>
          <w:rFonts w:ascii="Times New Roman" w:hAnsi="Times New Roman" w:cs="Times New Roman"/>
          <w:b/>
          <w:sz w:val="24"/>
          <w:szCs w:val="24"/>
        </w:rPr>
      </w:pPr>
      <w:r w:rsidRPr="006B6AD2">
        <w:rPr>
          <w:rFonts w:ascii="Times New Roman" w:hAnsi="Times New Roman" w:cs="Times New Roman"/>
          <w:b/>
          <w:sz w:val="24"/>
          <w:szCs w:val="24"/>
        </w:rPr>
        <w:t xml:space="preserve">Acknowledgement                                                                                                    </w:t>
      </w:r>
      <w:r w:rsidRPr="006B6AD2">
        <w:rPr>
          <w:rFonts w:ascii="Times New Roman" w:hAnsi="Times New Roman" w:cs="Times New Roman"/>
          <w:b/>
          <w:sz w:val="24"/>
          <w:szCs w:val="24"/>
        </w:rPr>
        <w:tab/>
      </w:r>
      <w:r w:rsidRPr="006B6AD2">
        <w:rPr>
          <w:rFonts w:ascii="Times New Roman" w:hAnsi="Times New Roman" w:cs="Times New Roman"/>
          <w:b/>
          <w:sz w:val="24"/>
          <w:szCs w:val="24"/>
        </w:rPr>
        <w:tab/>
        <w:t>5</w:t>
      </w:r>
    </w:p>
    <w:p w:rsidR="006B6AD2" w:rsidRPr="006B6AD2" w:rsidRDefault="006B6AD2" w:rsidP="006B6AD2">
      <w:pPr>
        <w:spacing w:line="259" w:lineRule="auto"/>
        <w:rPr>
          <w:rFonts w:ascii="Times New Roman" w:hAnsi="Times New Roman" w:cs="Times New Roman"/>
          <w:b/>
          <w:sz w:val="24"/>
          <w:szCs w:val="24"/>
        </w:rPr>
      </w:pPr>
      <w:r w:rsidRPr="006B6AD2">
        <w:rPr>
          <w:rFonts w:ascii="Times New Roman" w:hAnsi="Times New Roman" w:cs="Times New Roman"/>
          <w:b/>
          <w:sz w:val="24"/>
          <w:szCs w:val="24"/>
        </w:rPr>
        <w:t xml:space="preserve">List of Tables                                                                                                            </w:t>
      </w:r>
      <w:r w:rsidRPr="006B6AD2">
        <w:rPr>
          <w:rFonts w:ascii="Times New Roman" w:hAnsi="Times New Roman" w:cs="Times New Roman"/>
          <w:b/>
          <w:sz w:val="24"/>
          <w:szCs w:val="24"/>
        </w:rPr>
        <w:tab/>
      </w:r>
      <w:r w:rsidRPr="006B6AD2">
        <w:rPr>
          <w:rFonts w:ascii="Times New Roman" w:hAnsi="Times New Roman" w:cs="Times New Roman"/>
          <w:b/>
          <w:sz w:val="24"/>
          <w:szCs w:val="24"/>
        </w:rPr>
        <w:tab/>
        <w:t>8</w:t>
      </w:r>
    </w:p>
    <w:p w:rsidR="006B6AD2" w:rsidRPr="006B6AD2" w:rsidRDefault="006B6AD2" w:rsidP="006B6AD2">
      <w:pPr>
        <w:spacing w:line="259" w:lineRule="auto"/>
        <w:rPr>
          <w:rFonts w:ascii="Times New Roman" w:hAnsi="Times New Roman" w:cs="Times New Roman"/>
          <w:b/>
          <w:sz w:val="24"/>
          <w:szCs w:val="24"/>
        </w:rPr>
      </w:pPr>
      <w:r w:rsidRPr="006B6AD2">
        <w:rPr>
          <w:rFonts w:ascii="Times New Roman" w:hAnsi="Times New Roman" w:cs="Times New Roman"/>
          <w:b/>
          <w:sz w:val="24"/>
          <w:szCs w:val="24"/>
        </w:rPr>
        <w:t>List of Figures</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9</w:t>
      </w:r>
    </w:p>
    <w:p w:rsidR="006B6AD2" w:rsidRPr="006B6AD2" w:rsidRDefault="006B6AD2" w:rsidP="006B6AD2">
      <w:pPr>
        <w:tabs>
          <w:tab w:val="left" w:pos="0"/>
        </w:tabs>
        <w:spacing w:line="259" w:lineRule="auto"/>
        <w:rPr>
          <w:rFonts w:ascii="Times New Roman" w:hAnsi="Times New Roman" w:cs="Times New Roman"/>
          <w:b/>
          <w:sz w:val="24"/>
          <w:szCs w:val="24"/>
        </w:rPr>
      </w:pPr>
      <w:r w:rsidRPr="006B6AD2">
        <w:rPr>
          <w:rFonts w:ascii="Times New Roman" w:hAnsi="Times New Roman" w:cs="Times New Roman"/>
          <w:b/>
          <w:sz w:val="24"/>
          <w:szCs w:val="24"/>
        </w:rPr>
        <w:t xml:space="preserve">Abstract     </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10</w:t>
      </w:r>
    </w:p>
    <w:p w:rsidR="006B6AD2" w:rsidRPr="006B6AD2" w:rsidRDefault="006B6AD2" w:rsidP="006B6AD2">
      <w:pPr>
        <w:tabs>
          <w:tab w:val="left" w:pos="0"/>
        </w:tabs>
        <w:spacing w:line="259" w:lineRule="auto"/>
        <w:rPr>
          <w:rFonts w:ascii="Times New Roman" w:hAnsi="Times New Roman" w:cs="Times New Roman"/>
          <w:b/>
          <w:sz w:val="24"/>
          <w:szCs w:val="24"/>
        </w:rPr>
      </w:pPr>
    </w:p>
    <w:p w:rsidR="006B6AD2" w:rsidRPr="006B6AD2" w:rsidRDefault="006B6AD2" w:rsidP="006B6AD2">
      <w:pPr>
        <w:rPr>
          <w:rFonts w:ascii="Times New Roman" w:hAnsi="Times New Roman" w:cs="Times New Roman"/>
          <w:b/>
          <w:sz w:val="24"/>
          <w:szCs w:val="24"/>
        </w:rPr>
      </w:pPr>
      <w:r w:rsidRPr="006B6AD2">
        <w:rPr>
          <w:rFonts w:ascii="Times New Roman" w:hAnsi="Times New Roman" w:cs="Times New Roman"/>
          <w:b/>
          <w:sz w:val="24"/>
          <w:szCs w:val="24"/>
        </w:rPr>
        <w:t>CHAPTER ONE: INTRODUCTION</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11</w:t>
      </w:r>
    </w:p>
    <w:p w:rsidR="006B6AD2" w:rsidRPr="006B6AD2" w:rsidRDefault="006B6AD2" w:rsidP="006B6AD2">
      <w:pPr>
        <w:pStyle w:val="ListParagraph"/>
        <w:numPr>
          <w:ilvl w:val="1"/>
          <w:numId w:val="8"/>
        </w:numPr>
        <w:spacing w:after="0" w:line="276" w:lineRule="auto"/>
        <w:jc w:val="both"/>
        <w:rPr>
          <w:rFonts w:ascii="Times New Roman" w:hAnsi="Times New Roman" w:cs="Times New Roman"/>
        </w:rPr>
      </w:pPr>
      <w:r w:rsidRPr="006B6AD2">
        <w:rPr>
          <w:rFonts w:ascii="Times New Roman" w:hAnsi="Times New Roman" w:cs="Times New Roman"/>
        </w:rPr>
        <w:t>Background to the Study</w:t>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t>11</w:t>
      </w:r>
    </w:p>
    <w:p w:rsidR="006B6AD2" w:rsidRPr="006B6AD2" w:rsidRDefault="006B6AD2" w:rsidP="006B6AD2">
      <w:pPr>
        <w:pStyle w:val="ListParagraph"/>
        <w:numPr>
          <w:ilvl w:val="1"/>
          <w:numId w:val="8"/>
        </w:numPr>
        <w:spacing w:after="0" w:line="276" w:lineRule="auto"/>
        <w:jc w:val="both"/>
        <w:rPr>
          <w:rFonts w:ascii="Times New Roman" w:hAnsi="Times New Roman" w:cs="Times New Roman"/>
        </w:rPr>
      </w:pPr>
      <w:r w:rsidRPr="006B6AD2">
        <w:rPr>
          <w:rFonts w:ascii="Times New Roman" w:hAnsi="Times New Roman" w:cs="Times New Roman"/>
        </w:rPr>
        <w:t>Statement of the Problem</w:t>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t>13</w:t>
      </w:r>
    </w:p>
    <w:p w:rsidR="006B6AD2" w:rsidRPr="006B6AD2" w:rsidRDefault="006B6AD2" w:rsidP="006B6AD2">
      <w:pPr>
        <w:pStyle w:val="ListParagraph"/>
        <w:numPr>
          <w:ilvl w:val="1"/>
          <w:numId w:val="8"/>
        </w:numPr>
        <w:spacing w:after="0" w:line="276" w:lineRule="auto"/>
        <w:jc w:val="both"/>
        <w:rPr>
          <w:rFonts w:ascii="Times New Roman" w:hAnsi="Times New Roman" w:cs="Times New Roman"/>
        </w:rPr>
      </w:pPr>
      <w:r w:rsidRPr="006B6AD2">
        <w:rPr>
          <w:rFonts w:ascii="Times New Roman" w:hAnsi="Times New Roman" w:cs="Times New Roman"/>
        </w:rPr>
        <w:t>Objectives of the Study</w:t>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t>15</w:t>
      </w:r>
    </w:p>
    <w:p w:rsidR="006B6AD2" w:rsidRPr="006B6AD2" w:rsidRDefault="006B6AD2" w:rsidP="006B6AD2">
      <w:pPr>
        <w:pStyle w:val="ListParagraph"/>
        <w:numPr>
          <w:ilvl w:val="1"/>
          <w:numId w:val="8"/>
        </w:numPr>
        <w:spacing w:after="0" w:line="276" w:lineRule="auto"/>
        <w:jc w:val="both"/>
        <w:rPr>
          <w:rFonts w:ascii="Times New Roman" w:hAnsi="Times New Roman" w:cs="Times New Roman"/>
        </w:rPr>
      </w:pPr>
      <w:r w:rsidRPr="006B6AD2">
        <w:rPr>
          <w:rFonts w:ascii="Times New Roman" w:hAnsi="Times New Roman" w:cs="Times New Roman"/>
        </w:rPr>
        <w:t>Research Questions</w:t>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t>15</w:t>
      </w:r>
    </w:p>
    <w:p w:rsidR="006B6AD2" w:rsidRPr="006B6AD2" w:rsidRDefault="006B6AD2" w:rsidP="006B6AD2">
      <w:pPr>
        <w:pStyle w:val="ListParagraph"/>
        <w:numPr>
          <w:ilvl w:val="1"/>
          <w:numId w:val="8"/>
        </w:numPr>
        <w:spacing w:after="0" w:line="276" w:lineRule="auto"/>
        <w:jc w:val="both"/>
        <w:rPr>
          <w:rFonts w:ascii="Times New Roman" w:hAnsi="Times New Roman" w:cs="Times New Roman"/>
        </w:rPr>
      </w:pPr>
      <w:r w:rsidRPr="006B6AD2">
        <w:rPr>
          <w:rFonts w:ascii="Times New Roman" w:hAnsi="Times New Roman" w:cs="Times New Roman"/>
        </w:rPr>
        <w:t>Research Hypotheses</w:t>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t>16</w:t>
      </w:r>
    </w:p>
    <w:p w:rsidR="006B6AD2" w:rsidRPr="006B6AD2" w:rsidRDefault="006B6AD2" w:rsidP="006B6AD2">
      <w:pPr>
        <w:pStyle w:val="ListParagraph"/>
        <w:numPr>
          <w:ilvl w:val="1"/>
          <w:numId w:val="8"/>
        </w:numPr>
        <w:spacing w:after="0" w:line="276" w:lineRule="auto"/>
        <w:jc w:val="both"/>
        <w:rPr>
          <w:rFonts w:ascii="Times New Roman" w:hAnsi="Times New Roman" w:cs="Times New Roman"/>
        </w:rPr>
      </w:pPr>
      <w:r w:rsidRPr="006B6AD2">
        <w:rPr>
          <w:rFonts w:ascii="Times New Roman" w:hAnsi="Times New Roman" w:cs="Times New Roman"/>
        </w:rPr>
        <w:t>Significance of the Study</w:t>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t>16</w:t>
      </w:r>
    </w:p>
    <w:p w:rsidR="006B6AD2" w:rsidRPr="006B6AD2" w:rsidRDefault="006B6AD2" w:rsidP="006B6AD2">
      <w:pPr>
        <w:pStyle w:val="ListParagraph"/>
        <w:numPr>
          <w:ilvl w:val="1"/>
          <w:numId w:val="8"/>
        </w:numPr>
        <w:spacing w:after="0" w:line="276" w:lineRule="auto"/>
        <w:jc w:val="both"/>
        <w:rPr>
          <w:rFonts w:ascii="Times New Roman" w:hAnsi="Times New Roman" w:cs="Times New Roman"/>
        </w:rPr>
      </w:pPr>
      <w:r w:rsidRPr="006B6AD2">
        <w:rPr>
          <w:rFonts w:ascii="Times New Roman" w:hAnsi="Times New Roman" w:cs="Times New Roman"/>
        </w:rPr>
        <w:t>Scope of the Study</w:t>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t>17</w:t>
      </w:r>
    </w:p>
    <w:p w:rsidR="006B6AD2" w:rsidRPr="006B6AD2" w:rsidRDefault="006B6AD2" w:rsidP="006B6AD2">
      <w:pPr>
        <w:pStyle w:val="ListParagraph"/>
        <w:numPr>
          <w:ilvl w:val="1"/>
          <w:numId w:val="8"/>
        </w:numPr>
        <w:spacing w:after="0" w:line="276" w:lineRule="auto"/>
        <w:jc w:val="both"/>
        <w:rPr>
          <w:rFonts w:ascii="Times New Roman" w:hAnsi="Times New Roman" w:cs="Times New Roman"/>
        </w:rPr>
      </w:pPr>
      <w:r w:rsidRPr="006B6AD2">
        <w:rPr>
          <w:rFonts w:ascii="Times New Roman" w:hAnsi="Times New Roman" w:cs="Times New Roman"/>
        </w:rPr>
        <w:t>Limitation of the Study</w:t>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t>17</w:t>
      </w:r>
    </w:p>
    <w:p w:rsidR="006B6AD2" w:rsidRPr="006B6AD2" w:rsidRDefault="006B6AD2" w:rsidP="006B6AD2">
      <w:pPr>
        <w:pStyle w:val="ListParagraph"/>
        <w:numPr>
          <w:ilvl w:val="1"/>
          <w:numId w:val="8"/>
        </w:numPr>
        <w:spacing w:after="0" w:line="276" w:lineRule="auto"/>
        <w:jc w:val="both"/>
        <w:rPr>
          <w:rFonts w:ascii="Times New Roman" w:hAnsi="Times New Roman" w:cs="Times New Roman"/>
        </w:rPr>
      </w:pPr>
      <w:r w:rsidRPr="006B6AD2">
        <w:rPr>
          <w:rFonts w:ascii="Times New Roman" w:hAnsi="Times New Roman" w:cs="Times New Roman"/>
        </w:rPr>
        <w:t>Definition of Terms</w:t>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r>
      <w:r w:rsidRPr="006B6AD2">
        <w:rPr>
          <w:rFonts w:ascii="Times New Roman" w:hAnsi="Times New Roman" w:cs="Times New Roman"/>
        </w:rPr>
        <w:tab/>
        <w:t>18</w:t>
      </w: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b/>
          <w:sz w:val="24"/>
          <w:szCs w:val="24"/>
        </w:rPr>
      </w:pPr>
      <w:r w:rsidRPr="006B6AD2">
        <w:rPr>
          <w:rFonts w:ascii="Times New Roman" w:hAnsi="Times New Roman" w:cs="Times New Roman"/>
          <w:b/>
          <w:sz w:val="24"/>
          <w:szCs w:val="24"/>
        </w:rPr>
        <w:t>CHAPTER TWO: REVIEW OF RELATED LITERATURE</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19</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2.1 Conceptual Review</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19</w:t>
      </w:r>
    </w:p>
    <w:p w:rsidR="006B6AD2" w:rsidRPr="006B6AD2" w:rsidRDefault="006B6AD2" w:rsidP="006B6AD2">
      <w:pPr>
        <w:jc w:val="both"/>
        <w:rPr>
          <w:rFonts w:ascii="Times New Roman" w:eastAsia="Times New Roman" w:hAnsi="Times New Roman" w:cs="Times New Roman"/>
          <w:sz w:val="24"/>
          <w:szCs w:val="24"/>
        </w:rPr>
      </w:pPr>
      <w:r w:rsidRPr="006B6AD2">
        <w:rPr>
          <w:rFonts w:ascii="Times New Roman" w:eastAsia="Times New Roman" w:hAnsi="Times New Roman" w:cs="Times New Roman"/>
          <w:sz w:val="24"/>
          <w:szCs w:val="24"/>
        </w:rPr>
        <w:t>2.2 Theoretical Review</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42</w:t>
      </w:r>
    </w:p>
    <w:p w:rsidR="006B6AD2" w:rsidRPr="006B6AD2" w:rsidRDefault="006B6AD2" w:rsidP="006B6AD2">
      <w:pPr>
        <w:jc w:val="both"/>
        <w:rPr>
          <w:rFonts w:ascii="Times New Roman" w:eastAsia="Times New Roman" w:hAnsi="Times New Roman" w:cs="Times New Roman"/>
          <w:sz w:val="24"/>
          <w:szCs w:val="24"/>
        </w:rPr>
      </w:pPr>
      <w:r w:rsidRPr="006B6AD2">
        <w:rPr>
          <w:rFonts w:ascii="Times New Roman" w:eastAsia="Times New Roman" w:hAnsi="Times New Roman" w:cs="Times New Roman"/>
          <w:sz w:val="24"/>
          <w:szCs w:val="24"/>
        </w:rPr>
        <w:t>2.3 Empirical Review</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49</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2.4 Summary of the Review of Related Literature/Gap</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58</w:t>
      </w: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b/>
          <w:sz w:val="24"/>
          <w:szCs w:val="24"/>
        </w:rPr>
      </w:pPr>
      <w:r w:rsidRPr="006B6AD2">
        <w:rPr>
          <w:rFonts w:ascii="Times New Roman" w:hAnsi="Times New Roman" w:cs="Times New Roman"/>
          <w:b/>
          <w:sz w:val="24"/>
          <w:szCs w:val="24"/>
        </w:rPr>
        <w:t>CHAPTER THREE: METHODOLOGY</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60</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3.1 Research Design</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60</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3.2 Area of Study</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60</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3.3 Sources of Data</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61</w:t>
      </w:r>
    </w:p>
    <w:p w:rsidR="006B6AD2" w:rsidRPr="006B6AD2" w:rsidRDefault="006B6AD2" w:rsidP="006B6AD2">
      <w:pPr>
        <w:jc w:val="both"/>
        <w:rPr>
          <w:rFonts w:ascii="Times New Roman" w:eastAsia="Times New Roman" w:hAnsi="Times New Roman" w:cs="Times New Roman"/>
          <w:sz w:val="24"/>
          <w:szCs w:val="24"/>
        </w:rPr>
      </w:pPr>
      <w:r w:rsidRPr="006B6AD2">
        <w:rPr>
          <w:rFonts w:ascii="Times New Roman" w:eastAsia="Times New Roman" w:hAnsi="Times New Roman" w:cs="Times New Roman"/>
          <w:sz w:val="24"/>
          <w:szCs w:val="24"/>
        </w:rPr>
        <w:t>3.4 Model Specification</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61</w:t>
      </w:r>
    </w:p>
    <w:p w:rsidR="006B6AD2" w:rsidRPr="006B6AD2" w:rsidRDefault="006B6AD2" w:rsidP="006B6AD2">
      <w:pPr>
        <w:jc w:val="both"/>
        <w:rPr>
          <w:rFonts w:ascii="Times New Roman" w:eastAsia="Times New Roman" w:hAnsi="Times New Roman" w:cs="Times New Roman"/>
          <w:sz w:val="24"/>
          <w:szCs w:val="24"/>
        </w:rPr>
      </w:pPr>
      <w:r w:rsidRPr="006B6AD2">
        <w:rPr>
          <w:rFonts w:ascii="Times New Roman" w:eastAsia="Times New Roman" w:hAnsi="Times New Roman" w:cs="Times New Roman"/>
          <w:sz w:val="24"/>
          <w:szCs w:val="24"/>
        </w:rPr>
        <w:t>3.5 Description of Variables</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62</w:t>
      </w:r>
    </w:p>
    <w:p w:rsidR="006B6AD2" w:rsidRPr="006B6AD2" w:rsidRDefault="006B6AD2" w:rsidP="006B6AD2">
      <w:pPr>
        <w:jc w:val="both"/>
        <w:rPr>
          <w:rFonts w:ascii="Times New Roman" w:eastAsia="Times New Roman" w:hAnsi="Times New Roman" w:cs="Times New Roman"/>
          <w:sz w:val="24"/>
          <w:szCs w:val="24"/>
        </w:rPr>
      </w:pPr>
      <w:r w:rsidRPr="006B6AD2">
        <w:rPr>
          <w:rFonts w:ascii="Times New Roman" w:eastAsia="Times New Roman" w:hAnsi="Times New Roman" w:cs="Times New Roman"/>
          <w:sz w:val="24"/>
          <w:szCs w:val="24"/>
        </w:rPr>
        <w:t>3.6 A Priori Expectation</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63</w:t>
      </w:r>
    </w:p>
    <w:p w:rsidR="006B6AD2" w:rsidRPr="006B6AD2" w:rsidRDefault="006B6AD2" w:rsidP="006B6AD2">
      <w:pPr>
        <w:pBdr>
          <w:between w:val="none" w:sz="0" w:space="0" w:color="D9D9E3"/>
        </w:pBdr>
        <w:ind w:right="-20"/>
        <w:jc w:val="both"/>
        <w:rPr>
          <w:rFonts w:ascii="Times New Roman" w:eastAsia="Times New Roman" w:hAnsi="Times New Roman" w:cs="Times New Roman"/>
          <w:sz w:val="24"/>
          <w:szCs w:val="24"/>
        </w:rPr>
      </w:pPr>
      <w:r w:rsidRPr="006B6AD2">
        <w:rPr>
          <w:rFonts w:ascii="Times New Roman" w:eastAsia="Times New Roman" w:hAnsi="Times New Roman" w:cs="Times New Roman"/>
          <w:sz w:val="24"/>
          <w:szCs w:val="24"/>
        </w:rPr>
        <w:t>3.7 Limitations of the Study</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64</w:t>
      </w: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b/>
          <w:sz w:val="24"/>
          <w:szCs w:val="24"/>
        </w:rPr>
      </w:pPr>
      <w:r w:rsidRPr="006B6AD2">
        <w:rPr>
          <w:rFonts w:ascii="Times New Roman" w:hAnsi="Times New Roman" w:cs="Times New Roman"/>
          <w:b/>
          <w:sz w:val="24"/>
          <w:szCs w:val="24"/>
        </w:rPr>
        <w:t>CHAPTER FOUR: PRESENTATION AND ANALYSIS OF DATA</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65</w:t>
      </w:r>
    </w:p>
    <w:p w:rsidR="006B6AD2" w:rsidRPr="006B6AD2" w:rsidRDefault="006B6AD2" w:rsidP="006B6AD2">
      <w:pPr>
        <w:pStyle w:val="Heading2"/>
        <w:spacing w:before="0" w:after="0"/>
        <w:jc w:val="both"/>
        <w:rPr>
          <w:rFonts w:ascii="Times New Roman" w:eastAsia="Times New Roman" w:hAnsi="Times New Roman" w:cs="Times New Roman"/>
          <w:b/>
          <w:sz w:val="24"/>
          <w:szCs w:val="24"/>
        </w:rPr>
      </w:pPr>
      <w:r w:rsidRPr="006B6AD2">
        <w:rPr>
          <w:rFonts w:ascii="Times New Roman" w:eastAsia="Times New Roman" w:hAnsi="Times New Roman" w:cs="Times New Roman"/>
          <w:sz w:val="24"/>
          <w:szCs w:val="24"/>
        </w:rPr>
        <w:lastRenderedPageBreak/>
        <w:t>4.1 Descriptive Statistics</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65</w:t>
      </w:r>
    </w:p>
    <w:p w:rsidR="006B6AD2" w:rsidRPr="006B6AD2" w:rsidRDefault="006B6AD2" w:rsidP="006B6AD2">
      <w:pPr>
        <w:pStyle w:val="Heading2"/>
        <w:spacing w:before="0" w:after="0"/>
        <w:jc w:val="both"/>
        <w:rPr>
          <w:rFonts w:ascii="Times New Roman" w:eastAsia="Times New Roman" w:hAnsi="Times New Roman" w:cs="Times New Roman"/>
          <w:b/>
          <w:sz w:val="24"/>
          <w:szCs w:val="24"/>
        </w:rPr>
      </w:pPr>
      <w:r w:rsidRPr="006B6AD2">
        <w:rPr>
          <w:rFonts w:ascii="Times New Roman" w:eastAsia="Times New Roman" w:hAnsi="Times New Roman" w:cs="Times New Roman"/>
          <w:sz w:val="24"/>
          <w:szCs w:val="24"/>
        </w:rPr>
        <w:t>4.2 Preliminary Diagnostics</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69</w:t>
      </w:r>
    </w:p>
    <w:p w:rsidR="006B6AD2" w:rsidRPr="006B6AD2" w:rsidRDefault="006B6AD2" w:rsidP="006B6AD2">
      <w:pPr>
        <w:pStyle w:val="Heading2"/>
        <w:spacing w:before="0" w:after="0"/>
        <w:jc w:val="both"/>
        <w:rPr>
          <w:rFonts w:ascii="Times New Roman" w:eastAsia="Times New Roman" w:hAnsi="Times New Roman" w:cs="Times New Roman"/>
          <w:b/>
          <w:sz w:val="24"/>
          <w:szCs w:val="24"/>
        </w:rPr>
      </w:pPr>
      <w:r w:rsidRPr="006B6AD2">
        <w:rPr>
          <w:rFonts w:ascii="Times New Roman" w:eastAsia="Times New Roman" w:hAnsi="Times New Roman" w:cs="Times New Roman"/>
          <w:sz w:val="24"/>
          <w:szCs w:val="24"/>
        </w:rPr>
        <w:t>4.3 Model Estimation</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71</w:t>
      </w:r>
    </w:p>
    <w:p w:rsidR="006B6AD2" w:rsidRPr="006B6AD2" w:rsidRDefault="006B6AD2" w:rsidP="006B6AD2">
      <w:pPr>
        <w:pStyle w:val="Heading2"/>
        <w:spacing w:before="0" w:after="0"/>
        <w:jc w:val="both"/>
        <w:rPr>
          <w:rFonts w:ascii="Times New Roman" w:eastAsia="Times New Roman" w:hAnsi="Times New Roman" w:cs="Times New Roman"/>
          <w:b/>
          <w:sz w:val="24"/>
          <w:szCs w:val="24"/>
        </w:rPr>
      </w:pPr>
      <w:r w:rsidRPr="006B6AD2">
        <w:rPr>
          <w:rFonts w:ascii="Times New Roman" w:eastAsia="Times New Roman" w:hAnsi="Times New Roman" w:cs="Times New Roman"/>
          <w:sz w:val="24"/>
          <w:szCs w:val="24"/>
        </w:rPr>
        <w:t>4.5 Post-Estimation Diagnostics</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75</w:t>
      </w:r>
    </w:p>
    <w:p w:rsidR="006B6AD2" w:rsidRPr="006B6AD2" w:rsidRDefault="006B6AD2" w:rsidP="006B6AD2">
      <w:pPr>
        <w:pStyle w:val="Heading2"/>
        <w:spacing w:before="0" w:after="0"/>
        <w:jc w:val="both"/>
        <w:rPr>
          <w:rFonts w:ascii="Times New Roman" w:eastAsia="Times New Roman" w:hAnsi="Times New Roman" w:cs="Times New Roman"/>
          <w:b/>
          <w:sz w:val="24"/>
          <w:szCs w:val="24"/>
        </w:rPr>
      </w:pPr>
      <w:r w:rsidRPr="006B6AD2">
        <w:rPr>
          <w:rFonts w:ascii="Times New Roman" w:eastAsia="Times New Roman" w:hAnsi="Times New Roman" w:cs="Times New Roman"/>
          <w:sz w:val="24"/>
          <w:szCs w:val="24"/>
        </w:rPr>
        <w:t>4.5 Discussion of Findings</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77</w:t>
      </w: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b/>
          <w:sz w:val="24"/>
          <w:szCs w:val="24"/>
        </w:rPr>
      </w:pPr>
      <w:r w:rsidRPr="006B6AD2">
        <w:rPr>
          <w:rFonts w:ascii="Times New Roman" w:hAnsi="Times New Roman" w:cs="Times New Roman"/>
          <w:b/>
          <w:sz w:val="24"/>
          <w:szCs w:val="24"/>
        </w:rPr>
        <w:t>CHAPTER FIVE: SUMMARY OF FINDINGS, CONCLUSION AND RECOMMENDATIONS</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82</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5.1 Summary of Findings</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82</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5.2 Conclusion</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82</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5.3 Recommendations</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83</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5.4 Contribution to Knowledge</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84</w:t>
      </w:r>
    </w:p>
    <w:p w:rsidR="006B6AD2" w:rsidRPr="006B6AD2" w:rsidRDefault="006B6AD2" w:rsidP="006B6AD2">
      <w:pPr>
        <w:rPr>
          <w:rFonts w:ascii="Times New Roman" w:hAnsi="Times New Roman" w:cs="Times New Roman"/>
          <w:sz w:val="24"/>
          <w:szCs w:val="24"/>
        </w:rPr>
      </w:pPr>
      <w:r w:rsidRPr="006B6AD2">
        <w:rPr>
          <w:rFonts w:ascii="Times New Roman" w:hAnsi="Times New Roman" w:cs="Times New Roman"/>
          <w:sz w:val="24"/>
          <w:szCs w:val="24"/>
        </w:rPr>
        <w:t>5.5 Areas for further Studies</w:t>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r>
      <w:r w:rsidRPr="006B6AD2">
        <w:rPr>
          <w:rFonts w:ascii="Times New Roman" w:hAnsi="Times New Roman" w:cs="Times New Roman"/>
          <w:sz w:val="24"/>
          <w:szCs w:val="24"/>
        </w:rPr>
        <w:tab/>
        <w:t>84</w:t>
      </w: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b/>
          <w:sz w:val="24"/>
          <w:szCs w:val="24"/>
        </w:rPr>
      </w:pPr>
      <w:r w:rsidRPr="006B6AD2">
        <w:rPr>
          <w:rFonts w:ascii="Times New Roman" w:hAnsi="Times New Roman" w:cs="Times New Roman"/>
          <w:b/>
          <w:sz w:val="24"/>
          <w:szCs w:val="24"/>
        </w:rPr>
        <w:t>REFERNCES</w:t>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r>
      <w:r w:rsidRPr="006B6AD2">
        <w:rPr>
          <w:rFonts w:ascii="Times New Roman" w:hAnsi="Times New Roman" w:cs="Times New Roman"/>
          <w:b/>
          <w:sz w:val="24"/>
          <w:szCs w:val="24"/>
        </w:rPr>
        <w:tab/>
        <w:t>85</w:t>
      </w:r>
    </w:p>
    <w:p w:rsidR="006B6AD2" w:rsidRPr="006B6AD2" w:rsidRDefault="006B6AD2" w:rsidP="006B6AD2">
      <w:pPr>
        <w:rPr>
          <w:rFonts w:ascii="Times New Roman" w:hAnsi="Times New Roman" w:cs="Times New Roman"/>
          <w:b/>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rPr>
          <w:rFonts w:ascii="Times New Roman" w:hAnsi="Times New Roman" w:cs="Times New Roman"/>
          <w:sz w:val="24"/>
          <w:szCs w:val="24"/>
        </w:rPr>
      </w:pPr>
    </w:p>
    <w:p w:rsidR="006B6AD2" w:rsidRPr="006B6AD2" w:rsidRDefault="006B6AD2" w:rsidP="006B6AD2">
      <w:pPr>
        <w:tabs>
          <w:tab w:val="left" w:pos="1636"/>
          <w:tab w:val="center" w:pos="4679"/>
        </w:tabs>
        <w:spacing w:line="480" w:lineRule="auto"/>
        <w:rPr>
          <w:rFonts w:ascii="Times New Roman" w:hAnsi="Times New Roman" w:cs="Times New Roman"/>
          <w:b/>
          <w:sz w:val="24"/>
          <w:szCs w:val="24"/>
        </w:rPr>
      </w:pPr>
      <w:r w:rsidRPr="006B6AD2">
        <w:rPr>
          <w:rFonts w:ascii="Times New Roman" w:hAnsi="Times New Roman" w:cs="Times New Roman"/>
          <w:b/>
          <w:sz w:val="24"/>
          <w:szCs w:val="24"/>
        </w:rPr>
        <w:tab/>
      </w:r>
      <w:r w:rsidRPr="006B6AD2">
        <w:rPr>
          <w:rFonts w:ascii="Times New Roman" w:hAnsi="Times New Roman" w:cs="Times New Roman"/>
          <w:b/>
          <w:sz w:val="24"/>
          <w:szCs w:val="24"/>
        </w:rPr>
        <w:tab/>
      </w:r>
    </w:p>
    <w:p w:rsidR="006B6AD2" w:rsidRPr="006B6AD2" w:rsidRDefault="006B6AD2" w:rsidP="006B6AD2">
      <w:pPr>
        <w:tabs>
          <w:tab w:val="left" w:pos="1636"/>
          <w:tab w:val="center" w:pos="4679"/>
        </w:tabs>
        <w:spacing w:line="480" w:lineRule="auto"/>
        <w:rPr>
          <w:rFonts w:ascii="Times New Roman" w:hAnsi="Times New Roman" w:cs="Times New Roman"/>
          <w:b/>
          <w:sz w:val="24"/>
          <w:szCs w:val="24"/>
        </w:rPr>
      </w:pPr>
    </w:p>
    <w:p w:rsidR="006B6AD2" w:rsidRPr="006B6AD2" w:rsidRDefault="006B6AD2" w:rsidP="006B6AD2">
      <w:pPr>
        <w:tabs>
          <w:tab w:val="left" w:pos="1636"/>
          <w:tab w:val="center" w:pos="4679"/>
        </w:tabs>
        <w:spacing w:line="480" w:lineRule="auto"/>
        <w:rPr>
          <w:rFonts w:ascii="Times New Roman" w:hAnsi="Times New Roman" w:cs="Times New Roman"/>
          <w:b/>
          <w:sz w:val="24"/>
          <w:szCs w:val="24"/>
        </w:rPr>
      </w:pPr>
    </w:p>
    <w:p w:rsidR="006B6AD2" w:rsidRPr="006B6AD2" w:rsidRDefault="006B6AD2" w:rsidP="006B6AD2">
      <w:pPr>
        <w:tabs>
          <w:tab w:val="left" w:pos="1636"/>
          <w:tab w:val="center" w:pos="4679"/>
        </w:tabs>
        <w:spacing w:line="480" w:lineRule="auto"/>
        <w:rPr>
          <w:rFonts w:ascii="Times New Roman" w:hAnsi="Times New Roman" w:cs="Times New Roman"/>
          <w:b/>
          <w:sz w:val="24"/>
          <w:szCs w:val="24"/>
        </w:rPr>
      </w:pPr>
    </w:p>
    <w:p w:rsidR="006B6AD2" w:rsidRPr="006B6AD2" w:rsidRDefault="006B6AD2" w:rsidP="006B6AD2">
      <w:pPr>
        <w:tabs>
          <w:tab w:val="left" w:pos="1636"/>
          <w:tab w:val="center" w:pos="4679"/>
        </w:tabs>
        <w:spacing w:line="480" w:lineRule="auto"/>
        <w:rPr>
          <w:rFonts w:ascii="Times New Roman" w:hAnsi="Times New Roman" w:cs="Times New Roman"/>
          <w:b/>
          <w:sz w:val="24"/>
          <w:szCs w:val="24"/>
        </w:rPr>
      </w:pPr>
    </w:p>
    <w:p w:rsidR="006B6AD2" w:rsidRPr="006B6AD2" w:rsidRDefault="006B6AD2" w:rsidP="006B6AD2">
      <w:pPr>
        <w:tabs>
          <w:tab w:val="left" w:pos="1636"/>
          <w:tab w:val="center" w:pos="4679"/>
        </w:tabs>
        <w:spacing w:line="480" w:lineRule="auto"/>
        <w:rPr>
          <w:rFonts w:ascii="Times New Roman" w:hAnsi="Times New Roman" w:cs="Times New Roman"/>
          <w:b/>
          <w:sz w:val="24"/>
          <w:szCs w:val="24"/>
        </w:rPr>
      </w:pPr>
    </w:p>
    <w:p w:rsidR="006B6AD2" w:rsidRPr="006B6AD2" w:rsidRDefault="006B6AD2" w:rsidP="006B6AD2">
      <w:pPr>
        <w:tabs>
          <w:tab w:val="left" w:pos="1636"/>
          <w:tab w:val="center" w:pos="4679"/>
        </w:tabs>
        <w:spacing w:line="480" w:lineRule="auto"/>
        <w:rPr>
          <w:rFonts w:ascii="Times New Roman" w:hAnsi="Times New Roman" w:cs="Times New Roman"/>
          <w:b/>
          <w:sz w:val="24"/>
          <w:szCs w:val="24"/>
        </w:rPr>
      </w:pPr>
    </w:p>
    <w:p w:rsidR="006B6AD2" w:rsidRPr="006B6AD2" w:rsidRDefault="006B6AD2" w:rsidP="006B6AD2">
      <w:pPr>
        <w:tabs>
          <w:tab w:val="left" w:pos="1636"/>
          <w:tab w:val="center" w:pos="4679"/>
        </w:tabs>
        <w:spacing w:line="480" w:lineRule="auto"/>
        <w:jc w:val="center"/>
        <w:rPr>
          <w:rFonts w:ascii="Times New Roman" w:hAnsi="Times New Roman" w:cs="Times New Roman"/>
          <w:b/>
          <w:sz w:val="24"/>
          <w:szCs w:val="24"/>
        </w:rPr>
      </w:pPr>
      <w:r w:rsidRPr="006B6AD2">
        <w:rPr>
          <w:rFonts w:ascii="Times New Roman" w:hAnsi="Times New Roman" w:cs="Times New Roman"/>
          <w:b/>
          <w:sz w:val="24"/>
          <w:szCs w:val="24"/>
        </w:rPr>
        <w:lastRenderedPageBreak/>
        <w:t>LIST OF TABLES</w:t>
      </w:r>
    </w:p>
    <w:p w:rsidR="006B6AD2" w:rsidRPr="006B6AD2" w:rsidRDefault="006B6AD2" w:rsidP="006B6AD2">
      <w:pPr>
        <w:spacing w:line="360" w:lineRule="auto"/>
        <w:jc w:val="both"/>
        <w:rPr>
          <w:rFonts w:ascii="Times New Roman" w:eastAsia="Times New Roman" w:hAnsi="Times New Roman" w:cs="Times New Roman"/>
          <w:sz w:val="24"/>
          <w:szCs w:val="24"/>
        </w:rPr>
      </w:pPr>
      <w:r w:rsidRPr="006B6AD2">
        <w:rPr>
          <w:rFonts w:ascii="Times New Roman" w:eastAsia="Times New Roman" w:hAnsi="Times New Roman" w:cs="Times New Roman"/>
          <w:b/>
          <w:sz w:val="24"/>
          <w:szCs w:val="24"/>
        </w:rPr>
        <w:t>Table 4.1:</w:t>
      </w:r>
      <w:r w:rsidRPr="006B6AD2">
        <w:rPr>
          <w:rFonts w:ascii="Times New Roman" w:eastAsia="Times New Roman" w:hAnsi="Times New Roman" w:cs="Times New Roman"/>
          <w:sz w:val="24"/>
          <w:szCs w:val="24"/>
        </w:rPr>
        <w:t xml:space="preserve"> Summary of Descriptive Statistics for All Variables</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65</w:t>
      </w:r>
    </w:p>
    <w:p w:rsidR="006B6AD2" w:rsidRPr="006B6AD2" w:rsidRDefault="006B6AD2" w:rsidP="006B6AD2">
      <w:pPr>
        <w:spacing w:line="360" w:lineRule="auto"/>
        <w:jc w:val="both"/>
        <w:rPr>
          <w:rFonts w:ascii="Times New Roman" w:eastAsia="Times New Roman" w:hAnsi="Times New Roman" w:cs="Times New Roman"/>
          <w:sz w:val="24"/>
          <w:szCs w:val="24"/>
        </w:rPr>
      </w:pPr>
      <w:r w:rsidRPr="006B6AD2">
        <w:rPr>
          <w:rFonts w:ascii="Times New Roman" w:eastAsia="Times New Roman" w:hAnsi="Times New Roman" w:cs="Times New Roman"/>
          <w:b/>
          <w:sz w:val="24"/>
          <w:szCs w:val="24"/>
        </w:rPr>
        <w:t>Table 4.2:</w:t>
      </w:r>
      <w:r w:rsidRPr="006B6AD2">
        <w:rPr>
          <w:rFonts w:ascii="Times New Roman" w:eastAsia="Times New Roman" w:hAnsi="Times New Roman" w:cs="Times New Roman"/>
          <w:sz w:val="24"/>
          <w:szCs w:val="24"/>
        </w:rPr>
        <w:t xml:space="preserve"> Levin-Lin-Chu, ADF-Fisher, and PP-Fisher Unit Root Test Results</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69</w:t>
      </w:r>
    </w:p>
    <w:p w:rsidR="006B6AD2" w:rsidRPr="006B6AD2" w:rsidRDefault="006B6AD2" w:rsidP="006B6AD2">
      <w:pPr>
        <w:spacing w:line="360" w:lineRule="auto"/>
        <w:jc w:val="both"/>
        <w:rPr>
          <w:rFonts w:ascii="Times New Roman" w:eastAsia="Times New Roman" w:hAnsi="Times New Roman" w:cs="Times New Roman"/>
          <w:sz w:val="24"/>
          <w:szCs w:val="24"/>
        </w:rPr>
      </w:pPr>
      <w:r w:rsidRPr="006B6AD2">
        <w:rPr>
          <w:rFonts w:ascii="Times New Roman" w:eastAsia="Times New Roman" w:hAnsi="Times New Roman" w:cs="Times New Roman"/>
          <w:b/>
          <w:sz w:val="24"/>
          <w:szCs w:val="24"/>
        </w:rPr>
        <w:t>Table 4.3:</w:t>
      </w:r>
      <w:r w:rsidRPr="006B6AD2">
        <w:rPr>
          <w:rFonts w:ascii="Times New Roman" w:eastAsia="Times New Roman" w:hAnsi="Times New Roman" w:cs="Times New Roman"/>
          <w:sz w:val="24"/>
          <w:szCs w:val="24"/>
        </w:rPr>
        <w:t xml:space="preserve"> Pearson Correlation Coefficients</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70</w:t>
      </w:r>
    </w:p>
    <w:p w:rsidR="006B6AD2" w:rsidRPr="006B6AD2" w:rsidRDefault="006B6AD2" w:rsidP="006B6AD2">
      <w:pPr>
        <w:spacing w:line="360" w:lineRule="auto"/>
        <w:jc w:val="both"/>
        <w:rPr>
          <w:rFonts w:ascii="Times New Roman" w:eastAsia="Times New Roman" w:hAnsi="Times New Roman" w:cs="Times New Roman"/>
          <w:sz w:val="24"/>
          <w:szCs w:val="24"/>
        </w:rPr>
      </w:pPr>
      <w:r w:rsidRPr="006B6AD2">
        <w:rPr>
          <w:rFonts w:ascii="Times New Roman" w:eastAsia="Times New Roman" w:hAnsi="Times New Roman" w:cs="Times New Roman"/>
          <w:b/>
          <w:sz w:val="24"/>
          <w:szCs w:val="24"/>
        </w:rPr>
        <w:t>Table 4.4:</w:t>
      </w:r>
      <w:r w:rsidRPr="006B6AD2">
        <w:rPr>
          <w:rFonts w:ascii="Times New Roman" w:eastAsia="Times New Roman" w:hAnsi="Times New Roman" w:cs="Times New Roman"/>
          <w:sz w:val="24"/>
          <w:szCs w:val="24"/>
        </w:rPr>
        <w:t xml:space="preserve"> Redundant Fixed Effects Test Result for Model Selection</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71</w:t>
      </w:r>
    </w:p>
    <w:p w:rsidR="006B6AD2" w:rsidRPr="006B6AD2" w:rsidRDefault="006B6AD2" w:rsidP="006B6AD2">
      <w:pPr>
        <w:spacing w:line="360" w:lineRule="auto"/>
        <w:jc w:val="both"/>
        <w:rPr>
          <w:rFonts w:ascii="Times New Roman" w:eastAsia="Times New Roman" w:hAnsi="Times New Roman" w:cs="Times New Roman"/>
          <w:sz w:val="24"/>
          <w:szCs w:val="24"/>
        </w:rPr>
      </w:pPr>
      <w:r w:rsidRPr="006B6AD2">
        <w:rPr>
          <w:rFonts w:ascii="Times New Roman" w:eastAsia="Times New Roman" w:hAnsi="Times New Roman" w:cs="Times New Roman"/>
          <w:b/>
          <w:sz w:val="24"/>
          <w:szCs w:val="24"/>
        </w:rPr>
        <w:t>Table 4.5:</w:t>
      </w:r>
      <w:r w:rsidRPr="006B6AD2">
        <w:rPr>
          <w:rFonts w:ascii="Times New Roman" w:eastAsia="Times New Roman" w:hAnsi="Times New Roman" w:cs="Times New Roman"/>
          <w:sz w:val="24"/>
          <w:szCs w:val="24"/>
        </w:rPr>
        <w:t xml:space="preserve"> Fixed Effects Model (FEM) Estimates</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72</w:t>
      </w:r>
    </w:p>
    <w:p w:rsidR="006B6AD2" w:rsidRPr="006B6AD2" w:rsidRDefault="006B6AD2" w:rsidP="006B6AD2">
      <w:pPr>
        <w:pStyle w:val="Heading3"/>
        <w:spacing w:before="0" w:line="360" w:lineRule="auto"/>
        <w:jc w:val="both"/>
        <w:rPr>
          <w:rFonts w:ascii="Times New Roman" w:eastAsia="Times New Roman" w:hAnsi="Times New Roman" w:cs="Times New Roman"/>
          <w:b/>
          <w:color w:val="auto"/>
          <w:sz w:val="24"/>
          <w:szCs w:val="24"/>
        </w:rPr>
      </w:pPr>
      <w:r w:rsidRPr="006B6AD2">
        <w:rPr>
          <w:rFonts w:ascii="Times New Roman" w:eastAsia="Times New Roman" w:hAnsi="Times New Roman" w:cs="Times New Roman"/>
          <w:color w:val="auto"/>
          <w:sz w:val="24"/>
          <w:szCs w:val="24"/>
        </w:rPr>
        <w:t>Table 4.6: Cross-Sectional Dependence Test (</w:t>
      </w:r>
      <w:proofErr w:type="spellStart"/>
      <w:r w:rsidRPr="006B6AD2">
        <w:rPr>
          <w:rFonts w:ascii="Times New Roman" w:eastAsia="Times New Roman" w:hAnsi="Times New Roman" w:cs="Times New Roman"/>
          <w:color w:val="auto"/>
          <w:sz w:val="24"/>
          <w:szCs w:val="24"/>
        </w:rPr>
        <w:t>Pesaran</w:t>
      </w:r>
      <w:proofErr w:type="spellEnd"/>
      <w:r w:rsidRPr="006B6AD2">
        <w:rPr>
          <w:rFonts w:ascii="Times New Roman" w:eastAsia="Times New Roman" w:hAnsi="Times New Roman" w:cs="Times New Roman"/>
          <w:color w:val="auto"/>
          <w:sz w:val="24"/>
          <w:szCs w:val="24"/>
        </w:rPr>
        <w:t xml:space="preserve"> CD Test Results)</w:t>
      </w:r>
      <w:r w:rsidRPr="006B6AD2">
        <w:rPr>
          <w:rFonts w:ascii="Times New Roman" w:eastAsia="Times New Roman" w:hAnsi="Times New Roman" w:cs="Times New Roman"/>
          <w:color w:val="auto"/>
          <w:sz w:val="24"/>
          <w:szCs w:val="24"/>
        </w:rPr>
        <w:tab/>
      </w:r>
      <w:r w:rsidRPr="006B6AD2">
        <w:rPr>
          <w:rFonts w:ascii="Times New Roman" w:eastAsia="Times New Roman" w:hAnsi="Times New Roman" w:cs="Times New Roman"/>
          <w:color w:val="auto"/>
          <w:sz w:val="24"/>
          <w:szCs w:val="24"/>
        </w:rPr>
        <w:tab/>
      </w:r>
      <w:r w:rsidRPr="006B6AD2">
        <w:rPr>
          <w:rFonts w:ascii="Times New Roman" w:eastAsia="Times New Roman" w:hAnsi="Times New Roman" w:cs="Times New Roman"/>
          <w:color w:val="auto"/>
          <w:sz w:val="24"/>
          <w:szCs w:val="24"/>
        </w:rPr>
        <w:tab/>
        <w:t>76</w:t>
      </w:r>
    </w:p>
    <w:p w:rsidR="006B6AD2" w:rsidRPr="006B6AD2" w:rsidRDefault="006B6AD2" w:rsidP="006B6AD2">
      <w:pP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Normal1"/>
        <w:spacing w:line="360" w:lineRule="auto"/>
        <w:jc w:val="center"/>
        <w:rPr>
          <w:rFonts w:ascii="Times New Roman" w:eastAsia="Times New Roman" w:hAnsi="Times New Roman" w:cs="Times New Roman"/>
          <w:b/>
          <w:sz w:val="24"/>
          <w:szCs w:val="24"/>
        </w:rPr>
      </w:pPr>
    </w:p>
    <w:p w:rsidR="006B6AD2" w:rsidRPr="006B6AD2" w:rsidRDefault="006B6AD2" w:rsidP="006B6AD2">
      <w:pPr>
        <w:pStyle w:val="Heading1"/>
        <w:spacing w:before="0" w:line="480" w:lineRule="auto"/>
        <w:jc w:val="center"/>
        <w:rPr>
          <w:rFonts w:ascii="Times New Roman" w:eastAsia="Times New Roman" w:hAnsi="Times New Roman" w:cs="Times New Roman"/>
          <w:b/>
          <w:sz w:val="24"/>
          <w:szCs w:val="24"/>
        </w:rPr>
      </w:pPr>
      <w:r w:rsidRPr="006B6AD2">
        <w:rPr>
          <w:rFonts w:ascii="Times New Roman" w:eastAsia="Times New Roman" w:hAnsi="Times New Roman" w:cs="Times New Roman"/>
          <w:b/>
          <w:sz w:val="24"/>
          <w:szCs w:val="24"/>
        </w:rPr>
        <w:lastRenderedPageBreak/>
        <w:t>LIST OF FIGURES</w:t>
      </w:r>
    </w:p>
    <w:p w:rsidR="006B6AD2" w:rsidRPr="006B6AD2" w:rsidRDefault="006B6AD2" w:rsidP="006B6AD2">
      <w:pPr>
        <w:spacing w:line="360" w:lineRule="auto"/>
        <w:jc w:val="both"/>
        <w:rPr>
          <w:rFonts w:ascii="Times New Roman" w:eastAsia="Times New Roman" w:hAnsi="Times New Roman" w:cs="Times New Roman"/>
          <w:sz w:val="24"/>
          <w:szCs w:val="24"/>
        </w:rPr>
      </w:pPr>
      <w:r w:rsidRPr="006B6AD2">
        <w:rPr>
          <w:rFonts w:ascii="Times New Roman" w:eastAsia="Times New Roman" w:hAnsi="Times New Roman" w:cs="Times New Roman"/>
          <w:b/>
          <w:sz w:val="24"/>
          <w:szCs w:val="24"/>
        </w:rPr>
        <w:t>Figure 4.1:</w:t>
      </w:r>
      <w:r w:rsidRPr="006B6AD2">
        <w:rPr>
          <w:rFonts w:ascii="Times New Roman" w:eastAsia="Times New Roman" w:hAnsi="Times New Roman" w:cs="Times New Roman"/>
          <w:sz w:val="24"/>
          <w:szCs w:val="24"/>
        </w:rPr>
        <w:t xml:space="preserve"> Trend of ROA across Firms (2012-2024)</w:t>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r>
      <w:r w:rsidRPr="006B6AD2">
        <w:rPr>
          <w:rFonts w:ascii="Times New Roman" w:eastAsia="Times New Roman" w:hAnsi="Times New Roman" w:cs="Times New Roman"/>
          <w:sz w:val="24"/>
          <w:szCs w:val="24"/>
        </w:rPr>
        <w:tab/>
        <w:t>67</w:t>
      </w:r>
    </w:p>
    <w:p w:rsidR="006B6AD2" w:rsidRPr="006B6AD2" w:rsidRDefault="006B6AD2" w:rsidP="006B6AD2">
      <w:pPr>
        <w:pStyle w:val="Heading3"/>
        <w:spacing w:before="0" w:line="360" w:lineRule="auto"/>
        <w:jc w:val="both"/>
        <w:rPr>
          <w:rFonts w:ascii="Times New Roman" w:hAnsi="Times New Roman" w:cs="Times New Roman"/>
          <w:b/>
          <w:color w:val="auto"/>
          <w:sz w:val="24"/>
          <w:szCs w:val="24"/>
        </w:rPr>
      </w:pPr>
      <w:r w:rsidRPr="006B6AD2">
        <w:rPr>
          <w:rFonts w:ascii="Times New Roman" w:eastAsia="Times New Roman" w:hAnsi="Times New Roman" w:cs="Times New Roman"/>
          <w:color w:val="auto"/>
          <w:sz w:val="24"/>
          <w:szCs w:val="24"/>
        </w:rPr>
        <w:t xml:space="preserve">Figure 4.2: Normality Test of </w:t>
      </w:r>
      <w:proofErr w:type="spellStart"/>
      <w:r w:rsidRPr="006B6AD2">
        <w:rPr>
          <w:rFonts w:ascii="Times New Roman" w:eastAsia="Times New Roman" w:hAnsi="Times New Roman" w:cs="Times New Roman"/>
          <w:color w:val="auto"/>
          <w:sz w:val="24"/>
          <w:szCs w:val="24"/>
        </w:rPr>
        <w:t>Standardised</w:t>
      </w:r>
      <w:proofErr w:type="spellEnd"/>
      <w:r w:rsidRPr="006B6AD2">
        <w:rPr>
          <w:rFonts w:ascii="Times New Roman" w:eastAsia="Times New Roman" w:hAnsi="Times New Roman" w:cs="Times New Roman"/>
          <w:color w:val="auto"/>
          <w:sz w:val="24"/>
          <w:szCs w:val="24"/>
        </w:rPr>
        <w:t xml:space="preserve"> Residuals (</w:t>
      </w:r>
      <w:proofErr w:type="spellStart"/>
      <w:r w:rsidRPr="006B6AD2">
        <w:rPr>
          <w:rFonts w:ascii="Times New Roman" w:eastAsia="Times New Roman" w:hAnsi="Times New Roman" w:cs="Times New Roman"/>
          <w:color w:val="auto"/>
          <w:sz w:val="24"/>
          <w:szCs w:val="24"/>
        </w:rPr>
        <w:t>Jarque-Bera</w:t>
      </w:r>
      <w:proofErr w:type="spellEnd"/>
      <w:r w:rsidRPr="006B6AD2">
        <w:rPr>
          <w:rFonts w:ascii="Times New Roman" w:eastAsia="Times New Roman" w:hAnsi="Times New Roman" w:cs="Times New Roman"/>
          <w:color w:val="auto"/>
          <w:sz w:val="24"/>
          <w:szCs w:val="24"/>
        </w:rPr>
        <w:t xml:space="preserve"> Test)</w:t>
      </w:r>
      <w:r w:rsidRPr="006B6AD2">
        <w:rPr>
          <w:rFonts w:ascii="Times New Roman" w:eastAsia="Times New Roman" w:hAnsi="Times New Roman" w:cs="Times New Roman"/>
          <w:color w:val="auto"/>
          <w:sz w:val="24"/>
          <w:szCs w:val="24"/>
        </w:rPr>
        <w:tab/>
      </w:r>
      <w:r w:rsidRPr="006B6AD2">
        <w:rPr>
          <w:rFonts w:ascii="Times New Roman" w:eastAsia="Times New Roman" w:hAnsi="Times New Roman" w:cs="Times New Roman"/>
          <w:color w:val="auto"/>
          <w:sz w:val="24"/>
          <w:szCs w:val="24"/>
        </w:rPr>
        <w:tab/>
      </w:r>
      <w:r w:rsidRPr="006B6AD2">
        <w:rPr>
          <w:rFonts w:ascii="Times New Roman" w:eastAsia="Times New Roman" w:hAnsi="Times New Roman" w:cs="Times New Roman"/>
          <w:color w:val="auto"/>
          <w:sz w:val="24"/>
          <w:szCs w:val="24"/>
        </w:rPr>
        <w:tab/>
        <w:t>75</w:t>
      </w:r>
    </w:p>
    <w:p w:rsidR="006B6AD2" w:rsidRDefault="006B6AD2" w:rsidP="008C355C">
      <w:pPr>
        <w:pStyle w:val="Heading1"/>
        <w:spacing w:before="0" w:after="0" w:line="480" w:lineRule="auto"/>
        <w:jc w:val="center"/>
        <w:rPr>
          <w:rFonts w:ascii="Times New Roman" w:eastAsia="Times New Roman" w:hAnsi="Times New Roman" w:cs="Times New Roman"/>
          <w:b/>
          <w:sz w:val="24"/>
          <w:szCs w:val="24"/>
        </w:rPr>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Default="006B6AD2" w:rsidP="006B6AD2">
      <w:pPr>
        <w:pStyle w:val="Normal1"/>
      </w:pPr>
    </w:p>
    <w:p w:rsidR="006B6AD2" w:rsidRPr="006B6AD2" w:rsidRDefault="006B6AD2" w:rsidP="006B6AD2">
      <w:pPr>
        <w:pStyle w:val="Normal1"/>
      </w:pPr>
    </w:p>
    <w:p w:rsidR="008C355C" w:rsidRDefault="008C355C" w:rsidP="008C355C">
      <w:pPr>
        <w:pStyle w:val="Heading1"/>
        <w:spacing w:before="0"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rsidR="008C355C" w:rsidRPr="00710622" w:rsidRDefault="008C355C" w:rsidP="008C355C">
      <w:pPr>
        <w:spacing w:line="240" w:lineRule="auto"/>
        <w:jc w:val="both"/>
        <w:rPr>
          <w:rFonts w:ascii="Times New Roman" w:eastAsia="Times New Roman" w:hAnsi="Times New Roman" w:cs="Times New Roman"/>
          <w:i/>
          <w:sz w:val="24"/>
          <w:szCs w:val="24"/>
        </w:rPr>
      </w:pPr>
      <w:r w:rsidRPr="00710622">
        <w:rPr>
          <w:rFonts w:ascii="Times New Roman" w:eastAsia="Times New Roman" w:hAnsi="Times New Roman" w:cs="Times New Roman"/>
          <w:i/>
          <w:sz w:val="24"/>
          <w:szCs w:val="24"/>
        </w:rPr>
        <w:t xml:space="preserve">This study investigates the effect of corporate governance on the financial performance of listed consumer goods firms in Nigeria. The main objective was to evaluate how governance mechanisms impact firm performance, while the specific objectives were to examine the effects of board size, board independence, board gender diversity, and board diligence on profitability. The study used secondary data from financial reports of four consumer goods firms listed on the Nigerian Stock Exchange, covering the years 2012 to 2024. The dependent variable was return on assets (ROA), while the independent variables were board size, board independence, board gender diversity, and board diligence. The study focused on four firms across thirteen years. It adopted an ex post facto research design. Panel regression techniques were used, including pooled OLS and fixed effects models, with redundant fixed effects testing applied for model selection. The findings showed that board independence had a positive and significant effect on profitability. Board gender diversity had a negative and marginally significant effect. Board size and board diligence had negative but non-significant effects. The study concluded that board independence is the most critical governance mechanism for enhancing financial performance in Nigeria's consumer goods sector. It is recommended that firms </w:t>
      </w:r>
      <w:proofErr w:type="spellStart"/>
      <w:r w:rsidRPr="00710622">
        <w:rPr>
          <w:rFonts w:ascii="Times New Roman" w:eastAsia="Times New Roman" w:hAnsi="Times New Roman" w:cs="Times New Roman"/>
          <w:i/>
          <w:sz w:val="24"/>
          <w:szCs w:val="24"/>
        </w:rPr>
        <w:t>prioritise</w:t>
      </w:r>
      <w:proofErr w:type="spellEnd"/>
      <w:r w:rsidRPr="00710622">
        <w:rPr>
          <w:rFonts w:ascii="Times New Roman" w:eastAsia="Times New Roman" w:hAnsi="Times New Roman" w:cs="Times New Roman"/>
          <w:i/>
          <w:sz w:val="24"/>
          <w:szCs w:val="24"/>
        </w:rPr>
        <w:t xml:space="preserve"> board independence while implementing more nuanced approaches to gender diversity that address structural and cultural barriers to effective participation.</w:t>
      </w:r>
    </w:p>
    <w:p w:rsidR="008C355C" w:rsidRPr="00710622" w:rsidRDefault="008C355C" w:rsidP="008C355C">
      <w:pPr>
        <w:spacing w:line="240" w:lineRule="auto"/>
        <w:jc w:val="both"/>
        <w:rPr>
          <w:rFonts w:ascii="Times New Roman" w:eastAsia="Times New Roman" w:hAnsi="Times New Roman" w:cs="Times New Roman"/>
          <w:i/>
          <w:sz w:val="24"/>
          <w:szCs w:val="24"/>
        </w:rPr>
      </w:pPr>
    </w:p>
    <w:p w:rsidR="008C355C" w:rsidRPr="00710622" w:rsidRDefault="008C355C" w:rsidP="008C355C">
      <w:pPr>
        <w:spacing w:line="240" w:lineRule="auto"/>
        <w:jc w:val="both"/>
        <w:rPr>
          <w:i/>
        </w:rPr>
      </w:pPr>
      <w:r w:rsidRPr="00710622">
        <w:rPr>
          <w:rFonts w:ascii="Times New Roman" w:eastAsia="Times New Roman" w:hAnsi="Times New Roman" w:cs="Times New Roman"/>
          <w:b/>
          <w:i/>
          <w:sz w:val="24"/>
          <w:szCs w:val="24"/>
        </w:rPr>
        <w:t>Keywords:</w:t>
      </w:r>
      <w:r w:rsidRPr="00710622">
        <w:rPr>
          <w:rFonts w:ascii="Times New Roman" w:eastAsia="Times New Roman" w:hAnsi="Times New Roman" w:cs="Times New Roman"/>
          <w:i/>
          <w:sz w:val="24"/>
          <w:szCs w:val="24"/>
        </w:rPr>
        <w:t xml:space="preserve"> Corporate governance, financial performance, board size, board independence, board gender diversity, board diligence, consumer goods firms, Nigeria, panel regression, ROA.</w:t>
      </w:r>
    </w:p>
    <w:p w:rsidR="008C355C" w:rsidRDefault="008C355C">
      <w:pPr>
        <w:pStyle w:val="Heading1"/>
        <w:keepNext w:val="0"/>
        <w:keepLines w:val="0"/>
        <w:spacing w:before="0" w:after="0" w:line="480" w:lineRule="auto"/>
        <w:jc w:val="center"/>
        <w:rPr>
          <w:rFonts w:ascii="Times New Roman" w:eastAsia="Times New Roman" w:hAnsi="Times New Roman" w:cs="Times New Roman"/>
          <w:b/>
          <w:sz w:val="24"/>
          <w:szCs w:val="24"/>
        </w:rPr>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Default="008C355C" w:rsidP="008C355C">
      <w:pPr>
        <w:pStyle w:val="Normal1"/>
      </w:pPr>
    </w:p>
    <w:p w:rsidR="008C355C" w:rsidRPr="008C355C" w:rsidRDefault="008C355C" w:rsidP="008C355C">
      <w:pPr>
        <w:pStyle w:val="Normal1"/>
      </w:pPr>
    </w:p>
    <w:p w:rsidR="003B5071" w:rsidRDefault="00615BF0">
      <w:pPr>
        <w:pStyle w:val="Heading1"/>
        <w:keepNext w:val="0"/>
        <w:keepLines w:val="0"/>
        <w:spacing w:before="0"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CHAPTER ONE</w:t>
      </w:r>
    </w:p>
    <w:p w:rsidR="003B5071" w:rsidRDefault="00615BF0">
      <w:pPr>
        <w:pStyle w:val="Heading2"/>
        <w:keepNext w:val="0"/>
        <w:keepLines w:val="0"/>
        <w:spacing w:before="0" w:after="0" w:line="480" w:lineRule="auto"/>
        <w:jc w:val="center"/>
        <w:rPr>
          <w:rFonts w:ascii="Times New Roman" w:eastAsia="Times New Roman" w:hAnsi="Times New Roman" w:cs="Times New Roman"/>
          <w:b/>
          <w:sz w:val="24"/>
          <w:szCs w:val="24"/>
        </w:rPr>
      </w:pPr>
      <w:bookmarkStart w:id="3" w:name="_292r5poa0cak" w:colFirst="0" w:colLast="0"/>
      <w:bookmarkEnd w:id="3"/>
      <w:r>
        <w:rPr>
          <w:rFonts w:ascii="Times New Roman" w:eastAsia="Times New Roman" w:hAnsi="Times New Roman" w:cs="Times New Roman"/>
          <w:b/>
          <w:sz w:val="24"/>
          <w:szCs w:val="24"/>
        </w:rPr>
        <w:t>INTRODUCTION</w:t>
      </w: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4" w:name="_t9y7z8dwy9sy" w:colFirst="0" w:colLast="0"/>
      <w:bookmarkEnd w:id="4"/>
      <w:r>
        <w:rPr>
          <w:rFonts w:ascii="Times New Roman" w:eastAsia="Times New Roman" w:hAnsi="Times New Roman" w:cs="Times New Roman"/>
          <w:b/>
          <w:color w:val="000000"/>
          <w:sz w:val="24"/>
          <w:szCs w:val="24"/>
        </w:rPr>
        <w:t>1.1 Background to the Study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rising value of corporate governance across countries is plain. In many nations, both business leaders and stakeholders now watch closely how firms are run and guided. Strong governance is no longer seen as optional but as a basic tool that helps companies stay focused, earn investor belief, and support national financial growth (Bui &amp; </w:t>
      </w:r>
      <w:proofErr w:type="spellStart"/>
      <w:r>
        <w:rPr>
          <w:rFonts w:ascii="Times New Roman" w:eastAsia="Times New Roman" w:hAnsi="Times New Roman" w:cs="Times New Roman"/>
          <w:sz w:val="24"/>
          <w:szCs w:val="24"/>
        </w:rPr>
        <w:t>Kravaszak</w:t>
      </w:r>
      <w:proofErr w:type="spellEnd"/>
      <w:r>
        <w:rPr>
          <w:rFonts w:ascii="Times New Roman" w:eastAsia="Times New Roman" w:hAnsi="Times New Roman" w:cs="Times New Roman"/>
          <w:sz w:val="24"/>
          <w:szCs w:val="24"/>
        </w:rPr>
        <w:t>, 2023). When applied well, governance keeps leadership honest, limits shady decisions, and helps guide future moves. Universal standards like the OECD governance rules teach firms how to shape boards, share information clearly, and stay answerable to owners and the wider public (</w:t>
      </w:r>
      <w:proofErr w:type="spellStart"/>
      <w:r>
        <w:rPr>
          <w:rFonts w:ascii="Times New Roman" w:eastAsia="Times New Roman" w:hAnsi="Times New Roman" w:cs="Times New Roman"/>
          <w:sz w:val="24"/>
          <w:szCs w:val="24"/>
        </w:rPr>
        <w:t>Aifes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Jarboui</w:t>
      </w:r>
      <w:proofErr w:type="spellEnd"/>
      <w:r>
        <w:rPr>
          <w:rFonts w:ascii="Times New Roman" w:eastAsia="Times New Roman" w:hAnsi="Times New Roman" w:cs="Times New Roman"/>
          <w:sz w:val="24"/>
          <w:szCs w:val="24"/>
        </w:rPr>
        <w:t xml:space="preserve">, 2023). These standards are not just rules but calls to connect manager actions with what investors want. They stop unchecked choices and reduce harm to the company’s goals. When good systems are in place, the risk to business drops, more people want to invest, and company worth along with earnings rise slowly but surely (Farooq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2022). Armstrong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(2015) and </w:t>
      </w:r>
      <w:proofErr w:type="spellStart"/>
      <w:r>
        <w:rPr>
          <w:rFonts w:ascii="Times New Roman" w:eastAsia="Times New Roman" w:hAnsi="Times New Roman" w:cs="Times New Roman"/>
          <w:sz w:val="24"/>
          <w:szCs w:val="24"/>
        </w:rPr>
        <w:t>Seidman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Stomberg</w:t>
      </w:r>
      <w:proofErr w:type="spellEnd"/>
      <w:r>
        <w:rPr>
          <w:rFonts w:ascii="Times New Roman" w:eastAsia="Times New Roman" w:hAnsi="Times New Roman" w:cs="Times New Roman"/>
          <w:sz w:val="24"/>
          <w:szCs w:val="24"/>
        </w:rPr>
        <w:t xml:space="preserve"> (2017) stress that “a firm’s reaction to pressure depends largely on how good its governance is,” meaning proper control is the backbone of corporate response to stress.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Inside Nigeria, the ways firms are governed have changed greatly. The major shift came as part of the country’s push for greater order, fairness, and open practices in business (</w:t>
      </w:r>
      <w:proofErr w:type="spellStart"/>
      <w:r>
        <w:rPr>
          <w:rFonts w:ascii="Times New Roman" w:eastAsia="Times New Roman" w:hAnsi="Times New Roman" w:cs="Times New Roman"/>
          <w:sz w:val="24"/>
          <w:szCs w:val="24"/>
        </w:rPr>
        <w:t>Usikhia</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2023). Over time, more people saw the need to stop company heads from acting mainly in their own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 One of the biggest moves came with the Nigerian Code of Corporate Governance from the Securities and Exchange Commission. This code gives local firms a clear guide on how to build their boards, handle data, and assign leadership tasks (</w:t>
      </w:r>
      <w:proofErr w:type="spellStart"/>
      <w:r>
        <w:rPr>
          <w:rFonts w:ascii="Times New Roman" w:eastAsia="Times New Roman" w:hAnsi="Times New Roman" w:cs="Times New Roman"/>
          <w:sz w:val="24"/>
          <w:szCs w:val="24"/>
        </w:rPr>
        <w:t>Ogunsuyi</w:t>
      </w:r>
      <w:proofErr w:type="spellEnd"/>
      <w:r>
        <w:rPr>
          <w:rFonts w:ascii="Times New Roman" w:eastAsia="Times New Roman" w:hAnsi="Times New Roman" w:cs="Times New Roman"/>
          <w:sz w:val="24"/>
          <w:szCs w:val="24"/>
        </w:rPr>
        <w:t xml:space="preserve">, 2022). After that, the Financial Reporting Council of Nigeria (FRC) plays a follow-up role by pressing firms to meet those rules </w:t>
      </w: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Appah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xml:space="preserve">, 2023). Still, problems continue. Not all firms apply the rules the same way, and some avoid them fully. Also, some watchdog groups do not apply pressure equally. </w:t>
      </w:r>
      <w:proofErr w:type="spellStart"/>
      <w:r>
        <w:rPr>
          <w:rFonts w:ascii="Times New Roman" w:eastAsia="Times New Roman" w:hAnsi="Times New Roman" w:cs="Times New Roman"/>
          <w:sz w:val="24"/>
          <w:szCs w:val="24"/>
        </w:rPr>
        <w:t>Ochego</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(2019) say even with rules, “their effect on firm value varies,” showing the gap between paper rules and real impact. </w:t>
      </w:r>
      <w:proofErr w:type="spellStart"/>
      <w:r>
        <w:rPr>
          <w:rFonts w:ascii="Times New Roman" w:eastAsia="Times New Roman" w:hAnsi="Times New Roman" w:cs="Times New Roman"/>
          <w:sz w:val="24"/>
          <w:szCs w:val="24"/>
        </w:rPr>
        <w:t>Urhoghide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Omolaiye</w:t>
      </w:r>
      <w:proofErr w:type="spellEnd"/>
      <w:r>
        <w:rPr>
          <w:rFonts w:ascii="Times New Roman" w:eastAsia="Times New Roman" w:hAnsi="Times New Roman" w:cs="Times New Roman"/>
          <w:sz w:val="24"/>
          <w:szCs w:val="24"/>
        </w:rPr>
        <w:t xml:space="preserve"> (2017) add that the board’s value often rests on “who sits on the board and outside conditions,” pointing to how personal roles and local issues can affect good governance.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Firm results in Nigeria do not stand alone. What they achieve is tied to large financial waves in the country, how the firm’s own field works, and what is unique inside each business (</w:t>
      </w:r>
      <w:proofErr w:type="spellStart"/>
      <w:r>
        <w:rPr>
          <w:rFonts w:ascii="Times New Roman" w:eastAsia="Times New Roman" w:hAnsi="Times New Roman" w:cs="Times New Roman"/>
          <w:sz w:val="24"/>
          <w:szCs w:val="24"/>
        </w:rPr>
        <w:t>Sani</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 To test how firms are doing, many use things like return on equity (ROE), return on assets (ROA), and net profit levels (</w:t>
      </w:r>
      <w:proofErr w:type="spellStart"/>
      <w:r>
        <w:rPr>
          <w:rFonts w:ascii="Times New Roman" w:eastAsia="Times New Roman" w:hAnsi="Times New Roman" w:cs="Times New Roman"/>
          <w:sz w:val="24"/>
          <w:szCs w:val="24"/>
        </w:rPr>
        <w:t>Adigwe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2016). But how firms apply these tools varies a lot. One may look good on ROA, another on ROE. Some firms apply the same measure in odd ways. That makes it tough to compare or judge properly. Akbar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(2019) point out that “results change based on how and what we measure,” showing the danger of unclear tools. </w:t>
      </w:r>
      <w:proofErr w:type="spellStart"/>
      <w:r>
        <w:rPr>
          <w:rFonts w:ascii="Times New Roman" w:eastAsia="Times New Roman" w:hAnsi="Times New Roman" w:cs="Times New Roman"/>
          <w:sz w:val="24"/>
          <w:szCs w:val="24"/>
        </w:rPr>
        <w:t>Paniagua</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(2018) warn that unless we look closely at how governance shapes ROA or how ownership is spread, we miss the full picture. We may then make wrong calls about why some firms win and others lose.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Good governance has a shape. It is not just a nice word but a system made to watch over top actions. This setup makes sure firm heads follow goals and stay true to the interests of owners (</w:t>
      </w:r>
      <w:proofErr w:type="spellStart"/>
      <w:r>
        <w:rPr>
          <w:rFonts w:ascii="Times New Roman" w:eastAsia="Times New Roman" w:hAnsi="Times New Roman" w:cs="Times New Roman"/>
          <w:sz w:val="24"/>
          <w:szCs w:val="24"/>
        </w:rPr>
        <w:t>Mandal</w:t>
      </w:r>
      <w:proofErr w:type="spellEnd"/>
      <w:r>
        <w:rPr>
          <w:rFonts w:ascii="Times New Roman" w:eastAsia="Times New Roman" w:hAnsi="Times New Roman" w:cs="Times New Roman"/>
          <w:sz w:val="24"/>
          <w:szCs w:val="24"/>
        </w:rPr>
        <w:t xml:space="preserve"> &amp; Al-Khaled, 2018). The structure of the board, the kind of people chosen, who leads the board, and whether the CEO also acts as chair all make a big difference (</w:t>
      </w:r>
      <w:proofErr w:type="spellStart"/>
      <w:r>
        <w:rPr>
          <w:rFonts w:ascii="Times New Roman" w:eastAsia="Times New Roman" w:hAnsi="Times New Roman" w:cs="Times New Roman"/>
          <w:sz w:val="24"/>
          <w:szCs w:val="24"/>
        </w:rPr>
        <w:t>Anyaehie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2017). Agency theory says more outside members means firmer control and fewer self-serving choices. Stakeholder theory adds that many voices matter, not just investors. </w:t>
      </w:r>
      <w:proofErr w:type="spellStart"/>
      <w:r>
        <w:rPr>
          <w:rFonts w:ascii="Times New Roman" w:eastAsia="Times New Roman" w:hAnsi="Times New Roman" w:cs="Times New Roman"/>
          <w:sz w:val="24"/>
          <w:szCs w:val="24"/>
        </w:rPr>
        <w:t>Appah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xml:space="preserve"> (2023) write that “while board size barely moves ROE, how it's made and how often it meets matters more.” This means who is on the board and what they do counts more than just their number. </w:t>
      </w:r>
      <w:proofErr w:type="spellStart"/>
      <w:r>
        <w:rPr>
          <w:rFonts w:ascii="Times New Roman" w:eastAsia="Times New Roman" w:hAnsi="Times New Roman" w:cs="Times New Roman"/>
          <w:sz w:val="24"/>
          <w:szCs w:val="24"/>
        </w:rPr>
        <w:t>Ndum</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lastRenderedPageBreak/>
        <w:t>Oranefo</w:t>
      </w:r>
      <w:proofErr w:type="spellEnd"/>
      <w:r>
        <w:rPr>
          <w:rFonts w:ascii="Times New Roman" w:eastAsia="Times New Roman" w:hAnsi="Times New Roman" w:cs="Times New Roman"/>
          <w:sz w:val="24"/>
          <w:szCs w:val="24"/>
        </w:rPr>
        <w:t xml:space="preserve"> (2021) say that what works in one firm may fail in another. Different firms face different issues, so governance must fit each firm’s size, path, and style. No one model will work for all firms every time.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Nigeria, firms that sell everyday goods matter a lot. These are the companies behind many things people use daily, from soap to food. They help the country’s economy grow, give people jobs, and raise the gross domestic product (</w:t>
      </w:r>
      <w:proofErr w:type="spellStart"/>
      <w:r>
        <w:rPr>
          <w:rFonts w:ascii="Times New Roman" w:eastAsia="Times New Roman" w:hAnsi="Times New Roman" w:cs="Times New Roman"/>
          <w:sz w:val="24"/>
          <w:szCs w:val="24"/>
        </w:rPr>
        <w:t>Ogunsuyi</w:t>
      </w:r>
      <w:proofErr w:type="spellEnd"/>
      <w:r>
        <w:rPr>
          <w:rFonts w:ascii="Times New Roman" w:eastAsia="Times New Roman" w:hAnsi="Times New Roman" w:cs="Times New Roman"/>
          <w:sz w:val="24"/>
          <w:szCs w:val="24"/>
        </w:rPr>
        <w:t>, 2022). But even with this big role, many of these firms face real trouble. Their boards often lack true independence. Their reports may be unclear. Their governance systems often have big holes (</w:t>
      </w:r>
      <w:proofErr w:type="spellStart"/>
      <w:r>
        <w:rPr>
          <w:rFonts w:ascii="Times New Roman" w:eastAsia="Times New Roman" w:hAnsi="Times New Roman" w:cs="Times New Roman"/>
          <w:sz w:val="24"/>
          <w:szCs w:val="24"/>
        </w:rPr>
        <w:t>Appah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2023). These issues cut performance, reduce public trust, and make firms harder to run well. When investors do not trust a firm, they take their money out, which causes drops in value and returns. The sector itself is lively and packed with rivals. Consumer needs change fast. To keep up, these firms need solid rules and leadership that works. With how much they matter and how many gaps remain, this research takes a close look at listed consumer goods firms to see how board habits and rules affect their ability to make profits and stay stable.</w:t>
      </w: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5" w:name="_7x8uarkxonrm" w:colFirst="0" w:colLast="0"/>
      <w:bookmarkEnd w:id="5"/>
      <w:r>
        <w:rPr>
          <w:rFonts w:ascii="Times New Roman" w:eastAsia="Times New Roman" w:hAnsi="Times New Roman" w:cs="Times New Roman"/>
          <w:b/>
          <w:color w:val="000000"/>
          <w:sz w:val="24"/>
          <w:szCs w:val="24"/>
        </w:rPr>
        <w:t>1.2 Statement of the Problem</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Weak corporate governance practices coupled with financial underperformance are persistent concerns for listed companies in Nigeria. Numerous firms still find it hard to build boards that act freely from management or allow shareholders to take part meaningfully in key decisions. As Ali and Shadrach (2023) state, the lack of board independence and shallow shareholder engagement has caused serious financial troubles in many cases. According to Bui and </w:t>
      </w:r>
      <w:proofErr w:type="spellStart"/>
      <w:r>
        <w:rPr>
          <w:rFonts w:ascii="Times New Roman" w:eastAsia="Times New Roman" w:hAnsi="Times New Roman" w:cs="Times New Roman"/>
          <w:sz w:val="24"/>
          <w:szCs w:val="24"/>
        </w:rPr>
        <w:t>Kravaszak</w:t>
      </w:r>
      <w:proofErr w:type="spellEnd"/>
      <w:r>
        <w:rPr>
          <w:rFonts w:ascii="Times New Roman" w:eastAsia="Times New Roman" w:hAnsi="Times New Roman" w:cs="Times New Roman"/>
          <w:sz w:val="24"/>
          <w:szCs w:val="24"/>
        </w:rPr>
        <w:t xml:space="preserve"> (2023) and </w:t>
      </w:r>
      <w:proofErr w:type="spellStart"/>
      <w:r>
        <w:rPr>
          <w:rFonts w:ascii="Times New Roman" w:eastAsia="Times New Roman" w:hAnsi="Times New Roman" w:cs="Times New Roman"/>
          <w:sz w:val="24"/>
          <w:szCs w:val="24"/>
        </w:rPr>
        <w:t>Aifes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Jarboui</w:t>
      </w:r>
      <w:proofErr w:type="spellEnd"/>
      <w:r>
        <w:rPr>
          <w:rFonts w:ascii="Times New Roman" w:eastAsia="Times New Roman" w:hAnsi="Times New Roman" w:cs="Times New Roman"/>
          <w:sz w:val="24"/>
          <w:szCs w:val="24"/>
        </w:rPr>
        <w:t xml:space="preserve"> (2023), companies with weak independence on their boards generally record thinner profit margins than those that follow stronger governance systems. Ownership patterns make things more complicated. </w:t>
      </w:r>
      <w:proofErr w:type="spellStart"/>
      <w:r>
        <w:rPr>
          <w:rFonts w:ascii="Times New Roman" w:eastAsia="Times New Roman" w:hAnsi="Times New Roman" w:cs="Times New Roman"/>
          <w:sz w:val="24"/>
          <w:szCs w:val="24"/>
        </w:rPr>
        <w:t>Omorokunwa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Idubor</w:t>
      </w:r>
      <w:proofErr w:type="spellEnd"/>
      <w:r>
        <w:rPr>
          <w:rFonts w:ascii="Times New Roman" w:eastAsia="Times New Roman" w:hAnsi="Times New Roman" w:cs="Times New Roman"/>
          <w:sz w:val="24"/>
          <w:szCs w:val="24"/>
        </w:rPr>
        <w:t xml:space="preserve"> (2023) confirm that when ownership is </w:t>
      </w:r>
      <w:r>
        <w:rPr>
          <w:rFonts w:ascii="Times New Roman" w:eastAsia="Times New Roman" w:hAnsi="Times New Roman" w:cs="Times New Roman"/>
          <w:sz w:val="24"/>
          <w:szCs w:val="24"/>
        </w:rPr>
        <w:lastRenderedPageBreak/>
        <w:t xml:space="preserve">packed into the hands of a few, tension grows, leading to power struggles and loss of control. Despite policy changes, weak performance still spreads. </w:t>
      </w:r>
      <w:proofErr w:type="spellStart"/>
      <w:r>
        <w:rPr>
          <w:rFonts w:ascii="Times New Roman" w:eastAsia="Times New Roman" w:hAnsi="Times New Roman" w:cs="Times New Roman"/>
          <w:sz w:val="24"/>
          <w:szCs w:val="24"/>
        </w:rPr>
        <w:t>Vintial</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Radu</w:t>
      </w:r>
      <w:proofErr w:type="spellEnd"/>
      <w:r>
        <w:rPr>
          <w:rFonts w:ascii="Times New Roman" w:eastAsia="Times New Roman" w:hAnsi="Times New Roman" w:cs="Times New Roman"/>
          <w:sz w:val="24"/>
          <w:szCs w:val="24"/>
        </w:rPr>
        <w:t xml:space="preserve"> (2023) explain that companies with faulty governance drop by around 12 percent in return on equity each year. In contrast, firms that use solid codes steadily grow, which shows the gap between both groups keeps widening.</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Concentrated ownership structures often lead to suboptimal decision-making, hindering a company's ability to adapt to changing market conditions and achieve long-term financial objectives (</w:t>
      </w:r>
      <w:proofErr w:type="spellStart"/>
      <w:r>
        <w:rPr>
          <w:rFonts w:ascii="Times New Roman" w:eastAsia="Times New Roman" w:hAnsi="Times New Roman" w:cs="Times New Roman"/>
          <w:sz w:val="24"/>
          <w:szCs w:val="24"/>
        </w:rPr>
        <w:t>Kufo</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Shtembari</w:t>
      </w:r>
      <w:proofErr w:type="spellEnd"/>
      <w:r>
        <w:rPr>
          <w:rFonts w:ascii="Times New Roman" w:eastAsia="Times New Roman" w:hAnsi="Times New Roman" w:cs="Times New Roman"/>
          <w:sz w:val="24"/>
          <w:szCs w:val="24"/>
        </w:rPr>
        <w:t xml:space="preserve">, 2023). Regulators like the Securities and Exchange Commission have made efforts to loosen tight ownership blocks, but progress has been slow. Many businesses still remain under the influence of a few dominant shareholders. </w:t>
      </w:r>
      <w:proofErr w:type="spellStart"/>
      <w:r>
        <w:rPr>
          <w:rFonts w:ascii="Times New Roman" w:eastAsia="Times New Roman" w:hAnsi="Times New Roman" w:cs="Times New Roman"/>
          <w:sz w:val="24"/>
          <w:szCs w:val="24"/>
        </w:rPr>
        <w:t>Omorokunwa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Idubor</w:t>
      </w:r>
      <w:proofErr w:type="spellEnd"/>
      <w:r>
        <w:rPr>
          <w:rFonts w:ascii="Times New Roman" w:eastAsia="Times New Roman" w:hAnsi="Times New Roman" w:cs="Times New Roman"/>
          <w:sz w:val="24"/>
          <w:szCs w:val="24"/>
        </w:rPr>
        <w:t xml:space="preserve"> (2023) observed that even with new rules, companies stuck in these patterns show no meaningful shift in how they operate. </w:t>
      </w:r>
      <w:proofErr w:type="spellStart"/>
      <w:r>
        <w:rPr>
          <w:rFonts w:ascii="Times New Roman" w:eastAsia="Times New Roman" w:hAnsi="Times New Roman" w:cs="Times New Roman"/>
          <w:sz w:val="24"/>
          <w:szCs w:val="24"/>
        </w:rPr>
        <w:t>Kufo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Shtembari</w:t>
      </w:r>
      <w:proofErr w:type="spellEnd"/>
      <w:r>
        <w:rPr>
          <w:rFonts w:ascii="Times New Roman" w:eastAsia="Times New Roman" w:hAnsi="Times New Roman" w:cs="Times New Roman"/>
          <w:sz w:val="24"/>
          <w:szCs w:val="24"/>
        </w:rPr>
        <w:t xml:space="preserve"> (2023) further reveal that firms with this kind of structure may suffer up to a 15 percent profit drop when compared with others that follow broader shareholding. Earlier Nigerian studies often concentrated on governance in general or only within the banking industry. What lacks is a direct investigation of how board features, governance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and ownership design come together to influence the financial outcomes of listed consumer goods firms. This research aims to fill that space by focusing on The Effect of Corporate Governance and Financial Performance in Nigeria, especially in the consumer goods sector.</w:t>
      </w:r>
    </w:p>
    <w:p w:rsidR="00286BBE" w:rsidRDefault="00286BBE">
      <w:pPr>
        <w:pStyle w:val="Normal1"/>
        <w:spacing w:line="480" w:lineRule="auto"/>
        <w:jc w:val="both"/>
        <w:rPr>
          <w:rFonts w:ascii="Times New Roman" w:eastAsia="Times New Roman" w:hAnsi="Times New Roman" w:cs="Times New Roman"/>
          <w:sz w:val="24"/>
          <w:szCs w:val="24"/>
        </w:rPr>
      </w:pPr>
    </w:p>
    <w:p w:rsidR="00286BBE" w:rsidRDefault="00286BBE">
      <w:pPr>
        <w:pStyle w:val="Normal1"/>
        <w:spacing w:line="480" w:lineRule="auto"/>
        <w:jc w:val="both"/>
        <w:rPr>
          <w:rFonts w:ascii="Times New Roman" w:eastAsia="Times New Roman" w:hAnsi="Times New Roman" w:cs="Times New Roman"/>
          <w:sz w:val="24"/>
          <w:szCs w:val="24"/>
        </w:rPr>
      </w:pPr>
    </w:p>
    <w:p w:rsidR="00286BBE" w:rsidRDefault="00286BBE">
      <w:pPr>
        <w:pStyle w:val="Normal1"/>
        <w:spacing w:line="480" w:lineRule="auto"/>
        <w:jc w:val="both"/>
        <w:rPr>
          <w:rFonts w:ascii="Times New Roman" w:eastAsia="Times New Roman" w:hAnsi="Times New Roman" w:cs="Times New Roman"/>
          <w:sz w:val="24"/>
          <w:szCs w:val="24"/>
        </w:rPr>
      </w:pP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6" w:name="_2rc9r6cs8l0a" w:colFirst="0" w:colLast="0"/>
      <w:bookmarkEnd w:id="6"/>
      <w:r>
        <w:rPr>
          <w:rFonts w:ascii="Times New Roman" w:eastAsia="Times New Roman" w:hAnsi="Times New Roman" w:cs="Times New Roman"/>
          <w:b/>
          <w:color w:val="000000"/>
          <w:sz w:val="24"/>
          <w:szCs w:val="24"/>
        </w:rPr>
        <w:t>1.3 Objectives of the Study</w:t>
      </w:r>
    </w:p>
    <w:p w:rsidR="00E773C1" w:rsidRDefault="00615BF0" w:rsidP="00E773C1">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broad objective of this study is to investigate the effect of Corporate Governance on the financial performance of selected listed consumer goods firms in Nigeria. Specifically, the study seeks to achieve the following objective</w:t>
      </w:r>
      <w:r w:rsidR="00E773C1">
        <w:rPr>
          <w:rFonts w:ascii="Times New Roman" w:eastAsia="Times New Roman" w:hAnsi="Times New Roman" w:cs="Times New Roman"/>
          <w:sz w:val="24"/>
          <w:szCs w:val="24"/>
        </w:rPr>
        <w:t>s:</w:t>
      </w:r>
    </w:p>
    <w:p w:rsidR="003B5071" w:rsidRDefault="00615BF0" w:rsidP="00E773C1">
      <w:pPr>
        <w:pStyle w:val="Normal1"/>
        <w:numPr>
          <w:ilvl w:val="0"/>
          <w:numId w:val="7"/>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Examine the effect of board size on the return on assets (ROA) of listed consumer goods companies in Nigeria.</w:t>
      </w:r>
    </w:p>
    <w:p w:rsidR="003B5071" w:rsidRDefault="00615BF0" w:rsidP="00E773C1">
      <w:pPr>
        <w:pStyle w:val="Normal1"/>
        <w:numPr>
          <w:ilvl w:val="0"/>
          <w:numId w:val="7"/>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the effect of board independence on the return on assets (ROA) of listed consumer goods companies in Nigeria.</w:t>
      </w:r>
    </w:p>
    <w:p w:rsidR="003B5071" w:rsidRDefault="00615BF0" w:rsidP="00E773C1">
      <w:pPr>
        <w:pStyle w:val="Normal1"/>
        <w:numPr>
          <w:ilvl w:val="0"/>
          <w:numId w:val="7"/>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Investigate the influence of board gender diversity on the return on assets (ROA) of listed consumer goods companies in Nigeria.</w:t>
      </w:r>
    </w:p>
    <w:p w:rsidR="003B5071" w:rsidRDefault="00615BF0" w:rsidP="00E773C1">
      <w:pPr>
        <w:pStyle w:val="Normal1"/>
        <w:numPr>
          <w:ilvl w:val="0"/>
          <w:numId w:val="7"/>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Assess the effect of board diligence on the return on assets (ROA) of listed consumer goods companies in Nigeria.</w:t>
      </w: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7" w:name="_ezkgfkhr99c9" w:colFirst="0" w:colLast="0"/>
      <w:bookmarkEnd w:id="7"/>
      <w:r>
        <w:rPr>
          <w:rFonts w:ascii="Times New Roman" w:eastAsia="Times New Roman" w:hAnsi="Times New Roman" w:cs="Times New Roman"/>
          <w:b/>
          <w:color w:val="000000"/>
          <w:sz w:val="24"/>
          <w:szCs w:val="24"/>
        </w:rPr>
        <w:t>1.4 Research Questions</w:t>
      </w:r>
    </w:p>
    <w:p w:rsidR="003B5071" w:rsidRDefault="00615BF0">
      <w:pPr>
        <w:pStyle w:val="Normal1"/>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effect of board size on the return on assets (ROA) of listed consumer goods companies in Nigeria?</w:t>
      </w:r>
    </w:p>
    <w:p w:rsidR="003B5071" w:rsidRDefault="00615BF0">
      <w:pPr>
        <w:pStyle w:val="Normal1"/>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effect of board independence on the return on assets (ROA) of listed consumer goods companies in Nigeria?</w:t>
      </w:r>
    </w:p>
    <w:p w:rsidR="003B5071" w:rsidRDefault="00615BF0">
      <w:pPr>
        <w:pStyle w:val="Normal1"/>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does board gender diversity influence the return on assets (ROA) of listed consumer goods companies in Nigeria?</w:t>
      </w:r>
    </w:p>
    <w:p w:rsidR="003B5071" w:rsidRDefault="00615BF0">
      <w:pPr>
        <w:pStyle w:val="Normal1"/>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effect of board diligence on the return on assets (ROA) of listed consumer goods companies in Nigeria?</w:t>
      </w:r>
    </w:p>
    <w:p w:rsidR="00286BBE" w:rsidRDefault="00286BBE" w:rsidP="00286BBE">
      <w:pPr>
        <w:pStyle w:val="Normal1"/>
        <w:spacing w:line="480" w:lineRule="auto"/>
        <w:jc w:val="both"/>
        <w:rPr>
          <w:rFonts w:ascii="Times New Roman" w:eastAsia="Times New Roman" w:hAnsi="Times New Roman" w:cs="Times New Roman"/>
          <w:sz w:val="24"/>
          <w:szCs w:val="24"/>
        </w:rPr>
      </w:pPr>
    </w:p>
    <w:p w:rsidR="00286BBE" w:rsidRDefault="00286BBE" w:rsidP="00286BBE">
      <w:pPr>
        <w:pStyle w:val="Normal1"/>
        <w:spacing w:line="480" w:lineRule="auto"/>
        <w:jc w:val="both"/>
        <w:rPr>
          <w:rFonts w:ascii="Times New Roman" w:eastAsia="Times New Roman" w:hAnsi="Times New Roman" w:cs="Times New Roman"/>
          <w:sz w:val="24"/>
          <w:szCs w:val="24"/>
        </w:rPr>
      </w:pP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8" w:name="_p99bdc5o3thm" w:colFirst="0" w:colLast="0"/>
      <w:bookmarkEnd w:id="8"/>
      <w:r>
        <w:rPr>
          <w:rFonts w:ascii="Times New Roman" w:eastAsia="Times New Roman" w:hAnsi="Times New Roman" w:cs="Times New Roman"/>
          <w:b/>
          <w:color w:val="000000"/>
          <w:sz w:val="24"/>
          <w:szCs w:val="24"/>
        </w:rPr>
        <w:t>1.5 Research Hypotheses</w:t>
      </w:r>
    </w:p>
    <w:p w:rsidR="003B5071" w:rsidRDefault="00286BBE">
      <w:pPr>
        <w:pStyle w:val="Normal1"/>
        <w:numPr>
          <w:ilvl w:val="0"/>
          <w:numId w:val="3"/>
        </w:numPr>
        <w:spacing w:line="480" w:lineRule="auto"/>
        <w:jc w:val="both"/>
        <w:rPr>
          <w:sz w:val="24"/>
          <w:szCs w:val="24"/>
        </w:rPr>
      </w:pPr>
      <w:r>
        <w:rPr>
          <w:rFonts w:ascii="Times New Roman" w:eastAsia="Times New Roman" w:hAnsi="Times New Roman" w:cs="Times New Roman"/>
          <w:b/>
          <w:sz w:val="24"/>
          <w:szCs w:val="24"/>
        </w:rPr>
        <w:lastRenderedPageBreak/>
        <w:t>H</w:t>
      </w:r>
      <w:r w:rsidRPr="00286BBE">
        <w:rPr>
          <w:rFonts w:ascii="Times New Roman" w:eastAsia="Times New Roman" w:hAnsi="Times New Roman" w:cs="Times New Roman"/>
          <w:b/>
          <w:sz w:val="24"/>
          <w:szCs w:val="24"/>
          <w:vertAlign w:val="subscript"/>
        </w:rPr>
        <w:t>01</w:t>
      </w:r>
      <w:r w:rsidR="00615BF0">
        <w:rPr>
          <w:rFonts w:ascii="Times New Roman" w:eastAsia="Times New Roman" w:hAnsi="Times New Roman" w:cs="Times New Roman"/>
          <w:sz w:val="24"/>
          <w:szCs w:val="24"/>
        </w:rPr>
        <w:t xml:space="preserve">: There is no significant effect of board size on return on assets (ROA) of listed consumer goods companies in Nigeria. </w:t>
      </w:r>
      <w:r w:rsidR="00E773C1">
        <w:rPr>
          <w:rFonts w:ascii="Times New Roman" w:eastAsia="Times New Roman" w:hAnsi="Times New Roman" w:cs="Times New Roman"/>
          <w:b/>
          <w:sz w:val="24"/>
          <w:szCs w:val="24"/>
        </w:rPr>
        <w:t>H</w:t>
      </w:r>
      <w:r w:rsidR="00E773C1" w:rsidRPr="00E773C1">
        <w:rPr>
          <w:rFonts w:ascii="Times New Roman" w:eastAsia="Times New Roman" w:hAnsi="Times New Roman" w:cs="Times New Roman"/>
          <w:b/>
          <w:sz w:val="24"/>
          <w:szCs w:val="24"/>
          <w:vertAlign w:val="subscript"/>
        </w:rPr>
        <w:t>11</w:t>
      </w:r>
      <w:r w:rsidR="00615BF0">
        <w:rPr>
          <w:rFonts w:ascii="Times New Roman" w:eastAsia="Times New Roman" w:hAnsi="Times New Roman" w:cs="Times New Roman"/>
          <w:sz w:val="24"/>
          <w:szCs w:val="24"/>
        </w:rPr>
        <w:t>: There is a significant effect of board size on return on assets (ROA) of listed consumer goods companies in Nigeria.</w:t>
      </w:r>
    </w:p>
    <w:p w:rsidR="003B5071" w:rsidRDefault="00E773C1">
      <w:pPr>
        <w:pStyle w:val="Normal1"/>
        <w:numPr>
          <w:ilvl w:val="0"/>
          <w:numId w:val="3"/>
        </w:numPr>
        <w:spacing w:line="480" w:lineRule="auto"/>
        <w:jc w:val="both"/>
        <w:rPr>
          <w:sz w:val="24"/>
          <w:szCs w:val="24"/>
        </w:rPr>
      </w:pPr>
      <w:r>
        <w:rPr>
          <w:rFonts w:ascii="Times New Roman" w:eastAsia="Times New Roman" w:hAnsi="Times New Roman" w:cs="Times New Roman"/>
          <w:b/>
          <w:sz w:val="24"/>
          <w:szCs w:val="24"/>
        </w:rPr>
        <w:t>H</w:t>
      </w:r>
      <w:r w:rsidRPr="00E773C1">
        <w:rPr>
          <w:rFonts w:ascii="Times New Roman" w:eastAsia="Times New Roman" w:hAnsi="Times New Roman" w:cs="Times New Roman"/>
          <w:b/>
          <w:sz w:val="24"/>
          <w:szCs w:val="24"/>
          <w:vertAlign w:val="subscript"/>
        </w:rPr>
        <w:t>02</w:t>
      </w:r>
      <w:r w:rsidR="00615BF0">
        <w:rPr>
          <w:rFonts w:ascii="Times New Roman" w:eastAsia="Times New Roman" w:hAnsi="Times New Roman" w:cs="Times New Roman"/>
          <w:sz w:val="24"/>
          <w:szCs w:val="24"/>
        </w:rPr>
        <w:t xml:space="preserve">: There is no significant effect of board independence on the return on assets (ROA) of listed consumer goods companies in Nigeria. </w:t>
      </w:r>
      <w:r>
        <w:rPr>
          <w:rFonts w:ascii="Times New Roman" w:eastAsia="Times New Roman" w:hAnsi="Times New Roman" w:cs="Times New Roman"/>
          <w:b/>
          <w:sz w:val="24"/>
          <w:szCs w:val="24"/>
        </w:rPr>
        <w:t>H</w:t>
      </w:r>
      <w:r w:rsidRPr="00E773C1">
        <w:rPr>
          <w:rFonts w:ascii="Times New Roman" w:eastAsia="Times New Roman" w:hAnsi="Times New Roman" w:cs="Times New Roman"/>
          <w:b/>
          <w:sz w:val="24"/>
          <w:szCs w:val="24"/>
          <w:vertAlign w:val="subscript"/>
        </w:rPr>
        <w:t>12</w:t>
      </w:r>
      <w:r w:rsidR="00615BF0">
        <w:rPr>
          <w:rFonts w:ascii="Times New Roman" w:eastAsia="Times New Roman" w:hAnsi="Times New Roman" w:cs="Times New Roman"/>
          <w:sz w:val="24"/>
          <w:szCs w:val="24"/>
        </w:rPr>
        <w:t>: There is a significant effect of board independence on the return on assets (ROA) of listed consumer goods companies in Nigeria.</w:t>
      </w:r>
    </w:p>
    <w:p w:rsidR="003B5071" w:rsidRDefault="00E773C1">
      <w:pPr>
        <w:pStyle w:val="Normal1"/>
        <w:numPr>
          <w:ilvl w:val="0"/>
          <w:numId w:val="3"/>
        </w:numPr>
        <w:spacing w:line="480" w:lineRule="auto"/>
        <w:jc w:val="both"/>
        <w:rPr>
          <w:sz w:val="24"/>
          <w:szCs w:val="24"/>
        </w:rPr>
      </w:pPr>
      <w:r>
        <w:rPr>
          <w:rFonts w:ascii="Times New Roman" w:eastAsia="Times New Roman" w:hAnsi="Times New Roman" w:cs="Times New Roman"/>
          <w:b/>
          <w:sz w:val="24"/>
          <w:szCs w:val="24"/>
        </w:rPr>
        <w:t>H</w:t>
      </w:r>
      <w:r w:rsidRPr="00E773C1">
        <w:rPr>
          <w:rFonts w:ascii="Times New Roman" w:eastAsia="Times New Roman" w:hAnsi="Times New Roman" w:cs="Times New Roman"/>
          <w:b/>
          <w:sz w:val="24"/>
          <w:szCs w:val="24"/>
          <w:vertAlign w:val="subscript"/>
        </w:rPr>
        <w:t>03</w:t>
      </w:r>
      <w:r w:rsidR="00615BF0">
        <w:rPr>
          <w:rFonts w:ascii="Times New Roman" w:eastAsia="Times New Roman" w:hAnsi="Times New Roman" w:cs="Times New Roman"/>
          <w:sz w:val="24"/>
          <w:szCs w:val="24"/>
        </w:rPr>
        <w:t xml:space="preserve">: Board gender diversity does not significantly influence the return on assets (ROA) of listed consumer goods companies in Nigeria. </w:t>
      </w:r>
      <w:r>
        <w:rPr>
          <w:rFonts w:ascii="Times New Roman" w:eastAsia="Times New Roman" w:hAnsi="Times New Roman" w:cs="Times New Roman"/>
          <w:b/>
          <w:sz w:val="24"/>
          <w:szCs w:val="24"/>
        </w:rPr>
        <w:t>H</w:t>
      </w:r>
      <w:r w:rsidRPr="00E773C1">
        <w:rPr>
          <w:rFonts w:ascii="Times New Roman" w:eastAsia="Times New Roman" w:hAnsi="Times New Roman" w:cs="Times New Roman"/>
          <w:b/>
          <w:sz w:val="24"/>
          <w:szCs w:val="24"/>
          <w:vertAlign w:val="subscript"/>
        </w:rPr>
        <w:t>13</w:t>
      </w:r>
      <w:r w:rsidR="00615BF0">
        <w:rPr>
          <w:rFonts w:ascii="Times New Roman" w:eastAsia="Times New Roman" w:hAnsi="Times New Roman" w:cs="Times New Roman"/>
          <w:sz w:val="24"/>
          <w:szCs w:val="24"/>
        </w:rPr>
        <w:t>: Board gender diversity significantly influences the return on assets (ROA) of listed consumer goods companies in Nigeria.</w:t>
      </w:r>
    </w:p>
    <w:p w:rsidR="003B5071" w:rsidRDefault="00E773C1">
      <w:pPr>
        <w:pStyle w:val="Normal1"/>
        <w:numPr>
          <w:ilvl w:val="0"/>
          <w:numId w:val="3"/>
        </w:numPr>
        <w:spacing w:line="480" w:lineRule="auto"/>
        <w:jc w:val="both"/>
        <w:rPr>
          <w:sz w:val="24"/>
          <w:szCs w:val="24"/>
        </w:rPr>
      </w:pPr>
      <w:r>
        <w:rPr>
          <w:rFonts w:ascii="Times New Roman" w:eastAsia="Times New Roman" w:hAnsi="Times New Roman" w:cs="Times New Roman"/>
          <w:b/>
          <w:sz w:val="24"/>
          <w:szCs w:val="24"/>
        </w:rPr>
        <w:t>H</w:t>
      </w:r>
      <w:r w:rsidRPr="00E773C1">
        <w:rPr>
          <w:rFonts w:ascii="Times New Roman" w:eastAsia="Times New Roman" w:hAnsi="Times New Roman" w:cs="Times New Roman"/>
          <w:b/>
          <w:sz w:val="24"/>
          <w:szCs w:val="24"/>
          <w:vertAlign w:val="subscript"/>
        </w:rPr>
        <w:t>04</w:t>
      </w:r>
      <w:r w:rsidR="00615BF0">
        <w:rPr>
          <w:rFonts w:ascii="Times New Roman" w:eastAsia="Times New Roman" w:hAnsi="Times New Roman" w:cs="Times New Roman"/>
          <w:sz w:val="24"/>
          <w:szCs w:val="24"/>
        </w:rPr>
        <w:t xml:space="preserve">: Board diligence has no significant effect on the return on assets (ROA) of listed consumer goods companies in Nigeria. </w:t>
      </w:r>
      <w:r>
        <w:rPr>
          <w:rFonts w:ascii="Times New Roman" w:eastAsia="Times New Roman" w:hAnsi="Times New Roman" w:cs="Times New Roman"/>
          <w:b/>
          <w:sz w:val="24"/>
          <w:szCs w:val="24"/>
        </w:rPr>
        <w:t>H</w:t>
      </w:r>
      <w:r w:rsidRPr="00E773C1">
        <w:rPr>
          <w:rFonts w:ascii="Times New Roman" w:eastAsia="Times New Roman" w:hAnsi="Times New Roman" w:cs="Times New Roman"/>
          <w:b/>
          <w:sz w:val="24"/>
          <w:szCs w:val="24"/>
          <w:vertAlign w:val="subscript"/>
        </w:rPr>
        <w:t>14</w:t>
      </w:r>
      <w:r w:rsidR="00615BF0">
        <w:rPr>
          <w:rFonts w:ascii="Times New Roman" w:eastAsia="Times New Roman" w:hAnsi="Times New Roman" w:cs="Times New Roman"/>
          <w:sz w:val="24"/>
          <w:szCs w:val="24"/>
        </w:rPr>
        <w:t>: Board diligence has a significant effect on the return on assets (ROA) of listed consumer goods companies in Nigeria.</w:t>
      </w: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9" w:name="_dacmehisjxuo" w:colFirst="0" w:colLast="0"/>
      <w:bookmarkEnd w:id="9"/>
      <w:r>
        <w:rPr>
          <w:rFonts w:ascii="Times New Roman" w:eastAsia="Times New Roman" w:hAnsi="Times New Roman" w:cs="Times New Roman"/>
          <w:b/>
          <w:color w:val="000000"/>
          <w:sz w:val="24"/>
          <w:szCs w:val="24"/>
        </w:rPr>
        <w:t>1.6 Significance of the Study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of this study will be beneficial to various stakeholders. First, academic researchers will gather fresh theoretical and practical insight into how corporate governance works in growing economies. This will improve how agency theory and stakeholder theory are applied, opening room for further studies and helping shape teaching materials. Second, those in company leadership can rely on the results to review their board arrangements and point out what needs fixing. The knowledge gained about board setup, size, and how often they meet can guide better choices that may improve how firms perform financially. Third, investors and regulatory authorities can use the outcomes of this work to judge how well listed consumer goods firms are governed in Nigeria. This judgment can guide where to put money and help craft actions that </w:t>
      </w:r>
      <w:r>
        <w:rPr>
          <w:rFonts w:ascii="Times New Roman" w:eastAsia="Times New Roman" w:hAnsi="Times New Roman" w:cs="Times New Roman"/>
          <w:sz w:val="24"/>
          <w:szCs w:val="24"/>
        </w:rPr>
        <w:lastRenderedPageBreak/>
        <w:t>improve protection for shareholders and tighten oversight. Fourth, public policy planners may draw from the study to create or adjust national rules that build stronger corporate governance, especially in the consumer goods space and beyond. Once the governance actions that boost profits are clearly known, leaders can create focused strategies to drive growth and make firms more competitive.</w:t>
      </w: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10" w:name="_4sy6gfgiidpa" w:colFirst="0" w:colLast="0"/>
      <w:bookmarkEnd w:id="10"/>
      <w:r>
        <w:rPr>
          <w:rFonts w:ascii="Times New Roman" w:eastAsia="Times New Roman" w:hAnsi="Times New Roman" w:cs="Times New Roman"/>
          <w:b/>
          <w:color w:val="000000"/>
          <w:sz w:val="24"/>
          <w:szCs w:val="24"/>
        </w:rPr>
        <w:t>1.7 Scope of the Study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examines how board size, board independence, board gender diversity (female representation), and board diligence influence the return on assets (ROA) among listed consumer goods companies in Nigeria. The firms used in this research are Unilever Nigeria PLC, Nigerian Breweries PLC, Flour Mills Nigeria PLC, and Cadbury Nigeria PLC, with records spanning from 2012 to 2024. The choice of 2012 as the starting point is based on a key policy shift marked by the enforcement of the 2011 Code of Corporate Governance by the Securities and Exchange Commission (SEC). That period also saw greater oversight from the Financial Reporting Council of Nigeria (FRC), pushing firms to rethink board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and reporting culture. Observing this full stretch gives a broader view of how regulatory changes influenced financial outcomes and governance adjustments. Focusing on these four companies helps the study track common governance traits within the consumer goods sector. The study adopts a quantitative design using panel data regression to explore the stated variables. This method is preferred as it allows the tracking of multiple company records over time while identifying how the listed governance factors jointly affect firm performance</w:t>
      </w:r>
      <w:r w:rsidR="00E773C1">
        <w:rPr>
          <w:rFonts w:ascii="Times New Roman" w:eastAsia="Times New Roman" w:hAnsi="Times New Roman" w:cs="Times New Roman"/>
          <w:sz w:val="24"/>
          <w:szCs w:val="24"/>
        </w:rPr>
        <w:t>.</w:t>
      </w:r>
    </w:p>
    <w:p w:rsidR="00E773C1" w:rsidRDefault="00E773C1">
      <w:pPr>
        <w:pStyle w:val="Normal1"/>
        <w:spacing w:line="480" w:lineRule="auto"/>
        <w:jc w:val="both"/>
        <w:rPr>
          <w:rFonts w:ascii="Times New Roman" w:eastAsia="Times New Roman" w:hAnsi="Times New Roman" w:cs="Times New Roman"/>
          <w:sz w:val="24"/>
          <w:szCs w:val="24"/>
        </w:rPr>
      </w:pPr>
    </w:p>
    <w:p w:rsidR="00E773C1" w:rsidRDefault="00E773C1">
      <w:pPr>
        <w:pStyle w:val="Normal1"/>
        <w:spacing w:line="480" w:lineRule="auto"/>
        <w:jc w:val="both"/>
        <w:rPr>
          <w:rFonts w:ascii="Times New Roman" w:eastAsia="Times New Roman" w:hAnsi="Times New Roman" w:cs="Times New Roman"/>
          <w:sz w:val="24"/>
          <w:szCs w:val="24"/>
        </w:rPr>
      </w:pP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11" w:name="_dpo9ba43q5mn" w:colFirst="0" w:colLast="0"/>
      <w:bookmarkEnd w:id="11"/>
      <w:r>
        <w:rPr>
          <w:rFonts w:ascii="Times New Roman" w:eastAsia="Times New Roman" w:hAnsi="Times New Roman" w:cs="Times New Roman"/>
          <w:b/>
          <w:color w:val="000000"/>
          <w:sz w:val="24"/>
          <w:szCs w:val="24"/>
        </w:rPr>
        <w:t>1.8 Limitations of the Study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Several limitations were encountered during the study. Limited time made it hard to explore deeper levels of qualitative data gathering and interpretation. At first, it was not easy to get full financial records for each selected company. This challenge was handled by using several trusted sources such as official company annual reports, financial news platforms, and the Nigerian Stock Exchange database. Budget restrictions also blocked access to some paid databases. To address this, the study used freely available financial data instead. In addition, the research materials were mostly limited to what the school library could offer. This issue was reduced through wide online searches and regular discussions with academic professionals.</w:t>
      </w: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12" w:name="_w15dibc02zuc" w:colFirst="0" w:colLast="0"/>
      <w:bookmarkEnd w:id="12"/>
      <w:r>
        <w:rPr>
          <w:rFonts w:ascii="Times New Roman" w:eastAsia="Times New Roman" w:hAnsi="Times New Roman" w:cs="Times New Roman"/>
          <w:b/>
          <w:color w:val="000000"/>
          <w:sz w:val="24"/>
          <w:szCs w:val="24"/>
        </w:rPr>
        <w:t>1.9 Operational Definitions of Terms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Board Size</w:t>
      </w:r>
      <w:r>
        <w:rPr>
          <w:rFonts w:ascii="Times New Roman" w:eastAsia="Times New Roman" w:hAnsi="Times New Roman" w:cs="Times New Roman"/>
          <w:sz w:val="24"/>
          <w:szCs w:val="24"/>
        </w:rPr>
        <w:t>: The total number of directors serving on a company's board at the end of each financial year. This is operationally measured by counting all directors (executive and non-executive) listed in the company's annual report.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Board Independence</w:t>
      </w:r>
      <w:r>
        <w:rPr>
          <w:rFonts w:ascii="Times New Roman" w:eastAsia="Times New Roman" w:hAnsi="Times New Roman" w:cs="Times New Roman"/>
          <w:sz w:val="24"/>
          <w:szCs w:val="24"/>
        </w:rPr>
        <w:t>: The proportion of non-executive directors on the board relative to the total number of directors. This is operationally calculated as the number of non-executive directors divided by the total number of directors, expressed as a percentage.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Board Gender Diversity</w:t>
      </w:r>
      <w:r>
        <w:rPr>
          <w:rFonts w:ascii="Times New Roman" w:eastAsia="Times New Roman" w:hAnsi="Times New Roman" w:cs="Times New Roman"/>
          <w:sz w:val="24"/>
          <w:szCs w:val="24"/>
        </w:rPr>
        <w:t>: The proportion of female directors on the board relative to the total number of directors. This is operationally measured as the number of female directors divided by the total number of directors, expressed as a percentage.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Board Diligence</w:t>
      </w:r>
      <w:r>
        <w:rPr>
          <w:rFonts w:ascii="Times New Roman" w:eastAsia="Times New Roman" w:hAnsi="Times New Roman" w:cs="Times New Roman"/>
          <w:sz w:val="24"/>
          <w:szCs w:val="24"/>
        </w:rPr>
        <w:t>: The number of board meetings held during a financial year. This is operationally measured by counting the total number of formal board meetings documented in the company's annual report.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Return on Assets (ROA)</w:t>
      </w:r>
      <w:r>
        <w:rPr>
          <w:rFonts w:ascii="Times New Roman" w:eastAsia="Times New Roman" w:hAnsi="Times New Roman" w:cs="Times New Roman"/>
          <w:sz w:val="24"/>
          <w:szCs w:val="24"/>
        </w:rPr>
        <w:t>: A financial ratio calculated by dividing a company's net income by its average total assets, expressed as a percentage. This is operationally computed as (Net Income ÷ Average Total Assets) × 100.</w:t>
      </w:r>
    </w:p>
    <w:p w:rsidR="003B5071" w:rsidRDefault="00615BF0">
      <w:pPr>
        <w:pStyle w:val="Normal1"/>
        <w:spacing w:line="480" w:lineRule="auto"/>
        <w:jc w:val="both"/>
        <w:rPr>
          <w:rFonts w:ascii="Times New Roman" w:eastAsia="Times New Roman" w:hAnsi="Times New Roman" w:cs="Times New Roman"/>
          <w:sz w:val="24"/>
          <w:szCs w:val="24"/>
        </w:rPr>
      </w:pPr>
      <w:r>
        <w:br w:type="page"/>
      </w:r>
    </w:p>
    <w:p w:rsidR="003B5071" w:rsidRDefault="00615BF0">
      <w:pPr>
        <w:pStyle w:val="Heading1"/>
        <w:keepNext w:val="0"/>
        <w:keepLines w:val="0"/>
        <w:spacing w:before="0" w:after="0" w:line="480" w:lineRule="auto"/>
        <w:jc w:val="center"/>
        <w:rPr>
          <w:rFonts w:ascii="Times New Roman" w:eastAsia="Times New Roman" w:hAnsi="Times New Roman" w:cs="Times New Roman"/>
          <w:b/>
          <w:sz w:val="24"/>
          <w:szCs w:val="24"/>
        </w:rPr>
      </w:pPr>
      <w:bookmarkStart w:id="13" w:name="_a3z44h6u2lsu" w:colFirst="0" w:colLast="0"/>
      <w:bookmarkEnd w:id="13"/>
      <w:r>
        <w:rPr>
          <w:rFonts w:ascii="Times New Roman" w:eastAsia="Times New Roman" w:hAnsi="Times New Roman" w:cs="Times New Roman"/>
          <w:b/>
          <w:sz w:val="24"/>
          <w:szCs w:val="24"/>
        </w:rPr>
        <w:lastRenderedPageBreak/>
        <w:t>CHAPTER TWO</w:t>
      </w:r>
    </w:p>
    <w:p w:rsidR="003B5071" w:rsidRDefault="00615BF0">
      <w:pPr>
        <w:pStyle w:val="Heading2"/>
        <w:keepNext w:val="0"/>
        <w:keepLines w:val="0"/>
        <w:spacing w:before="0" w:after="0" w:line="480" w:lineRule="auto"/>
        <w:jc w:val="center"/>
        <w:rPr>
          <w:rFonts w:ascii="Times New Roman" w:eastAsia="Times New Roman" w:hAnsi="Times New Roman" w:cs="Times New Roman"/>
          <w:b/>
          <w:sz w:val="24"/>
          <w:szCs w:val="24"/>
        </w:rPr>
      </w:pPr>
      <w:bookmarkStart w:id="14" w:name="_44yt2arl3uxi" w:colFirst="0" w:colLast="0"/>
      <w:bookmarkEnd w:id="14"/>
      <w:r>
        <w:rPr>
          <w:rFonts w:ascii="Times New Roman" w:eastAsia="Times New Roman" w:hAnsi="Times New Roman" w:cs="Times New Roman"/>
          <w:b/>
          <w:sz w:val="24"/>
          <w:szCs w:val="24"/>
        </w:rPr>
        <w:t>LITERATURE REVIEW</w:t>
      </w: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15" w:name="_4h9pd1v3h8fk" w:colFirst="0" w:colLast="0"/>
      <w:bookmarkEnd w:id="15"/>
      <w:r>
        <w:rPr>
          <w:rFonts w:ascii="Times New Roman" w:eastAsia="Times New Roman" w:hAnsi="Times New Roman" w:cs="Times New Roman"/>
          <w:b/>
          <w:color w:val="000000"/>
          <w:sz w:val="24"/>
          <w:szCs w:val="24"/>
        </w:rPr>
        <w:t>2.1 Conceptual Review</w:t>
      </w:r>
    </w:p>
    <w:p w:rsidR="003B5071" w:rsidRDefault="00615BF0">
      <w:pPr>
        <w:pStyle w:val="Heading4"/>
        <w:keepNext w:val="0"/>
        <w:keepLines w:val="0"/>
        <w:spacing w:before="0" w:after="0" w:line="480" w:lineRule="auto"/>
        <w:jc w:val="both"/>
        <w:rPr>
          <w:rFonts w:ascii="Times New Roman" w:eastAsia="Times New Roman" w:hAnsi="Times New Roman" w:cs="Times New Roman"/>
          <w:b/>
          <w:color w:val="000000"/>
        </w:rPr>
      </w:pPr>
      <w:bookmarkStart w:id="16" w:name="_wz6kv9gmmwe4" w:colFirst="0" w:colLast="0"/>
      <w:bookmarkEnd w:id="16"/>
      <w:r>
        <w:rPr>
          <w:rFonts w:ascii="Times New Roman" w:eastAsia="Times New Roman" w:hAnsi="Times New Roman" w:cs="Times New Roman"/>
          <w:b/>
          <w:color w:val="000000"/>
        </w:rPr>
        <w:t>2.1.1 Corporate Governance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Corporate governance means the way a company is steered and kept in check. It includes clear roles, working rules, and how company leaders relate with others, all aiming to match business targets with what society expects (Aguilera &amp; </w:t>
      </w:r>
      <w:proofErr w:type="spellStart"/>
      <w:r>
        <w:rPr>
          <w:rFonts w:ascii="Times New Roman" w:eastAsia="Times New Roman" w:hAnsi="Times New Roman" w:cs="Times New Roman"/>
          <w:sz w:val="24"/>
          <w:szCs w:val="24"/>
        </w:rPr>
        <w:t>Cuervo-Cazurra</w:t>
      </w:r>
      <w:proofErr w:type="spellEnd"/>
      <w:r>
        <w:rPr>
          <w:rFonts w:ascii="Times New Roman" w:eastAsia="Times New Roman" w:hAnsi="Times New Roman" w:cs="Times New Roman"/>
          <w:sz w:val="24"/>
          <w:szCs w:val="24"/>
        </w:rPr>
        <w:t xml:space="preserve">, 2019). One main part is being answerable, which pushes managers to act right toward owners and those affected by the business. Another key part is openness, which supports the honest sharing of business facts. Moral values also guide company leaders to stay fair and upright. </w:t>
      </w:r>
      <w:proofErr w:type="spellStart"/>
      <w:r>
        <w:rPr>
          <w:rFonts w:ascii="Times New Roman" w:eastAsia="Times New Roman" w:hAnsi="Times New Roman" w:cs="Times New Roman"/>
          <w:sz w:val="24"/>
          <w:szCs w:val="24"/>
        </w:rPr>
        <w:t>Adegbite</w:t>
      </w:r>
      <w:proofErr w:type="spellEnd"/>
      <w:r>
        <w:rPr>
          <w:rFonts w:ascii="Times New Roman" w:eastAsia="Times New Roman" w:hAnsi="Times New Roman" w:cs="Times New Roman"/>
          <w:sz w:val="24"/>
          <w:szCs w:val="24"/>
        </w:rPr>
        <w:t xml:space="preserve"> (2015) explains that Nigeria’s governance laws are needed but often weakened by poor rule keeping and weak state systems.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main ways people see corporate governance. One side, the shareholder view, puts owners first and aims to grow their money (Jensen &amp;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2017). The other side, called the stakeholder view, adds more people like staff, users, sellers, and the general public into the company’s care (</w:t>
      </w:r>
      <w:proofErr w:type="spellStart"/>
      <w:r>
        <w:rPr>
          <w:rFonts w:ascii="Times New Roman" w:eastAsia="Times New Roman" w:hAnsi="Times New Roman" w:cs="Times New Roman"/>
          <w:sz w:val="24"/>
          <w:szCs w:val="24"/>
        </w:rPr>
        <w:t>Egbunike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Okoro</w:t>
      </w:r>
      <w:proofErr w:type="spellEnd"/>
      <w:r>
        <w:rPr>
          <w:rFonts w:ascii="Times New Roman" w:eastAsia="Times New Roman" w:hAnsi="Times New Roman" w:cs="Times New Roman"/>
          <w:sz w:val="24"/>
          <w:szCs w:val="24"/>
        </w:rPr>
        <w:t>, 2021). These two can clash, so finding balance matters. In Nigeria, this balance becomes harder because local customs and public hopes often shape how firms are expected to behave.</w:t>
      </w:r>
    </w:p>
    <w:p w:rsidR="003B5071" w:rsidRDefault="00615BF0">
      <w:pPr>
        <w:pStyle w:val="Heading5"/>
        <w:keepNext w:val="0"/>
        <w:keepLines w:val="0"/>
        <w:spacing w:before="0" w:after="0" w:line="480" w:lineRule="auto"/>
        <w:jc w:val="both"/>
        <w:rPr>
          <w:rFonts w:ascii="Times New Roman" w:eastAsia="Times New Roman" w:hAnsi="Times New Roman" w:cs="Times New Roman"/>
          <w:b/>
          <w:color w:val="000000"/>
          <w:sz w:val="24"/>
          <w:szCs w:val="24"/>
        </w:rPr>
      </w:pPr>
      <w:bookmarkStart w:id="17" w:name="_kij40wz9jqvg" w:colFirst="0" w:colLast="0"/>
      <w:bookmarkEnd w:id="17"/>
      <w:r>
        <w:rPr>
          <w:rFonts w:ascii="Times New Roman" w:eastAsia="Times New Roman" w:hAnsi="Times New Roman" w:cs="Times New Roman"/>
          <w:b/>
          <w:color w:val="000000"/>
          <w:sz w:val="24"/>
          <w:szCs w:val="24"/>
        </w:rPr>
        <w:t>2.1.1.1 Corporate Governance Mechanisms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Corporate governance mechanisms serve as control levers that shape how firms behave, decide, and deliver outcomes. These levers are not the same in shape or function. Each one points at a specific zone of corporate action (</w:t>
      </w:r>
      <w:proofErr w:type="spellStart"/>
      <w:r>
        <w:rPr>
          <w:rFonts w:ascii="Times New Roman" w:eastAsia="Times New Roman" w:hAnsi="Times New Roman" w:cs="Times New Roman"/>
          <w:sz w:val="24"/>
          <w:szCs w:val="24"/>
        </w:rPr>
        <w:t>Bhagat</w:t>
      </w:r>
      <w:proofErr w:type="spellEnd"/>
      <w:r>
        <w:rPr>
          <w:rFonts w:ascii="Times New Roman" w:eastAsia="Times New Roman" w:hAnsi="Times New Roman" w:cs="Times New Roman"/>
          <w:sz w:val="24"/>
          <w:szCs w:val="24"/>
        </w:rPr>
        <w:t xml:space="preserve"> &amp; Bolton, 2019). Some sit at the top—like board size, how free board members are from executive roles, and the mix of internal and external voices. Others dig into what boards do—how often they meet, how much they challenge, how firm their </w:t>
      </w:r>
      <w:r>
        <w:rPr>
          <w:rFonts w:ascii="Times New Roman" w:eastAsia="Times New Roman" w:hAnsi="Times New Roman" w:cs="Times New Roman"/>
          <w:sz w:val="24"/>
          <w:szCs w:val="24"/>
        </w:rPr>
        <w:lastRenderedPageBreak/>
        <w:t xml:space="preserve">follow-up is. Power within a company shifts depending on who holds the shares and what kind of investors sit behind them. More tools—like how pay is planned for executives or how control lines are drawn—also direct how firms behave. In Nigeria, </w:t>
      </w:r>
      <w:proofErr w:type="spellStart"/>
      <w:r>
        <w:rPr>
          <w:rFonts w:ascii="Times New Roman" w:eastAsia="Times New Roman" w:hAnsi="Times New Roman" w:cs="Times New Roman"/>
          <w:sz w:val="24"/>
          <w:szCs w:val="24"/>
        </w:rPr>
        <w:t>Okike</w:t>
      </w:r>
      <w:proofErr w:type="spellEnd"/>
      <w:r>
        <w:rPr>
          <w:rFonts w:ascii="Times New Roman" w:eastAsia="Times New Roman" w:hAnsi="Times New Roman" w:cs="Times New Roman"/>
          <w:sz w:val="24"/>
          <w:szCs w:val="24"/>
        </w:rPr>
        <w:t xml:space="preserve"> (2017) makes it clear that governance is more than a framework on paper. It breathes differently across companies, showing why tougher systems are needed to keep it alive and fair.</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levers do not act alone. They pull and press on each other in ways that change how well governance really works. A board with fewer chairs might move with speed, but it could miss wide insight. A large board brings spread-out views but might drag in action. More outsiders in the boardroom can fix agency risks, but too much distance from inside voices may cause blind spots. In growing markets, how shares are packed matters. When few hold most of the stake, results may go up—but weaker hands might get pushed aside. What truly counts is not just the tool but how it fits into the full machine of governance a firm runs on.</w:t>
      </w:r>
    </w:p>
    <w:p w:rsidR="003B5071" w:rsidRDefault="00615BF0">
      <w:pPr>
        <w:pStyle w:val="Heading5"/>
        <w:keepNext w:val="0"/>
        <w:keepLines w:val="0"/>
        <w:spacing w:before="0" w:after="0" w:line="480" w:lineRule="auto"/>
        <w:jc w:val="both"/>
        <w:rPr>
          <w:rFonts w:ascii="Times New Roman" w:eastAsia="Times New Roman" w:hAnsi="Times New Roman" w:cs="Times New Roman"/>
          <w:b/>
          <w:color w:val="000000"/>
          <w:sz w:val="24"/>
          <w:szCs w:val="24"/>
        </w:rPr>
      </w:pPr>
      <w:bookmarkStart w:id="18" w:name="_9s88fa7890jf" w:colFirst="0" w:colLast="0"/>
      <w:bookmarkEnd w:id="18"/>
      <w:r>
        <w:rPr>
          <w:rFonts w:ascii="Times New Roman" w:eastAsia="Times New Roman" w:hAnsi="Times New Roman" w:cs="Times New Roman"/>
          <w:b/>
          <w:color w:val="000000"/>
          <w:sz w:val="24"/>
          <w:szCs w:val="24"/>
        </w:rPr>
        <w:t>2.1.1.2 Corporate Governance Codes and Regulations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Nigeria has built a rule-based system for corporate governance using the Nigerian Code of Corporate Governance as its base guide (</w:t>
      </w:r>
      <w:proofErr w:type="spellStart"/>
      <w:r>
        <w:rPr>
          <w:rFonts w:ascii="Times New Roman" w:eastAsia="Times New Roman" w:hAnsi="Times New Roman" w:cs="Times New Roman"/>
          <w:sz w:val="24"/>
          <w:szCs w:val="24"/>
        </w:rPr>
        <w:t>Akingunola</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2020). This code sets down major ideas and working rules for listed firms, touching key areas like what the board must do, how risks should be handled, and how to keep financial reports open and honest. Oversight groups such as the Securities and Exchange Commission (SEC) and the Financial Reporting Council of Nigeria (FRC) help firms stay in line with these rules. Yet, </w:t>
      </w:r>
      <w:proofErr w:type="spellStart"/>
      <w:r>
        <w:rPr>
          <w:rFonts w:ascii="Times New Roman" w:eastAsia="Times New Roman" w:hAnsi="Times New Roman" w:cs="Times New Roman"/>
          <w:sz w:val="24"/>
          <w:szCs w:val="24"/>
        </w:rPr>
        <w:t>Uwuigbe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(2018) observe that though this code offers structure, its results in real life fall short, especially in parts like board variety and how often boards meet. These gaps show where stricter monitoring and deeper study are needed.</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still strong discussion about how well these codes work in Nigeria. The rules are clear, but their reach is weak when action is not taken to make sure they are followed. Legal backing </w:t>
      </w:r>
      <w:r>
        <w:rPr>
          <w:rFonts w:ascii="Times New Roman" w:eastAsia="Times New Roman" w:hAnsi="Times New Roman" w:cs="Times New Roman"/>
          <w:sz w:val="24"/>
          <w:szCs w:val="24"/>
        </w:rPr>
        <w:lastRenderedPageBreak/>
        <w:t xml:space="preserve">also plays a key role. When rights tied to ownership are not enforced or the law feels too slow, then governance takes a hit. This causes firm-level governance to differ. Some companies follow global standards and others barely keep up. For things to improve, both the law and what firms do on their own must grow. That way, governance can truly lift performance and make investors </w:t>
      </w:r>
      <w:proofErr w:type="gramStart"/>
      <w:r>
        <w:rPr>
          <w:rFonts w:ascii="Times New Roman" w:eastAsia="Times New Roman" w:hAnsi="Times New Roman" w:cs="Times New Roman"/>
          <w:sz w:val="24"/>
          <w:szCs w:val="24"/>
        </w:rPr>
        <w:t>more sure</w:t>
      </w:r>
      <w:proofErr w:type="gramEnd"/>
      <w:r>
        <w:rPr>
          <w:rFonts w:ascii="Times New Roman" w:eastAsia="Times New Roman" w:hAnsi="Times New Roman" w:cs="Times New Roman"/>
          <w:sz w:val="24"/>
          <w:szCs w:val="24"/>
        </w:rPr>
        <w:t xml:space="preserve"> about where they place their money.</w:t>
      </w:r>
    </w:p>
    <w:p w:rsidR="003B5071" w:rsidRDefault="00615BF0">
      <w:pPr>
        <w:pStyle w:val="Heading5"/>
        <w:keepNext w:val="0"/>
        <w:keepLines w:val="0"/>
        <w:spacing w:before="0" w:after="0" w:line="480" w:lineRule="auto"/>
        <w:jc w:val="both"/>
        <w:rPr>
          <w:rFonts w:ascii="Times New Roman" w:eastAsia="Times New Roman" w:hAnsi="Times New Roman" w:cs="Times New Roman"/>
          <w:b/>
          <w:color w:val="000000"/>
          <w:sz w:val="24"/>
          <w:szCs w:val="24"/>
        </w:rPr>
      </w:pPr>
      <w:bookmarkStart w:id="19" w:name="_v3zmw422vjy9" w:colFirst="0" w:colLast="0"/>
      <w:bookmarkEnd w:id="19"/>
      <w:r>
        <w:rPr>
          <w:rFonts w:ascii="Times New Roman" w:eastAsia="Times New Roman" w:hAnsi="Times New Roman" w:cs="Times New Roman"/>
          <w:b/>
          <w:color w:val="000000"/>
          <w:sz w:val="24"/>
          <w:szCs w:val="24"/>
        </w:rPr>
        <w:t>2.1.1.3 Corporate Governance and Agency Theory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Corporate governance moves side by side with agency theory because both focus on how power is shared and checked between firm owners and those hired to manage daily business (Jensen &amp;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xml:space="preserve">, 2017). Agency theory says that once ownership and control are split, problems can show up, as managers may choose paths that benefit themselves, not the investors. Managers often know more than shareholders and can act on that gap. Governance steps in to limit this by building tools that shape leader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and reduce waste. These tools include stronger board oversight, simple structures that show who answers to whom, and pay systems tied to how the firm performs. Having directors who are not part of daily operations and using performance-based pay helps align goals. </w:t>
      </w:r>
      <w:proofErr w:type="spellStart"/>
      <w:r>
        <w:rPr>
          <w:rFonts w:ascii="Times New Roman" w:eastAsia="Times New Roman" w:hAnsi="Times New Roman" w:cs="Times New Roman"/>
          <w:sz w:val="24"/>
          <w:szCs w:val="24"/>
        </w:rPr>
        <w:t>Egbunike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Okoro</w:t>
      </w:r>
      <w:proofErr w:type="spellEnd"/>
      <w:r>
        <w:rPr>
          <w:rFonts w:ascii="Times New Roman" w:eastAsia="Times New Roman" w:hAnsi="Times New Roman" w:cs="Times New Roman"/>
          <w:sz w:val="24"/>
          <w:szCs w:val="24"/>
        </w:rPr>
        <w:t xml:space="preserve"> (2021) found that “board size had a negative but significant link with firm performance” (p. 33), which suggests that having too many voices on a board can water down control and lead to poor checks on executive power.</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Agency risks grow sharper in places where the law does little to guard small investors. This often happens in fast-growing regions where legal systems are either slow or poorly applied. In such places, company systems are the main </w:t>
      </w:r>
      <w:proofErr w:type="spellStart"/>
      <w:r>
        <w:rPr>
          <w:rFonts w:ascii="Times New Roman" w:eastAsia="Times New Roman" w:hAnsi="Times New Roman" w:cs="Times New Roman"/>
          <w:sz w:val="24"/>
          <w:szCs w:val="24"/>
        </w:rPr>
        <w:t>defence</w:t>
      </w:r>
      <w:proofErr w:type="spellEnd"/>
      <w:r>
        <w:rPr>
          <w:rFonts w:ascii="Times New Roman" w:eastAsia="Times New Roman" w:hAnsi="Times New Roman" w:cs="Times New Roman"/>
          <w:sz w:val="24"/>
          <w:szCs w:val="24"/>
        </w:rPr>
        <w:t xml:space="preserve">. Governance must carry the weight where outside rules fall short. But even strong systems have limits. Some managers may still act in ways that do not match the goals of the owners. That is why governance tools must be flexible. They need to be </w:t>
      </w:r>
      <w:r>
        <w:rPr>
          <w:rFonts w:ascii="Times New Roman" w:eastAsia="Times New Roman" w:hAnsi="Times New Roman" w:cs="Times New Roman"/>
          <w:sz w:val="24"/>
          <w:szCs w:val="24"/>
        </w:rPr>
        <w:lastRenderedPageBreak/>
        <w:t>checked often, shaped to fit new problems, and strong enough to keep the firm’s direction steady as the world around it changes.</w:t>
      </w:r>
    </w:p>
    <w:p w:rsidR="003B5071" w:rsidRDefault="00615BF0">
      <w:pPr>
        <w:pStyle w:val="Heading5"/>
        <w:keepNext w:val="0"/>
        <w:keepLines w:val="0"/>
        <w:spacing w:before="0" w:after="0" w:line="480" w:lineRule="auto"/>
        <w:jc w:val="both"/>
        <w:rPr>
          <w:rFonts w:ascii="Times New Roman" w:eastAsia="Times New Roman" w:hAnsi="Times New Roman" w:cs="Times New Roman"/>
          <w:b/>
          <w:color w:val="000000"/>
          <w:sz w:val="24"/>
          <w:szCs w:val="24"/>
        </w:rPr>
      </w:pPr>
      <w:bookmarkStart w:id="20" w:name="_341khy5lpb05" w:colFirst="0" w:colLast="0"/>
      <w:bookmarkEnd w:id="20"/>
      <w:r>
        <w:rPr>
          <w:rFonts w:ascii="Times New Roman" w:eastAsia="Times New Roman" w:hAnsi="Times New Roman" w:cs="Times New Roman"/>
          <w:b/>
          <w:color w:val="000000"/>
          <w:sz w:val="24"/>
          <w:szCs w:val="24"/>
        </w:rPr>
        <w:t>2.1.1.4 Corporate Governance Challenges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Corporate governance struggles in Nigeria’s listed firms keep blocking trust and progress (</w:t>
      </w:r>
      <w:proofErr w:type="spellStart"/>
      <w:r>
        <w:rPr>
          <w:rFonts w:ascii="Times New Roman" w:eastAsia="Times New Roman" w:hAnsi="Times New Roman" w:cs="Times New Roman"/>
          <w:sz w:val="24"/>
          <w:szCs w:val="24"/>
        </w:rPr>
        <w:t>Uwuigbe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Fakile</w:t>
      </w:r>
      <w:proofErr w:type="spellEnd"/>
      <w:r>
        <w:rPr>
          <w:rFonts w:ascii="Times New Roman" w:eastAsia="Times New Roman" w:hAnsi="Times New Roman" w:cs="Times New Roman"/>
          <w:sz w:val="24"/>
          <w:szCs w:val="24"/>
        </w:rPr>
        <w:t>, 2018). A common fault lies in the split between what companies say and what they do. Some firms claim to follow strong rules but drop them when it matters (</w:t>
      </w:r>
      <w:proofErr w:type="spellStart"/>
      <w:r>
        <w:rPr>
          <w:rFonts w:ascii="Times New Roman" w:eastAsia="Times New Roman" w:hAnsi="Times New Roman" w:cs="Times New Roman"/>
          <w:sz w:val="24"/>
          <w:szCs w:val="24"/>
        </w:rPr>
        <w:t>Okike</w:t>
      </w:r>
      <w:proofErr w:type="spellEnd"/>
      <w:r>
        <w:rPr>
          <w:rFonts w:ascii="Times New Roman" w:eastAsia="Times New Roman" w:hAnsi="Times New Roman" w:cs="Times New Roman"/>
          <w:sz w:val="24"/>
          <w:szCs w:val="24"/>
        </w:rPr>
        <w:t>, 2019). This causes messy outcomes. Good firms play fair, while others cut corners without fear of punishment. Another crack appears in the fog around financial truth. While a few companies show clean figures, others stay silent or mix facts. This hides true performance and pushes investors away. Shareholders mostly watch from the side, unsure how to act or too afraid to speak. Without these outside voices, leadership remains unchecked. These habits call for sharp and workable shifts to make sure governance stands on truth, structure, and clear watch.</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But these firm-level issues do not grow alone. Bigger forces in society feed them. Who you know, where you come from, or hidden ties often matter more than legal steps in Nigeria’s business world. These patterns soften the weight of formal laws. Even the best-written rules go dull when real life skips them. The bodies set to check company actions face big limits. They have few hands, slow tools, and little push under law. This makes it hard to catch or fix wrongs. Still, all is not lost. A shift is starting. Across different groups—policy voices, public thinkers, boardrooms, and scholars—there is a drive to clean the field. They push for clear rules, firm checks, and a new way for companies in Nigeria to grow with fairness and trust.</w:t>
      </w:r>
    </w:p>
    <w:p w:rsidR="00E773C1" w:rsidRDefault="00E773C1">
      <w:pPr>
        <w:pStyle w:val="Normal1"/>
        <w:spacing w:line="480" w:lineRule="auto"/>
        <w:jc w:val="both"/>
        <w:rPr>
          <w:rFonts w:ascii="Times New Roman" w:eastAsia="Times New Roman" w:hAnsi="Times New Roman" w:cs="Times New Roman"/>
          <w:sz w:val="24"/>
          <w:szCs w:val="24"/>
        </w:rPr>
      </w:pPr>
    </w:p>
    <w:p w:rsidR="00E773C1" w:rsidRDefault="00E773C1">
      <w:pPr>
        <w:pStyle w:val="Normal1"/>
        <w:spacing w:line="480" w:lineRule="auto"/>
        <w:jc w:val="both"/>
        <w:rPr>
          <w:rFonts w:ascii="Times New Roman" w:eastAsia="Times New Roman" w:hAnsi="Times New Roman" w:cs="Times New Roman"/>
          <w:sz w:val="24"/>
          <w:szCs w:val="24"/>
        </w:rPr>
      </w:pPr>
    </w:p>
    <w:p w:rsidR="003B5071" w:rsidRDefault="00615BF0">
      <w:pPr>
        <w:pStyle w:val="Heading4"/>
        <w:keepNext w:val="0"/>
        <w:keepLines w:val="0"/>
        <w:spacing w:before="0" w:after="0" w:line="480" w:lineRule="auto"/>
        <w:jc w:val="both"/>
        <w:rPr>
          <w:rFonts w:ascii="Times New Roman" w:eastAsia="Times New Roman" w:hAnsi="Times New Roman" w:cs="Times New Roman"/>
          <w:b/>
          <w:color w:val="000000"/>
        </w:rPr>
      </w:pPr>
      <w:bookmarkStart w:id="21" w:name="_k6d054f9rh85" w:colFirst="0" w:colLast="0"/>
      <w:bookmarkEnd w:id="21"/>
      <w:r>
        <w:rPr>
          <w:rFonts w:ascii="Times New Roman" w:eastAsia="Times New Roman" w:hAnsi="Times New Roman" w:cs="Times New Roman"/>
          <w:b/>
          <w:color w:val="000000"/>
        </w:rPr>
        <w:t>2.1.2 Financial Performance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Financial performance shows how a company meets its money goals. It tells if a firm runs well and earns enough for those who have a stake in it. Kaplan and Norton (2015) said “measuring performance goes beyond just profits and must include how happy customers are and how new the ideas are” (p. 45). This idea covers many parts such as how much profit is made, how much cash is on hand, how well the firm can pay debts, and how investors view the firm’s worth. </w:t>
      </w:r>
      <w:proofErr w:type="spellStart"/>
      <w:r>
        <w:rPr>
          <w:rFonts w:ascii="Times New Roman" w:eastAsia="Times New Roman" w:hAnsi="Times New Roman" w:cs="Times New Roman"/>
          <w:sz w:val="24"/>
          <w:szCs w:val="24"/>
        </w:rPr>
        <w:t>Yahaya</w:t>
      </w:r>
      <w:proofErr w:type="spellEnd"/>
      <w:r>
        <w:rPr>
          <w:rFonts w:ascii="Times New Roman" w:eastAsia="Times New Roman" w:hAnsi="Times New Roman" w:cs="Times New Roman"/>
          <w:sz w:val="24"/>
          <w:szCs w:val="24"/>
        </w:rPr>
        <w:t xml:space="preserve"> (2017) added that checking performance in Nigerian firms should match current economic changes like rising prices and shifting exchange rates, which change what the numbers mean. Good performance proves a firm can earn, spend wisely, and grow value. Staying strong in finance helps bring in investors, get funds, and keep growing without falling.</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Also, how well a firm performs in finance shows its strength and future. When numbers look good, it means good leadership, smooth running, and smart plans. This gives the power to grow, try new things, and move ahead of others. But when things go bad, the firm may fall into crisis, lose backers, or even shut down. So firms must keep a close watch on their money results. They must fix issues fast to meet goals and grow worth for all involved. Knowing what shapes performance means checking profits (how much is earned), cash flow (how fast bills are paid), debt control (how future dues are handled), and how much people think the firm is worth.</w:t>
      </w:r>
    </w:p>
    <w:p w:rsidR="003B5071" w:rsidRDefault="00615BF0">
      <w:pPr>
        <w:pStyle w:val="Heading5"/>
        <w:keepNext w:val="0"/>
        <w:keepLines w:val="0"/>
        <w:spacing w:before="0" w:after="0" w:line="480" w:lineRule="auto"/>
        <w:jc w:val="both"/>
        <w:rPr>
          <w:rFonts w:ascii="Times New Roman" w:eastAsia="Times New Roman" w:hAnsi="Times New Roman" w:cs="Times New Roman"/>
          <w:b/>
          <w:color w:val="000000"/>
          <w:sz w:val="24"/>
          <w:szCs w:val="24"/>
        </w:rPr>
      </w:pPr>
      <w:bookmarkStart w:id="22" w:name="_ylki5jeuoryp" w:colFirst="0" w:colLast="0"/>
      <w:bookmarkEnd w:id="22"/>
      <w:r>
        <w:rPr>
          <w:rFonts w:ascii="Times New Roman" w:eastAsia="Times New Roman" w:hAnsi="Times New Roman" w:cs="Times New Roman"/>
          <w:b/>
          <w:color w:val="000000"/>
          <w:sz w:val="24"/>
          <w:szCs w:val="24"/>
        </w:rPr>
        <w:t>2.1.2.1 Financial Performance Indicators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Various financial indicators help assess a company's financial health and performance. Key examples include return on assets (ROA), return on equity (ROE), profit margins, and market </w:t>
      </w:r>
      <w:proofErr w:type="spellStart"/>
      <w:r>
        <w:rPr>
          <w:rFonts w:ascii="Times New Roman" w:eastAsia="Times New Roman" w:hAnsi="Times New Roman" w:cs="Times New Roman"/>
          <w:sz w:val="24"/>
          <w:szCs w:val="24"/>
        </w:rPr>
        <w:t>capitalisation</w:t>
      </w:r>
      <w:proofErr w:type="spellEnd"/>
      <w:r>
        <w:rPr>
          <w:rFonts w:ascii="Times New Roman" w:eastAsia="Times New Roman" w:hAnsi="Times New Roman" w:cs="Times New Roman"/>
          <w:sz w:val="24"/>
          <w:szCs w:val="24"/>
        </w:rPr>
        <w:t xml:space="preserve">. ROA shows how well a firm turns its asset base into earnings, while ROE reflects how much profit is made from shareholders’ equity (Beaver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2017). Gross and net profit margins reveal how a firm handles its spending compared to its sales, showing how well it keeps earnings after costs. Market </w:t>
      </w:r>
      <w:proofErr w:type="spellStart"/>
      <w:r>
        <w:rPr>
          <w:rFonts w:ascii="Times New Roman" w:eastAsia="Times New Roman" w:hAnsi="Times New Roman" w:cs="Times New Roman"/>
          <w:sz w:val="24"/>
          <w:szCs w:val="24"/>
        </w:rPr>
        <w:t>capitalisation</w:t>
      </w:r>
      <w:proofErr w:type="spellEnd"/>
      <w:r>
        <w:rPr>
          <w:rFonts w:ascii="Times New Roman" w:eastAsia="Times New Roman" w:hAnsi="Times New Roman" w:cs="Times New Roman"/>
          <w:sz w:val="24"/>
          <w:szCs w:val="24"/>
        </w:rPr>
        <w:t xml:space="preserve">, worked out by multiplying stock price by the number </w:t>
      </w:r>
      <w:r>
        <w:rPr>
          <w:rFonts w:ascii="Times New Roman" w:eastAsia="Times New Roman" w:hAnsi="Times New Roman" w:cs="Times New Roman"/>
          <w:sz w:val="24"/>
          <w:szCs w:val="24"/>
        </w:rPr>
        <w:lastRenderedPageBreak/>
        <w:t>of issued shares, expresses how the market sees a firm’s worth. Adebayo (2016) notes that when Nigerian firms use and read these numbers, they must match them with their specific sectors and think about real-world factors such as rising prices, changes in currency value, and level of competition within the market.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metrics do not just describe profits; they highlight how a firm performs for all who depend on its strength. ROA and ROE give clues about how well company assets and equity are turned into gains, which matters deeply to managers, investors, and lenders. Profit margins, both gross and net, show how well the business can handle expenses while still keeping a solid bottom line. Market </w:t>
      </w:r>
      <w:proofErr w:type="spellStart"/>
      <w:r>
        <w:rPr>
          <w:rFonts w:ascii="Times New Roman" w:eastAsia="Times New Roman" w:hAnsi="Times New Roman" w:cs="Times New Roman"/>
          <w:sz w:val="24"/>
          <w:szCs w:val="24"/>
        </w:rPr>
        <w:t>capitalisation</w:t>
      </w:r>
      <w:proofErr w:type="spellEnd"/>
      <w:r>
        <w:rPr>
          <w:rFonts w:ascii="Times New Roman" w:eastAsia="Times New Roman" w:hAnsi="Times New Roman" w:cs="Times New Roman"/>
          <w:sz w:val="24"/>
          <w:szCs w:val="24"/>
        </w:rPr>
        <w:t xml:space="preserve"> mirrors how much trust the investing world has in a firm, affecting the company’s chances of getting funds. Looking at these figures together helps people get a broader picture of how a firm has done before and what future chances it holds. Still, no single figure gives a full answer. Each number has its blind spots, and firms are better judged when these tools are used side by side with real-world signs like how the industry is moving, what the economy is doing, and what direction the firm plans to take next.</w:t>
      </w:r>
    </w:p>
    <w:p w:rsidR="003B5071" w:rsidRDefault="00615BF0">
      <w:pPr>
        <w:pStyle w:val="Heading5"/>
        <w:keepNext w:val="0"/>
        <w:keepLines w:val="0"/>
        <w:spacing w:before="0" w:after="0" w:line="480" w:lineRule="auto"/>
        <w:jc w:val="both"/>
        <w:rPr>
          <w:rFonts w:ascii="Times New Roman" w:eastAsia="Times New Roman" w:hAnsi="Times New Roman" w:cs="Times New Roman"/>
          <w:b/>
          <w:color w:val="000000"/>
          <w:sz w:val="24"/>
          <w:szCs w:val="24"/>
        </w:rPr>
      </w:pPr>
      <w:bookmarkStart w:id="23" w:name="_szbhgkjbnntm" w:colFirst="0" w:colLast="0"/>
      <w:bookmarkEnd w:id="23"/>
      <w:r>
        <w:rPr>
          <w:rFonts w:ascii="Times New Roman" w:eastAsia="Times New Roman" w:hAnsi="Times New Roman" w:cs="Times New Roman"/>
          <w:b/>
          <w:color w:val="000000"/>
          <w:sz w:val="24"/>
          <w:szCs w:val="24"/>
        </w:rPr>
        <w:t>2.1.2.2 Factors Affecting Financial Performance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inside and outside triggers shape how a firm gains or loses money. Inside triggers are things a firm can mold, like how leaders spread tools, how daily tasks run, and how wise choices come at tense points (Berger and Humphrey, 2019). Outside triggers sit far from firm hands. These include bold rivals, weak national money flows, or surprise law shifts. </w:t>
      </w:r>
      <w:proofErr w:type="spellStart"/>
      <w:r>
        <w:rPr>
          <w:rFonts w:ascii="Times New Roman" w:eastAsia="Times New Roman" w:hAnsi="Times New Roman" w:cs="Times New Roman"/>
          <w:sz w:val="24"/>
          <w:szCs w:val="24"/>
        </w:rPr>
        <w:t>Fagbemi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Ehiogu</w:t>
      </w:r>
      <w:proofErr w:type="spellEnd"/>
      <w:r>
        <w:rPr>
          <w:rFonts w:ascii="Times New Roman" w:eastAsia="Times New Roman" w:hAnsi="Times New Roman" w:cs="Times New Roman"/>
          <w:sz w:val="24"/>
          <w:szCs w:val="24"/>
        </w:rPr>
        <w:t xml:space="preserve"> (2020) note that Nigerian firms “face hard hits from growing business rivals and shaky exchange numbers” (p. 91), which slow down actions and block easy money flow. When both inside and outside triggers mix, they draw the line between gain and loss in the firm’s score sheet.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One must also think how deep each trigger cuts into money matters. Sharp heads and quick moves can calm rough outside storms, but loose hands inside can turn small shocks into big cracks. A firm’s speed in sensing changes, its shield against loss, and how it sparks new ways all feed into its cash line. In Nigeria, extra thorns poke firms. These include broken roads, fuzzy laws, and money swings that never sleep. Such shocks may push funders away or shrink money flow. So, firms must grow strong roots and be ready for sudden turns. Only by seeing all triggers—both near and far—can firms write smart plans and keep their money lights on.</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2.1.2.3 Financial Performance Reporting</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and correct financial reporting plays a key role in showing how well a firm is doing. It helps investors, lenders, and government agencies read a firm’s earnings, debts, and money flow. A solid financial report shares honest facts, clears up doubts, and holds leaders accountable. </w:t>
      </w:r>
      <w:proofErr w:type="spellStart"/>
      <w:r>
        <w:rPr>
          <w:rFonts w:ascii="Times New Roman" w:eastAsia="Times New Roman" w:hAnsi="Times New Roman" w:cs="Times New Roman"/>
          <w:sz w:val="24"/>
          <w:szCs w:val="24"/>
        </w:rPr>
        <w:t>Dechow</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(2017) write that “knowing the quality of financial reports helps investors and others make better choices” (p. 191), since such reports guide stock values, borrowing terms, and law-based checks. In Nigeria, firms use the International Financial Reporting Standards (IFRS), which are designed to create shared ways of writing reports and make it easier to compare firm results across markets.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than just meeting rules, financial reporting tells the story of a company’s money life. Neatly written reports, with full notes and details, improve how much people trust the firm. </w:t>
      </w:r>
      <w:proofErr w:type="spellStart"/>
      <w:r>
        <w:rPr>
          <w:rFonts w:ascii="Times New Roman" w:eastAsia="Times New Roman" w:hAnsi="Times New Roman" w:cs="Times New Roman"/>
          <w:sz w:val="24"/>
          <w:szCs w:val="24"/>
        </w:rPr>
        <w:t>Olowookere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Fasina</w:t>
      </w:r>
      <w:proofErr w:type="spellEnd"/>
      <w:r>
        <w:rPr>
          <w:rFonts w:ascii="Times New Roman" w:eastAsia="Times New Roman" w:hAnsi="Times New Roman" w:cs="Times New Roman"/>
          <w:sz w:val="24"/>
          <w:szCs w:val="24"/>
        </w:rPr>
        <w:t xml:space="preserve"> (2019) believe that while reporting quality is rising in Nigeria, “many companies still show wide gaps in how well they apply standards” (p. 104). This means that some firms remain weak in their duty to give full and fair numbers. Other things, like how good the auditors are or how strong the regulators act, affect how much faith readers can place in the reports. A well-run reporting process builds trust, pulls in investors, and helps the wider economy grow.</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2.1.2.4 Financial Distress and Corporate Failure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If a company keeps losing money, the risk of hitting financial trouble grows. Financial distress means a firm cannot pay its bills easily, which can force it to sell assets, change its plans, or shut down. When a firm fails totally, it stops working and may be sold off or broken up. Altman (2016) found that “key financial ratios help tell if a company might go broke” (p. 117), and bad signs often show up in weak profit numbers and high debts. In Nigeria, </w:t>
      </w:r>
      <w:proofErr w:type="spellStart"/>
      <w:r>
        <w:rPr>
          <w:rFonts w:ascii="Times New Roman" w:eastAsia="Times New Roman" w:hAnsi="Times New Roman" w:cs="Times New Roman"/>
          <w:sz w:val="24"/>
          <w:szCs w:val="24"/>
        </w:rPr>
        <w:t>Ogundipe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(2020) stress that spotting distress early matters because it “gives time for action and reduces the harm done when firms collapse” (p. 39). Their work points to warning signs like weak profit levels, low cash access, and rising loans, all of which hint that a company may soon fall apart.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fall of a firm hurts more than just its owners. Investors might lose their funds. Banks may never get their money back. Workers may be pushed out of jobs. On a bigger scale, firm failure slows down spending, brings job losses, and weakens people’s belief in the economy. This is why it helps to track distress signs and step in early. Still, not every firm that shows bad signs ends up failing. Some bounce back with help, skill, or good timing. Leadership strength, market trends, and extra funds all shape whether a firm can turn around. Good governance also matters, since it pushes leaders to handle money wisely, stay open with facts, and take blame when needed.</w:t>
      </w:r>
    </w:p>
    <w:p w:rsidR="00E773C1" w:rsidRDefault="00E773C1">
      <w:pPr>
        <w:pStyle w:val="Normal1"/>
        <w:spacing w:line="480" w:lineRule="auto"/>
        <w:jc w:val="both"/>
        <w:rPr>
          <w:rFonts w:ascii="Times New Roman" w:eastAsia="Times New Roman" w:hAnsi="Times New Roman" w:cs="Times New Roman"/>
          <w:sz w:val="24"/>
          <w:szCs w:val="24"/>
        </w:rPr>
      </w:pPr>
    </w:p>
    <w:p w:rsidR="00E773C1" w:rsidRDefault="00E773C1">
      <w:pPr>
        <w:pStyle w:val="Normal1"/>
        <w:spacing w:line="480" w:lineRule="auto"/>
        <w:jc w:val="both"/>
        <w:rPr>
          <w:rFonts w:ascii="Times New Roman" w:eastAsia="Times New Roman" w:hAnsi="Times New Roman" w:cs="Times New Roman"/>
          <w:sz w:val="24"/>
          <w:szCs w:val="24"/>
        </w:rPr>
      </w:pPr>
    </w:p>
    <w:p w:rsidR="00E773C1" w:rsidRDefault="00E773C1">
      <w:pPr>
        <w:pStyle w:val="Normal1"/>
        <w:spacing w:line="480" w:lineRule="auto"/>
        <w:jc w:val="both"/>
        <w:rPr>
          <w:rFonts w:ascii="Times New Roman" w:eastAsia="Times New Roman" w:hAnsi="Times New Roman" w:cs="Times New Roman"/>
          <w:sz w:val="24"/>
          <w:szCs w:val="24"/>
        </w:rPr>
      </w:pP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 Board Characteristics</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2.1.3.1 Board Size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many people sit on a company’s board deeply affects how the company works, plans, and reacts to changes. The number of </w:t>
      </w:r>
      <w:proofErr w:type="gramStart"/>
      <w:r>
        <w:rPr>
          <w:rFonts w:ascii="Times New Roman" w:eastAsia="Times New Roman" w:hAnsi="Times New Roman" w:cs="Times New Roman"/>
          <w:sz w:val="24"/>
          <w:szCs w:val="24"/>
        </w:rPr>
        <w:t>directors</w:t>
      </w:r>
      <w:proofErr w:type="gramEnd"/>
      <w:r>
        <w:rPr>
          <w:rFonts w:ascii="Times New Roman" w:eastAsia="Times New Roman" w:hAnsi="Times New Roman" w:cs="Times New Roman"/>
          <w:sz w:val="24"/>
          <w:szCs w:val="24"/>
        </w:rPr>
        <w:t xml:space="preserve"> influences not just how ideas are shared but how fast agreements are made and how effectively the firm is steered. Coles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(2015) explain that there </w:t>
      </w:r>
      <w:r>
        <w:rPr>
          <w:rFonts w:ascii="Times New Roman" w:eastAsia="Times New Roman" w:hAnsi="Times New Roman" w:cs="Times New Roman"/>
          <w:sz w:val="24"/>
          <w:szCs w:val="24"/>
        </w:rPr>
        <w:lastRenderedPageBreak/>
        <w:t xml:space="preserve">is still ongoing debate about whether large or small boards perform better in general. Bigger boards may bring more minds and a wider pool of insights, but they may also struggle with slower talks and clashing views. In Nigeria, </w:t>
      </w:r>
      <w:proofErr w:type="spellStart"/>
      <w:r>
        <w:rPr>
          <w:rFonts w:ascii="Times New Roman" w:eastAsia="Times New Roman" w:hAnsi="Times New Roman" w:cs="Times New Roman"/>
          <w:sz w:val="24"/>
          <w:szCs w:val="24"/>
        </w:rPr>
        <w:t>Egbunike</w:t>
      </w:r>
      <w:proofErr w:type="spellEnd"/>
      <w:r>
        <w:rPr>
          <w:rFonts w:ascii="Times New Roman" w:eastAsia="Times New Roman" w:hAnsi="Times New Roman" w:cs="Times New Roman"/>
          <w:sz w:val="24"/>
          <w:szCs w:val="24"/>
        </w:rPr>
        <w:t xml:space="preserve"> (2022) observed that board makeup strongly influences firm output. In difficult markets or larger sectors, having more people could help provide broader support. Yet, in such settings, too many voices may delay the pace of needed action. There is no fixed number that works for all firms. The ideal size should reflect the firm’s mission, its size, and the complexity of its market.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Also, the board’s size might not always affect performance the same way in every context. Boards that are small may move quicker in making decisions and avoid drawn-out debates, but they may also lack variety in knowledge. Large boards, though potentially slower, may offer a wider lens to spot risks or judge strategy. Having a greater number of independent minds might help in checking the actions of top executives and may lower the risk of poor leadership. However, what truly matters is not just the headcount, but whether the board’s size matches the firm’s needs, market speed, and overall goal. The right board size strikes a balance between broad perspective and agile oversight.</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2.1.3.2 Board Independence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independence refers to the portion of board members who do not take part in the day-to-day running of the company. These non-executive directors are meant to stay outside internal politics and instead focus on keeping leaders in check. </w:t>
      </w:r>
      <w:proofErr w:type="spellStart"/>
      <w:r>
        <w:rPr>
          <w:rFonts w:ascii="Times New Roman" w:eastAsia="Times New Roman" w:hAnsi="Times New Roman" w:cs="Times New Roman"/>
          <w:sz w:val="24"/>
          <w:szCs w:val="24"/>
        </w:rPr>
        <w:t>Hermalin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Weisbach</w:t>
      </w:r>
      <w:proofErr w:type="spellEnd"/>
      <w:r>
        <w:rPr>
          <w:rFonts w:ascii="Times New Roman" w:eastAsia="Times New Roman" w:hAnsi="Times New Roman" w:cs="Times New Roman"/>
          <w:sz w:val="24"/>
          <w:szCs w:val="24"/>
        </w:rPr>
        <w:t xml:space="preserve"> (2017) describe boards as tools shaped by the company itself, but they also stress that greater independence improves board oversight and lowers the risk of agency problems. </w:t>
      </w:r>
      <w:proofErr w:type="spellStart"/>
      <w:r>
        <w:rPr>
          <w:rFonts w:ascii="Times New Roman" w:eastAsia="Times New Roman" w:hAnsi="Times New Roman" w:cs="Times New Roman"/>
          <w:sz w:val="24"/>
          <w:szCs w:val="24"/>
        </w:rPr>
        <w:t>Imeokparia</w:t>
      </w:r>
      <w:proofErr w:type="spellEnd"/>
      <w:r>
        <w:rPr>
          <w:rFonts w:ascii="Times New Roman" w:eastAsia="Times New Roman" w:hAnsi="Times New Roman" w:cs="Times New Roman"/>
          <w:sz w:val="24"/>
          <w:szCs w:val="24"/>
        </w:rPr>
        <w:t xml:space="preserve"> (2021) adds that in Nigeria, companies with a higher share of independent board members tend to show stronger results. These </w:t>
      </w:r>
      <w:r>
        <w:rPr>
          <w:rFonts w:ascii="Times New Roman" w:eastAsia="Times New Roman" w:hAnsi="Times New Roman" w:cs="Times New Roman"/>
          <w:sz w:val="24"/>
          <w:szCs w:val="24"/>
        </w:rPr>
        <w:lastRenderedPageBreak/>
        <w:t>independent voices protect smaller shareholders and help block selfish actions by management. Their presence improves openness, checks misuse of power, and brings a wider view.</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nations where legal shields for minority investors are weak, like Nigeria, the value of board independence becomes even clearer. It adds a needed layer of fairness. Independent directors serve as watchdogs over internal interests. But true independence goes beyond titles. These board members must be free from past ties to the company and should have enough skill and courage to speak against poor leadership when needed. Just having them present is not enough. Companies must regularly review how effective these directors are, ensuring they are active, involved, and strong in holding managers accountable to shareholders.</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2.1.3.3 Board Gender Diversity (Female Representation)</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presence of women on corporate boards adds value not only in fairness but in thinking, planning, and decision-making. Carter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(2015) explain that board gender mix affects firm results differently in each setting, but in many cases, it improves oversight and decision quality. In Nigeria, </w:t>
      </w:r>
      <w:proofErr w:type="spellStart"/>
      <w:r>
        <w:rPr>
          <w:rFonts w:ascii="Times New Roman" w:eastAsia="Times New Roman" w:hAnsi="Times New Roman" w:cs="Times New Roman"/>
          <w:sz w:val="24"/>
          <w:szCs w:val="24"/>
        </w:rPr>
        <w:t>Adegbile</w:t>
      </w:r>
      <w:proofErr w:type="spellEnd"/>
      <w:r>
        <w:rPr>
          <w:rFonts w:ascii="Times New Roman" w:eastAsia="Times New Roman" w:hAnsi="Times New Roman" w:cs="Times New Roman"/>
          <w:sz w:val="24"/>
          <w:szCs w:val="24"/>
        </w:rPr>
        <w:t xml:space="preserve"> (2020) found signs of growing female involvement, but numbers still fall behind global levels. This leaves room for boards to grow by welcoming more women into decision roles. Women often bring new questions to the table, help break long-held patterns, and shape board conversations in ways that reflect wider public needs.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industries that serve a broad consumer base, like the consumer goods sector, female directors can offer insights into shopping habits, brand needs, and market changes. Their experience helps shape firm outreach and improves product planning. Having more women in high roles also helps a firm’s image, </w:t>
      </w:r>
      <w:proofErr w:type="spellStart"/>
      <w:r>
        <w:rPr>
          <w:rFonts w:ascii="Times New Roman" w:eastAsia="Times New Roman" w:hAnsi="Times New Roman" w:cs="Times New Roman"/>
          <w:sz w:val="24"/>
          <w:szCs w:val="24"/>
        </w:rPr>
        <w:t>signalling</w:t>
      </w:r>
      <w:proofErr w:type="spellEnd"/>
      <w:r>
        <w:rPr>
          <w:rFonts w:ascii="Times New Roman" w:eastAsia="Times New Roman" w:hAnsi="Times New Roman" w:cs="Times New Roman"/>
          <w:sz w:val="24"/>
          <w:szCs w:val="24"/>
        </w:rPr>
        <w:t xml:space="preserve"> inclusion and strong values. This can improve how customers, investors, and the public see the brand. Gender diversity should not be seen only as a target, but as a driver </w:t>
      </w:r>
      <w:r>
        <w:rPr>
          <w:rFonts w:ascii="Times New Roman" w:eastAsia="Times New Roman" w:hAnsi="Times New Roman" w:cs="Times New Roman"/>
          <w:sz w:val="24"/>
          <w:szCs w:val="24"/>
        </w:rPr>
        <w:lastRenderedPageBreak/>
        <w:t>of smart business thinking that sharpens leadership, widens outlooks, and improves how companies connect to the world.</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2.1.3.4 Board Skills and Expertise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board must do more than meet—it must know what to do. The skills held by directors must match the firm’s goals and the risks it faces. Key areas include finance, strategy, law, compliance, operations, and specific market knowledge. Hillman and </w:t>
      </w:r>
      <w:proofErr w:type="spellStart"/>
      <w:r>
        <w:rPr>
          <w:rFonts w:ascii="Times New Roman" w:eastAsia="Times New Roman" w:hAnsi="Times New Roman" w:cs="Times New Roman"/>
          <w:sz w:val="24"/>
          <w:szCs w:val="24"/>
        </w:rPr>
        <w:t>Dalziel</w:t>
      </w:r>
      <w:proofErr w:type="spellEnd"/>
      <w:r>
        <w:rPr>
          <w:rFonts w:ascii="Times New Roman" w:eastAsia="Times New Roman" w:hAnsi="Times New Roman" w:cs="Times New Roman"/>
          <w:sz w:val="24"/>
          <w:szCs w:val="24"/>
        </w:rPr>
        <w:t xml:space="preserve"> (2019) argue that a skilled board is better able to guide, check, and support management choices. Boards are not meant to just observe—they are meant to shape the future. </w:t>
      </w:r>
      <w:proofErr w:type="spellStart"/>
      <w:r>
        <w:rPr>
          <w:rFonts w:ascii="Times New Roman" w:eastAsia="Times New Roman" w:hAnsi="Times New Roman" w:cs="Times New Roman"/>
          <w:sz w:val="24"/>
          <w:szCs w:val="24"/>
        </w:rPr>
        <w:t>Faleye</w:t>
      </w:r>
      <w:proofErr w:type="spellEnd"/>
      <w:r>
        <w:rPr>
          <w:rFonts w:ascii="Times New Roman" w:eastAsia="Times New Roman" w:hAnsi="Times New Roman" w:cs="Times New Roman"/>
          <w:sz w:val="24"/>
          <w:szCs w:val="24"/>
        </w:rPr>
        <w:t xml:space="preserve"> (2021) notes that in Nigeria, having the right mix of board talents helps companies face tough regulations, complex markets, and shifting policy environments. Skill diversity makes it easier to balance risk, plan effectively, and steer the company in uncertain times.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all firms need the same kind of board. A company looking to expand across borders may need global insight. A firm in a heavily watched sector might need directors with legal sharpness. What matters is that boards match their environment. Regular checks of board skill sets help fill gaps and prepare for future needs. It is not just about having big names on paper but having people who can think critically, ask the right questions, and guide the firm through real challenges. Boards that adapt and grow in skill offer firms a strong base for smart growth and strong control.</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2.1.3.5 Board Evaluation and Effectiveness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Boards must be held to a standard just like company staff. Evaluation is key to keeping boards sharp, active, and useful. This can be done by letting board members rate themselves, by peer review, or by using outside experts. Nicholson and Kiel (2017) write that board reviews should look into board dynamics, group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and how well the board adds to strategy and control. </w:t>
      </w:r>
      <w:proofErr w:type="spellStart"/>
      <w:r>
        <w:rPr>
          <w:rFonts w:ascii="Times New Roman" w:eastAsia="Times New Roman" w:hAnsi="Times New Roman" w:cs="Times New Roman"/>
          <w:sz w:val="24"/>
          <w:szCs w:val="24"/>
        </w:rPr>
        <w:t>Obafemi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Adeyemi</w:t>
      </w:r>
      <w:proofErr w:type="spellEnd"/>
      <w:r>
        <w:rPr>
          <w:rFonts w:ascii="Times New Roman" w:eastAsia="Times New Roman" w:hAnsi="Times New Roman" w:cs="Times New Roman"/>
          <w:sz w:val="24"/>
          <w:szCs w:val="24"/>
        </w:rPr>
        <w:t xml:space="preserve"> (2022) explain that in Nigeria, board reviews are still new but are gaining </w:t>
      </w:r>
      <w:r>
        <w:rPr>
          <w:rFonts w:ascii="Times New Roman" w:eastAsia="Times New Roman" w:hAnsi="Times New Roman" w:cs="Times New Roman"/>
          <w:sz w:val="24"/>
          <w:szCs w:val="24"/>
        </w:rPr>
        <w:lastRenderedPageBreak/>
        <w:t>ground. Building good tools and clear ways to measure board success can raise leadership quality and improve the entire governance system.</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Good boards are alert, thoughtful, and strong in speaking truth to power. They guide company direction, ask hard questions, and make sure the firm follows good rules and ethics. But boards, like any group, can lose steam. That’s why their work must be tested often. Reviews help spot where boards fall short and where new members or training are needed. In Nigeria, making board checks common practice can help raise trust, cut missteps, and build a system where boards not only exist but also make a clear difference in how firms grow and behave.</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 Board Activities</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2.1.4.1 Board Meetings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meetings serve as the core gathering point where the directors of a firm discuss key subjects, review long-term plans, and evaluate pressing decisions. These meetings are the structured times when top-level discussions occur on strategy, direction, and leadership oversight. Lipton and </w:t>
      </w:r>
      <w:proofErr w:type="spellStart"/>
      <w:r>
        <w:rPr>
          <w:rFonts w:ascii="Times New Roman" w:eastAsia="Times New Roman" w:hAnsi="Times New Roman" w:cs="Times New Roman"/>
          <w:sz w:val="24"/>
          <w:szCs w:val="24"/>
        </w:rPr>
        <w:t>Lorsch</w:t>
      </w:r>
      <w:proofErr w:type="spellEnd"/>
      <w:r>
        <w:rPr>
          <w:rFonts w:ascii="Times New Roman" w:eastAsia="Times New Roman" w:hAnsi="Times New Roman" w:cs="Times New Roman"/>
          <w:sz w:val="24"/>
          <w:szCs w:val="24"/>
        </w:rPr>
        <w:t xml:space="preserve"> (2018) explain that "effective board meetings let directors challenge leadership, test plans, and help steer firms toward long-term goals" (p. 45). In Nigeria, the findings of Adebayo and </w:t>
      </w:r>
      <w:proofErr w:type="spellStart"/>
      <w:r>
        <w:rPr>
          <w:rFonts w:ascii="Times New Roman" w:eastAsia="Times New Roman" w:hAnsi="Times New Roman" w:cs="Times New Roman"/>
          <w:sz w:val="24"/>
          <w:szCs w:val="24"/>
        </w:rPr>
        <w:t>Olowookere</w:t>
      </w:r>
      <w:proofErr w:type="spellEnd"/>
      <w:r>
        <w:rPr>
          <w:rFonts w:ascii="Times New Roman" w:eastAsia="Times New Roman" w:hAnsi="Times New Roman" w:cs="Times New Roman"/>
          <w:sz w:val="24"/>
          <w:szCs w:val="24"/>
        </w:rPr>
        <w:t xml:space="preserve"> (2019) confirm that planned and regular board meetings improve how firms perform financially and lower risk exposure. Their study links strong meeting structures with metrics like improved returns and stronger risk control systems.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Apart from approving budgets or major policies, these sessions serve to track company progress and help boards adapt to fast-moving internal and external events. High-quality meetings are not just about frequency but also about content, structure, and engagement. A board that meets often but wastes time on unclear reports or vague agenda points will still perform poorly. Good meetings allow members to understand what is changing, what is working, and what needs fixing. The focus </w:t>
      </w:r>
      <w:r>
        <w:rPr>
          <w:rFonts w:ascii="Times New Roman" w:eastAsia="Times New Roman" w:hAnsi="Times New Roman" w:cs="Times New Roman"/>
          <w:sz w:val="24"/>
          <w:szCs w:val="24"/>
        </w:rPr>
        <w:lastRenderedPageBreak/>
        <w:t>must be on decision value, not meeting length. An open space for honest talk and full updates makes boards more alert and informed. Through this, companies stay prepared and well-aligned with their mission.</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2.1.4.2 Board Meeting Frequency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number of times a board meets each year reflects how active it is in watching over the company. Some boards meet four times, others more, depending on what the firm needs. </w:t>
      </w:r>
      <w:proofErr w:type="spellStart"/>
      <w:r>
        <w:rPr>
          <w:rFonts w:ascii="Times New Roman" w:eastAsia="Times New Roman" w:hAnsi="Times New Roman" w:cs="Times New Roman"/>
          <w:sz w:val="24"/>
          <w:szCs w:val="24"/>
        </w:rPr>
        <w:t>Vafeas</w:t>
      </w:r>
      <w:proofErr w:type="spellEnd"/>
      <w:r>
        <w:rPr>
          <w:rFonts w:ascii="Times New Roman" w:eastAsia="Times New Roman" w:hAnsi="Times New Roman" w:cs="Times New Roman"/>
          <w:sz w:val="24"/>
          <w:szCs w:val="24"/>
        </w:rPr>
        <w:t xml:space="preserve"> (2019) notes that while more meetings usually support better results, the value drops if they become too frequent or aimless. Nigerian data from </w:t>
      </w:r>
      <w:proofErr w:type="spellStart"/>
      <w:r>
        <w:rPr>
          <w:rFonts w:ascii="Times New Roman" w:eastAsia="Times New Roman" w:hAnsi="Times New Roman" w:cs="Times New Roman"/>
          <w:sz w:val="24"/>
          <w:szCs w:val="24"/>
        </w:rPr>
        <w:t>Uwuigbe</w:t>
      </w:r>
      <w:proofErr w:type="spellEnd"/>
      <w:r>
        <w:rPr>
          <w:rFonts w:ascii="Times New Roman" w:eastAsia="Times New Roman" w:hAnsi="Times New Roman" w:cs="Times New Roman"/>
          <w:sz w:val="24"/>
          <w:szCs w:val="24"/>
        </w:rPr>
        <w:t xml:space="preserve"> (2020) reveals that boards that meet too often may perform worse. Constant meetings may drain time needed for deep thinking, reduce rest between plans, and lead to hasty or weak decisions. </w:t>
      </w:r>
      <w:proofErr w:type="spellStart"/>
      <w:r>
        <w:rPr>
          <w:rFonts w:ascii="Times New Roman" w:eastAsia="Times New Roman" w:hAnsi="Times New Roman" w:cs="Times New Roman"/>
          <w:sz w:val="24"/>
          <w:szCs w:val="24"/>
        </w:rPr>
        <w:t>Yermack</w:t>
      </w:r>
      <w:proofErr w:type="spellEnd"/>
      <w:r>
        <w:rPr>
          <w:rFonts w:ascii="Times New Roman" w:eastAsia="Times New Roman" w:hAnsi="Times New Roman" w:cs="Times New Roman"/>
          <w:sz w:val="24"/>
          <w:szCs w:val="24"/>
        </w:rPr>
        <w:t xml:space="preserve"> (1996) reached similar conclusions: excessive board meetings may mean poor efficiency, not strong oversight.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Firms in volatile industries or with many challenges may need more frequent meetings to stay ahead. Meanwhile, mature or stable firms might require fewer. What matters is the rhythm. Enough time must be left between meetings to carry out decisions. But gaps must not be so wide that boards become distant. Firms should examine past events, industry norms, and firm size before deciding. An active board is not just one that meets more. It is one that meets right—at the right times, with the right topics, and the right intent.</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2.1.4.3 Board Meeting Attendance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meetings mean little if the people in charge do not show up. Attendance signals seriousness. When directors miss sessions, they miss context, data, and momentum. Adams and Ferreira (2018) state that directors who attend regularly understand ongoing matters better and are more likely to add value. They also uphold their duty of care. </w:t>
      </w:r>
      <w:proofErr w:type="spellStart"/>
      <w:r>
        <w:rPr>
          <w:rFonts w:ascii="Times New Roman" w:eastAsia="Times New Roman" w:hAnsi="Times New Roman" w:cs="Times New Roman"/>
          <w:sz w:val="24"/>
          <w:szCs w:val="24"/>
        </w:rPr>
        <w:t>Fagbemi</w:t>
      </w:r>
      <w:proofErr w:type="spellEnd"/>
      <w:r>
        <w:rPr>
          <w:rFonts w:ascii="Times New Roman" w:eastAsia="Times New Roman" w:hAnsi="Times New Roman" w:cs="Times New Roman"/>
          <w:sz w:val="24"/>
          <w:szCs w:val="24"/>
        </w:rPr>
        <w:t xml:space="preserve"> (2021) shows that in Nigeria, attendance </w:t>
      </w:r>
      <w:r>
        <w:rPr>
          <w:rFonts w:ascii="Times New Roman" w:eastAsia="Times New Roman" w:hAnsi="Times New Roman" w:cs="Times New Roman"/>
          <w:sz w:val="24"/>
          <w:szCs w:val="24"/>
        </w:rPr>
        <w:lastRenderedPageBreak/>
        <w:t>is tied to both better earnings and stronger non-financial results. Boards that keep attendance high perform better overall. This builds a team spirit and trust.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directors skip many meetings, it raises questions about their commitment. They may fall behind and offer weak input. This weakens oversight and delays important feedback. Boards should have clear rules: regular attendance is a duty, not a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 Valid excuses happen, but missed meetings must not become routine. Keeping a record of who attends builds accountability. Firms should also review attendance as part of yearly board appraisals. A strong board is one where each member shows up, joins fully, and stays prepared to face the firm’s changing needs.</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2.1.4.4 Information Flow and Board Decision-Making</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is the fuel for smart decisions. Without it, boards may act late or make poor calls. Boards must get full, timely, and clear reports to understand the company and give solid guidance. </w:t>
      </w:r>
      <w:proofErr w:type="spellStart"/>
      <w:r>
        <w:rPr>
          <w:rFonts w:ascii="Times New Roman" w:eastAsia="Times New Roman" w:hAnsi="Times New Roman" w:cs="Times New Roman"/>
          <w:sz w:val="24"/>
          <w:szCs w:val="24"/>
        </w:rPr>
        <w:t>Fama</w:t>
      </w:r>
      <w:proofErr w:type="spellEnd"/>
      <w:r>
        <w:rPr>
          <w:rFonts w:ascii="Times New Roman" w:eastAsia="Times New Roman" w:hAnsi="Times New Roman" w:cs="Times New Roman"/>
          <w:sz w:val="24"/>
          <w:szCs w:val="24"/>
        </w:rPr>
        <w:t xml:space="preserve"> and Jensen (2019) explain that board members often depend on managers for insights, and this may create gaps or slant. That is why boards need systems to verify facts and get updates quickly. </w:t>
      </w:r>
      <w:proofErr w:type="spellStart"/>
      <w:r>
        <w:rPr>
          <w:rFonts w:ascii="Times New Roman" w:eastAsia="Times New Roman" w:hAnsi="Times New Roman" w:cs="Times New Roman"/>
          <w:sz w:val="24"/>
          <w:szCs w:val="24"/>
        </w:rPr>
        <w:t>Obafemi</w:t>
      </w:r>
      <w:proofErr w:type="spellEnd"/>
      <w:r>
        <w:rPr>
          <w:rFonts w:ascii="Times New Roman" w:eastAsia="Times New Roman" w:hAnsi="Times New Roman" w:cs="Times New Roman"/>
          <w:sz w:val="24"/>
          <w:szCs w:val="24"/>
        </w:rPr>
        <w:t xml:space="preserve"> (2020) suggests that when Nigerian boards adopt digital tools and reporting platforms, they avoid delay, cut errors, and make stronger plans. Fast and filtered information makes discussions sharper.</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Besides performance charts and finance updates, boards also need data on outside threats, legal shifts, and customer trends. Poor communication creates blind spots. If managers hide weak results or only give soft reports, the board cannot act in time. A good board insists on open, full talk. The right mix is one where the board sees the truth early and clearly. It also means back-and-forth. The board must be allowed to ask, question, and test the facts. Managers should be ready to answer with detail, not excuses. Strong boards push for tools that improve accuracy, access, and action.</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2.1.4.5 Board Committees and Their Roles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Committees within a board act like teams focused on key parts of the firm. These include the audit team, risk team, and search or nomination team. Klein (2017) explains that audit teams are vital because they help check records, fight fraud, and support honest reports. They reduce waste by reducing the space for lies or errors. In Nigeria, </w:t>
      </w:r>
      <w:proofErr w:type="spellStart"/>
      <w:r>
        <w:rPr>
          <w:rFonts w:ascii="Times New Roman" w:eastAsia="Times New Roman" w:hAnsi="Times New Roman" w:cs="Times New Roman"/>
          <w:sz w:val="24"/>
          <w:szCs w:val="24"/>
        </w:rPr>
        <w:t>Oladele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Adekunle</w:t>
      </w:r>
      <w:proofErr w:type="spellEnd"/>
      <w:r>
        <w:rPr>
          <w:rFonts w:ascii="Times New Roman" w:eastAsia="Times New Roman" w:hAnsi="Times New Roman" w:cs="Times New Roman"/>
          <w:sz w:val="24"/>
          <w:szCs w:val="24"/>
        </w:rPr>
        <w:t xml:space="preserve"> (2019) observe that audit groups help firms earn investor trust. They also call for more freedom and training for these groups to help them do more and do better.</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Besides audit roles, other teams help the board act faster. The risk team checks for problems in finance, law, or operations. The search team picks new members who bring needed skills. These teams let the full board focus on big goals. For committees to work, they must have clear goals, full support, and skilled people. They must also meet often and report clearly. The board must watch them and give help when needed. Committees are not extra—they are core parts of good governance. When they run well, the board gains power, insight, and speed. When they fail, oversight breaks, and firms face risks. Strong boards invest in building strong committee arms.</w:t>
      </w:r>
    </w:p>
    <w:p w:rsidR="003B5071" w:rsidRPr="00E773C1" w:rsidRDefault="00615BF0">
      <w:pPr>
        <w:pStyle w:val="Normal1"/>
        <w:spacing w:line="480" w:lineRule="auto"/>
        <w:jc w:val="both"/>
        <w:rPr>
          <w:rFonts w:ascii="Times New Roman" w:eastAsia="Times New Roman" w:hAnsi="Times New Roman" w:cs="Times New Roman"/>
          <w:b/>
          <w:sz w:val="24"/>
          <w:szCs w:val="24"/>
        </w:rPr>
      </w:pPr>
      <w:r w:rsidRPr="00E773C1">
        <w:rPr>
          <w:rFonts w:ascii="Times New Roman" w:eastAsia="Times New Roman" w:hAnsi="Times New Roman" w:cs="Times New Roman"/>
          <w:b/>
          <w:sz w:val="24"/>
          <w:szCs w:val="24"/>
        </w:rPr>
        <w:t>2.1.5 Background Profile of the Selected Companies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Unilever Nigeria PLC, formed in 1923, holds deep ties to Nigeria’s everyday goods trade. It makes core items like cooking staples, cleaning mixes, and body care tools. As a listed firm on the Nigerian Stock Exchange, it links to Unilever PLC, its global parent. It owns many plants around Nigeria, joined to a broad supply chain that feeds both busy streets and village stalls. The firm also drives local uplift, aiming to trim waste, grow clean water reach, and guard nearby green zones (Unilever Nigeria, 2023). Some moves match local eco-laws, but how tightly rules are checked shifts across places.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Nigerian Breweries PLC, set up in 1946, quickly grew into the lead brewer of drinks across Nigeria. With ties to Heineken International, it forms part of a bigger global net shaping product </w:t>
      </w:r>
      <w:r>
        <w:rPr>
          <w:rFonts w:ascii="Times New Roman" w:eastAsia="Times New Roman" w:hAnsi="Times New Roman" w:cs="Times New Roman"/>
          <w:sz w:val="24"/>
          <w:szCs w:val="24"/>
        </w:rPr>
        <w:lastRenderedPageBreak/>
        <w:t>flow and brand tone. As a listed firm, it draws strong city-based buyers. It keeps its drinks fresh by following crowd likes, new tastes, and festive tides. Beyond sales, it backs projects in school and youth work, sometimes to gain trust or social space (Nigerian Breweries, 2023). Yet how far such moves match state blueprints still lacks full check.</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Flour Mills of Nigeria PLC, born in 1960, began by milling grains but later spread into top spots across the food and farm web. It now makes flour, oils, sugar, pasta, and feeds for animals. As a public firm tracked on the Nigerian Stock Exchange, it leans on ties with small farms, giving tools, tips, and aid. It helps the push to cut food imports, often earning law boosts for using home-grown crops. Still, it faces haulage and link-up snags, more so when cash falls or costs rise (Flour Mills of Nigeria, 2023). Its watch over goods and field use is mainly done in-house.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Cadbury Nigeria PLC, opened in 1965, is a big face in Nigeria’s sweet goods trade. It makes chocolate bars, sweets, and gum, linked with </w:t>
      </w:r>
      <w:proofErr w:type="spellStart"/>
      <w:r>
        <w:rPr>
          <w:rFonts w:ascii="Times New Roman" w:eastAsia="Times New Roman" w:hAnsi="Times New Roman" w:cs="Times New Roman"/>
          <w:sz w:val="24"/>
          <w:szCs w:val="24"/>
        </w:rPr>
        <w:t>Mondelez</w:t>
      </w:r>
      <w:proofErr w:type="spellEnd"/>
      <w:r>
        <w:rPr>
          <w:rFonts w:ascii="Times New Roman" w:eastAsia="Times New Roman" w:hAnsi="Times New Roman" w:cs="Times New Roman"/>
          <w:sz w:val="24"/>
          <w:szCs w:val="24"/>
        </w:rPr>
        <w:t xml:space="preserve"> International and traded on the Nigerian Stock Exchange. Its name rings loud with both old and new fans. It meets both party times and daily shop needs. It runs a busy plant with new gear, checks on quality, and fresh pack styles. Though it stays within rules, checks tend to come in gaps not steady rounds. It holds firm market ground but must face sharp food laws, fresh taste waves, and cost climbs for raw goods (Cadbury Nigeria, 2023).</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Theoretical Review</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section explains the ideas guiding the study, focusing on Agency Theory and Stakeholder Theory. It shows how both connect to corporate governance and firm financial results.</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2.2.1 Agency Theory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Agency theory, as first written by Jensen and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xml:space="preserve"> in 1976, explains the bond between those who own a business and those who are hired to manage it. Their work built the base for </w:t>
      </w:r>
      <w:r>
        <w:rPr>
          <w:rFonts w:ascii="Times New Roman" w:eastAsia="Times New Roman" w:hAnsi="Times New Roman" w:cs="Times New Roman"/>
          <w:sz w:val="24"/>
          <w:szCs w:val="24"/>
        </w:rPr>
        <w:lastRenderedPageBreak/>
        <w:t xml:space="preserve">understanding issues that can come when control is handed to someone else. The main point is that when owners give managers the power to run a business, the managers may act in their own interest, not the owner’s. </w:t>
      </w:r>
      <w:proofErr w:type="spellStart"/>
      <w:r>
        <w:rPr>
          <w:rFonts w:ascii="Times New Roman" w:eastAsia="Times New Roman" w:hAnsi="Times New Roman" w:cs="Times New Roman"/>
          <w:sz w:val="24"/>
          <w:szCs w:val="24"/>
        </w:rPr>
        <w:t>Eisenhardt</w:t>
      </w:r>
      <w:proofErr w:type="spellEnd"/>
      <w:r>
        <w:rPr>
          <w:rFonts w:ascii="Times New Roman" w:eastAsia="Times New Roman" w:hAnsi="Times New Roman" w:cs="Times New Roman"/>
          <w:sz w:val="24"/>
          <w:szCs w:val="24"/>
        </w:rPr>
        <w:t xml:space="preserve"> (1989) says the idea </w:t>
      </w:r>
      <w:proofErr w:type="spellStart"/>
      <w:r>
        <w:rPr>
          <w:rFonts w:ascii="Times New Roman" w:eastAsia="Times New Roman" w:hAnsi="Times New Roman" w:cs="Times New Roman"/>
          <w:sz w:val="24"/>
          <w:szCs w:val="24"/>
        </w:rPr>
        <w:t>centres</w:t>
      </w:r>
      <w:proofErr w:type="spellEnd"/>
      <w:r>
        <w:rPr>
          <w:rFonts w:ascii="Times New Roman" w:eastAsia="Times New Roman" w:hAnsi="Times New Roman" w:cs="Times New Roman"/>
          <w:sz w:val="24"/>
          <w:szCs w:val="24"/>
        </w:rPr>
        <w:t xml:space="preserve"> on this split between the owner (the principal) and the manager (the agent), where the manager must act for the owner. Yet this creates a gap where the agent might care more about their own gain than the owner's. </w:t>
      </w:r>
      <w:proofErr w:type="spellStart"/>
      <w:r>
        <w:rPr>
          <w:rFonts w:ascii="Times New Roman" w:eastAsia="Times New Roman" w:hAnsi="Times New Roman" w:cs="Times New Roman"/>
          <w:sz w:val="24"/>
          <w:szCs w:val="24"/>
        </w:rPr>
        <w:t>Shleifer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Vishny</w:t>
      </w:r>
      <w:proofErr w:type="spellEnd"/>
      <w:r>
        <w:rPr>
          <w:rFonts w:ascii="Times New Roman" w:eastAsia="Times New Roman" w:hAnsi="Times New Roman" w:cs="Times New Roman"/>
          <w:sz w:val="24"/>
          <w:szCs w:val="24"/>
        </w:rPr>
        <w:t xml:space="preserve"> (1997) say when managers know more than owners, this hidden detail can make the gap even worse.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split brings extra costs, known as agency costs. These include the cost of watching managers and the cost of trying to bring their actions in line with what owners want. The theory says weak rules around governance allow these problems to grow. Good corporate governance is meant to fix this. It lines up the needs of all sides and ensures that managers answer for what they do.</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Still, agency theory is not without its flaws. Daily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(2003) believe the theory pays too much attention to owners and managers and too little to other people like workers, buyers, or suppliers. So, the theory has changed over time. Now, it looks at outside forces like market pressure and laws. It also tries to include more voices.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Even so, some say the theory treats humans too simply, assuming all will act only in self-interest. But things like shared values, teamwork, and trust also shape how managers act. Yet the basic idea remains useful: when someone is hired to act for someone else, there can be conflict. Strong rules and systems are still needed to prevent this and keep decision-making clear and honest.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corporate governance helps lower these agency issues. </w:t>
      </w:r>
      <w:proofErr w:type="spellStart"/>
      <w:r>
        <w:rPr>
          <w:rFonts w:ascii="Times New Roman" w:eastAsia="Times New Roman" w:hAnsi="Times New Roman" w:cs="Times New Roman"/>
          <w:sz w:val="24"/>
          <w:szCs w:val="24"/>
        </w:rPr>
        <w:t>Fama</w:t>
      </w:r>
      <w:proofErr w:type="spellEnd"/>
      <w:r>
        <w:rPr>
          <w:rFonts w:ascii="Times New Roman" w:eastAsia="Times New Roman" w:hAnsi="Times New Roman" w:cs="Times New Roman"/>
          <w:sz w:val="24"/>
          <w:szCs w:val="24"/>
        </w:rPr>
        <w:t xml:space="preserve"> and Jensen (1983) argue that splitting ownership from control only works well when good rules are in place. Boards with outside directors, pay tied to performance, and clear reporting rules help to bring manager actions in line with owner goals. In Nigeria, applying agency theory is harder. </w:t>
      </w:r>
      <w:proofErr w:type="spellStart"/>
      <w:r>
        <w:rPr>
          <w:rFonts w:ascii="Times New Roman" w:eastAsia="Times New Roman" w:hAnsi="Times New Roman" w:cs="Times New Roman"/>
          <w:sz w:val="24"/>
          <w:szCs w:val="24"/>
        </w:rPr>
        <w:t>Adegbite</w:t>
      </w:r>
      <w:proofErr w:type="spellEnd"/>
      <w:r>
        <w:rPr>
          <w:rFonts w:ascii="Times New Roman" w:eastAsia="Times New Roman" w:hAnsi="Times New Roman" w:cs="Times New Roman"/>
          <w:sz w:val="24"/>
          <w:szCs w:val="24"/>
        </w:rPr>
        <w:t xml:space="preserve"> (2015) points out that </w:t>
      </w:r>
      <w:r>
        <w:rPr>
          <w:rFonts w:ascii="Times New Roman" w:eastAsia="Times New Roman" w:hAnsi="Times New Roman" w:cs="Times New Roman"/>
          <w:sz w:val="24"/>
          <w:szCs w:val="24"/>
        </w:rPr>
        <w:lastRenderedPageBreak/>
        <w:t>weak law systems and cultural norms add more cost and confusion. This means Nigerian firms need stronger rules to handle these agency issues.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uses agency theory to look at how company rules and board setup affect financial results. The theory helps explain how boards work to fix conflicts between owners and managers. It checks whether board size, independence, and actions such as meeting frequency help control management and boost financial gains.</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 Stakeholder Theory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 theory, mainly shaped by Freeman in 1984, takes a wider view. Unlike agency theory, it says that companies must serve more than just their owners. Many people have a stake in a firm’s success—this includes staff, buyers, suppliers, and the society around the firm.</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theory says that good decisions in business must think about all those affected. Donaldson and Preston (1995) believe that listening to many voices helps a firm last longer and do better. Firms that value others, not just owners, may make fewer mistakes and enjoy more trust. Harrison and Wicks (2013) show that firms using stakeholder ideas gain more value because they avoid risk and build long-term ties. They say this is not just ethical; it also leads to better outcomes.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Still, the theory has had to grow. Phillips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(2003) say the goal is not just to manage ties but to create value for all. They admit the idea can sound unclear, so newer work has tried to define which stakeholders matter most. Some argue the law is still more focused on owners. Others say trying to balance many needs is too hard for firms. Yet with more calls for fairness and community care, the core of stakeholder theory keeps its value. Today, firms are watched not just for profit but for how they treat people and nature.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main challenge is finding a fair way to balance all interests. Mitchell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(1997) suggest that firms rank stakeholders by power, urgency, and rightful claim. This helps in deciding whose needs </w:t>
      </w:r>
      <w:r>
        <w:rPr>
          <w:rFonts w:ascii="Times New Roman" w:eastAsia="Times New Roman" w:hAnsi="Times New Roman" w:cs="Times New Roman"/>
          <w:sz w:val="24"/>
          <w:szCs w:val="24"/>
        </w:rPr>
        <w:lastRenderedPageBreak/>
        <w:t xml:space="preserve">come first. In Nigeria, this is even more complex. </w:t>
      </w:r>
      <w:proofErr w:type="spellStart"/>
      <w:r>
        <w:rPr>
          <w:rFonts w:ascii="Times New Roman" w:eastAsia="Times New Roman" w:hAnsi="Times New Roman" w:cs="Times New Roman"/>
          <w:sz w:val="24"/>
          <w:szCs w:val="24"/>
        </w:rPr>
        <w:t>Ayuso</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(2006) argue that even in places with unique cultures, stakeholder ideas still help boards act better. They say that boards should speak with stakeholders and let their views guide some choices.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uses stakeholder theory to explain how board actions and makeup may reflect wider stakeholder needs. When boards include women or meet often, they may listen better to different groups. This could help firms not only perform better but also stay trusted. The theory gives room to look at governance in a way that goes beyond just profit. It helps show how firms can be stronger by being more open and fair.</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mainly follows Agency Theory, as proposed by Jensen and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xml:space="preserve"> in 1976. It helps examine how board traits and actions—like size, independence, gender mix, and meeting patterns—can reduce conflict and raise firm success. By applying this theory to Nigerian firms, the study tests how good governance can lead to better financial results.</w:t>
      </w:r>
    </w:p>
    <w:p w:rsidR="003B5071" w:rsidRDefault="00615BF0">
      <w:pPr>
        <w:pStyle w:val="Heading3"/>
        <w:keepNext w:val="0"/>
        <w:keepLines w:val="0"/>
        <w:spacing w:before="0" w:after="0" w:line="480" w:lineRule="auto"/>
        <w:jc w:val="both"/>
        <w:rPr>
          <w:rFonts w:ascii="Times New Roman" w:eastAsia="Times New Roman" w:hAnsi="Times New Roman" w:cs="Times New Roman"/>
          <w:b/>
          <w:color w:val="000000"/>
          <w:sz w:val="24"/>
          <w:szCs w:val="24"/>
        </w:rPr>
      </w:pPr>
      <w:bookmarkStart w:id="24" w:name="_1hdkup9z8lii" w:colFirst="0" w:colLast="0"/>
      <w:bookmarkEnd w:id="24"/>
      <w:r>
        <w:rPr>
          <w:rFonts w:ascii="Times New Roman" w:eastAsia="Times New Roman" w:hAnsi="Times New Roman" w:cs="Times New Roman"/>
          <w:b/>
          <w:color w:val="000000"/>
          <w:sz w:val="24"/>
          <w:szCs w:val="24"/>
        </w:rPr>
        <w:t>2.3 Empirical Review</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Mandal</w:t>
      </w:r>
      <w:proofErr w:type="spellEnd"/>
      <w:r>
        <w:rPr>
          <w:rFonts w:ascii="Times New Roman" w:eastAsia="Times New Roman" w:hAnsi="Times New Roman" w:cs="Times New Roman"/>
          <w:sz w:val="24"/>
          <w:szCs w:val="24"/>
        </w:rPr>
        <w:t xml:space="preserve"> and Al-Khaled (2018) dug into the workings of corporate governance inside Indian electronic consumer firms and tried to trace how certain parts of governance shaped performance. They focused sharply on four items—how many sit on the board, how large the audit committee is, how often that committee meets, and whether it stands on its own. Two outcomes guided them: return on capital employed and return on assets. They picked listed firms that made durable electronic goods from 2010 to 2017. The base for the work came from agency theory. Data came from annual reports. The tools used were descriptive statistics, correlation matrices, and regression models. Their main takeaway was that three of the four governance items—board size, audit committee size, and number of meetings—did not shift performance in any big way. But independence in the audit committee made a visible and positive mark. From this, they closed the </w:t>
      </w:r>
      <w:r>
        <w:rPr>
          <w:rFonts w:ascii="Times New Roman" w:eastAsia="Times New Roman" w:hAnsi="Times New Roman" w:cs="Times New Roman"/>
          <w:sz w:val="24"/>
          <w:szCs w:val="24"/>
        </w:rPr>
        <w:lastRenderedPageBreak/>
        <w:t>study by stating that the key was not in quantity but in quality. Boards should not stretch bigger just for the sake of it. They advised firms in India to tighten the strength and freedom of their audit teams and avoid wasting energy on adding members who may not move the needle.</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Sani</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 turned their lens to banks in Nigeria and asked whether independence in the boardroom makes banks perform better. They checked bank reports between 2011 and 2018 and tied their work to agency theory. Their angle focused on two performance measures: return on assets and how much equity was held. They pulled secondary data from published reports and applied multivariate tools for the analysis. In the end, they found something unexpected—board independence did not stir much change in either asset returns or equity ownership. With this, they called for stronger rules to make board independence more than just a name. The team argued that more non-executive and truly independent members should fill board seats. Their thinking was that outside voices with industry insight and clean hands would do a better job of offering checks, advice, and distance from internal interests that may weaken control.</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Aifes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Jarboui</w:t>
      </w:r>
      <w:proofErr w:type="spellEnd"/>
      <w:r>
        <w:rPr>
          <w:rFonts w:ascii="Times New Roman" w:eastAsia="Times New Roman" w:hAnsi="Times New Roman" w:cs="Times New Roman"/>
          <w:sz w:val="24"/>
          <w:szCs w:val="24"/>
        </w:rPr>
        <w:t xml:space="preserve"> (2023) cast a wider net and did a cross-sector study in the United Kingdom. They explored whether corporate governance helps or hinders firm performance across different industries. The study followed 160 listed firms, spanning sectors, during 2018 and 2019. Again, the anchor was agency theory. Their key performance variable was return on equity. They tied this against a governance score, adjusting for leverage, company age, and total assets. Data came from two places—Bureau van </w:t>
      </w:r>
      <w:proofErr w:type="spellStart"/>
      <w:r>
        <w:rPr>
          <w:rFonts w:ascii="Times New Roman" w:eastAsia="Times New Roman" w:hAnsi="Times New Roman" w:cs="Times New Roman"/>
          <w:sz w:val="24"/>
          <w:szCs w:val="24"/>
        </w:rPr>
        <w:t>Dijk’s</w:t>
      </w:r>
      <w:proofErr w:type="spellEnd"/>
      <w:r>
        <w:rPr>
          <w:rFonts w:ascii="Times New Roman" w:eastAsia="Times New Roman" w:hAnsi="Times New Roman" w:cs="Times New Roman"/>
          <w:sz w:val="24"/>
          <w:szCs w:val="24"/>
        </w:rPr>
        <w:t xml:space="preserve"> Osiris and the DataStream platform. The tools used were </w:t>
      </w:r>
      <w:proofErr w:type="spellStart"/>
      <w:r>
        <w:rPr>
          <w:rFonts w:ascii="Times New Roman" w:eastAsia="Times New Roman" w:hAnsi="Times New Roman" w:cs="Times New Roman"/>
          <w:sz w:val="24"/>
          <w:szCs w:val="24"/>
        </w:rPr>
        <w:t>generalised</w:t>
      </w:r>
      <w:proofErr w:type="spellEnd"/>
      <w:r>
        <w:rPr>
          <w:rFonts w:ascii="Times New Roman" w:eastAsia="Times New Roman" w:hAnsi="Times New Roman" w:cs="Times New Roman"/>
          <w:sz w:val="24"/>
          <w:szCs w:val="24"/>
        </w:rPr>
        <w:t xml:space="preserve"> least squares and fixed effects models. What they found was strong: good governance pushed up financial performance, not just overall but inside specific fields like tech, consumer goods, and materials. They wrapped up with a clear point—governance, when done right, helps. Their recommendation was for companies in those growing sectors to pay closer attention to board </w:t>
      </w:r>
      <w:r>
        <w:rPr>
          <w:rFonts w:ascii="Times New Roman" w:eastAsia="Times New Roman" w:hAnsi="Times New Roman" w:cs="Times New Roman"/>
          <w:sz w:val="24"/>
          <w:szCs w:val="24"/>
        </w:rPr>
        <w:lastRenderedPageBreak/>
        <w:t>structure, monitoring quality, and consistent governance models. They suggested more cross-sector studies in other countries to widen the view and test how governance behaves under different conditions.</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Afor</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 turned attention to Nigeria’s insurance field and asked how governance shapes results. The focus was on three variables: how independent the board is, how many members it holds, and how many women take part. They looked at 45 insurers, using data between 2008 and 2018. Their theories came from both the agency and stakeholder schools. They used an ex post facto method with panel data. Tobin’s Q measured financial performance, and the main governance items were board independence, board size, and gender mix. Their data came from company filings, and the tools used were panel regression models that tested both fixed and random effects. The findings carried a twist—independence on the board pulled performance down, while a bigger board and more women on it pushed performance up. They ended with a call for better structures. Boards, they said, should aim to stay independent but not in name only. They must also follow high standards and ethical rules that win trust. Their view was that insurance firms in Nigeria can gain ground by adopting stronger governance patterns and taking cues from global practice, especially in how boards are shaped and held to account.</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Usikhia</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(2023) looked into listed oil and gas companies in Nigeria. The goal was to find out how some parts of corporate governance, like the number of people on the board, how the board is made up, the number of women on the board, and the features of the audit team, connect with return on assets. They picked twelve firms listed on the Nigerian Stock Exchange between 2009 and 2018. The idea was shaped by stakeholder theory. They used an ex post facto style and pulled data from annual reports and the Nigerian Stock Exchange </w:t>
      </w:r>
      <w:proofErr w:type="spellStart"/>
      <w:r>
        <w:rPr>
          <w:rFonts w:ascii="Times New Roman" w:eastAsia="Times New Roman" w:hAnsi="Times New Roman" w:cs="Times New Roman"/>
          <w:sz w:val="24"/>
          <w:szCs w:val="24"/>
        </w:rPr>
        <w:t>factbook</w:t>
      </w:r>
      <w:proofErr w:type="spellEnd"/>
      <w:r>
        <w:rPr>
          <w:rFonts w:ascii="Times New Roman" w:eastAsia="Times New Roman" w:hAnsi="Times New Roman" w:cs="Times New Roman"/>
          <w:sz w:val="24"/>
          <w:szCs w:val="24"/>
        </w:rPr>
        <w:t xml:space="preserve">. For the tools, they chose pooled OLS, fixed and random effects, and also ran descriptive and correlation tests. What came </w:t>
      </w:r>
      <w:r>
        <w:rPr>
          <w:rFonts w:ascii="Times New Roman" w:eastAsia="Times New Roman" w:hAnsi="Times New Roman" w:cs="Times New Roman"/>
          <w:sz w:val="24"/>
          <w:szCs w:val="24"/>
        </w:rPr>
        <w:lastRenderedPageBreak/>
        <w:t>out was that board size and how the board was mixed had no strong link with firm returns. But women on boards and audit team strength both pushed return on assets higher. In the end, they said governance that brings in women and keeps the audit unit sharp and active helps firms. They also told oil and gas firms to widen their boards and open more space for women, while also keeping strong, honest audits.</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Ogunsuyi</w:t>
      </w:r>
      <w:proofErr w:type="spellEnd"/>
      <w:r>
        <w:rPr>
          <w:rFonts w:ascii="Times New Roman" w:eastAsia="Times New Roman" w:hAnsi="Times New Roman" w:cs="Times New Roman"/>
          <w:sz w:val="24"/>
          <w:szCs w:val="24"/>
        </w:rPr>
        <w:t xml:space="preserve"> (2022) worked on the tie between corporate governance and how firms in Nigeria perform. The interest was in how board size, board independence, gender mix, and who owns what share, affect returns. The study used records from 28 firms listed in Nigeria from 2013 to 2017. Both agency and stakeholder theories helped shape the idea. For the work, panel data was </w:t>
      </w:r>
      <w:proofErr w:type="spellStart"/>
      <w:r>
        <w:rPr>
          <w:rFonts w:ascii="Times New Roman" w:eastAsia="Times New Roman" w:hAnsi="Times New Roman" w:cs="Times New Roman"/>
          <w:sz w:val="24"/>
          <w:szCs w:val="24"/>
        </w:rPr>
        <w:t>analysed</w:t>
      </w:r>
      <w:proofErr w:type="spellEnd"/>
      <w:r>
        <w:rPr>
          <w:rFonts w:ascii="Times New Roman" w:eastAsia="Times New Roman" w:hAnsi="Times New Roman" w:cs="Times New Roman"/>
          <w:sz w:val="24"/>
          <w:szCs w:val="24"/>
        </w:rPr>
        <w:t xml:space="preserve"> using three styles: pooled OLS, fixed effects, and random effects. Firm success was measured using return on assets and return on equity. Board size, board independence, ownership structure, and female presence were the variables of focus. Data came from annual reports. Results showed that board independence, ownership setup, and female board numbers had good effects on return on assets. But board size showed no big result. For return on equity, women and independent directors helped, but ownership and board size pulled down performance. The study said firms need to keep a balance of inside and outside voices on the board, avoid family control, and put more independent and female members on board to lift firm results.</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Ndidu</w:t>
      </w:r>
      <w:proofErr w:type="spellEnd"/>
      <w:r>
        <w:rPr>
          <w:rFonts w:ascii="Times New Roman" w:eastAsia="Times New Roman" w:hAnsi="Times New Roman" w:cs="Times New Roman"/>
          <w:sz w:val="24"/>
          <w:szCs w:val="24"/>
        </w:rPr>
        <w:t xml:space="preserve"> (2017) tested how corporate governance parts affect bank performance in Nigeria. The work picked ten banks listed on the Nigerian Stock Exchange and covered ten years, from 2006 to 2015. The theory used was agency theory. The style was ex post facto. The key result studied was earnings per share. The variables checked were board size, board makeup, number of board meetings, number of audit meetings, and the number of women on the board. Data came from published annual records. The tools used were simple and multiple regression using SPSS and the </w:t>
      </w:r>
      <w:r>
        <w:rPr>
          <w:rFonts w:ascii="Times New Roman" w:eastAsia="Times New Roman" w:hAnsi="Times New Roman" w:cs="Times New Roman"/>
          <w:sz w:val="24"/>
          <w:szCs w:val="24"/>
        </w:rPr>
        <w:lastRenderedPageBreak/>
        <w:t>OLS method. The findings showed that all the corporate governance parts studied—board makeup, size, meetings, and female count—had a clear and good link with earnings per share. The study wrapped up by saying corporate governance matters deeply in shaping financial outcomes in banks. It also pushed for more audit meetings, steady full board meetings, more female voices, and board members who are not tied too closely to the firm.</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Anyaehie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(2017) did work on insurance firms in Nigeria, checking how governance controls linked to profits. The focus was on how board size, board independence, what directors are paid, and who owns the company affect return on assets. The study looked at 100 listed firms from 2001 to 2010. Theoretical support came from agency theory and stewardship theory. The research style was ex post facto. The variables under check were board size, board independence, director pay, types of ownership, and size of the company. ROA was the main outcome variable. The researchers pulled data from annual statements and applied pooled OLS, random, and fixed effects. The results were a mix. Board size helped ROA. Board independence pulled it down. Director pay and some forms of ownership had no big effect. Ownership concentration and foreign ownership both hurt ROA. Bigger firms saw better returns. The study ended by calling for tight rules on board structure and more focus on picking independent directors who can hold their own and help the firm grow.</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 and </w:t>
      </w:r>
      <w:proofErr w:type="spellStart"/>
      <w:r>
        <w:rPr>
          <w:rFonts w:ascii="Times New Roman" w:eastAsia="Times New Roman" w:hAnsi="Times New Roman" w:cs="Times New Roman"/>
          <w:sz w:val="24"/>
          <w:szCs w:val="24"/>
        </w:rPr>
        <w:t>Kravaszak</w:t>
      </w:r>
      <w:proofErr w:type="spellEnd"/>
      <w:r>
        <w:rPr>
          <w:rFonts w:ascii="Times New Roman" w:eastAsia="Times New Roman" w:hAnsi="Times New Roman" w:cs="Times New Roman"/>
          <w:sz w:val="24"/>
          <w:szCs w:val="24"/>
        </w:rPr>
        <w:t xml:space="preserve"> (2023) went deeper into the workings of corporate governance and how it affects firm performance in Vietnam. They tried to show clearly which parts of governance play the biggest role. They chose 302 firms listed in Vietnam from 2019 to 2021. The work used agency and stakeholder theory. The style was a simple ex post facto with data from company reports, news sites, and national records. Tobin’s Q, ROA, and ROE were used to track firm strength. Governance was measured using an index built on OECD rules. It checked items like board role, rights of shareholders, and how open firms are. Other variables like age, size, and debt were used </w:t>
      </w:r>
      <w:r>
        <w:rPr>
          <w:rFonts w:ascii="Times New Roman" w:eastAsia="Times New Roman" w:hAnsi="Times New Roman" w:cs="Times New Roman"/>
          <w:sz w:val="24"/>
          <w:szCs w:val="24"/>
        </w:rPr>
        <w:lastRenderedPageBreak/>
        <w:t>as controls. GMM regression was the tool. What they found was strong. Firms with good governance scores showed better returns. Strong rights for shareholders and care for all stakeholders were key. They said Vietnam needs tougher and clearer governance rules. They also asked for strong protection for those who report wrongdoing and called for steady public reports of governance scores to keep all firms in check.</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Adigwe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(2016) ran a study on Nigerian banks to find how corporate governance touches their financial strength. They aimed to test if board audit teams, how the board is arranged, and how much ownership directors hold can change how well banks perform. They worked with data from seventeen banks between 2006 and 2014. They leaned on stakeholder theory to frame the idea. The method was ex post facto, with data pulled from audited financial reports. The key outcome was return on assets. Board audit committee, board structure, and director ownership were the variables. Using OLS regression in </w:t>
      </w:r>
      <w:proofErr w:type="spellStart"/>
      <w:r>
        <w:rPr>
          <w:rFonts w:ascii="Times New Roman" w:eastAsia="Times New Roman" w:hAnsi="Times New Roman" w:cs="Times New Roman"/>
          <w:sz w:val="24"/>
          <w:szCs w:val="24"/>
        </w:rPr>
        <w:t>Gretl</w:t>
      </w:r>
      <w:proofErr w:type="spellEnd"/>
      <w:r>
        <w:rPr>
          <w:rFonts w:ascii="Times New Roman" w:eastAsia="Times New Roman" w:hAnsi="Times New Roman" w:cs="Times New Roman"/>
          <w:sz w:val="24"/>
          <w:szCs w:val="24"/>
        </w:rPr>
        <w:t>, they saw this—board audit team and director equity both pushed performance up. But the board structure, when skewed, pulled it down. From here, the authors said audit committees matter and should act free of pressure. They also said directors with shares might take the job more seriously.</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Dandago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Gugong</w:t>
      </w:r>
      <w:proofErr w:type="spellEnd"/>
      <w:r>
        <w:rPr>
          <w:rFonts w:ascii="Times New Roman" w:eastAsia="Times New Roman" w:hAnsi="Times New Roman" w:cs="Times New Roman"/>
          <w:sz w:val="24"/>
          <w:szCs w:val="24"/>
        </w:rPr>
        <w:t xml:space="preserve"> (2013) worked on listed insurance firms. The goal was to measure how CEO dual role, board size, and board setup affect return on assets and return on equity. They used data from seventeen insurers between 2001 and 2010. No theory was named, but agency theory fits the focus. They used ex post facto design and took data from annual filings and the Stock Exchange. Regression was the analysis tool. They found board size hurt ROA, but not ROE. Board setup helped both ROA and ROE. If the CEO held two roles, ROA dropped. But that same setup did not show any link to ROE. They ended by saying board setup rules should stay firm and maybe get tighter.</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Appah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xml:space="preserve"> (2023) checked if boards help or hurt financial returns in consumer goods firms. They studied 160 companies from 2011 to 2020. Agency and stakeholder theories shaped the idea. They used ex post facto design with correlation tools. The focus was on return on equity. They studied board size, independence, compensation, and diligence. Data came from annual reports. Panel regression, descriptive tests, and correlation checks were used. The results came mixed. Board size and independence both gave weak or bad outcomes. But board pay and frequent meetings helped performance. The authors said good pay brings in skilled hands, and more board talks drive better firm focus. They urged firms to pay boards better and hold tighter, smarter meetings.</w:t>
      </w:r>
    </w:p>
    <w:p w:rsidR="003B5071" w:rsidRDefault="00615BF0" w:rsidP="00250B59">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2.4 Summary of Literature </w:t>
      </w:r>
    </w:p>
    <w:p w:rsidR="003B5071" w:rsidRDefault="00615BF0">
      <w:pPr>
        <w:pStyle w:val="Heading2"/>
        <w:spacing w:before="0" w:after="0" w:line="240" w:lineRule="auto"/>
        <w:jc w:val="both"/>
        <w:rPr>
          <w:rFonts w:ascii="Times New Roman" w:eastAsia="Times New Roman" w:hAnsi="Times New Roman" w:cs="Times New Roman"/>
          <w:sz w:val="24"/>
          <w:szCs w:val="24"/>
        </w:rPr>
      </w:pPr>
      <w:bookmarkStart w:id="25" w:name="_x6z19hgm2mzv" w:colFirst="0" w:colLast="0"/>
      <w:bookmarkEnd w:id="25"/>
      <w:r w:rsidRPr="00E773C1">
        <w:rPr>
          <w:rFonts w:ascii="Times New Roman" w:eastAsia="Times New Roman" w:hAnsi="Times New Roman" w:cs="Times New Roman"/>
          <w:b/>
          <w:sz w:val="24"/>
          <w:szCs w:val="24"/>
        </w:rPr>
        <w:t>Table 2.1:</w:t>
      </w:r>
      <w:r>
        <w:rPr>
          <w:rFonts w:ascii="Times New Roman" w:eastAsia="Times New Roman" w:hAnsi="Times New Roman" w:cs="Times New Roman"/>
          <w:sz w:val="24"/>
          <w:szCs w:val="24"/>
        </w:rPr>
        <w:t xml:space="preserve"> Summary of Empirical Studies</w:t>
      </w:r>
    </w:p>
    <w:tbl>
      <w:tblPr>
        <w:tblStyle w:val="TableGrid"/>
        <w:tblW w:w="11430" w:type="dxa"/>
        <w:tblInd w:w="-882"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720"/>
        <w:gridCol w:w="1710"/>
        <w:gridCol w:w="3330"/>
        <w:gridCol w:w="2562"/>
        <w:gridCol w:w="3108"/>
      </w:tblGrid>
      <w:tr w:rsidR="003B5071" w:rsidTr="00A705F8">
        <w:tc>
          <w:tcPr>
            <w:tcW w:w="720" w:type="dxa"/>
            <w:tcBorders>
              <w:top w:val="single" w:sz="4" w:space="0" w:color="auto"/>
              <w:bottom w:val="single" w:sz="4" w:space="0" w:color="auto"/>
            </w:tcBorders>
          </w:tcPr>
          <w:p w:rsidR="003B5071" w:rsidRDefault="00615BF0" w:rsidP="00E773C1">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S/N</w:t>
            </w:r>
          </w:p>
        </w:tc>
        <w:tc>
          <w:tcPr>
            <w:tcW w:w="1710" w:type="dxa"/>
            <w:tcBorders>
              <w:top w:val="single" w:sz="4" w:space="0" w:color="auto"/>
              <w:bottom w:val="single" w:sz="4" w:space="0" w:color="auto"/>
            </w:tcBorders>
          </w:tcPr>
          <w:p w:rsidR="003B5071" w:rsidRDefault="00615BF0" w:rsidP="00E773C1">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Author &amp; Year</w:t>
            </w:r>
          </w:p>
        </w:tc>
        <w:tc>
          <w:tcPr>
            <w:tcW w:w="3330" w:type="dxa"/>
            <w:tcBorders>
              <w:top w:val="single" w:sz="4" w:space="0" w:color="auto"/>
              <w:bottom w:val="single" w:sz="4" w:space="0" w:color="auto"/>
            </w:tcBorders>
          </w:tcPr>
          <w:p w:rsidR="003B5071" w:rsidRDefault="00615BF0" w:rsidP="00E773C1">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Objectives</w:t>
            </w:r>
          </w:p>
        </w:tc>
        <w:tc>
          <w:tcPr>
            <w:tcW w:w="2562" w:type="dxa"/>
            <w:tcBorders>
              <w:top w:val="single" w:sz="4" w:space="0" w:color="auto"/>
              <w:bottom w:val="single" w:sz="4" w:space="0" w:color="auto"/>
            </w:tcBorders>
          </w:tcPr>
          <w:p w:rsidR="003B5071" w:rsidRDefault="00615BF0" w:rsidP="00E773C1">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w:t>
            </w:r>
          </w:p>
        </w:tc>
        <w:tc>
          <w:tcPr>
            <w:tcW w:w="3108" w:type="dxa"/>
            <w:tcBorders>
              <w:top w:val="single" w:sz="4" w:space="0" w:color="auto"/>
              <w:bottom w:val="single" w:sz="4" w:space="0" w:color="auto"/>
            </w:tcBorders>
          </w:tcPr>
          <w:p w:rsidR="003B5071" w:rsidRDefault="00615BF0" w:rsidP="00E773C1">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Findings</w:t>
            </w:r>
          </w:p>
        </w:tc>
      </w:tr>
      <w:tr w:rsidR="003B5071" w:rsidTr="00A705F8">
        <w:tc>
          <w:tcPr>
            <w:tcW w:w="720" w:type="dxa"/>
            <w:tcBorders>
              <w:top w:val="single" w:sz="4" w:space="0" w:color="auto"/>
            </w:tcBorders>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tcBorders>
              <w:top w:val="single" w:sz="4" w:space="0" w:color="auto"/>
            </w:tcBorders>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Mandal</w:t>
            </w:r>
            <w:proofErr w:type="spellEnd"/>
            <w:r>
              <w:rPr>
                <w:rFonts w:ascii="Times New Roman" w:eastAsia="Times New Roman" w:hAnsi="Times New Roman" w:cs="Times New Roman"/>
                <w:sz w:val="24"/>
                <w:szCs w:val="24"/>
              </w:rPr>
              <w:t xml:space="preserve"> &amp; Al-Khaled (2018)</w:t>
            </w:r>
          </w:p>
        </w:tc>
        <w:tc>
          <w:tcPr>
            <w:tcW w:w="3330" w:type="dxa"/>
            <w:tcBorders>
              <w:top w:val="single" w:sz="4" w:space="0" w:color="auto"/>
            </w:tcBorders>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determine the effect of board size, audit committee size, audit committee meetings, and audit committee independence on ROCE and ROA of Indian electronic consumer goods companies</w:t>
            </w:r>
          </w:p>
        </w:tc>
        <w:tc>
          <w:tcPr>
            <w:tcW w:w="2562" w:type="dxa"/>
            <w:tcBorders>
              <w:top w:val="single" w:sz="4" w:space="0" w:color="auto"/>
            </w:tcBorders>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Correlational research design using secondary data; descriptive statistics, correlation matrix, and multiple regression analysis</w:t>
            </w:r>
          </w:p>
        </w:tc>
        <w:tc>
          <w:tcPr>
            <w:tcW w:w="3108" w:type="dxa"/>
            <w:tcBorders>
              <w:top w:val="single" w:sz="4" w:space="0" w:color="auto"/>
            </w:tcBorders>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Board size, audit committee size, and meetings had no significant influence; audit committee independence positively influenced financial performance</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Sani</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examine the impact of board independence on ROA and equity holding of Nigerian deposit money banks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Correlational research design with secondary data; multivariate analysis</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Board independence did not significantly affect ROA and equity holding</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Aifes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Jarboui</w:t>
            </w:r>
            <w:proofErr w:type="spellEnd"/>
            <w:r>
              <w:rPr>
                <w:rFonts w:ascii="Times New Roman" w:eastAsia="Times New Roman" w:hAnsi="Times New Roman" w:cs="Times New Roman"/>
                <w:sz w:val="24"/>
                <w:szCs w:val="24"/>
              </w:rPr>
              <w:t xml:space="preserve"> (2023)</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proofErr w:type="spellStart"/>
            <w:r>
              <w:rPr>
                <w:rFonts w:ascii="Times New Roman" w:eastAsia="Times New Roman" w:hAnsi="Times New Roman" w:cs="Times New Roman"/>
                <w:sz w:val="24"/>
                <w:szCs w:val="24"/>
              </w:rPr>
              <w:t>analyse</w:t>
            </w:r>
            <w:proofErr w:type="spellEnd"/>
            <w:r>
              <w:rPr>
                <w:rFonts w:ascii="Times New Roman" w:eastAsia="Times New Roman" w:hAnsi="Times New Roman" w:cs="Times New Roman"/>
                <w:sz w:val="24"/>
                <w:szCs w:val="24"/>
              </w:rPr>
              <w:t xml:space="preserve"> the influence of corporate governance on the financial performance of UK firms across sectors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research design; GLS regression and fixed effects models</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and significant relationship between corporate governance and financial performance overall and in specific sectors</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Afor</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assess the impact of board independence, board size, and gender diversity on the financial performance of Nigerian insurance companies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Ex post facto research design with panel data; multiple panel regression analysis</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Negative relationship between board independence and performance; positive relationships for board size and gender diversity</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Usikhia</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(2023)</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the influence of board size, board composition, </w:t>
            </w:r>
            <w:r>
              <w:rPr>
                <w:rFonts w:ascii="Times New Roman" w:eastAsia="Times New Roman" w:hAnsi="Times New Roman" w:cs="Times New Roman"/>
                <w:sz w:val="24"/>
                <w:szCs w:val="24"/>
              </w:rPr>
              <w:lastRenderedPageBreak/>
              <w:t>board gender diversity, and audit committee attributes on ROA of Nigerian oil and gas firms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Ex post facto research design; descriptive </w:t>
            </w:r>
            <w:r>
              <w:rPr>
                <w:rFonts w:ascii="Times New Roman" w:eastAsia="Times New Roman" w:hAnsi="Times New Roman" w:cs="Times New Roman"/>
                <w:sz w:val="24"/>
                <w:szCs w:val="24"/>
              </w:rPr>
              <w:lastRenderedPageBreak/>
              <w:t>statistics, correlation analysis, and multiple regression</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Board composition and size had no significant effect; </w:t>
            </w:r>
            <w:r>
              <w:rPr>
                <w:rFonts w:ascii="Times New Roman" w:eastAsia="Times New Roman" w:hAnsi="Times New Roman" w:cs="Times New Roman"/>
                <w:sz w:val="24"/>
                <w:szCs w:val="24"/>
              </w:rPr>
              <w:lastRenderedPageBreak/>
              <w:t>board gender diversity and audit committee attributes had a positive significant effect</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Ogunsuyi</w:t>
            </w:r>
            <w:proofErr w:type="spellEnd"/>
            <w:r>
              <w:rPr>
                <w:rFonts w:ascii="Times New Roman" w:eastAsia="Times New Roman" w:hAnsi="Times New Roman" w:cs="Times New Roman"/>
                <w:sz w:val="24"/>
                <w:szCs w:val="24"/>
              </w:rPr>
              <w:t xml:space="preserve"> (2022)</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investigate the effect of board size, board independence, ownership structure, and board gender diversity on the firm performance of Nigerian listed firms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Panel data regression using fixed effect, random effect, and pooled OLS</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Mixed results: ownership structure, board independence, and gender diversity are positive for ROA; board size is negative; varying effects for ROE</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Ndidu</w:t>
            </w:r>
            <w:proofErr w:type="spellEnd"/>
            <w:r>
              <w:rPr>
                <w:rFonts w:ascii="Times New Roman" w:eastAsia="Times New Roman" w:hAnsi="Times New Roman" w:cs="Times New Roman"/>
                <w:sz w:val="24"/>
                <w:szCs w:val="24"/>
              </w:rPr>
              <w:t xml:space="preserve"> (2017)</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explore the relationship between corporate governance characteristics and the financial performance of Nigerian deposit money banks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Ex post facto research design; simple and multiple regression analyses using OLS</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and significant relationship between EPS and all corporate governance variables</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Anyaehie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(2017)</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determine the effects of board size, board independence, directors' remuneration, ownership structure, and firm size on ROA of Nigerian insurance companies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Ex post facto design; pooled OLS, fixed effects, and random effects models</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Board size positive; board independence negative; mixed effects for ownership variables; firm size positive</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71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 &amp; </w:t>
            </w:r>
            <w:proofErr w:type="spellStart"/>
            <w:r>
              <w:rPr>
                <w:rFonts w:ascii="Times New Roman" w:eastAsia="Times New Roman" w:hAnsi="Times New Roman" w:cs="Times New Roman"/>
                <w:sz w:val="24"/>
                <w:szCs w:val="24"/>
              </w:rPr>
              <w:t>Kravaszak</w:t>
            </w:r>
            <w:proofErr w:type="spellEnd"/>
            <w:r>
              <w:rPr>
                <w:rFonts w:ascii="Times New Roman" w:eastAsia="Times New Roman" w:hAnsi="Times New Roman" w:cs="Times New Roman"/>
                <w:sz w:val="24"/>
                <w:szCs w:val="24"/>
              </w:rPr>
              <w:t xml:space="preserve"> (2023)</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clarify the importance of CG mechanisms and their impact on the financial performance of Vietnamese-listed companies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ex post facto research design; GMM regression</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Statistically significant positive relationship between corporate governance and firm performance</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Adigwe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(2016)</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examine the impact of board audit committees, board composition, and directors' equity interests on the financial performance of Nigerian banks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Ex post facto research design; OLS regression analysis</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BAC and DEI positive and significant; BOC negative and significant effect on ROA</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Dandago</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Gugong</w:t>
            </w:r>
            <w:proofErr w:type="spellEnd"/>
            <w:r>
              <w:rPr>
                <w:rFonts w:ascii="Times New Roman" w:eastAsia="Times New Roman" w:hAnsi="Times New Roman" w:cs="Times New Roman"/>
                <w:sz w:val="24"/>
                <w:szCs w:val="24"/>
              </w:rPr>
              <w:t xml:space="preserve"> (2013)</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investigate the impact of CEO duality, board size, and board composition on ROA and ROE of Nigerian insurance firms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Ex post facto research design; regression analysis</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Negative relationship between board size and ROA; positive relationship between board composition and both ROA and ROE; CEO duality negatively affected ROA</w:t>
            </w:r>
          </w:p>
        </w:tc>
      </w:tr>
      <w:tr w:rsidR="003B5071" w:rsidTr="00A705F8">
        <w:tc>
          <w:tcPr>
            <w:tcW w:w="72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710" w:type="dxa"/>
          </w:tcPr>
          <w:p w:rsidR="003B5071" w:rsidRDefault="00615BF0" w:rsidP="00401D6E">
            <w:pPr>
              <w:pStyle w:val="Normal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Appah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xml:space="preserve"> (2023)</w:t>
            </w:r>
          </w:p>
        </w:tc>
        <w:tc>
          <w:tcPr>
            <w:tcW w:w="3330"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To investigate the relationships between board size, board independence, board compensation, board diligence, and ROE of Nigerian consumer goods companies</w:t>
            </w:r>
          </w:p>
        </w:tc>
        <w:tc>
          <w:tcPr>
            <w:tcW w:w="2562"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Ex post facto and correlational research design with panel data; panel least squares regression.</w:t>
            </w:r>
          </w:p>
        </w:tc>
        <w:tc>
          <w:tcPr>
            <w:tcW w:w="3108" w:type="dxa"/>
          </w:tcPr>
          <w:p w:rsidR="003B5071" w:rsidRDefault="00615BF0" w:rsidP="00401D6E">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Board size negative and insignificant; board independence negative and significant; board compensation and diligence positive and significant</w:t>
            </w:r>
          </w:p>
        </w:tc>
      </w:tr>
    </w:tbl>
    <w:p w:rsidR="00250B59" w:rsidRDefault="00250B59" w:rsidP="00250B59">
      <w:pPr>
        <w:pStyle w:val="Normal1"/>
        <w:spacing w:line="480" w:lineRule="auto"/>
        <w:jc w:val="both"/>
        <w:rPr>
          <w:rFonts w:ascii="Times New Roman" w:eastAsia="Times New Roman" w:hAnsi="Times New Roman" w:cs="Times New Roman"/>
          <w:b/>
          <w:sz w:val="24"/>
          <w:szCs w:val="24"/>
        </w:rPr>
      </w:pPr>
    </w:p>
    <w:p w:rsidR="00250B59" w:rsidRDefault="00401D6E" w:rsidP="00250B59">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2.5 </w:t>
      </w:r>
      <w:r w:rsidR="00250B59">
        <w:rPr>
          <w:rFonts w:ascii="Times New Roman" w:eastAsia="Times New Roman" w:hAnsi="Times New Roman" w:cs="Times New Roman"/>
          <w:b/>
          <w:sz w:val="24"/>
          <w:szCs w:val="24"/>
        </w:rPr>
        <w:t>Gap in Literature</w:t>
      </w:r>
    </w:p>
    <w:p w:rsidR="003B5071" w:rsidRDefault="00250B59" w:rsidP="00250B59">
      <w:pPr>
        <w:pStyle w:val="Normal1"/>
        <w:spacing w:line="480" w:lineRule="auto"/>
        <w:jc w:val="both"/>
        <w:rPr>
          <w:rStyle w:val="CommentReference"/>
        </w:rPr>
      </w:pPr>
      <w:r>
        <w:rPr>
          <w:rFonts w:ascii="Times New Roman" w:eastAsia="Times New Roman" w:hAnsi="Times New Roman" w:cs="Times New Roman"/>
          <w:sz w:val="24"/>
          <w:szCs w:val="24"/>
        </w:rPr>
        <w:lastRenderedPageBreak/>
        <w:t xml:space="preserve">What the past work shows is a pattern that goes back and forth. Some say corporate governance lifts firm performance. Others show it can fall flat or even pull performance down. </w:t>
      </w:r>
      <w:proofErr w:type="spellStart"/>
      <w:r>
        <w:rPr>
          <w:rFonts w:ascii="Times New Roman" w:eastAsia="Times New Roman" w:hAnsi="Times New Roman" w:cs="Times New Roman"/>
          <w:sz w:val="24"/>
          <w:szCs w:val="24"/>
        </w:rPr>
        <w:t>Aifes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Jarboui</w:t>
      </w:r>
      <w:proofErr w:type="spellEnd"/>
      <w:r>
        <w:rPr>
          <w:rFonts w:ascii="Times New Roman" w:eastAsia="Times New Roman" w:hAnsi="Times New Roman" w:cs="Times New Roman"/>
          <w:sz w:val="24"/>
          <w:szCs w:val="24"/>
        </w:rPr>
        <w:t xml:space="preserve"> (2023) and Bui and </w:t>
      </w:r>
      <w:proofErr w:type="spellStart"/>
      <w:r>
        <w:rPr>
          <w:rFonts w:ascii="Times New Roman" w:eastAsia="Times New Roman" w:hAnsi="Times New Roman" w:cs="Times New Roman"/>
          <w:sz w:val="24"/>
          <w:szCs w:val="24"/>
        </w:rPr>
        <w:t>Kravaszak</w:t>
      </w:r>
      <w:proofErr w:type="spellEnd"/>
      <w:r>
        <w:rPr>
          <w:rFonts w:ascii="Times New Roman" w:eastAsia="Times New Roman" w:hAnsi="Times New Roman" w:cs="Times New Roman"/>
          <w:sz w:val="24"/>
          <w:szCs w:val="24"/>
        </w:rPr>
        <w:t xml:space="preserve"> (2023) found good links. But </w:t>
      </w:r>
      <w:proofErr w:type="spellStart"/>
      <w:r>
        <w:rPr>
          <w:rFonts w:ascii="Times New Roman" w:eastAsia="Times New Roman" w:hAnsi="Times New Roman" w:cs="Times New Roman"/>
          <w:sz w:val="24"/>
          <w:szCs w:val="24"/>
        </w:rPr>
        <w:t>Appah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xml:space="preserve"> (2023), along with </w:t>
      </w:r>
      <w:proofErr w:type="spellStart"/>
      <w:r>
        <w:rPr>
          <w:rFonts w:ascii="Times New Roman" w:eastAsia="Times New Roman" w:hAnsi="Times New Roman" w:cs="Times New Roman"/>
          <w:sz w:val="24"/>
          <w:szCs w:val="24"/>
        </w:rPr>
        <w:t>Usikhia</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(2023), did not find all good signs. These clashes hint that the issue may depend a lot on where and what type of firm is studied. Many of the Nigerian studies lean heavily on banks and insurance firms—</w:t>
      </w:r>
      <w:proofErr w:type="spellStart"/>
      <w:r>
        <w:rPr>
          <w:rFonts w:ascii="Times New Roman" w:eastAsia="Times New Roman" w:hAnsi="Times New Roman" w:cs="Times New Roman"/>
          <w:sz w:val="24"/>
          <w:szCs w:val="24"/>
        </w:rPr>
        <w:t>Adigwe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(2016), </w:t>
      </w:r>
      <w:proofErr w:type="spellStart"/>
      <w:r>
        <w:rPr>
          <w:rFonts w:ascii="Times New Roman" w:eastAsia="Times New Roman" w:hAnsi="Times New Roman" w:cs="Times New Roman"/>
          <w:sz w:val="24"/>
          <w:szCs w:val="24"/>
        </w:rPr>
        <w:t>Ndidu</w:t>
      </w:r>
      <w:proofErr w:type="spellEnd"/>
      <w:r>
        <w:rPr>
          <w:rFonts w:ascii="Times New Roman" w:eastAsia="Times New Roman" w:hAnsi="Times New Roman" w:cs="Times New Roman"/>
          <w:sz w:val="24"/>
          <w:szCs w:val="24"/>
        </w:rPr>
        <w:t xml:space="preserve"> (2017), and </w:t>
      </w:r>
      <w:proofErr w:type="spellStart"/>
      <w:r>
        <w:rPr>
          <w:rFonts w:ascii="Times New Roman" w:eastAsia="Times New Roman" w:hAnsi="Times New Roman" w:cs="Times New Roman"/>
          <w:sz w:val="24"/>
          <w:szCs w:val="24"/>
        </w:rPr>
        <w:t>Sani</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(2019) are examples. That leaves out key areas like consumer goods. One more thing that keeps popping up—firm size might shift the way governance acts, but few Nigerian studies dig into this. </w:t>
      </w:r>
      <w:proofErr w:type="spellStart"/>
      <w:r>
        <w:rPr>
          <w:rFonts w:ascii="Times New Roman" w:eastAsia="Times New Roman" w:hAnsi="Times New Roman" w:cs="Times New Roman"/>
          <w:sz w:val="24"/>
          <w:szCs w:val="24"/>
        </w:rPr>
        <w:t>Oladipo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Adeyemi</w:t>
      </w:r>
      <w:proofErr w:type="spellEnd"/>
      <w:r>
        <w:rPr>
          <w:rFonts w:ascii="Times New Roman" w:eastAsia="Times New Roman" w:hAnsi="Times New Roman" w:cs="Times New Roman"/>
          <w:sz w:val="24"/>
          <w:szCs w:val="24"/>
        </w:rPr>
        <w:t xml:space="preserve"> (2020) mentioned it, but only a little. Another missing piece is how to fix data bias. A lot of works just run old-style regressions without guarding against internal bias in the data. The current study fixes all this. It will look closely at the consumer goods space, test the effect of firm size, and use deeper panel data tools to reduce any blind spots in the analysis. By doing this, it gives sharper findings for a field that deals with fast markets and shifting rules</w:t>
      </w:r>
      <w:r w:rsidR="005A64ED">
        <w:rPr>
          <w:rStyle w:val="CommentReference"/>
        </w:rPr>
        <w:t>.</w:t>
      </w: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Style w:val="CommentReference"/>
        </w:rPr>
      </w:pPr>
    </w:p>
    <w:p w:rsidR="005A64ED" w:rsidRDefault="005A64ED" w:rsidP="00250B59">
      <w:pPr>
        <w:pStyle w:val="Normal1"/>
        <w:spacing w:line="480" w:lineRule="auto"/>
        <w:jc w:val="both"/>
        <w:rPr>
          <w:rFonts w:ascii="Times New Roman" w:eastAsia="Times New Roman" w:hAnsi="Times New Roman" w:cs="Times New Roman"/>
          <w:sz w:val="24"/>
          <w:szCs w:val="24"/>
        </w:rPr>
      </w:pPr>
    </w:p>
    <w:p w:rsidR="003B5071" w:rsidRDefault="00615BF0">
      <w:pPr>
        <w:pStyle w:val="Heading1"/>
        <w:spacing w:before="0" w:after="0" w:line="480" w:lineRule="auto"/>
        <w:jc w:val="center"/>
        <w:rPr>
          <w:rFonts w:ascii="Times New Roman" w:eastAsia="Times New Roman" w:hAnsi="Times New Roman" w:cs="Times New Roman"/>
          <w:b/>
          <w:sz w:val="24"/>
          <w:szCs w:val="24"/>
        </w:rPr>
      </w:pPr>
      <w:bookmarkStart w:id="26" w:name="_5o100fifgwcw" w:colFirst="0" w:colLast="0"/>
      <w:bookmarkEnd w:id="26"/>
      <w:r>
        <w:rPr>
          <w:rFonts w:ascii="Times New Roman" w:eastAsia="Times New Roman" w:hAnsi="Times New Roman" w:cs="Times New Roman"/>
          <w:b/>
          <w:sz w:val="24"/>
          <w:szCs w:val="24"/>
        </w:rPr>
        <w:t>CHAPTER THREE</w:t>
      </w:r>
    </w:p>
    <w:p w:rsidR="003B5071" w:rsidRDefault="00615BF0">
      <w:pPr>
        <w:pStyle w:val="Heading2"/>
        <w:spacing w:before="0" w:after="0" w:line="480" w:lineRule="auto"/>
        <w:jc w:val="center"/>
        <w:rPr>
          <w:rFonts w:ascii="Times New Roman" w:eastAsia="Times New Roman" w:hAnsi="Times New Roman" w:cs="Times New Roman"/>
          <w:b/>
          <w:sz w:val="24"/>
          <w:szCs w:val="24"/>
        </w:rPr>
      </w:pPr>
      <w:bookmarkStart w:id="27" w:name="_3q8itu2wqaku" w:colFirst="0" w:colLast="0"/>
      <w:bookmarkEnd w:id="27"/>
      <w:r>
        <w:rPr>
          <w:rFonts w:ascii="Times New Roman" w:eastAsia="Times New Roman" w:hAnsi="Times New Roman" w:cs="Times New Roman"/>
          <w:b/>
          <w:sz w:val="24"/>
          <w:szCs w:val="24"/>
        </w:rPr>
        <w:t>METHODOLOGY</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Research Design</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followed an ex post facto setup. It fits well since the work deals with real outcomes that already happened. There was no altering, no testing, just checking how things turned out. The job was to watch what board structures had done, not what they might do. No controls. Just data as it came. The plan was to look at how listed firms’ governance patterns affected financial results after events had passed. The method sat on records, not predictions. The idea was to test how board size, gender mix, independence, and audit actions shaped returns. No tools were used to bend the outcome. The nature of the study would not allow it. The research stayed with what the companies had lived out over time.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Panel data made it better. It brought time and people into one place. It combined how firms behaved across years with who they were at each point. That gave strength. Patterns got clearer. Hidden traits fell out. Firm quirks and year-specific hits could be separated. ROA became the focus. The study let governance stay untouched and only watched how it played out. A </w:t>
      </w:r>
      <w:proofErr w:type="spellStart"/>
      <w:r>
        <w:rPr>
          <w:rFonts w:ascii="Times New Roman" w:eastAsia="Times New Roman" w:hAnsi="Times New Roman" w:cs="Times New Roman"/>
          <w:sz w:val="24"/>
          <w:szCs w:val="24"/>
        </w:rPr>
        <w:t>randomised</w:t>
      </w:r>
      <w:proofErr w:type="spellEnd"/>
      <w:r>
        <w:rPr>
          <w:rFonts w:ascii="Times New Roman" w:eastAsia="Times New Roman" w:hAnsi="Times New Roman" w:cs="Times New Roman"/>
          <w:sz w:val="24"/>
          <w:szCs w:val="24"/>
        </w:rPr>
        <w:t xml:space="preserve"> test was not possible. Ethics aside, corporate setups do not shift at will. Boards and committees are not lab mice. They evolve on their own terms. So this design, built on past truths, gave room to track real company life. It suited the flow of governance effects and how they sank into company returns.</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Area of Study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target was the consumer goods field in Nigeria. This space moves goods like soap, food, drinks, and home care products. It is big, steady, and touches lives daily. Nigeria, as the host, sits with a rising population. People need things. The market keeps growing. This sector does not just matter to buyers but feeds into national income. Several known companies live here. They push the market, shape pricing, and guide what shelves carry. The Exchange holds their records. It was the best place to dig.</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firms made the cut. Unilever, Cadbury, Nigerian Breweries, and Flour Mills. These names are not just known. They are key players. Their actions speak for the whole sector. Their books hold years of change, growth, and setbacks. They show how governance can win or wobble. Being on the Exchange means their details are not hidden. Data comes with fewer cracks. Their reports paint real pictures. The choice of these four let the study touch the </w:t>
      </w:r>
      <w:proofErr w:type="spellStart"/>
      <w:r>
        <w:rPr>
          <w:rFonts w:ascii="Times New Roman" w:eastAsia="Times New Roman" w:hAnsi="Times New Roman" w:cs="Times New Roman"/>
          <w:sz w:val="24"/>
          <w:szCs w:val="24"/>
        </w:rPr>
        <w:t>centre</w:t>
      </w:r>
      <w:proofErr w:type="spellEnd"/>
      <w:r>
        <w:rPr>
          <w:rFonts w:ascii="Times New Roman" w:eastAsia="Times New Roman" w:hAnsi="Times New Roman" w:cs="Times New Roman"/>
          <w:sz w:val="24"/>
          <w:szCs w:val="24"/>
        </w:rPr>
        <w:t xml:space="preserve"> without being too thin or too wide. It gave a fair space to ask questions and trace answers.</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3.3 Sources of Data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came from what already existed. No interviews. No surveys. Just files. Reports published by the companies led the way. Each firm—Unilever, Nigerian Breweries, Flour Mills, and Cadbury—uploads its financials every year. These were pulled directly from official websites and trusted filing platforms. The Exchange also gave more. The NGX database held backup figures, trend charts, and market summaries. Reports there filled in where company filings paused. It helped cross-check claims and balance numbers.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that was not all. News sites and finance-focused outlets added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They showed what numbers could not. They covered things like mergers, strikes, or leadership changes that shaped financials behind the scenes. These extra notes gave depth. The search went from 2012 to 2024. A full cycle. The plan was to catch not just the trends but the shifts. Using several paths to gather </w:t>
      </w:r>
      <w:r>
        <w:rPr>
          <w:rFonts w:ascii="Times New Roman" w:eastAsia="Times New Roman" w:hAnsi="Times New Roman" w:cs="Times New Roman"/>
          <w:sz w:val="24"/>
          <w:szCs w:val="24"/>
        </w:rPr>
        <w:lastRenderedPageBreak/>
        <w:t>facts meant fewer blind spots. It was about making sure the final data told the truth and nothing less.</w:t>
      </w:r>
    </w:p>
    <w:p w:rsidR="00401D6E" w:rsidRDefault="00401D6E">
      <w:pPr>
        <w:pStyle w:val="Normal1"/>
        <w:spacing w:line="480" w:lineRule="auto"/>
        <w:jc w:val="both"/>
        <w:rPr>
          <w:rFonts w:ascii="Times New Roman" w:eastAsia="Times New Roman" w:hAnsi="Times New Roman" w:cs="Times New Roman"/>
          <w:sz w:val="24"/>
          <w:szCs w:val="24"/>
        </w:rPr>
      </w:pP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 Model Specification</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frame for the study’s model came from what had been done before, but was reshaped to match this case. It used a panel regression formula. This let it handle data that moved through years and across firms. The plan was to test what each governance tool did to performance. The model placed ROA at the </w:t>
      </w:r>
      <w:proofErr w:type="spellStart"/>
      <w:r>
        <w:rPr>
          <w:rFonts w:ascii="Times New Roman" w:eastAsia="Times New Roman" w:hAnsi="Times New Roman" w:cs="Times New Roman"/>
          <w:sz w:val="24"/>
          <w:szCs w:val="24"/>
        </w:rPr>
        <w:t>centre</w:t>
      </w:r>
      <w:proofErr w:type="spellEnd"/>
      <w:r>
        <w:rPr>
          <w:rFonts w:ascii="Times New Roman" w:eastAsia="Times New Roman" w:hAnsi="Times New Roman" w:cs="Times New Roman"/>
          <w:sz w:val="24"/>
          <w:szCs w:val="24"/>
        </w:rPr>
        <w:t>. That was the outcome being measured. The inputs were things like board size, independence, how many women were on the board, and audit committee traits.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setup came from earlier studies—</w:t>
      </w:r>
      <w:proofErr w:type="spellStart"/>
      <w:r>
        <w:rPr>
          <w:rFonts w:ascii="Times New Roman" w:eastAsia="Times New Roman" w:hAnsi="Times New Roman" w:cs="Times New Roman"/>
          <w:sz w:val="24"/>
          <w:szCs w:val="24"/>
        </w:rPr>
        <w:t>Appah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Dandago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Gugong</w:t>
      </w:r>
      <w:proofErr w:type="spellEnd"/>
      <w:r>
        <w:rPr>
          <w:rFonts w:ascii="Times New Roman" w:eastAsia="Times New Roman" w:hAnsi="Times New Roman" w:cs="Times New Roman"/>
          <w:sz w:val="24"/>
          <w:szCs w:val="24"/>
        </w:rPr>
        <w:t>—but took a different path by focusing squarely on consumer goods firms in Nigeria. The structure allowed both firm-specific effects and changes over time to show. With this, the model could see which governance elements had lasting weight, and which ones faded. This laid the ground for stronger links between what boards looked like and how companies performed financially. The approach did not stretch beyond what the data offered, but it made sure no piece was left unread.</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ROA</w:t>
      </w:r>
      <w:r w:rsidR="005A64ED">
        <w:rPr>
          <w:rFonts w:ascii="Times New Roman" w:eastAsia="Times New Roman" w:hAnsi="Times New Roman" w:cs="Times New Roman"/>
          <w:sz w:val="24"/>
          <w:szCs w:val="24"/>
          <w:vertAlign w:val="subscript"/>
        </w:rPr>
        <w:t>it</w:t>
      </w:r>
      <w:proofErr w:type="spellEnd"/>
      <w:r>
        <w:rPr>
          <w:rFonts w:ascii="Times New Roman" w:eastAsia="Times New Roman" w:hAnsi="Times New Roman" w:cs="Times New Roman"/>
          <w:sz w:val="24"/>
          <w:szCs w:val="24"/>
        </w:rPr>
        <w:t xml:space="preserve"> = β</w:t>
      </w:r>
      <w:r>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 xml:space="preserve"> + β</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BS</w:t>
      </w:r>
      <w:r>
        <w:rPr>
          <w:rFonts w:ascii="Times New Roman" w:eastAsia="Times New Roman" w:hAnsi="Times New Roman" w:cs="Times New Roman"/>
          <w:sz w:val="24"/>
          <w:szCs w:val="24"/>
          <w:vertAlign w:val="subscript"/>
        </w:rPr>
        <w:t>it</w:t>
      </w:r>
      <w:r>
        <w:rPr>
          <w:rFonts w:ascii="Times New Roman" w:eastAsia="Times New Roman" w:hAnsi="Times New Roman" w:cs="Times New Roman"/>
          <w:sz w:val="24"/>
          <w:szCs w:val="24"/>
        </w:rPr>
        <w:t xml:space="preserve"> + β</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BI</w:t>
      </w:r>
      <w:r>
        <w:rPr>
          <w:rFonts w:ascii="Times New Roman" w:eastAsia="Times New Roman" w:hAnsi="Times New Roman" w:cs="Times New Roman"/>
          <w:sz w:val="24"/>
          <w:szCs w:val="24"/>
          <w:vertAlign w:val="subscript"/>
        </w:rPr>
        <w:t>it</w:t>
      </w:r>
      <w:r>
        <w:rPr>
          <w:rFonts w:ascii="Times New Roman" w:eastAsia="Times New Roman" w:hAnsi="Times New Roman" w:cs="Times New Roman"/>
          <w:sz w:val="24"/>
          <w:szCs w:val="24"/>
        </w:rPr>
        <w:t xml:space="preserve"> + β</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BGD</w:t>
      </w:r>
      <w:r>
        <w:rPr>
          <w:rFonts w:ascii="Times New Roman" w:eastAsia="Times New Roman" w:hAnsi="Times New Roman" w:cs="Times New Roman"/>
          <w:sz w:val="24"/>
          <w:szCs w:val="24"/>
          <w:vertAlign w:val="subscript"/>
        </w:rPr>
        <w:t>it</w:t>
      </w:r>
      <w:r>
        <w:rPr>
          <w:rFonts w:ascii="Times New Roman" w:eastAsia="Times New Roman" w:hAnsi="Times New Roman" w:cs="Times New Roman"/>
          <w:sz w:val="24"/>
          <w:szCs w:val="24"/>
        </w:rPr>
        <w:t xml:space="preserve"> + β</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BD</w:t>
      </w:r>
      <w:r>
        <w:rPr>
          <w:rFonts w:ascii="Times New Roman" w:eastAsia="Times New Roman" w:hAnsi="Times New Roman" w:cs="Times New Roman"/>
          <w:sz w:val="24"/>
          <w:szCs w:val="24"/>
          <w:vertAlign w:val="subscript"/>
        </w:rPr>
        <w:t>it</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ε</w:t>
      </w:r>
      <w:r>
        <w:rPr>
          <w:rFonts w:ascii="Times New Roman" w:eastAsia="Times New Roman" w:hAnsi="Times New Roman" w:cs="Times New Roman"/>
          <w:sz w:val="24"/>
          <w:szCs w:val="24"/>
          <w:vertAlign w:val="subscript"/>
        </w:rPr>
        <w:t>it</w:t>
      </w:r>
      <w:proofErr w:type="spellEnd"/>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w:t>
      </w:r>
    </w:p>
    <w:p w:rsidR="003B5071" w:rsidRDefault="00615BF0">
      <w:pPr>
        <w:pStyle w:val="Normal1"/>
        <w:numPr>
          <w:ilvl w:val="0"/>
          <w:numId w:val="2"/>
        </w:numPr>
        <w:spacing w:line="480" w:lineRule="auto"/>
        <w:jc w:val="both"/>
      </w:pPr>
      <w:proofErr w:type="spellStart"/>
      <w:r>
        <w:rPr>
          <w:rFonts w:ascii="Times New Roman" w:eastAsia="Times New Roman" w:hAnsi="Times New Roman" w:cs="Times New Roman"/>
          <w:sz w:val="24"/>
          <w:szCs w:val="24"/>
        </w:rPr>
        <w:t>ROA</w:t>
      </w:r>
      <w:r>
        <w:rPr>
          <w:rFonts w:ascii="Times New Roman" w:eastAsia="Times New Roman" w:hAnsi="Times New Roman" w:cs="Times New Roman"/>
          <w:sz w:val="24"/>
          <w:szCs w:val="24"/>
          <w:vertAlign w:val="subscript"/>
        </w:rPr>
        <w:t>it</w:t>
      </w:r>
      <w:proofErr w:type="spellEnd"/>
      <w:r>
        <w:rPr>
          <w:rFonts w:ascii="Times New Roman" w:eastAsia="Times New Roman" w:hAnsi="Times New Roman" w:cs="Times New Roman"/>
          <w:sz w:val="24"/>
          <w:szCs w:val="24"/>
        </w:rPr>
        <w:t xml:space="preserve"> represents the return on assets of company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in year t.</w:t>
      </w:r>
    </w:p>
    <w:p w:rsidR="003B5071" w:rsidRDefault="00615BF0">
      <w:pPr>
        <w:pStyle w:val="Normal1"/>
        <w:numPr>
          <w:ilvl w:val="0"/>
          <w:numId w:val="2"/>
        </w:numPr>
        <w:spacing w:line="480" w:lineRule="auto"/>
        <w:jc w:val="both"/>
      </w:pPr>
      <w:proofErr w:type="spellStart"/>
      <w:r>
        <w:rPr>
          <w:rFonts w:ascii="Times New Roman" w:eastAsia="Times New Roman" w:hAnsi="Times New Roman" w:cs="Times New Roman"/>
          <w:sz w:val="24"/>
          <w:szCs w:val="24"/>
        </w:rPr>
        <w:t>BS</w:t>
      </w:r>
      <w:r>
        <w:rPr>
          <w:rFonts w:ascii="Times New Roman" w:eastAsia="Times New Roman" w:hAnsi="Times New Roman" w:cs="Times New Roman"/>
          <w:sz w:val="24"/>
          <w:szCs w:val="24"/>
          <w:vertAlign w:val="subscript"/>
        </w:rPr>
        <w:t>it</w:t>
      </w:r>
      <w:proofErr w:type="spellEnd"/>
      <w:r>
        <w:rPr>
          <w:rFonts w:ascii="Times New Roman" w:eastAsia="Times New Roman" w:hAnsi="Times New Roman" w:cs="Times New Roman"/>
          <w:sz w:val="24"/>
          <w:szCs w:val="24"/>
        </w:rPr>
        <w:t xml:space="preserve"> represents board size for company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in year t.</w:t>
      </w:r>
    </w:p>
    <w:p w:rsidR="003B5071" w:rsidRDefault="00615BF0">
      <w:pPr>
        <w:pStyle w:val="Normal1"/>
        <w:numPr>
          <w:ilvl w:val="0"/>
          <w:numId w:val="2"/>
        </w:numPr>
        <w:spacing w:line="480" w:lineRule="auto"/>
        <w:jc w:val="both"/>
      </w:pPr>
      <w:proofErr w:type="spellStart"/>
      <w:r>
        <w:rPr>
          <w:rFonts w:ascii="Times New Roman" w:eastAsia="Times New Roman" w:hAnsi="Times New Roman" w:cs="Times New Roman"/>
          <w:sz w:val="24"/>
          <w:szCs w:val="24"/>
        </w:rPr>
        <w:t>BI</w:t>
      </w:r>
      <w:r>
        <w:rPr>
          <w:rFonts w:ascii="Times New Roman" w:eastAsia="Times New Roman" w:hAnsi="Times New Roman" w:cs="Times New Roman"/>
          <w:sz w:val="24"/>
          <w:szCs w:val="24"/>
          <w:vertAlign w:val="subscript"/>
        </w:rPr>
        <w:t>it</w:t>
      </w:r>
      <w:proofErr w:type="spellEnd"/>
      <w:r>
        <w:rPr>
          <w:rFonts w:ascii="Times New Roman" w:eastAsia="Times New Roman" w:hAnsi="Times New Roman" w:cs="Times New Roman"/>
          <w:sz w:val="24"/>
          <w:szCs w:val="24"/>
        </w:rPr>
        <w:t xml:space="preserve"> represents board independence for company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in year t.</w:t>
      </w:r>
    </w:p>
    <w:p w:rsidR="003B5071" w:rsidRDefault="00615BF0">
      <w:pPr>
        <w:pStyle w:val="Normal1"/>
        <w:numPr>
          <w:ilvl w:val="0"/>
          <w:numId w:val="2"/>
        </w:numPr>
        <w:spacing w:line="480" w:lineRule="auto"/>
        <w:jc w:val="both"/>
      </w:pPr>
      <w:proofErr w:type="spellStart"/>
      <w:r>
        <w:rPr>
          <w:rFonts w:ascii="Times New Roman" w:eastAsia="Times New Roman" w:hAnsi="Times New Roman" w:cs="Times New Roman"/>
          <w:sz w:val="24"/>
          <w:szCs w:val="24"/>
        </w:rPr>
        <w:t>BGD</w:t>
      </w:r>
      <w:r>
        <w:rPr>
          <w:rFonts w:ascii="Times New Roman" w:eastAsia="Times New Roman" w:hAnsi="Times New Roman" w:cs="Times New Roman"/>
          <w:sz w:val="24"/>
          <w:szCs w:val="24"/>
          <w:vertAlign w:val="subscript"/>
        </w:rPr>
        <w:t>it</w:t>
      </w:r>
      <w:proofErr w:type="spellEnd"/>
      <w:r>
        <w:rPr>
          <w:rFonts w:ascii="Times New Roman" w:eastAsia="Times New Roman" w:hAnsi="Times New Roman" w:cs="Times New Roman"/>
          <w:sz w:val="24"/>
          <w:szCs w:val="24"/>
        </w:rPr>
        <w:t xml:space="preserve"> represents Board Gender Diversity (female representation) for company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in year t.</w:t>
      </w:r>
    </w:p>
    <w:p w:rsidR="003B5071" w:rsidRDefault="00615BF0">
      <w:pPr>
        <w:pStyle w:val="Normal1"/>
        <w:numPr>
          <w:ilvl w:val="0"/>
          <w:numId w:val="2"/>
        </w:numPr>
        <w:spacing w:line="480" w:lineRule="auto"/>
        <w:jc w:val="both"/>
      </w:pPr>
      <w:proofErr w:type="spellStart"/>
      <w:r>
        <w:rPr>
          <w:rFonts w:ascii="Times New Roman" w:eastAsia="Times New Roman" w:hAnsi="Times New Roman" w:cs="Times New Roman"/>
          <w:sz w:val="24"/>
          <w:szCs w:val="24"/>
        </w:rPr>
        <w:t>BD</w:t>
      </w:r>
      <w:r>
        <w:rPr>
          <w:rFonts w:ascii="Times New Roman" w:eastAsia="Times New Roman" w:hAnsi="Times New Roman" w:cs="Times New Roman"/>
          <w:sz w:val="24"/>
          <w:szCs w:val="24"/>
          <w:vertAlign w:val="subscript"/>
        </w:rPr>
        <w:t>it</w:t>
      </w:r>
      <w:proofErr w:type="spellEnd"/>
      <w:r>
        <w:rPr>
          <w:rFonts w:ascii="Times New Roman" w:eastAsia="Times New Roman" w:hAnsi="Times New Roman" w:cs="Times New Roman"/>
          <w:sz w:val="24"/>
          <w:szCs w:val="24"/>
        </w:rPr>
        <w:t xml:space="preserve"> represents board diligence (number of board meetings) for company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in year t.</w:t>
      </w:r>
    </w:p>
    <w:p w:rsidR="003B5071" w:rsidRDefault="00615BF0">
      <w:pPr>
        <w:pStyle w:val="Normal1"/>
        <w:numPr>
          <w:ilvl w:val="0"/>
          <w:numId w:val="2"/>
        </w:numPr>
        <w:spacing w:line="480" w:lineRule="auto"/>
        <w:jc w:val="both"/>
      </w:pPr>
      <w:proofErr w:type="spellStart"/>
      <w:proofErr w:type="gramStart"/>
      <w:r>
        <w:rPr>
          <w:rFonts w:ascii="Times New Roman" w:eastAsia="Times New Roman" w:hAnsi="Times New Roman" w:cs="Times New Roman"/>
          <w:sz w:val="24"/>
          <w:szCs w:val="24"/>
        </w:rPr>
        <w:t>ε</w:t>
      </w:r>
      <w:r>
        <w:rPr>
          <w:rFonts w:ascii="Times New Roman" w:eastAsia="Times New Roman" w:hAnsi="Times New Roman" w:cs="Times New Roman"/>
          <w:sz w:val="24"/>
          <w:szCs w:val="24"/>
          <w:vertAlign w:val="subscript"/>
        </w:rPr>
        <w:t>it</w:t>
      </w:r>
      <w:proofErr w:type="spellEnd"/>
      <w:proofErr w:type="gramEnd"/>
      <w:r>
        <w:rPr>
          <w:rFonts w:ascii="Times New Roman" w:eastAsia="Times New Roman" w:hAnsi="Times New Roman" w:cs="Times New Roman"/>
          <w:sz w:val="24"/>
          <w:szCs w:val="24"/>
        </w:rPr>
        <w:t xml:space="preserve"> represents the error term.</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model facilitates the examination of individual and combined effects of the specified corporate governance mechanisms on ROA, while controlling for any unobserved firm-specific and time-specific effects.</w:t>
      </w:r>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28" w:name="_jdubbksf7wx" w:colFirst="0" w:colLast="0"/>
      <w:bookmarkEnd w:id="28"/>
      <w:r>
        <w:rPr>
          <w:rFonts w:ascii="Times New Roman" w:eastAsia="Times New Roman" w:hAnsi="Times New Roman" w:cs="Times New Roman"/>
          <w:b/>
          <w:color w:val="000000"/>
          <w:sz w:val="24"/>
          <w:szCs w:val="24"/>
        </w:rPr>
        <w:t>3.5 Description of Variables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Return on Assets (ROA) speaks to how a firm turns its resources into gain. It is measured by slicing net income by average total assets. It shows how much return flows out of what the company owns and runs. A bigger ROA says the firm uses its tools well. A weak one might mean waste or poor flow of ideas and strategy. It points to efficiency from a high-up angle. This ratio can uncover if a company is simply moving or actually growing from within (</w:t>
      </w:r>
      <w:proofErr w:type="spellStart"/>
      <w:r>
        <w:rPr>
          <w:rFonts w:ascii="Times New Roman" w:eastAsia="Times New Roman" w:hAnsi="Times New Roman" w:cs="Times New Roman"/>
          <w:sz w:val="24"/>
          <w:szCs w:val="24"/>
        </w:rPr>
        <w:t>Anyaehie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2017).</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Size (BS) counts the heads seated on a board. It shows how large the decision-making circle is. Bigger boards may offer more ideas, but they may also drag when it is time to act. A tight group may move quicker, but lack reach. The size speaks to how wide or narrow the firm spreads its thinking. The number alone does not say if a board works well, but it starts the story of how voices and power are shaped (</w:t>
      </w:r>
      <w:proofErr w:type="spellStart"/>
      <w:r>
        <w:rPr>
          <w:rFonts w:ascii="Times New Roman" w:eastAsia="Times New Roman" w:hAnsi="Times New Roman" w:cs="Times New Roman"/>
          <w:sz w:val="24"/>
          <w:szCs w:val="24"/>
        </w:rPr>
        <w:t>Appah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2023).</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Independence (BI) looks at how many board members stand apart from management. These are the non-executive types. They do not run the day-to-day. They just watch, question, and keep the lines straight. A high BI number shows more eyes from the outside, which could mean firmer checks on those who make internal calls. It tells if the board can truly act without leaning on company insiders (Bui and </w:t>
      </w:r>
      <w:proofErr w:type="spellStart"/>
      <w:r>
        <w:rPr>
          <w:rFonts w:ascii="Times New Roman" w:eastAsia="Times New Roman" w:hAnsi="Times New Roman" w:cs="Times New Roman"/>
          <w:sz w:val="24"/>
          <w:szCs w:val="24"/>
        </w:rPr>
        <w:t>Kravaszak</w:t>
      </w:r>
      <w:proofErr w:type="spellEnd"/>
      <w:r>
        <w:rPr>
          <w:rFonts w:ascii="Times New Roman" w:eastAsia="Times New Roman" w:hAnsi="Times New Roman" w:cs="Times New Roman"/>
          <w:sz w:val="24"/>
          <w:szCs w:val="24"/>
        </w:rPr>
        <w:t>, 2023).</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Gender Diversity (BGD - Female Representation) shows the share of women among board members. It is a ratio that says something deeper. It speaks to inclusion, to different lenses looking at the same problems. Having women on the board means mixing leadership instincts, widening the scope of risk and empathy, and even market sensing. It gives room for a different kind of voice </w:t>
      </w:r>
      <w:r>
        <w:rPr>
          <w:rFonts w:ascii="Times New Roman" w:eastAsia="Times New Roman" w:hAnsi="Times New Roman" w:cs="Times New Roman"/>
          <w:sz w:val="24"/>
          <w:szCs w:val="24"/>
        </w:rPr>
        <w:lastRenderedPageBreak/>
        <w:t xml:space="preserve">in strategy. More balance, more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in thought. This could change how decisions unfold and who benefits (</w:t>
      </w:r>
      <w:proofErr w:type="spellStart"/>
      <w:r>
        <w:rPr>
          <w:rFonts w:ascii="Times New Roman" w:eastAsia="Times New Roman" w:hAnsi="Times New Roman" w:cs="Times New Roman"/>
          <w:sz w:val="24"/>
          <w:szCs w:val="24"/>
        </w:rPr>
        <w:t>Sani</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 Diligence (BD - Board Meetings) tells how often board members gather formally. Each meeting is a </w:t>
      </w:r>
      <w:proofErr w:type="spellStart"/>
      <w:r>
        <w:rPr>
          <w:rFonts w:ascii="Times New Roman" w:eastAsia="Times New Roman" w:hAnsi="Times New Roman" w:cs="Times New Roman"/>
          <w:sz w:val="24"/>
          <w:szCs w:val="24"/>
        </w:rPr>
        <w:t>touchpoint</w:t>
      </w:r>
      <w:proofErr w:type="spellEnd"/>
      <w:r>
        <w:rPr>
          <w:rFonts w:ascii="Times New Roman" w:eastAsia="Times New Roman" w:hAnsi="Times New Roman" w:cs="Times New Roman"/>
          <w:sz w:val="24"/>
          <w:szCs w:val="24"/>
        </w:rPr>
        <w:t>, a review window. It is where decisions surface, and checks get real. More meetings can mean more attention to firm details. But too many might also mean over-watching or lost focus. The number hints at seriousness. It shows if the board stays close or far from the business heartbeat. It captures rhythm, concern, and follow-through in one shot (</w:t>
      </w:r>
      <w:proofErr w:type="spellStart"/>
      <w:r>
        <w:rPr>
          <w:rFonts w:ascii="Times New Roman" w:eastAsia="Times New Roman" w:hAnsi="Times New Roman" w:cs="Times New Roman"/>
          <w:sz w:val="24"/>
          <w:szCs w:val="24"/>
        </w:rPr>
        <w:t>Ndidu</w:t>
      </w:r>
      <w:proofErr w:type="spellEnd"/>
      <w:r>
        <w:rPr>
          <w:rFonts w:ascii="Times New Roman" w:eastAsia="Times New Roman" w:hAnsi="Times New Roman" w:cs="Times New Roman"/>
          <w:sz w:val="24"/>
          <w:szCs w:val="24"/>
        </w:rPr>
        <w:t>, 2017).</w:t>
      </w:r>
    </w:p>
    <w:p w:rsidR="003B5071" w:rsidRDefault="00615BF0">
      <w:pPr>
        <w:pStyle w:val="Heading3"/>
        <w:spacing w:before="0" w:after="0" w:line="240" w:lineRule="auto"/>
        <w:jc w:val="both"/>
        <w:rPr>
          <w:rFonts w:ascii="Times New Roman" w:eastAsia="Times New Roman" w:hAnsi="Times New Roman" w:cs="Times New Roman"/>
          <w:b/>
          <w:color w:val="000000"/>
          <w:sz w:val="24"/>
          <w:szCs w:val="24"/>
        </w:rPr>
      </w:pPr>
      <w:bookmarkStart w:id="29" w:name="_717kw5lop0x1" w:colFirst="0" w:colLast="0"/>
      <w:bookmarkEnd w:id="29"/>
      <w:r>
        <w:rPr>
          <w:rFonts w:ascii="Times New Roman" w:eastAsia="Times New Roman" w:hAnsi="Times New Roman" w:cs="Times New Roman"/>
          <w:b/>
          <w:color w:val="000000"/>
          <w:sz w:val="24"/>
          <w:szCs w:val="24"/>
        </w:rPr>
        <w:t>3.6 A Priori Expectation</w:t>
      </w:r>
    </w:p>
    <w:tbl>
      <w:tblPr>
        <w:tblStyle w:val="TableGrid"/>
        <w:tblW w:w="10078" w:type="dxa"/>
        <w:tblInd w:w="-252"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858"/>
        <w:gridCol w:w="1354"/>
        <w:gridCol w:w="1244"/>
        <w:gridCol w:w="5622"/>
      </w:tblGrid>
      <w:tr w:rsidR="003B5071" w:rsidTr="00A705F8">
        <w:trPr>
          <w:trHeight w:val="663"/>
        </w:trPr>
        <w:tc>
          <w:tcPr>
            <w:tcW w:w="1858"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Variable</w:t>
            </w:r>
          </w:p>
        </w:tc>
        <w:tc>
          <w:tcPr>
            <w:tcW w:w="1354"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Coefficient</w:t>
            </w:r>
          </w:p>
        </w:tc>
        <w:tc>
          <w:tcPr>
            <w:tcW w:w="1244"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Expected Sign</w:t>
            </w:r>
          </w:p>
        </w:tc>
        <w:tc>
          <w:tcPr>
            <w:tcW w:w="5622"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Justification</w:t>
            </w:r>
          </w:p>
        </w:tc>
      </w:tr>
      <w:tr w:rsidR="003B5071" w:rsidTr="00A705F8">
        <w:trPr>
          <w:trHeight w:val="984"/>
        </w:trPr>
        <w:tc>
          <w:tcPr>
            <w:tcW w:w="1858" w:type="dxa"/>
            <w:tcBorders>
              <w:top w:val="single" w:sz="4" w:space="0" w:color="auto"/>
            </w:tcBorders>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Size (BS)</w:t>
            </w:r>
          </w:p>
        </w:tc>
        <w:tc>
          <w:tcPr>
            <w:tcW w:w="1354" w:type="dxa"/>
            <w:tcBorders>
              <w:top w:val="single" w:sz="4" w:space="0" w:color="auto"/>
            </w:tcBorders>
          </w:tcPr>
          <w:p w:rsidR="003B5071" w:rsidRDefault="00615BF0" w:rsidP="00A705F8">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r w:rsidR="00A705F8" w:rsidRPr="00A705F8">
              <w:rPr>
                <w:rFonts w:ascii="Times New Roman" w:eastAsia="Times New Roman" w:hAnsi="Times New Roman" w:cs="Times New Roman"/>
                <w:sz w:val="24"/>
                <w:szCs w:val="24"/>
                <w:vertAlign w:val="subscript"/>
              </w:rPr>
              <w:t>1</w:t>
            </w:r>
          </w:p>
        </w:tc>
        <w:tc>
          <w:tcPr>
            <w:tcW w:w="1244" w:type="dxa"/>
            <w:tcBorders>
              <w:top w:val="single" w:sz="4" w:space="0" w:color="auto"/>
            </w:tcBorders>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or +</w:t>
            </w:r>
          </w:p>
        </w:tc>
        <w:tc>
          <w:tcPr>
            <w:tcW w:w="5622" w:type="dxa"/>
            <w:tcBorders>
              <w:top w:val="single" w:sz="4" w:space="0" w:color="auto"/>
            </w:tcBorders>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Larger boards may offer more diverse perspectives but could also lead to less efficient decision-making (</w:t>
            </w:r>
            <w:proofErr w:type="spellStart"/>
            <w:r>
              <w:rPr>
                <w:rFonts w:ascii="Times New Roman" w:eastAsia="Times New Roman" w:hAnsi="Times New Roman" w:cs="Times New Roman"/>
                <w:sz w:val="24"/>
                <w:szCs w:val="24"/>
              </w:rPr>
              <w:t>Appah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2023).</w:t>
            </w:r>
          </w:p>
        </w:tc>
      </w:tr>
      <w:tr w:rsidR="003B5071" w:rsidTr="00A705F8">
        <w:trPr>
          <w:trHeight w:val="984"/>
        </w:trPr>
        <w:tc>
          <w:tcPr>
            <w:tcW w:w="1858" w:type="dxa"/>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Independence (BI)</w:t>
            </w:r>
          </w:p>
        </w:tc>
        <w:tc>
          <w:tcPr>
            <w:tcW w:w="1354" w:type="dxa"/>
          </w:tcPr>
          <w:p w:rsidR="003B5071" w:rsidRDefault="00A705F8">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r>
              <w:rPr>
                <w:rFonts w:ascii="Times New Roman" w:eastAsia="Times New Roman" w:hAnsi="Times New Roman" w:cs="Times New Roman"/>
                <w:sz w:val="24"/>
                <w:szCs w:val="24"/>
                <w:vertAlign w:val="subscript"/>
              </w:rPr>
              <w:t>2</w:t>
            </w:r>
          </w:p>
        </w:tc>
        <w:tc>
          <w:tcPr>
            <w:tcW w:w="1244" w:type="dxa"/>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22" w:type="dxa"/>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Greater independence can strengthen monitoring and reduce agency problems, positively affecting financial outcomes (Bui &amp; </w:t>
            </w:r>
            <w:proofErr w:type="spellStart"/>
            <w:r>
              <w:rPr>
                <w:rFonts w:ascii="Times New Roman" w:eastAsia="Times New Roman" w:hAnsi="Times New Roman" w:cs="Times New Roman"/>
                <w:sz w:val="24"/>
                <w:szCs w:val="24"/>
              </w:rPr>
              <w:t>Kravaszak</w:t>
            </w:r>
            <w:proofErr w:type="spellEnd"/>
            <w:r>
              <w:rPr>
                <w:rFonts w:ascii="Times New Roman" w:eastAsia="Times New Roman" w:hAnsi="Times New Roman" w:cs="Times New Roman"/>
                <w:sz w:val="24"/>
                <w:szCs w:val="24"/>
              </w:rPr>
              <w:t>, 2023).</w:t>
            </w:r>
          </w:p>
        </w:tc>
      </w:tr>
      <w:tr w:rsidR="003B5071" w:rsidTr="00A705F8">
        <w:trPr>
          <w:trHeight w:val="854"/>
        </w:trPr>
        <w:tc>
          <w:tcPr>
            <w:tcW w:w="1858" w:type="dxa"/>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Gender Diversity (BGD)</w:t>
            </w:r>
          </w:p>
        </w:tc>
        <w:tc>
          <w:tcPr>
            <w:tcW w:w="1354" w:type="dxa"/>
          </w:tcPr>
          <w:p w:rsidR="003B5071" w:rsidRDefault="00A705F8">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r>
              <w:rPr>
                <w:rFonts w:ascii="Times New Roman" w:eastAsia="Times New Roman" w:hAnsi="Times New Roman" w:cs="Times New Roman"/>
                <w:sz w:val="24"/>
                <w:szCs w:val="24"/>
                <w:vertAlign w:val="subscript"/>
              </w:rPr>
              <w:t>3</w:t>
            </w:r>
          </w:p>
        </w:tc>
        <w:tc>
          <w:tcPr>
            <w:tcW w:w="1244" w:type="dxa"/>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22" w:type="dxa"/>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female representation might bring diverse perspectives and enhance board effectiveness (</w:t>
            </w:r>
            <w:proofErr w:type="spellStart"/>
            <w:r>
              <w:rPr>
                <w:rFonts w:ascii="Times New Roman" w:eastAsia="Times New Roman" w:hAnsi="Times New Roman" w:cs="Times New Roman"/>
                <w:sz w:val="24"/>
                <w:szCs w:val="24"/>
              </w:rPr>
              <w:t>Sani</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w:t>
            </w:r>
          </w:p>
        </w:tc>
      </w:tr>
      <w:tr w:rsidR="003B5071" w:rsidTr="00A705F8">
        <w:trPr>
          <w:trHeight w:val="1005"/>
        </w:trPr>
        <w:tc>
          <w:tcPr>
            <w:tcW w:w="1858" w:type="dxa"/>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Diligence (BD)</w:t>
            </w:r>
          </w:p>
        </w:tc>
        <w:tc>
          <w:tcPr>
            <w:tcW w:w="1354" w:type="dxa"/>
          </w:tcPr>
          <w:p w:rsidR="003B5071" w:rsidRDefault="00A705F8">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β</w:t>
            </w:r>
            <w:r>
              <w:rPr>
                <w:rFonts w:ascii="Times New Roman" w:eastAsia="Times New Roman" w:hAnsi="Times New Roman" w:cs="Times New Roman"/>
                <w:sz w:val="24"/>
                <w:szCs w:val="24"/>
                <w:vertAlign w:val="subscript"/>
              </w:rPr>
              <w:t>4</w:t>
            </w:r>
          </w:p>
        </w:tc>
        <w:tc>
          <w:tcPr>
            <w:tcW w:w="1244" w:type="dxa"/>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22" w:type="dxa"/>
          </w:tcPr>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 frequent meetings might suggest increased board engagement and oversight, potentially leading to better performance (</w:t>
            </w:r>
            <w:proofErr w:type="spellStart"/>
            <w:r>
              <w:rPr>
                <w:rFonts w:ascii="Times New Roman" w:eastAsia="Times New Roman" w:hAnsi="Times New Roman" w:cs="Times New Roman"/>
                <w:sz w:val="24"/>
                <w:szCs w:val="24"/>
              </w:rPr>
              <w:t>Ndidu</w:t>
            </w:r>
            <w:proofErr w:type="spellEnd"/>
            <w:r>
              <w:rPr>
                <w:rFonts w:ascii="Times New Roman" w:eastAsia="Times New Roman" w:hAnsi="Times New Roman" w:cs="Times New Roman"/>
                <w:sz w:val="24"/>
                <w:szCs w:val="24"/>
              </w:rPr>
              <w:t>, 2017).</w:t>
            </w:r>
          </w:p>
        </w:tc>
      </w:tr>
    </w:tbl>
    <w:p w:rsidR="003B5071" w:rsidRDefault="003B5071">
      <w:pPr>
        <w:pStyle w:val="Heading3"/>
        <w:spacing w:before="0" w:after="0" w:line="480" w:lineRule="auto"/>
        <w:jc w:val="both"/>
        <w:rPr>
          <w:rFonts w:ascii="Times New Roman" w:eastAsia="Times New Roman" w:hAnsi="Times New Roman" w:cs="Times New Roman"/>
          <w:color w:val="000000"/>
          <w:sz w:val="24"/>
          <w:szCs w:val="24"/>
        </w:rPr>
      </w:pPr>
      <w:bookmarkStart w:id="30" w:name="_grw6wi17iu89" w:colFirst="0" w:colLast="0"/>
      <w:bookmarkEnd w:id="30"/>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31" w:name="_n71hlrkev9wf" w:colFirst="0" w:colLast="0"/>
      <w:bookmarkEnd w:id="31"/>
      <w:r>
        <w:rPr>
          <w:rFonts w:ascii="Times New Roman" w:eastAsia="Times New Roman" w:hAnsi="Times New Roman" w:cs="Times New Roman"/>
          <w:b/>
          <w:color w:val="000000"/>
          <w:sz w:val="24"/>
          <w:szCs w:val="24"/>
        </w:rPr>
        <w:t>3.7 Data Analysis Techniques</w:t>
      </w:r>
    </w:p>
    <w:p w:rsidR="00A705F8"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uses STATA software to handle and unpack the panel data gathered from the selected firms. First, descriptive statistics will map out the surface details of all variables. These will include the mean, median, standard deviation, and the visible extremes such as the smallest and largest figures. This gives an early feel of how each variable behaves. Next, correlation analysis will be applied to draw out early signs of how the independent variables—board size (BS), board </w:t>
      </w:r>
    </w:p>
    <w:p w:rsidR="003B5071" w:rsidRDefault="00615BF0">
      <w:pPr>
        <w:pStyle w:val="Normal1"/>
        <w:spacing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independence</w:t>
      </w:r>
      <w:proofErr w:type="gramEnd"/>
      <w:r>
        <w:rPr>
          <w:rFonts w:ascii="Times New Roman" w:eastAsia="Times New Roman" w:hAnsi="Times New Roman" w:cs="Times New Roman"/>
          <w:sz w:val="24"/>
          <w:szCs w:val="24"/>
        </w:rPr>
        <w:t xml:space="preserve"> (BI), board gender diversity (BGD), and board diligence (BD)—link or do not link to the dependent outcome, return on assets (ROA). It will show which ones move in sync and which ones do not.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deeper probe comes with panel data regression. This step uncovers how each corporate governance factor really shapes ROA over time and across firms. The </w:t>
      </w:r>
      <w:proofErr w:type="spellStart"/>
      <w:r>
        <w:rPr>
          <w:rFonts w:ascii="Times New Roman" w:eastAsia="Times New Roman" w:hAnsi="Times New Roman" w:cs="Times New Roman"/>
          <w:sz w:val="24"/>
          <w:szCs w:val="24"/>
        </w:rPr>
        <w:t>Hausman</w:t>
      </w:r>
      <w:proofErr w:type="spellEnd"/>
      <w:r>
        <w:rPr>
          <w:rFonts w:ascii="Times New Roman" w:eastAsia="Times New Roman" w:hAnsi="Times New Roman" w:cs="Times New Roman"/>
          <w:sz w:val="24"/>
          <w:szCs w:val="24"/>
        </w:rPr>
        <w:t xml:space="preserve"> test enters here, to pick between fixed effects and random effects models, depending on how much hidden uniqueness sits inside each firm. The method will not stop there. Checks for issues like </w:t>
      </w:r>
      <w:proofErr w:type="spellStart"/>
      <w:r>
        <w:rPr>
          <w:rFonts w:ascii="Times New Roman" w:eastAsia="Times New Roman" w:hAnsi="Times New Roman" w:cs="Times New Roman"/>
          <w:sz w:val="24"/>
          <w:szCs w:val="24"/>
        </w:rPr>
        <w:t>multicollinearity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heteroscedasticity</w:t>
      </w:r>
      <w:proofErr w:type="spellEnd"/>
      <w:r>
        <w:rPr>
          <w:rFonts w:ascii="Times New Roman" w:eastAsia="Times New Roman" w:hAnsi="Times New Roman" w:cs="Times New Roman"/>
          <w:sz w:val="24"/>
          <w:szCs w:val="24"/>
        </w:rPr>
        <w:t xml:space="preserve">, and autocorrelation will be made. These are the things that can quietly twist the numbers or blur the signal if left unchecked. By running all these tests, the goal is to keep the results clean and hard to doubt. Every layer helps tie the findings tighter, giving this study both depth and </w:t>
      </w:r>
      <w:proofErr w:type="spellStart"/>
      <w:r>
        <w:rPr>
          <w:rFonts w:ascii="Times New Roman" w:eastAsia="Times New Roman" w:hAnsi="Times New Roman" w:cs="Times New Roman"/>
          <w:sz w:val="24"/>
          <w:szCs w:val="24"/>
        </w:rPr>
        <w:t>defence</w:t>
      </w:r>
      <w:proofErr w:type="spellEnd"/>
      <w:r>
        <w:rPr>
          <w:rFonts w:ascii="Times New Roman" w:eastAsia="Times New Roman" w:hAnsi="Times New Roman" w:cs="Times New Roman"/>
          <w:sz w:val="24"/>
          <w:szCs w:val="24"/>
        </w:rPr>
        <w:t>.</w:t>
      </w:r>
    </w:p>
    <w:p w:rsidR="003B5071" w:rsidRDefault="00615BF0">
      <w:pPr>
        <w:pStyle w:val="Normal1"/>
        <w:spacing w:line="480" w:lineRule="auto"/>
        <w:jc w:val="both"/>
        <w:rPr>
          <w:rFonts w:ascii="Times New Roman" w:eastAsia="Times New Roman" w:hAnsi="Times New Roman" w:cs="Times New Roman"/>
          <w:sz w:val="24"/>
          <w:szCs w:val="24"/>
        </w:rPr>
      </w:pPr>
      <w:r>
        <w:br w:type="page"/>
      </w:r>
    </w:p>
    <w:p w:rsidR="003B5071" w:rsidRDefault="00615BF0">
      <w:pPr>
        <w:pStyle w:val="Heading1"/>
        <w:spacing w:before="0" w:after="0" w:line="480" w:lineRule="auto"/>
        <w:jc w:val="center"/>
        <w:rPr>
          <w:rFonts w:ascii="Times New Roman" w:eastAsia="Times New Roman" w:hAnsi="Times New Roman" w:cs="Times New Roman"/>
          <w:b/>
          <w:sz w:val="24"/>
          <w:szCs w:val="24"/>
        </w:rPr>
      </w:pPr>
      <w:bookmarkStart w:id="32" w:name="_l3un556wem1n" w:colFirst="0" w:colLast="0"/>
      <w:bookmarkEnd w:id="32"/>
      <w:r>
        <w:rPr>
          <w:rFonts w:ascii="Times New Roman" w:eastAsia="Times New Roman" w:hAnsi="Times New Roman" w:cs="Times New Roman"/>
          <w:b/>
          <w:sz w:val="24"/>
          <w:szCs w:val="24"/>
        </w:rPr>
        <w:lastRenderedPageBreak/>
        <w:t>CHAPTER FOUR</w:t>
      </w:r>
    </w:p>
    <w:p w:rsidR="003B5071" w:rsidRDefault="00615BF0">
      <w:pPr>
        <w:pStyle w:val="Heading2"/>
        <w:spacing w:before="0" w:after="0" w:line="480" w:lineRule="auto"/>
        <w:jc w:val="center"/>
        <w:rPr>
          <w:rFonts w:ascii="Times New Roman" w:eastAsia="Times New Roman" w:hAnsi="Times New Roman" w:cs="Times New Roman"/>
          <w:b/>
          <w:sz w:val="24"/>
          <w:szCs w:val="24"/>
        </w:rPr>
      </w:pPr>
      <w:bookmarkStart w:id="33" w:name="_xmx3bfnrci6h" w:colFirst="0" w:colLast="0"/>
      <w:bookmarkEnd w:id="33"/>
      <w:r>
        <w:rPr>
          <w:rFonts w:ascii="Times New Roman" w:eastAsia="Times New Roman" w:hAnsi="Times New Roman" w:cs="Times New Roman"/>
          <w:b/>
          <w:sz w:val="24"/>
          <w:szCs w:val="24"/>
        </w:rPr>
        <w:t xml:space="preserve">DATA </w:t>
      </w:r>
      <w:r w:rsidR="00A705F8">
        <w:rPr>
          <w:rFonts w:ascii="Times New Roman" w:eastAsia="Times New Roman" w:hAnsi="Times New Roman" w:cs="Times New Roman"/>
          <w:b/>
          <w:sz w:val="24"/>
          <w:szCs w:val="24"/>
        </w:rPr>
        <w:t xml:space="preserve">PRESENTATION AND </w:t>
      </w:r>
      <w:r>
        <w:rPr>
          <w:rFonts w:ascii="Times New Roman" w:eastAsia="Times New Roman" w:hAnsi="Times New Roman" w:cs="Times New Roman"/>
          <w:b/>
          <w:sz w:val="24"/>
          <w:szCs w:val="24"/>
        </w:rPr>
        <w:t>ANALYSIS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shows how corporate governance reaches into firm performance among listed consumer goods firms in Nigeria from 2012 to 2024. It opens with descriptive statistics to frame the key traits of the dataset, then draws visual lines to follow how the variables shifted across firms and years. Diagnostic checks come next, using unit root and correlation tests to see how steady the data stands and how the variables lean toward or away from each other. It moves on to the core estimation, where Pooled OLS, Fixed Effects, and Random Effects models are run side by side, with the </w:t>
      </w:r>
      <w:proofErr w:type="spellStart"/>
      <w:r>
        <w:rPr>
          <w:rFonts w:ascii="Times New Roman" w:eastAsia="Times New Roman" w:hAnsi="Times New Roman" w:cs="Times New Roman"/>
          <w:sz w:val="24"/>
          <w:szCs w:val="24"/>
        </w:rPr>
        <w:t>Hausman</w:t>
      </w:r>
      <w:proofErr w:type="spellEnd"/>
      <w:r>
        <w:rPr>
          <w:rFonts w:ascii="Times New Roman" w:eastAsia="Times New Roman" w:hAnsi="Times New Roman" w:cs="Times New Roman"/>
          <w:sz w:val="24"/>
          <w:szCs w:val="24"/>
        </w:rPr>
        <w:t xml:space="preserve"> test stepping in to select the best fit based on hidden firm details. The chapter ends by reading through the results, linking boardroom choices to profit signals, and grounding the analysis in the kind of decisions real firms must face.</w:t>
      </w:r>
    </w:p>
    <w:p w:rsidR="003B5071" w:rsidRDefault="00615BF0">
      <w:pPr>
        <w:pStyle w:val="Heading2"/>
        <w:spacing w:before="0" w:after="0" w:line="480" w:lineRule="auto"/>
        <w:jc w:val="both"/>
        <w:rPr>
          <w:rFonts w:ascii="Times New Roman" w:eastAsia="Times New Roman" w:hAnsi="Times New Roman" w:cs="Times New Roman"/>
          <w:b/>
          <w:sz w:val="24"/>
          <w:szCs w:val="24"/>
        </w:rPr>
      </w:pPr>
      <w:bookmarkStart w:id="34" w:name="_adi7rpb34p7n" w:colFirst="0" w:colLast="0"/>
      <w:bookmarkEnd w:id="34"/>
      <w:r>
        <w:rPr>
          <w:rFonts w:ascii="Times New Roman" w:eastAsia="Times New Roman" w:hAnsi="Times New Roman" w:cs="Times New Roman"/>
          <w:b/>
          <w:sz w:val="24"/>
          <w:szCs w:val="24"/>
        </w:rPr>
        <w:t>4.1 Descriptive Statistics</w:t>
      </w:r>
    </w:p>
    <w:p w:rsidR="003B5071" w:rsidRDefault="005A64ED">
      <w:pPr>
        <w:pStyle w:val="Normal1"/>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4.1</w:t>
      </w:r>
      <w:r w:rsidRPr="005A64ED">
        <w:rPr>
          <w:rFonts w:ascii="Times New Roman" w:eastAsia="Times New Roman" w:hAnsi="Times New Roman" w:cs="Times New Roman"/>
          <w:sz w:val="24"/>
          <w:szCs w:val="24"/>
        </w:rPr>
        <w:t xml:space="preserve"> S</w:t>
      </w:r>
      <w:r w:rsidR="00615BF0" w:rsidRPr="005A64ED">
        <w:rPr>
          <w:rFonts w:ascii="Times New Roman" w:eastAsia="Times New Roman" w:hAnsi="Times New Roman" w:cs="Times New Roman"/>
          <w:sz w:val="24"/>
          <w:szCs w:val="24"/>
        </w:rPr>
        <w:t>ummary of Descriptive Statistics for All Variables</w:t>
      </w:r>
    </w:p>
    <w:tbl>
      <w:tblPr>
        <w:tblStyle w:val="TableGrid"/>
        <w:tblW w:w="10562" w:type="dxa"/>
        <w:tblInd w:w="-252"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990"/>
        <w:gridCol w:w="990"/>
        <w:gridCol w:w="990"/>
        <w:gridCol w:w="1170"/>
        <w:gridCol w:w="1080"/>
        <w:gridCol w:w="1080"/>
        <w:gridCol w:w="1169"/>
        <w:gridCol w:w="1031"/>
        <w:gridCol w:w="1031"/>
        <w:gridCol w:w="1031"/>
      </w:tblGrid>
      <w:tr w:rsidR="003B5071" w:rsidTr="005A64ED">
        <w:trPr>
          <w:trHeight w:val="348"/>
        </w:trPr>
        <w:tc>
          <w:tcPr>
            <w:tcW w:w="990"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w:t>
            </w:r>
          </w:p>
        </w:tc>
        <w:tc>
          <w:tcPr>
            <w:tcW w:w="990"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Mean</w:t>
            </w:r>
          </w:p>
        </w:tc>
        <w:tc>
          <w:tcPr>
            <w:tcW w:w="990"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Median</w:t>
            </w:r>
          </w:p>
        </w:tc>
        <w:tc>
          <w:tcPr>
            <w:tcW w:w="1170"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Maximum</w:t>
            </w:r>
          </w:p>
        </w:tc>
        <w:tc>
          <w:tcPr>
            <w:tcW w:w="1080"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Minimum</w:t>
            </w:r>
          </w:p>
        </w:tc>
        <w:tc>
          <w:tcPr>
            <w:tcW w:w="1080"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Std. Dev.</w:t>
            </w:r>
          </w:p>
        </w:tc>
        <w:tc>
          <w:tcPr>
            <w:tcW w:w="1169"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Skewness</w:t>
            </w:r>
            <w:proofErr w:type="spellEnd"/>
          </w:p>
        </w:tc>
        <w:tc>
          <w:tcPr>
            <w:tcW w:w="1031"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Kurtosis</w:t>
            </w:r>
          </w:p>
        </w:tc>
        <w:tc>
          <w:tcPr>
            <w:tcW w:w="1031"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Jarque-Bera</w:t>
            </w:r>
            <w:proofErr w:type="spellEnd"/>
          </w:p>
        </w:tc>
        <w:tc>
          <w:tcPr>
            <w:tcW w:w="1031"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p-value</w:t>
            </w:r>
          </w:p>
        </w:tc>
      </w:tr>
      <w:tr w:rsidR="003B5071" w:rsidTr="005A64ED">
        <w:trPr>
          <w:trHeight w:val="278"/>
        </w:trPr>
        <w:tc>
          <w:tcPr>
            <w:tcW w:w="990"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ROA</w:t>
            </w:r>
          </w:p>
        </w:tc>
        <w:tc>
          <w:tcPr>
            <w:tcW w:w="990"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7.778846</w:t>
            </w:r>
          </w:p>
        </w:tc>
        <w:tc>
          <w:tcPr>
            <w:tcW w:w="990"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6.800000</w:t>
            </w:r>
          </w:p>
        </w:tc>
        <w:tc>
          <w:tcPr>
            <w:tcW w:w="1170"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19.50000</w:t>
            </w:r>
          </w:p>
        </w:tc>
        <w:tc>
          <w:tcPr>
            <w:tcW w:w="1080"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-2.500000</w:t>
            </w:r>
          </w:p>
        </w:tc>
        <w:tc>
          <w:tcPr>
            <w:tcW w:w="1080"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4.475964</w:t>
            </w:r>
          </w:p>
        </w:tc>
        <w:tc>
          <w:tcPr>
            <w:tcW w:w="1169"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0.770950</w:t>
            </w:r>
          </w:p>
        </w:tc>
        <w:tc>
          <w:tcPr>
            <w:tcW w:w="1031"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3.371936</w:t>
            </w:r>
          </w:p>
        </w:tc>
        <w:tc>
          <w:tcPr>
            <w:tcW w:w="1031"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5.450879</w:t>
            </w:r>
          </w:p>
        </w:tc>
        <w:tc>
          <w:tcPr>
            <w:tcW w:w="1031"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0.065517</w:t>
            </w:r>
          </w:p>
        </w:tc>
      </w:tr>
      <w:tr w:rsidR="003B5071" w:rsidTr="005A64ED">
        <w:trPr>
          <w:trHeight w:val="270"/>
        </w:trPr>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w:t>
            </w:r>
          </w:p>
        </w:tc>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0.703269</w:t>
            </w:r>
          </w:p>
        </w:tc>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0.700000</w:t>
            </w:r>
          </w:p>
        </w:tc>
        <w:tc>
          <w:tcPr>
            <w:tcW w:w="117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0.770000</w:t>
            </w:r>
          </w:p>
        </w:tc>
        <w:tc>
          <w:tcPr>
            <w:tcW w:w="108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0.630000</w:t>
            </w:r>
          </w:p>
        </w:tc>
        <w:tc>
          <w:tcPr>
            <w:tcW w:w="108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0.035795</w:t>
            </w:r>
          </w:p>
        </w:tc>
        <w:tc>
          <w:tcPr>
            <w:tcW w:w="11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-0.135424</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2.203989</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1.531815</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0.464912</w:t>
            </w:r>
          </w:p>
        </w:tc>
      </w:tr>
      <w:tr w:rsidR="003B5071" w:rsidTr="005A64ED">
        <w:trPr>
          <w:trHeight w:val="270"/>
        </w:trPr>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BD</w:t>
            </w:r>
          </w:p>
        </w:tc>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5.307692</w:t>
            </w:r>
          </w:p>
        </w:tc>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5.000000</w:t>
            </w:r>
          </w:p>
        </w:tc>
        <w:tc>
          <w:tcPr>
            <w:tcW w:w="117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7.000000</w:t>
            </w:r>
          </w:p>
        </w:tc>
        <w:tc>
          <w:tcPr>
            <w:tcW w:w="108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4.000000</w:t>
            </w:r>
          </w:p>
        </w:tc>
        <w:tc>
          <w:tcPr>
            <w:tcW w:w="108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0.897457</w:t>
            </w:r>
          </w:p>
        </w:tc>
        <w:tc>
          <w:tcPr>
            <w:tcW w:w="11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-0.148786</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1.999663</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2.359981</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0.307282</w:t>
            </w:r>
          </w:p>
        </w:tc>
      </w:tr>
      <w:tr w:rsidR="003B5071" w:rsidTr="005A64ED">
        <w:trPr>
          <w:trHeight w:val="270"/>
        </w:trPr>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BS</w:t>
            </w:r>
          </w:p>
        </w:tc>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11.28846</w:t>
            </w:r>
          </w:p>
        </w:tc>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11.00000</w:t>
            </w:r>
          </w:p>
        </w:tc>
        <w:tc>
          <w:tcPr>
            <w:tcW w:w="117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15.00000</w:t>
            </w:r>
          </w:p>
        </w:tc>
        <w:tc>
          <w:tcPr>
            <w:tcW w:w="108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8.000000</w:t>
            </w:r>
          </w:p>
        </w:tc>
        <w:tc>
          <w:tcPr>
            <w:tcW w:w="108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2.362589</w:t>
            </w:r>
          </w:p>
        </w:tc>
        <w:tc>
          <w:tcPr>
            <w:tcW w:w="11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0.452507</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1.803566</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4.876098</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0.087331</w:t>
            </w:r>
          </w:p>
        </w:tc>
      </w:tr>
      <w:tr w:rsidR="003B5071" w:rsidTr="005A64ED">
        <w:trPr>
          <w:trHeight w:val="180"/>
        </w:trPr>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BGD</w:t>
            </w:r>
          </w:p>
        </w:tc>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0.217885</w:t>
            </w:r>
          </w:p>
        </w:tc>
        <w:tc>
          <w:tcPr>
            <w:tcW w:w="99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0.220000</w:t>
            </w:r>
          </w:p>
        </w:tc>
        <w:tc>
          <w:tcPr>
            <w:tcW w:w="117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0.330000</w:t>
            </w:r>
          </w:p>
        </w:tc>
        <w:tc>
          <w:tcPr>
            <w:tcW w:w="108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0.110000</w:t>
            </w:r>
          </w:p>
        </w:tc>
        <w:tc>
          <w:tcPr>
            <w:tcW w:w="1080"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0.059023</w:t>
            </w:r>
          </w:p>
        </w:tc>
        <w:tc>
          <w:tcPr>
            <w:tcW w:w="11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-0.191718</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2.053947</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2.257752</w:t>
            </w:r>
          </w:p>
        </w:tc>
        <w:tc>
          <w:tcPr>
            <w:tcW w:w="1031"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0.323397</w:t>
            </w:r>
          </w:p>
        </w:tc>
      </w:tr>
    </w:tbl>
    <w:p w:rsidR="003B5071" w:rsidRDefault="003B5071">
      <w:pPr>
        <w:pStyle w:val="Normal1"/>
        <w:spacing w:line="240" w:lineRule="auto"/>
        <w:jc w:val="both"/>
        <w:rPr>
          <w:rFonts w:ascii="Times New Roman" w:eastAsia="Times New Roman" w:hAnsi="Times New Roman" w:cs="Times New Roman"/>
          <w:sz w:val="24"/>
          <w:szCs w:val="24"/>
        </w:rPr>
      </w:pPr>
    </w:p>
    <w:p w:rsidR="003B5071" w:rsidRPr="005A64ED" w:rsidRDefault="00615BF0">
      <w:pPr>
        <w:pStyle w:val="Normal1"/>
        <w:spacing w:line="480" w:lineRule="auto"/>
        <w:jc w:val="both"/>
        <w:rPr>
          <w:rFonts w:ascii="Times New Roman" w:eastAsia="Times New Roman" w:hAnsi="Times New Roman" w:cs="Times New Roman"/>
          <w:sz w:val="24"/>
          <w:szCs w:val="24"/>
        </w:rPr>
      </w:pPr>
      <w:r w:rsidRPr="005A64ED">
        <w:rPr>
          <w:rFonts w:ascii="Times New Roman" w:eastAsia="Gungsuh" w:hAnsi="Times New Roman" w:cs="Times New Roman"/>
          <w:sz w:val="24"/>
          <w:szCs w:val="24"/>
        </w:rPr>
        <w:t xml:space="preserve">The return on assets (ROA) clocked an average of 7.78 percent with a spread marked by standard deviation at 4.48. Scores stretched from a low of minus 2.50 to a high of 19.50. </w:t>
      </w:r>
      <w:proofErr w:type="spellStart"/>
      <w:r w:rsidRPr="005A64ED">
        <w:rPr>
          <w:rFonts w:ascii="Times New Roman" w:eastAsia="Gungsuh" w:hAnsi="Times New Roman" w:cs="Times New Roman"/>
          <w:sz w:val="24"/>
          <w:szCs w:val="24"/>
        </w:rPr>
        <w:t>Skewness</w:t>
      </w:r>
      <w:proofErr w:type="spellEnd"/>
      <w:r w:rsidRPr="005A64ED">
        <w:rPr>
          <w:rFonts w:ascii="Times New Roman" w:eastAsia="Gungsuh" w:hAnsi="Times New Roman" w:cs="Times New Roman"/>
          <w:sz w:val="24"/>
          <w:szCs w:val="24"/>
        </w:rPr>
        <w:t xml:space="preserve"> came in at 0.77, pointing to a lean rightward where most firms hovered near moderate profitability, though a few climbed higher than usual. Kurtosis touched 3.37, barely above the normal line, hinting at slight </w:t>
      </w:r>
      <w:proofErr w:type="spellStart"/>
      <w:r w:rsidRPr="005A64ED">
        <w:rPr>
          <w:rFonts w:ascii="Times New Roman" w:eastAsia="Gungsuh" w:hAnsi="Times New Roman" w:cs="Times New Roman"/>
          <w:sz w:val="24"/>
          <w:szCs w:val="24"/>
        </w:rPr>
        <w:t>peakiness</w:t>
      </w:r>
      <w:proofErr w:type="spellEnd"/>
      <w:r w:rsidRPr="005A64ED">
        <w:rPr>
          <w:rFonts w:ascii="Times New Roman" w:eastAsia="Gungsuh" w:hAnsi="Times New Roman" w:cs="Times New Roman"/>
          <w:sz w:val="24"/>
          <w:szCs w:val="24"/>
        </w:rPr>
        <w:t xml:space="preserve">. Still, the </w:t>
      </w:r>
      <w:proofErr w:type="spellStart"/>
      <w:r w:rsidRPr="005A64ED">
        <w:rPr>
          <w:rFonts w:ascii="Times New Roman" w:eastAsia="Gungsuh" w:hAnsi="Times New Roman" w:cs="Times New Roman"/>
          <w:sz w:val="24"/>
          <w:szCs w:val="24"/>
        </w:rPr>
        <w:t>Jarque-Bera</w:t>
      </w:r>
      <w:proofErr w:type="spellEnd"/>
      <w:r w:rsidRPr="005A64ED">
        <w:rPr>
          <w:rFonts w:ascii="Times New Roman" w:eastAsia="Gungsuh" w:hAnsi="Times New Roman" w:cs="Times New Roman"/>
          <w:sz w:val="24"/>
          <w:szCs w:val="24"/>
        </w:rPr>
        <w:t xml:space="preserve"> test output </w:t>
      </w:r>
      <w:proofErr w:type="gramStart"/>
      <w:r w:rsidRPr="005A64ED">
        <w:rPr>
          <w:rFonts w:ascii="Times New Roman" w:eastAsia="Gungsuh" w:hAnsi="Times New Roman" w:cs="Times New Roman"/>
          <w:sz w:val="24"/>
          <w:szCs w:val="24"/>
        </w:rPr>
        <w:t>JB(</w:t>
      </w:r>
      <w:proofErr w:type="gramEnd"/>
      <w:r w:rsidRPr="005A64ED">
        <w:rPr>
          <w:rFonts w:ascii="Times New Roman" w:eastAsia="Gungsuh" w:hAnsi="Times New Roman" w:cs="Times New Roman"/>
          <w:sz w:val="24"/>
          <w:szCs w:val="24"/>
        </w:rPr>
        <w:t xml:space="preserve">2) = 5.45, p = .066 did not cross the rejection line, which means the ROA readings stayed inside the bounds of normal distribution. Board independence (BI) stood with a mean of 0.70 and deviation at 0.04. Firms ranged between 0.63 </w:t>
      </w:r>
      <w:r w:rsidRPr="005A64ED">
        <w:rPr>
          <w:rFonts w:ascii="Times New Roman" w:eastAsia="Gungsuh" w:hAnsi="Times New Roman" w:cs="Times New Roman"/>
          <w:sz w:val="24"/>
          <w:szCs w:val="24"/>
        </w:rPr>
        <w:lastRenderedPageBreak/>
        <w:t xml:space="preserve">and 0.77, translating to roughly seventy percent of board members being non-executives. Distribution skewed lightly left at −0.14, and kurtosis settled at 2.20. </w:t>
      </w:r>
      <w:proofErr w:type="spellStart"/>
      <w:r w:rsidRPr="005A64ED">
        <w:rPr>
          <w:rFonts w:ascii="Times New Roman" w:eastAsia="Gungsuh" w:hAnsi="Times New Roman" w:cs="Times New Roman"/>
          <w:sz w:val="24"/>
          <w:szCs w:val="24"/>
        </w:rPr>
        <w:t>Jarque-Bera</w:t>
      </w:r>
      <w:proofErr w:type="spellEnd"/>
      <w:r w:rsidRPr="005A64ED">
        <w:rPr>
          <w:rFonts w:ascii="Times New Roman" w:eastAsia="Gungsuh" w:hAnsi="Times New Roman" w:cs="Times New Roman"/>
          <w:sz w:val="24"/>
          <w:szCs w:val="24"/>
        </w:rPr>
        <w:t xml:space="preserve"> returned </w:t>
      </w:r>
      <w:proofErr w:type="gramStart"/>
      <w:r w:rsidRPr="005A64ED">
        <w:rPr>
          <w:rFonts w:ascii="Times New Roman" w:eastAsia="Gungsuh" w:hAnsi="Times New Roman" w:cs="Times New Roman"/>
          <w:sz w:val="24"/>
          <w:szCs w:val="24"/>
        </w:rPr>
        <w:t>JB(</w:t>
      </w:r>
      <w:proofErr w:type="gramEnd"/>
      <w:r w:rsidRPr="005A64ED">
        <w:rPr>
          <w:rFonts w:ascii="Times New Roman" w:eastAsia="Gungsuh" w:hAnsi="Times New Roman" w:cs="Times New Roman"/>
          <w:sz w:val="24"/>
          <w:szCs w:val="24"/>
        </w:rPr>
        <w:t>2) = 1.53, p = .465, which holds up normality.</w:t>
      </w:r>
    </w:p>
    <w:p w:rsidR="003B5071" w:rsidRDefault="00615BF0">
      <w:pPr>
        <w:pStyle w:val="Normal1"/>
        <w:spacing w:line="480" w:lineRule="auto"/>
        <w:jc w:val="both"/>
        <w:rPr>
          <w:rFonts w:ascii="Times New Roman" w:eastAsia="Gungsuh" w:hAnsi="Times New Roman" w:cs="Times New Roman"/>
          <w:sz w:val="24"/>
          <w:szCs w:val="24"/>
        </w:rPr>
      </w:pPr>
      <w:r w:rsidRPr="005A64ED">
        <w:rPr>
          <w:rFonts w:ascii="Times New Roman" w:eastAsia="Gungsuh" w:hAnsi="Times New Roman" w:cs="Times New Roman"/>
          <w:sz w:val="24"/>
          <w:szCs w:val="24"/>
        </w:rPr>
        <w:t xml:space="preserve">Board diligence (BD), gauged through yearly board meetings, came to a mean of 5.31, deviation 0.90, and ranged from 4.00 to 7.00. Slight left skew at −0.15 and a just-right kurtosis of 2.00 painted a balanced shape. </w:t>
      </w:r>
      <w:proofErr w:type="spellStart"/>
      <w:r w:rsidRPr="005A64ED">
        <w:rPr>
          <w:rFonts w:ascii="Times New Roman" w:eastAsia="Gungsuh" w:hAnsi="Times New Roman" w:cs="Times New Roman"/>
          <w:sz w:val="24"/>
          <w:szCs w:val="24"/>
        </w:rPr>
        <w:t>Jarque-Bera</w:t>
      </w:r>
      <w:proofErr w:type="spellEnd"/>
      <w:r w:rsidRPr="005A64ED">
        <w:rPr>
          <w:rFonts w:ascii="Times New Roman" w:eastAsia="Gungsuh" w:hAnsi="Times New Roman" w:cs="Times New Roman"/>
          <w:sz w:val="24"/>
          <w:szCs w:val="24"/>
        </w:rPr>
        <w:t xml:space="preserve"> stayed quiet with </w:t>
      </w:r>
      <w:proofErr w:type="gramStart"/>
      <w:r w:rsidRPr="005A64ED">
        <w:rPr>
          <w:rFonts w:ascii="Times New Roman" w:eastAsia="Gungsuh" w:hAnsi="Times New Roman" w:cs="Times New Roman"/>
          <w:sz w:val="24"/>
          <w:szCs w:val="24"/>
        </w:rPr>
        <w:t>JB(</w:t>
      </w:r>
      <w:proofErr w:type="gramEnd"/>
      <w:r w:rsidRPr="005A64ED">
        <w:rPr>
          <w:rFonts w:ascii="Times New Roman" w:eastAsia="Gungsuh" w:hAnsi="Times New Roman" w:cs="Times New Roman"/>
          <w:sz w:val="24"/>
          <w:szCs w:val="24"/>
        </w:rPr>
        <w:t xml:space="preserve">2) = 2.36, p = .307, no hint of oddness in shape. As for board size (BS), the average landed at 11.29 directors, moving within the limits of 8 to 15. </w:t>
      </w:r>
      <w:proofErr w:type="spellStart"/>
      <w:r w:rsidRPr="005A64ED">
        <w:rPr>
          <w:rFonts w:ascii="Times New Roman" w:eastAsia="Gungsuh" w:hAnsi="Times New Roman" w:cs="Times New Roman"/>
          <w:sz w:val="24"/>
          <w:szCs w:val="24"/>
        </w:rPr>
        <w:t>Skewness</w:t>
      </w:r>
      <w:proofErr w:type="spellEnd"/>
      <w:r w:rsidRPr="005A64ED">
        <w:rPr>
          <w:rFonts w:ascii="Times New Roman" w:eastAsia="Gungsuh" w:hAnsi="Times New Roman" w:cs="Times New Roman"/>
          <w:sz w:val="24"/>
          <w:szCs w:val="24"/>
        </w:rPr>
        <w:t xml:space="preserve"> sat positive at 0.45 and kurtosis remained undercooked at 1.80. Normality was not shaken, </w:t>
      </w:r>
      <w:proofErr w:type="gramStart"/>
      <w:r w:rsidRPr="005A64ED">
        <w:rPr>
          <w:rFonts w:ascii="Times New Roman" w:eastAsia="Gungsuh" w:hAnsi="Times New Roman" w:cs="Times New Roman"/>
          <w:sz w:val="24"/>
          <w:szCs w:val="24"/>
        </w:rPr>
        <w:t>JB(</w:t>
      </w:r>
      <w:proofErr w:type="gramEnd"/>
      <w:r w:rsidRPr="005A64ED">
        <w:rPr>
          <w:rFonts w:ascii="Times New Roman" w:eastAsia="Gungsuh" w:hAnsi="Times New Roman" w:cs="Times New Roman"/>
          <w:sz w:val="24"/>
          <w:szCs w:val="24"/>
        </w:rPr>
        <w:t xml:space="preserve">2) = 4.88, p = .087. Last, board gender diversity (BGD) turned out a mean of 0.22 and deviation of 0.06, with extremes sitting between 0.11 and 0.33. That shows twenty-two percent of board members were female, on average. Shape leaned slightly left at −0.19, with flatness held by kurtosis at 2.05. The </w:t>
      </w:r>
      <w:proofErr w:type="spellStart"/>
      <w:r w:rsidRPr="005A64ED">
        <w:rPr>
          <w:rFonts w:ascii="Times New Roman" w:eastAsia="Gungsuh" w:hAnsi="Times New Roman" w:cs="Times New Roman"/>
          <w:sz w:val="24"/>
          <w:szCs w:val="24"/>
        </w:rPr>
        <w:t>Jarque-Bera</w:t>
      </w:r>
      <w:proofErr w:type="spellEnd"/>
      <w:r w:rsidRPr="005A64ED">
        <w:rPr>
          <w:rFonts w:ascii="Times New Roman" w:eastAsia="Gungsuh" w:hAnsi="Times New Roman" w:cs="Times New Roman"/>
          <w:sz w:val="24"/>
          <w:szCs w:val="24"/>
        </w:rPr>
        <w:t xml:space="preserve"> result was again quiet, </w:t>
      </w:r>
      <w:proofErr w:type="gramStart"/>
      <w:r w:rsidRPr="005A64ED">
        <w:rPr>
          <w:rFonts w:ascii="Times New Roman" w:eastAsia="Gungsuh" w:hAnsi="Times New Roman" w:cs="Times New Roman"/>
          <w:sz w:val="24"/>
          <w:szCs w:val="24"/>
        </w:rPr>
        <w:t>JB(</w:t>
      </w:r>
      <w:proofErr w:type="gramEnd"/>
      <w:r w:rsidRPr="005A64ED">
        <w:rPr>
          <w:rFonts w:ascii="Times New Roman" w:eastAsia="Gungsuh" w:hAnsi="Times New Roman" w:cs="Times New Roman"/>
          <w:sz w:val="24"/>
          <w:szCs w:val="24"/>
        </w:rPr>
        <w:t>2) = 2.26, p = .323. Across all measures, data stuck closely to symmetry and balance, offering a firm ground for later estimation.</w:t>
      </w:r>
    </w:p>
    <w:p w:rsidR="005A64ED" w:rsidRDefault="005A64ED">
      <w:pPr>
        <w:pStyle w:val="Normal1"/>
        <w:spacing w:line="480" w:lineRule="auto"/>
        <w:jc w:val="both"/>
        <w:rPr>
          <w:rFonts w:ascii="Times New Roman" w:eastAsia="Gungsuh" w:hAnsi="Times New Roman" w:cs="Times New Roman"/>
          <w:sz w:val="24"/>
          <w:szCs w:val="24"/>
        </w:rPr>
      </w:pPr>
    </w:p>
    <w:p w:rsidR="005A64ED" w:rsidRDefault="005A64ED">
      <w:pPr>
        <w:pStyle w:val="Normal1"/>
        <w:spacing w:line="480" w:lineRule="auto"/>
        <w:jc w:val="both"/>
        <w:rPr>
          <w:rFonts w:ascii="Times New Roman" w:eastAsia="Gungsuh" w:hAnsi="Times New Roman" w:cs="Times New Roman"/>
          <w:sz w:val="24"/>
          <w:szCs w:val="24"/>
        </w:rPr>
      </w:pPr>
    </w:p>
    <w:p w:rsidR="005A64ED" w:rsidRDefault="005A64ED">
      <w:pPr>
        <w:pStyle w:val="Normal1"/>
        <w:spacing w:line="480" w:lineRule="auto"/>
        <w:jc w:val="both"/>
        <w:rPr>
          <w:rFonts w:ascii="Times New Roman" w:eastAsia="Gungsuh" w:hAnsi="Times New Roman" w:cs="Times New Roman"/>
          <w:sz w:val="24"/>
          <w:szCs w:val="24"/>
        </w:rPr>
      </w:pPr>
    </w:p>
    <w:p w:rsidR="005A64ED" w:rsidRDefault="005A64ED">
      <w:pPr>
        <w:pStyle w:val="Normal1"/>
        <w:spacing w:line="480" w:lineRule="auto"/>
        <w:jc w:val="both"/>
        <w:rPr>
          <w:rFonts w:ascii="Times New Roman" w:eastAsia="Gungsuh" w:hAnsi="Times New Roman" w:cs="Times New Roman"/>
          <w:sz w:val="24"/>
          <w:szCs w:val="24"/>
        </w:rPr>
      </w:pPr>
    </w:p>
    <w:p w:rsidR="005A64ED" w:rsidRDefault="005A64ED">
      <w:pPr>
        <w:pStyle w:val="Normal1"/>
        <w:spacing w:line="480" w:lineRule="auto"/>
        <w:jc w:val="both"/>
        <w:rPr>
          <w:rFonts w:ascii="Times New Roman" w:eastAsia="Gungsuh" w:hAnsi="Times New Roman" w:cs="Times New Roman"/>
          <w:sz w:val="24"/>
          <w:szCs w:val="24"/>
        </w:rPr>
      </w:pPr>
    </w:p>
    <w:p w:rsidR="005A64ED" w:rsidRDefault="005A64ED">
      <w:pPr>
        <w:pStyle w:val="Normal1"/>
        <w:spacing w:line="480" w:lineRule="auto"/>
        <w:jc w:val="both"/>
        <w:rPr>
          <w:rFonts w:ascii="Times New Roman" w:eastAsia="Gungsuh" w:hAnsi="Times New Roman" w:cs="Times New Roman"/>
          <w:sz w:val="24"/>
          <w:szCs w:val="24"/>
        </w:rPr>
      </w:pPr>
    </w:p>
    <w:p w:rsidR="005A64ED" w:rsidRDefault="005A64ED">
      <w:pPr>
        <w:pStyle w:val="Normal1"/>
        <w:spacing w:line="480" w:lineRule="auto"/>
        <w:jc w:val="both"/>
        <w:rPr>
          <w:rFonts w:ascii="Times New Roman" w:eastAsia="Gungsuh" w:hAnsi="Times New Roman" w:cs="Times New Roman"/>
          <w:sz w:val="24"/>
          <w:szCs w:val="24"/>
        </w:rPr>
      </w:pPr>
    </w:p>
    <w:p w:rsidR="005A64ED" w:rsidRDefault="005A64ED">
      <w:pPr>
        <w:pStyle w:val="Normal1"/>
        <w:spacing w:line="480" w:lineRule="auto"/>
        <w:jc w:val="both"/>
        <w:rPr>
          <w:rFonts w:ascii="Times New Roman" w:eastAsia="Gungsuh" w:hAnsi="Times New Roman" w:cs="Times New Roman"/>
          <w:sz w:val="24"/>
          <w:szCs w:val="24"/>
        </w:rPr>
      </w:pPr>
    </w:p>
    <w:p w:rsidR="005A64ED" w:rsidRPr="005A64ED" w:rsidRDefault="005A64ED">
      <w:pPr>
        <w:pStyle w:val="Normal1"/>
        <w:spacing w:line="480" w:lineRule="auto"/>
        <w:jc w:val="both"/>
        <w:rPr>
          <w:rFonts w:ascii="Times New Roman" w:eastAsia="Times New Roman" w:hAnsi="Times New Roman" w:cs="Times New Roman"/>
          <w:sz w:val="24"/>
          <w:szCs w:val="24"/>
        </w:rPr>
      </w:pPr>
    </w:p>
    <w:p w:rsidR="003B5071" w:rsidRPr="005A64ED"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35" w:name="_xhnc8hdrhyag" w:colFirst="0" w:colLast="0"/>
      <w:bookmarkEnd w:id="35"/>
      <w:r w:rsidRPr="005A64ED">
        <w:rPr>
          <w:rFonts w:ascii="Times New Roman" w:eastAsia="Times New Roman" w:hAnsi="Times New Roman" w:cs="Times New Roman"/>
          <w:b/>
          <w:color w:val="000000"/>
          <w:sz w:val="24"/>
          <w:szCs w:val="24"/>
        </w:rPr>
        <w:lastRenderedPageBreak/>
        <w:t>4.1.1: Graphical Trend Analysis by Firm and Variable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w:t>
      </w:r>
      <w:r w:rsidR="005A64ED">
        <w:rPr>
          <w:rFonts w:ascii="Times New Roman" w:eastAsia="Times New Roman" w:hAnsi="Times New Roman" w:cs="Times New Roman"/>
          <w:b/>
          <w:sz w:val="24"/>
          <w:szCs w:val="24"/>
        </w:rPr>
        <w:t xml:space="preserve">4.1 </w:t>
      </w:r>
      <w:r w:rsidRPr="005A64ED">
        <w:rPr>
          <w:rFonts w:ascii="Times New Roman" w:eastAsia="Times New Roman" w:hAnsi="Times New Roman" w:cs="Times New Roman"/>
          <w:sz w:val="24"/>
          <w:szCs w:val="24"/>
        </w:rPr>
        <w:t>Trend of ROA across Firms (2012-2024)</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extent cx="5943600" cy="3249435"/>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943600" cy="3249435"/>
                    </a:xfrm>
                    <a:prstGeom prst="rect">
                      <a:avLst/>
                    </a:prstGeom>
                    <a:ln/>
                  </pic:spPr>
                </pic:pic>
              </a:graphicData>
            </a:graphic>
          </wp:inline>
        </w:drawing>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Across the twelve-year stretch, return on assets (ROA) did not flow evenly. Firm 2, Nigerian Breweries PLC, began strong with 18.3 percent in 2012, stretched to 19.5 in 2013, then started sliding down year by year, sinking to minus 2.5 in 2023, which spells deep trouble. Firm 1, Unilever Nigeria PLC, moved in zigzags—shot to 13.6 in 2017, even higher at 16.8 in 2018, but then dropped fast to 3.5 by 2020, probably due to the shockwaves of the pandemic, yet crawled back up to 7.4 by 2024. Firm 3, Flour Mills Nigeria PLC, kept things flatter, less drama, bouncing quietly between 3.5 and 7.2. Firm 4, Cadbury Nigeria PLC, first fell from 9.1 in 2014 to 2.8 in 2020, then climbed its way up again to 5.8 by the end. These shifts seem rooted in how each board operated, how fast each firm adjusted, and how tight or </w:t>
      </w:r>
      <w:proofErr w:type="spellStart"/>
      <w:r>
        <w:rPr>
          <w:rFonts w:ascii="Times New Roman" w:eastAsia="Times New Roman" w:hAnsi="Times New Roman" w:cs="Times New Roman"/>
          <w:sz w:val="24"/>
          <w:szCs w:val="24"/>
        </w:rPr>
        <w:t>loose</w:t>
      </w:r>
      <w:proofErr w:type="spellEnd"/>
      <w:r>
        <w:rPr>
          <w:rFonts w:ascii="Times New Roman" w:eastAsia="Times New Roman" w:hAnsi="Times New Roman" w:cs="Times New Roman"/>
          <w:sz w:val="24"/>
          <w:szCs w:val="24"/>
        </w:rPr>
        <w:t xml:space="preserve"> their governance grip stayed. The wide gap in ROA lines up with the descriptive stats earlier, suggesting governance features did not land equally on each balance sheet.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governance variables drawn over the same years, the curves tell their own silent story. Board size (BS) saw Firm 3 sitting tallest with 14 to 15 members constantly, while Firm 4 stayed shortest with just 8 or 9. Firms 1 and 2 hovered in the middle lane with some drift, Unilever (Firm 1) hanging around 9 to 11 and Nigerian Breweries (Firm 2) around 11 to 13. No sudden jumps, just slight shifts here and there. For board independence (BI), all four firms kept high ratios, floating between 0.63 and 0.77. Firm 2 stayed the highest, almost touching 0.77, and Firm 4 trailed a little behind at around 0.63. These numbers hint that most boards held a firm wall between oversight and management. Gender diversity (BGD) painted a slow but steady climb. Firms 1 and 2 made the most gain, from roughly 20 and 17 percent to about 30 and 33 percent by 2024. Every firm by then had at least 22 percent female voices at the table. For board diligence (BD), meeting counts started lower—mostly 4 to 5 per year—but began to stretch out more around 2020, a likely reaction to the health crisis. Firm 1 and Firm 2 jumped to 7 meetings per year, while Firms 3 and 4 rose modestly to 6. The meeting trend spoke clearly—boards grew more alert, more active, and maybe more anxious too as things turned uncertain.</w:t>
      </w:r>
    </w:p>
    <w:p w:rsidR="003B5071" w:rsidRDefault="00615BF0">
      <w:pPr>
        <w:pStyle w:val="Heading2"/>
        <w:spacing w:before="0" w:after="0" w:line="480" w:lineRule="auto"/>
        <w:jc w:val="both"/>
        <w:rPr>
          <w:rFonts w:ascii="Times New Roman" w:eastAsia="Times New Roman" w:hAnsi="Times New Roman" w:cs="Times New Roman"/>
          <w:b/>
          <w:sz w:val="24"/>
          <w:szCs w:val="24"/>
        </w:rPr>
      </w:pPr>
      <w:bookmarkStart w:id="36" w:name="_imvifjcx4wqb" w:colFirst="0" w:colLast="0"/>
      <w:bookmarkEnd w:id="36"/>
      <w:r>
        <w:rPr>
          <w:rFonts w:ascii="Times New Roman" w:eastAsia="Times New Roman" w:hAnsi="Times New Roman" w:cs="Times New Roman"/>
          <w:b/>
          <w:sz w:val="24"/>
          <w:szCs w:val="24"/>
        </w:rPr>
        <w:t>4.2 Preliminary Diagnostics</w:t>
      </w:r>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37" w:name="_5iopkod9ii04" w:colFirst="0" w:colLast="0"/>
      <w:bookmarkEnd w:id="37"/>
      <w:r>
        <w:rPr>
          <w:rFonts w:ascii="Times New Roman" w:eastAsia="Times New Roman" w:hAnsi="Times New Roman" w:cs="Times New Roman"/>
          <w:b/>
          <w:color w:val="000000"/>
          <w:sz w:val="24"/>
          <w:szCs w:val="24"/>
        </w:rPr>
        <w:t>4.2.1: Panel Unit Root Tests</w:t>
      </w:r>
    </w:p>
    <w:p w:rsidR="003B5071" w:rsidRDefault="00615BF0">
      <w:pPr>
        <w:pStyle w:val="Normal1"/>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4.</w:t>
      </w:r>
      <w:r w:rsidR="005A64E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 </w:t>
      </w:r>
      <w:r w:rsidRPr="005A64ED">
        <w:rPr>
          <w:rFonts w:ascii="Times New Roman" w:eastAsia="Times New Roman" w:hAnsi="Times New Roman" w:cs="Times New Roman"/>
          <w:sz w:val="24"/>
          <w:szCs w:val="24"/>
        </w:rPr>
        <w:t>Levin-Lin-Chu, ADF-Fisher, and PP-Fisher Unit Root Test Results</w:t>
      </w:r>
    </w:p>
    <w:tbl>
      <w:tblPr>
        <w:tblStyle w:val="TableGrid"/>
        <w:tblW w:w="10089"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443"/>
        <w:gridCol w:w="1441"/>
        <w:gridCol w:w="1441"/>
        <w:gridCol w:w="1441"/>
        <w:gridCol w:w="1441"/>
        <w:gridCol w:w="1441"/>
        <w:gridCol w:w="1441"/>
      </w:tblGrid>
      <w:tr w:rsidR="003B5071" w:rsidRPr="005A64ED" w:rsidTr="005A64ED">
        <w:trPr>
          <w:trHeight w:val="624"/>
        </w:trPr>
        <w:tc>
          <w:tcPr>
            <w:tcW w:w="1443"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Variable</w:t>
            </w:r>
          </w:p>
        </w:tc>
        <w:tc>
          <w:tcPr>
            <w:tcW w:w="1441"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Levin-Lin-Chu (t*)</w:t>
            </w:r>
          </w:p>
        </w:tc>
        <w:tc>
          <w:tcPr>
            <w:tcW w:w="1441"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p-value</w:t>
            </w:r>
          </w:p>
        </w:tc>
        <w:tc>
          <w:tcPr>
            <w:tcW w:w="1441"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ADF-Fisher χ²</w:t>
            </w:r>
          </w:p>
        </w:tc>
        <w:tc>
          <w:tcPr>
            <w:tcW w:w="1441"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p-value</w:t>
            </w:r>
          </w:p>
        </w:tc>
        <w:tc>
          <w:tcPr>
            <w:tcW w:w="1441"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PP-Fisher χ²</w:t>
            </w:r>
          </w:p>
        </w:tc>
        <w:tc>
          <w:tcPr>
            <w:tcW w:w="1441"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p-value</w:t>
            </w:r>
          </w:p>
        </w:tc>
      </w:tr>
      <w:tr w:rsidR="003B5071" w:rsidRPr="005A64ED" w:rsidTr="005A64ED">
        <w:trPr>
          <w:trHeight w:val="312"/>
        </w:trPr>
        <w:tc>
          <w:tcPr>
            <w:tcW w:w="1443"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ROA</w:t>
            </w:r>
          </w:p>
        </w:tc>
        <w:tc>
          <w:tcPr>
            <w:tcW w:w="1441"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-6.81562</w:t>
            </w:r>
          </w:p>
        </w:tc>
        <w:tc>
          <w:tcPr>
            <w:tcW w:w="1441"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46.4835</w:t>
            </w:r>
          </w:p>
        </w:tc>
        <w:tc>
          <w:tcPr>
            <w:tcW w:w="1441"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35.7148</w:t>
            </w:r>
          </w:p>
        </w:tc>
        <w:tc>
          <w:tcPr>
            <w:tcW w:w="1441"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r>
      <w:tr w:rsidR="003B5071" w:rsidRPr="005A64ED" w:rsidTr="005A64ED">
        <w:trPr>
          <w:trHeight w:val="312"/>
        </w:trPr>
        <w:tc>
          <w:tcPr>
            <w:tcW w:w="1443"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BI</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-5.49005</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31.8393</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40.1032</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r>
      <w:tr w:rsidR="003B5071" w:rsidRPr="005A64ED" w:rsidTr="005A64ED">
        <w:trPr>
          <w:trHeight w:val="312"/>
        </w:trPr>
        <w:tc>
          <w:tcPr>
            <w:tcW w:w="1443"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BD</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-9.53809</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61.7424</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61.6479</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r>
      <w:tr w:rsidR="003B5071" w:rsidRPr="005A64ED" w:rsidTr="005A64ED">
        <w:trPr>
          <w:trHeight w:val="312"/>
        </w:trPr>
        <w:tc>
          <w:tcPr>
            <w:tcW w:w="1443"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BS</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-5.49647</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31.8393</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19.6840</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0.0006</w:t>
            </w:r>
          </w:p>
        </w:tc>
      </w:tr>
      <w:tr w:rsidR="003B5071" w:rsidRPr="005A64ED" w:rsidTr="005A64ED">
        <w:trPr>
          <w:trHeight w:val="332"/>
        </w:trPr>
        <w:tc>
          <w:tcPr>
            <w:tcW w:w="1443"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BGD</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-6.65852</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45.4992</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42.4961</w:t>
            </w:r>
          </w:p>
        </w:tc>
        <w:tc>
          <w:tcPr>
            <w:tcW w:w="1441"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0.0000</w:t>
            </w:r>
          </w:p>
        </w:tc>
      </w:tr>
    </w:tbl>
    <w:p w:rsidR="003B5071" w:rsidRDefault="003B5071">
      <w:pPr>
        <w:pStyle w:val="Normal1"/>
        <w:spacing w:line="240" w:lineRule="auto"/>
        <w:jc w:val="both"/>
        <w:rPr>
          <w:rFonts w:ascii="Times New Roman" w:eastAsia="Times New Roman" w:hAnsi="Times New Roman" w:cs="Times New Roman"/>
          <w:sz w:val="24"/>
          <w:szCs w:val="24"/>
        </w:rPr>
      </w:pP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five core variables—Return on Assets (ROA), Board Independence (BI), Board Diligence (BD), Board Size (BS), and Board Gender Diversity (BGD)—settled as stationary at level form, </w:t>
      </w:r>
      <w:r>
        <w:rPr>
          <w:rFonts w:ascii="Times New Roman" w:eastAsia="Times New Roman" w:hAnsi="Times New Roman" w:cs="Times New Roman"/>
          <w:sz w:val="24"/>
          <w:szCs w:val="24"/>
        </w:rPr>
        <w:lastRenderedPageBreak/>
        <w:t xml:space="preserve">meaning they did not drift over time and stayed anchored statistically. ROA gave a Levin-Lin-Chu test score at </w:t>
      </w:r>
      <w:proofErr w:type="gramStart"/>
      <w:r>
        <w:rPr>
          <w:rFonts w:ascii="Times New Roman" w:eastAsia="Times New Roman" w:hAnsi="Times New Roman" w:cs="Times New Roman"/>
          <w:sz w:val="24"/>
          <w:szCs w:val="24"/>
        </w:rPr>
        <w:t>t(</w:t>
      </w:r>
      <w:proofErr w:type="gramEnd"/>
      <w:r>
        <w:rPr>
          <w:rFonts w:ascii="Times New Roman" w:eastAsia="Times New Roman" w:hAnsi="Times New Roman" w:cs="Times New Roman"/>
          <w:sz w:val="24"/>
          <w:szCs w:val="24"/>
        </w:rPr>
        <w:t xml:space="preserve">44) of minus 6.82 with a p-value under .001, alongside solid ADF-Fisher χ² at 46.48 and PP-Fisher χ² at 35.71, both marking below .001. BI followed a similar pulse—Levin-Lin-Chu at </w:t>
      </w:r>
      <w:proofErr w:type="gramStart"/>
      <w:r>
        <w:rPr>
          <w:rFonts w:ascii="Times New Roman" w:eastAsia="Times New Roman" w:hAnsi="Times New Roman" w:cs="Times New Roman"/>
          <w:sz w:val="24"/>
          <w:szCs w:val="24"/>
        </w:rPr>
        <w:t>t(</w:t>
      </w:r>
      <w:proofErr w:type="gramEnd"/>
      <w:r>
        <w:rPr>
          <w:rFonts w:ascii="Times New Roman" w:eastAsia="Times New Roman" w:hAnsi="Times New Roman" w:cs="Times New Roman"/>
          <w:sz w:val="24"/>
          <w:szCs w:val="24"/>
        </w:rPr>
        <w:t>48) gave minus 5.49, while ADF-Fisher and PP-Fisher returned significance below .001 again. The signal here: BI stood firm across the time blocks without showing trend drifts.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BD’s results came through strongest, as the Levin-Lin-Chu reached minus 9.54, stamping </w:t>
      </w:r>
      <w:proofErr w:type="spellStart"/>
      <w:r>
        <w:rPr>
          <w:rFonts w:ascii="Times New Roman" w:eastAsia="Times New Roman" w:hAnsi="Times New Roman" w:cs="Times New Roman"/>
          <w:sz w:val="24"/>
          <w:szCs w:val="24"/>
        </w:rPr>
        <w:t>stationarity</w:t>
      </w:r>
      <w:proofErr w:type="spellEnd"/>
      <w:r>
        <w:rPr>
          <w:rFonts w:ascii="Times New Roman" w:eastAsia="Times New Roman" w:hAnsi="Times New Roman" w:cs="Times New Roman"/>
          <w:sz w:val="24"/>
          <w:szCs w:val="24"/>
        </w:rPr>
        <w:t xml:space="preserve"> with force. BS, while showing the weakest among the PP-Fisher entries at 19.68, still crossed the statistical mark comfortably at p &lt; .001. BGD showed clear signs of consistency too, with Levin-Lin-Chu pushing to minus 6.66 and all three methods landing below the .001 line. In sum, each series sits safely as </w:t>
      </w:r>
      <w:proofErr w:type="gramStart"/>
      <w:r>
        <w:rPr>
          <w:rFonts w:ascii="Times New Roman" w:eastAsia="Times New Roman" w:hAnsi="Times New Roman" w:cs="Times New Roman"/>
          <w:sz w:val="24"/>
          <w:szCs w:val="24"/>
        </w:rPr>
        <w:t>I(</w:t>
      </w:r>
      <w:proofErr w:type="gramEnd"/>
      <w:r>
        <w:rPr>
          <w:rFonts w:ascii="Times New Roman" w:eastAsia="Times New Roman" w:hAnsi="Times New Roman" w:cs="Times New Roman"/>
          <w:sz w:val="24"/>
          <w:szCs w:val="24"/>
        </w:rPr>
        <w:t>0), fully ready for regression without reshaping or differencing, letting the model build cleanly on solid statistical ground.</w:t>
      </w:r>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38" w:name="_qyhwhv4kvq0y" w:colFirst="0" w:colLast="0"/>
      <w:bookmarkEnd w:id="38"/>
      <w:r>
        <w:rPr>
          <w:rFonts w:ascii="Times New Roman" w:eastAsia="Times New Roman" w:hAnsi="Times New Roman" w:cs="Times New Roman"/>
          <w:b/>
          <w:color w:val="000000"/>
          <w:sz w:val="24"/>
          <w:szCs w:val="24"/>
        </w:rPr>
        <w:t>4.2.2: Correlation Matrix</w:t>
      </w:r>
    </w:p>
    <w:p w:rsidR="003B5071" w:rsidRPr="005A64ED" w:rsidRDefault="005A64ED">
      <w:pPr>
        <w:pStyle w:val="Normal1"/>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4.3</w:t>
      </w:r>
      <w:r w:rsidR="00615BF0">
        <w:rPr>
          <w:rFonts w:ascii="Times New Roman" w:eastAsia="Times New Roman" w:hAnsi="Times New Roman" w:cs="Times New Roman"/>
          <w:b/>
          <w:sz w:val="24"/>
          <w:szCs w:val="24"/>
        </w:rPr>
        <w:t xml:space="preserve">: </w:t>
      </w:r>
      <w:r w:rsidR="00615BF0" w:rsidRPr="005A64ED">
        <w:rPr>
          <w:rFonts w:ascii="Times New Roman" w:eastAsia="Times New Roman" w:hAnsi="Times New Roman" w:cs="Times New Roman"/>
          <w:sz w:val="24"/>
          <w:szCs w:val="24"/>
        </w:rPr>
        <w:t>Pearson Correlation Coefficients</w:t>
      </w:r>
    </w:p>
    <w:tbl>
      <w:tblPr>
        <w:tblStyle w:val="TableGrid"/>
        <w:tblW w:w="9804"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634"/>
        <w:gridCol w:w="1634"/>
        <w:gridCol w:w="1634"/>
        <w:gridCol w:w="1634"/>
        <w:gridCol w:w="1634"/>
        <w:gridCol w:w="1634"/>
      </w:tblGrid>
      <w:tr w:rsidR="003B5071" w:rsidRPr="005A64ED" w:rsidTr="005A64ED">
        <w:trPr>
          <w:trHeight w:val="322"/>
        </w:trPr>
        <w:tc>
          <w:tcPr>
            <w:tcW w:w="1634"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Variables</w:t>
            </w:r>
          </w:p>
        </w:tc>
        <w:tc>
          <w:tcPr>
            <w:tcW w:w="1634"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ROA</w:t>
            </w:r>
          </w:p>
        </w:tc>
        <w:tc>
          <w:tcPr>
            <w:tcW w:w="1634"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BI</w:t>
            </w:r>
          </w:p>
        </w:tc>
        <w:tc>
          <w:tcPr>
            <w:tcW w:w="1634"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BD</w:t>
            </w:r>
          </w:p>
        </w:tc>
        <w:tc>
          <w:tcPr>
            <w:tcW w:w="1634"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BS</w:t>
            </w:r>
          </w:p>
        </w:tc>
        <w:tc>
          <w:tcPr>
            <w:tcW w:w="1634" w:type="dxa"/>
            <w:tcBorders>
              <w:top w:val="single" w:sz="4" w:space="0" w:color="auto"/>
              <w:bottom w:val="single" w:sz="4" w:space="0" w:color="auto"/>
            </w:tcBorders>
          </w:tcPr>
          <w:p w:rsidR="003B5071" w:rsidRPr="005A64ED" w:rsidRDefault="00615BF0">
            <w:pPr>
              <w:pStyle w:val="Normal1"/>
              <w:jc w:val="both"/>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BGD</w:t>
            </w:r>
          </w:p>
        </w:tc>
      </w:tr>
      <w:tr w:rsidR="003B5071" w:rsidRPr="005A64ED" w:rsidTr="005A64ED">
        <w:trPr>
          <w:trHeight w:val="322"/>
        </w:trPr>
        <w:tc>
          <w:tcPr>
            <w:tcW w:w="1634"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ROA</w:t>
            </w:r>
          </w:p>
        </w:tc>
        <w:tc>
          <w:tcPr>
            <w:tcW w:w="1634"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1.000000</w:t>
            </w:r>
          </w:p>
        </w:tc>
        <w:tc>
          <w:tcPr>
            <w:tcW w:w="1634"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0.265279</w:t>
            </w:r>
          </w:p>
        </w:tc>
        <w:tc>
          <w:tcPr>
            <w:tcW w:w="1634"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-0.300008</w:t>
            </w:r>
          </w:p>
        </w:tc>
        <w:tc>
          <w:tcPr>
            <w:tcW w:w="1634"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-0.113815</w:t>
            </w:r>
          </w:p>
        </w:tc>
        <w:tc>
          <w:tcPr>
            <w:tcW w:w="1634" w:type="dxa"/>
            <w:tcBorders>
              <w:top w:val="single" w:sz="4" w:space="0" w:color="auto"/>
            </w:tcBorders>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-0.158337</w:t>
            </w:r>
          </w:p>
        </w:tc>
      </w:tr>
      <w:tr w:rsidR="003B5071" w:rsidRPr="005A64ED" w:rsidTr="005A64ED">
        <w:trPr>
          <w:trHeight w:val="322"/>
        </w:trPr>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BI</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0.265279</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1.000000</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0.206119</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0.582188</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0.392210</w:t>
            </w:r>
          </w:p>
        </w:tc>
      </w:tr>
      <w:tr w:rsidR="003B5071" w:rsidRPr="005A64ED" w:rsidTr="005A64ED">
        <w:trPr>
          <w:trHeight w:val="322"/>
        </w:trPr>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BD</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-0.300008</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0.206119</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1.000000</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-0.079671</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0.830597</w:t>
            </w:r>
          </w:p>
        </w:tc>
      </w:tr>
      <w:tr w:rsidR="003B5071" w:rsidRPr="005A64ED" w:rsidTr="005A64ED">
        <w:trPr>
          <w:trHeight w:val="322"/>
        </w:trPr>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BS</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-0.113815</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0.582188</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-0.079671</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1.000000</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-0.037722</w:t>
            </w:r>
          </w:p>
        </w:tc>
      </w:tr>
      <w:tr w:rsidR="003B5071" w:rsidRPr="005A64ED" w:rsidTr="005A64ED">
        <w:trPr>
          <w:trHeight w:val="339"/>
        </w:trPr>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BGD</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-0.158337</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0.392210</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0.830597</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-0.037722</w:t>
            </w:r>
          </w:p>
        </w:tc>
        <w:tc>
          <w:tcPr>
            <w:tcW w:w="1634" w:type="dxa"/>
          </w:tcPr>
          <w:p w:rsidR="003B5071" w:rsidRPr="005A64ED" w:rsidRDefault="00615BF0">
            <w:pPr>
              <w:pStyle w:val="Normal1"/>
              <w:jc w:val="both"/>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1.000000</w:t>
            </w:r>
          </w:p>
        </w:tc>
      </w:tr>
    </w:tbl>
    <w:p w:rsidR="003B5071" w:rsidRDefault="003B5071">
      <w:pPr>
        <w:pStyle w:val="Normal1"/>
        <w:spacing w:line="240" w:lineRule="auto"/>
        <w:jc w:val="both"/>
        <w:rPr>
          <w:rFonts w:ascii="Times New Roman" w:eastAsia="Times New Roman" w:hAnsi="Times New Roman" w:cs="Times New Roman"/>
          <w:sz w:val="24"/>
          <w:szCs w:val="24"/>
        </w:rPr>
      </w:pPr>
    </w:p>
    <w:p w:rsidR="003B5071" w:rsidRPr="005A64ED" w:rsidRDefault="00615BF0">
      <w:pPr>
        <w:pStyle w:val="Normal1"/>
        <w:spacing w:line="480" w:lineRule="auto"/>
        <w:jc w:val="both"/>
        <w:rPr>
          <w:rFonts w:ascii="Times New Roman" w:eastAsia="Times New Roman" w:hAnsi="Times New Roman" w:cs="Times New Roman"/>
          <w:sz w:val="24"/>
          <w:szCs w:val="24"/>
        </w:rPr>
      </w:pPr>
      <w:r w:rsidRPr="005A64ED">
        <w:rPr>
          <w:rFonts w:ascii="Times New Roman" w:eastAsia="Gungsuh" w:hAnsi="Times New Roman" w:cs="Times New Roman"/>
          <w:sz w:val="24"/>
          <w:szCs w:val="24"/>
        </w:rPr>
        <w:t>The Pearson grid pulled out gentle patterns from the mix. Return on Assets (ROA) tapped a soft upward link with Board Independence (BI), r = .27. That link hints that firms with more non-executives might squeeze out small boosts in earnings. On the flip side, ROA leaned down slightly with Board Diligence (BD), r = −.30, Board Size (BS), r = −.11, and Board Gender Diversity (BGD), r = −.16. These dips, though not deep, whisper that too many meetings, bigger boards, and more women might quietly press down profit, at least in this spread of firms.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One pairing stood loud. BGD and BD clasped tightly at r = .83. That number signals a firm tie—more women, more meetings. But that tie pokes a warning light. Dropping both into the same model could tangle the lines with </w:t>
      </w:r>
      <w:proofErr w:type="spellStart"/>
      <w:r>
        <w:rPr>
          <w:rFonts w:ascii="Times New Roman" w:eastAsia="Times New Roman" w:hAnsi="Times New Roman" w:cs="Times New Roman"/>
          <w:sz w:val="24"/>
          <w:szCs w:val="24"/>
        </w:rPr>
        <w:t>multicollinearity</w:t>
      </w:r>
      <w:proofErr w:type="spellEnd"/>
      <w:r>
        <w:rPr>
          <w:rFonts w:ascii="Times New Roman" w:eastAsia="Times New Roman" w:hAnsi="Times New Roman" w:cs="Times New Roman"/>
          <w:sz w:val="24"/>
          <w:szCs w:val="24"/>
        </w:rPr>
        <w:t>. Meanwhile, Board Independence (BI) shared modest ties with Board Size (BS), r = .58, and with BGD, r = .39. That says boards with more seats tend to hold more women and more non-execs. Every other variable stayed below the risky r = .80 ceiling, except the loud BGD-BD bond. These threads map out quiet pushes and pulls between governance shapes and financial edges, giving early signs of how the deeper regression run might bend.</w:t>
      </w:r>
    </w:p>
    <w:p w:rsidR="003B5071" w:rsidRDefault="00615BF0">
      <w:pPr>
        <w:pStyle w:val="Heading2"/>
        <w:spacing w:before="0" w:after="0" w:line="480" w:lineRule="auto"/>
        <w:jc w:val="both"/>
        <w:rPr>
          <w:rFonts w:ascii="Times New Roman" w:eastAsia="Times New Roman" w:hAnsi="Times New Roman" w:cs="Times New Roman"/>
          <w:b/>
          <w:sz w:val="24"/>
          <w:szCs w:val="24"/>
        </w:rPr>
      </w:pPr>
      <w:bookmarkStart w:id="39" w:name="_63zxkgb0baz5" w:colFirst="0" w:colLast="0"/>
      <w:bookmarkEnd w:id="39"/>
      <w:r>
        <w:rPr>
          <w:rFonts w:ascii="Times New Roman" w:eastAsia="Times New Roman" w:hAnsi="Times New Roman" w:cs="Times New Roman"/>
          <w:b/>
          <w:sz w:val="24"/>
          <w:szCs w:val="24"/>
        </w:rPr>
        <w:t>4.3 Model Estimation</w:t>
      </w:r>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40" w:name="_ykqmq92iegvb" w:colFirst="0" w:colLast="0"/>
      <w:bookmarkEnd w:id="40"/>
      <w:r>
        <w:rPr>
          <w:rFonts w:ascii="Times New Roman" w:eastAsia="Times New Roman" w:hAnsi="Times New Roman" w:cs="Times New Roman"/>
          <w:b/>
          <w:color w:val="000000"/>
          <w:sz w:val="24"/>
          <w:szCs w:val="24"/>
        </w:rPr>
        <w:t>4.3.1: Redundant Fixed Effects Test</w:t>
      </w:r>
    </w:p>
    <w:p w:rsidR="003B5071" w:rsidRDefault="00615BF0">
      <w:pPr>
        <w:pStyle w:val="Normal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4.</w:t>
      </w:r>
      <w:r w:rsidR="005A64ED">
        <w:rPr>
          <w:rFonts w:ascii="Times New Roman" w:eastAsia="Times New Roman" w:hAnsi="Times New Roman" w:cs="Times New Roman"/>
          <w:b/>
          <w:sz w:val="24"/>
          <w:szCs w:val="24"/>
        </w:rPr>
        <w:t xml:space="preserve">4 </w:t>
      </w:r>
      <w:r w:rsidR="005A64ED" w:rsidRPr="005A64ED">
        <w:rPr>
          <w:rFonts w:ascii="Times New Roman" w:eastAsia="Times New Roman" w:hAnsi="Times New Roman" w:cs="Times New Roman"/>
          <w:sz w:val="24"/>
          <w:szCs w:val="24"/>
        </w:rPr>
        <w:t>Redundant</w:t>
      </w:r>
      <w:r w:rsidRPr="005A64ED">
        <w:rPr>
          <w:rFonts w:ascii="Times New Roman" w:eastAsia="Times New Roman" w:hAnsi="Times New Roman" w:cs="Times New Roman"/>
          <w:sz w:val="24"/>
          <w:szCs w:val="24"/>
        </w:rPr>
        <w:t xml:space="preserve"> Fixed Effects Test Result for Model Selection</w:t>
      </w:r>
    </w:p>
    <w:tbl>
      <w:tblPr>
        <w:tblStyle w:val="TableGrid"/>
        <w:tblW w:w="9373"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812"/>
        <w:gridCol w:w="1875"/>
        <w:gridCol w:w="2343"/>
        <w:gridCol w:w="2343"/>
      </w:tblGrid>
      <w:tr w:rsidR="003B5071" w:rsidRPr="005A64ED" w:rsidTr="00702D3B">
        <w:trPr>
          <w:trHeight w:val="409"/>
        </w:trPr>
        <w:tc>
          <w:tcPr>
            <w:tcW w:w="2812" w:type="dxa"/>
            <w:tcBorders>
              <w:top w:val="single" w:sz="4" w:space="0" w:color="auto"/>
              <w:bottom w:val="single" w:sz="4" w:space="0" w:color="auto"/>
            </w:tcBorders>
          </w:tcPr>
          <w:p w:rsidR="003B5071" w:rsidRPr="005A64ED" w:rsidRDefault="00615BF0" w:rsidP="005A64ED">
            <w:pPr>
              <w:pStyle w:val="Normal1"/>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Test Type</w:t>
            </w:r>
          </w:p>
        </w:tc>
        <w:tc>
          <w:tcPr>
            <w:tcW w:w="1875" w:type="dxa"/>
            <w:tcBorders>
              <w:top w:val="single" w:sz="4" w:space="0" w:color="auto"/>
              <w:bottom w:val="single" w:sz="4" w:space="0" w:color="auto"/>
            </w:tcBorders>
          </w:tcPr>
          <w:p w:rsidR="003B5071" w:rsidRPr="005A64ED" w:rsidRDefault="00615BF0" w:rsidP="005A64ED">
            <w:pPr>
              <w:pStyle w:val="Normal1"/>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Statistic</w:t>
            </w:r>
          </w:p>
        </w:tc>
        <w:tc>
          <w:tcPr>
            <w:tcW w:w="2343" w:type="dxa"/>
            <w:tcBorders>
              <w:top w:val="single" w:sz="4" w:space="0" w:color="auto"/>
              <w:bottom w:val="single" w:sz="4" w:space="0" w:color="auto"/>
            </w:tcBorders>
          </w:tcPr>
          <w:p w:rsidR="003B5071" w:rsidRPr="005A64ED" w:rsidRDefault="00F91E09" w:rsidP="005A64ED">
            <w:pPr>
              <w:pStyle w:val="Normal1"/>
              <w:rPr>
                <w:rFonts w:ascii="Times New Roman" w:eastAsia="Times New Roman" w:hAnsi="Times New Roman" w:cs="Times New Roman"/>
                <w:b/>
                <w:sz w:val="24"/>
                <w:szCs w:val="24"/>
              </w:rPr>
            </w:pPr>
            <w:proofErr w:type="spellStart"/>
            <w:r w:rsidRPr="005A64ED">
              <w:rPr>
                <w:rFonts w:ascii="Times New Roman" w:eastAsia="Times New Roman" w:hAnsi="Times New Roman" w:cs="Times New Roman"/>
                <w:b/>
                <w:sz w:val="24"/>
                <w:szCs w:val="24"/>
              </w:rPr>
              <w:t>D</w:t>
            </w:r>
            <w:r w:rsidR="00615BF0" w:rsidRPr="005A64ED">
              <w:rPr>
                <w:rFonts w:ascii="Times New Roman" w:eastAsia="Times New Roman" w:hAnsi="Times New Roman" w:cs="Times New Roman"/>
                <w:b/>
                <w:sz w:val="24"/>
                <w:szCs w:val="24"/>
              </w:rPr>
              <w:t>f</w:t>
            </w:r>
            <w:proofErr w:type="spellEnd"/>
          </w:p>
        </w:tc>
        <w:tc>
          <w:tcPr>
            <w:tcW w:w="2343" w:type="dxa"/>
            <w:tcBorders>
              <w:top w:val="single" w:sz="4" w:space="0" w:color="auto"/>
              <w:bottom w:val="single" w:sz="4" w:space="0" w:color="auto"/>
            </w:tcBorders>
          </w:tcPr>
          <w:p w:rsidR="003B5071" w:rsidRPr="005A64ED" w:rsidRDefault="00615BF0" w:rsidP="005A64ED">
            <w:pPr>
              <w:pStyle w:val="Normal1"/>
              <w:rPr>
                <w:rFonts w:ascii="Times New Roman" w:eastAsia="Times New Roman" w:hAnsi="Times New Roman" w:cs="Times New Roman"/>
                <w:b/>
                <w:sz w:val="24"/>
                <w:szCs w:val="24"/>
              </w:rPr>
            </w:pPr>
            <w:r w:rsidRPr="005A64ED">
              <w:rPr>
                <w:rFonts w:ascii="Times New Roman" w:eastAsia="Times New Roman" w:hAnsi="Times New Roman" w:cs="Times New Roman"/>
                <w:b/>
                <w:sz w:val="24"/>
                <w:szCs w:val="24"/>
              </w:rPr>
              <w:t>p-value</w:t>
            </w:r>
          </w:p>
        </w:tc>
      </w:tr>
      <w:tr w:rsidR="003B5071" w:rsidRPr="005A64ED" w:rsidTr="00702D3B">
        <w:trPr>
          <w:trHeight w:val="409"/>
        </w:trPr>
        <w:tc>
          <w:tcPr>
            <w:tcW w:w="2812" w:type="dxa"/>
            <w:tcBorders>
              <w:top w:val="single" w:sz="4" w:space="0" w:color="auto"/>
            </w:tcBorders>
          </w:tcPr>
          <w:p w:rsidR="003B5071" w:rsidRPr="005A64ED" w:rsidRDefault="00615BF0" w:rsidP="005A64ED">
            <w:pPr>
              <w:pStyle w:val="Normal1"/>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Cross-section F</w:t>
            </w:r>
          </w:p>
        </w:tc>
        <w:tc>
          <w:tcPr>
            <w:tcW w:w="1875" w:type="dxa"/>
            <w:tcBorders>
              <w:top w:val="single" w:sz="4" w:space="0" w:color="auto"/>
            </w:tcBorders>
          </w:tcPr>
          <w:p w:rsidR="003B5071" w:rsidRPr="005A64ED" w:rsidRDefault="00615BF0" w:rsidP="005A64ED">
            <w:pPr>
              <w:pStyle w:val="Normal1"/>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5.288606</w:t>
            </w:r>
          </w:p>
        </w:tc>
        <w:tc>
          <w:tcPr>
            <w:tcW w:w="2343" w:type="dxa"/>
            <w:tcBorders>
              <w:top w:val="single" w:sz="4" w:space="0" w:color="auto"/>
            </w:tcBorders>
          </w:tcPr>
          <w:p w:rsidR="003B5071" w:rsidRPr="005A64ED" w:rsidRDefault="00615BF0" w:rsidP="005A64ED">
            <w:pPr>
              <w:pStyle w:val="Normal1"/>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(3,44)</w:t>
            </w:r>
          </w:p>
        </w:tc>
        <w:tc>
          <w:tcPr>
            <w:tcW w:w="2343" w:type="dxa"/>
            <w:tcBorders>
              <w:top w:val="single" w:sz="4" w:space="0" w:color="auto"/>
            </w:tcBorders>
          </w:tcPr>
          <w:p w:rsidR="003B5071" w:rsidRPr="005A64ED" w:rsidRDefault="00615BF0" w:rsidP="005A64ED">
            <w:pPr>
              <w:pStyle w:val="Normal1"/>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0.0033</w:t>
            </w:r>
          </w:p>
        </w:tc>
      </w:tr>
      <w:tr w:rsidR="003B5071" w:rsidRPr="005A64ED" w:rsidTr="00702D3B">
        <w:trPr>
          <w:trHeight w:val="432"/>
        </w:trPr>
        <w:tc>
          <w:tcPr>
            <w:tcW w:w="2812" w:type="dxa"/>
          </w:tcPr>
          <w:p w:rsidR="003B5071" w:rsidRPr="005A64ED" w:rsidRDefault="00615BF0" w:rsidP="005A64ED">
            <w:pPr>
              <w:pStyle w:val="Normal1"/>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Cross-section Chi-square</w:t>
            </w:r>
          </w:p>
        </w:tc>
        <w:tc>
          <w:tcPr>
            <w:tcW w:w="1875" w:type="dxa"/>
          </w:tcPr>
          <w:p w:rsidR="003B5071" w:rsidRPr="005A64ED" w:rsidRDefault="00615BF0" w:rsidP="005A64ED">
            <w:pPr>
              <w:pStyle w:val="Normal1"/>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16.011634</w:t>
            </w:r>
          </w:p>
        </w:tc>
        <w:tc>
          <w:tcPr>
            <w:tcW w:w="2343" w:type="dxa"/>
          </w:tcPr>
          <w:p w:rsidR="003B5071" w:rsidRPr="005A64ED" w:rsidRDefault="00615BF0" w:rsidP="005A64ED">
            <w:pPr>
              <w:pStyle w:val="Normal1"/>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3</w:t>
            </w:r>
          </w:p>
        </w:tc>
        <w:tc>
          <w:tcPr>
            <w:tcW w:w="2343" w:type="dxa"/>
          </w:tcPr>
          <w:p w:rsidR="003B5071" w:rsidRPr="005A64ED" w:rsidRDefault="00615BF0" w:rsidP="005A64ED">
            <w:pPr>
              <w:pStyle w:val="Normal1"/>
              <w:rPr>
                <w:rFonts w:ascii="Times New Roman" w:eastAsia="Times New Roman" w:hAnsi="Times New Roman" w:cs="Times New Roman"/>
                <w:sz w:val="24"/>
                <w:szCs w:val="24"/>
              </w:rPr>
            </w:pPr>
            <w:r w:rsidRPr="005A64ED">
              <w:rPr>
                <w:rFonts w:ascii="Times New Roman" w:eastAsia="Times New Roman" w:hAnsi="Times New Roman" w:cs="Times New Roman"/>
                <w:sz w:val="24"/>
                <w:szCs w:val="24"/>
              </w:rPr>
              <w:t>0.0011</w:t>
            </w:r>
          </w:p>
        </w:tc>
      </w:tr>
    </w:tbl>
    <w:p w:rsidR="003B5071" w:rsidRDefault="003B5071">
      <w:pPr>
        <w:pStyle w:val="Normal1"/>
        <w:jc w:val="both"/>
        <w:rPr>
          <w:rFonts w:ascii="Times New Roman" w:eastAsia="Times New Roman" w:hAnsi="Times New Roman" w:cs="Times New Roman"/>
          <w:sz w:val="24"/>
          <w:szCs w:val="24"/>
        </w:rPr>
      </w:pP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redundant fixed effects test was applied to check if fixed effects explain more than the pooled OLS model. The F-statistic showed significance, </w:t>
      </w:r>
      <w:proofErr w:type="gramStart"/>
      <w:r>
        <w:rPr>
          <w:rFonts w:ascii="Times New Roman" w:eastAsia="Times New Roman" w:hAnsi="Times New Roman" w:cs="Times New Roman"/>
          <w:sz w:val="24"/>
          <w:szCs w:val="24"/>
        </w:rPr>
        <w:t>F(</w:t>
      </w:r>
      <w:proofErr w:type="gramEnd"/>
      <w:r>
        <w:rPr>
          <w:rFonts w:ascii="Times New Roman" w:eastAsia="Times New Roman" w:hAnsi="Times New Roman" w:cs="Times New Roman"/>
          <w:sz w:val="24"/>
          <w:szCs w:val="24"/>
        </w:rPr>
        <w:t xml:space="preserve">3, 44) = 5.29, p = .003. The Chi-square statistic followed with </w:t>
      </w:r>
      <w:proofErr w:type="gramStart"/>
      <w:r>
        <w:rPr>
          <w:rFonts w:ascii="Times New Roman" w:eastAsia="Times New Roman" w:hAnsi="Times New Roman" w:cs="Times New Roman"/>
          <w:sz w:val="24"/>
          <w:szCs w:val="24"/>
        </w:rPr>
        <w:t>χ²(</w:t>
      </w:r>
      <w:proofErr w:type="gramEnd"/>
      <w:r>
        <w:rPr>
          <w:rFonts w:ascii="Times New Roman" w:eastAsia="Times New Roman" w:hAnsi="Times New Roman" w:cs="Times New Roman"/>
          <w:sz w:val="24"/>
          <w:szCs w:val="24"/>
        </w:rPr>
        <w:t>3) = 16.01, p = .001. These results point to meaningful firm-level differences. It means each firm carries traits not tracked by the listed variables. Those traits still shape how governance affects financial outcomes. Since the fixed effects model can absorb those hidden firm details, it was chosen. This decision makes the regression setup better suited for the data.</w:t>
      </w:r>
    </w:p>
    <w:p w:rsidR="00702D3B" w:rsidRDefault="00702D3B">
      <w:pPr>
        <w:pStyle w:val="Normal1"/>
        <w:spacing w:line="480" w:lineRule="auto"/>
        <w:jc w:val="both"/>
        <w:rPr>
          <w:rFonts w:ascii="Times New Roman" w:eastAsia="Times New Roman" w:hAnsi="Times New Roman" w:cs="Times New Roman"/>
          <w:sz w:val="24"/>
          <w:szCs w:val="24"/>
        </w:rPr>
      </w:pPr>
    </w:p>
    <w:p w:rsidR="00702D3B" w:rsidRDefault="00702D3B">
      <w:pPr>
        <w:pStyle w:val="Normal1"/>
        <w:spacing w:line="480" w:lineRule="auto"/>
        <w:jc w:val="both"/>
        <w:rPr>
          <w:rFonts w:ascii="Times New Roman" w:eastAsia="Times New Roman" w:hAnsi="Times New Roman" w:cs="Times New Roman"/>
          <w:sz w:val="24"/>
          <w:szCs w:val="24"/>
        </w:rPr>
      </w:pPr>
    </w:p>
    <w:p w:rsidR="00702D3B" w:rsidRDefault="00702D3B">
      <w:pPr>
        <w:pStyle w:val="Normal1"/>
        <w:spacing w:line="480" w:lineRule="auto"/>
        <w:jc w:val="both"/>
        <w:rPr>
          <w:rFonts w:ascii="Times New Roman" w:eastAsia="Times New Roman" w:hAnsi="Times New Roman" w:cs="Times New Roman"/>
          <w:sz w:val="24"/>
          <w:szCs w:val="24"/>
        </w:rPr>
      </w:pPr>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41" w:name="_7ua30ylkft7h" w:colFirst="0" w:colLast="0"/>
      <w:bookmarkEnd w:id="41"/>
      <w:r>
        <w:rPr>
          <w:rFonts w:ascii="Times New Roman" w:eastAsia="Times New Roman" w:hAnsi="Times New Roman" w:cs="Times New Roman"/>
          <w:b/>
          <w:color w:val="000000"/>
          <w:sz w:val="24"/>
          <w:szCs w:val="24"/>
        </w:rPr>
        <w:lastRenderedPageBreak/>
        <w:t>4.3.2: Fixed Effects Model (FEM)</w:t>
      </w:r>
    </w:p>
    <w:p w:rsidR="003B5071" w:rsidRPr="00702D3B" w:rsidRDefault="00615BF0">
      <w:pPr>
        <w:pStyle w:val="Normal1"/>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4.</w:t>
      </w:r>
      <w:r w:rsidR="00702D3B">
        <w:rPr>
          <w:rFonts w:ascii="Times New Roman" w:eastAsia="Times New Roman" w:hAnsi="Times New Roman" w:cs="Times New Roman"/>
          <w:b/>
          <w:sz w:val="24"/>
          <w:szCs w:val="24"/>
        </w:rPr>
        <w:t>5</w:t>
      </w:r>
      <w:r w:rsidR="005A64ED">
        <w:rPr>
          <w:rFonts w:ascii="Times New Roman" w:eastAsia="Times New Roman" w:hAnsi="Times New Roman" w:cs="Times New Roman"/>
          <w:b/>
          <w:sz w:val="24"/>
          <w:szCs w:val="24"/>
        </w:rPr>
        <w:t xml:space="preserve"> </w:t>
      </w:r>
      <w:r w:rsidR="005A64ED" w:rsidRPr="00702D3B">
        <w:rPr>
          <w:rFonts w:ascii="Times New Roman" w:eastAsia="Times New Roman" w:hAnsi="Times New Roman" w:cs="Times New Roman"/>
          <w:sz w:val="24"/>
          <w:szCs w:val="24"/>
        </w:rPr>
        <w:t>F</w:t>
      </w:r>
      <w:r w:rsidRPr="00702D3B">
        <w:rPr>
          <w:rFonts w:ascii="Times New Roman" w:eastAsia="Times New Roman" w:hAnsi="Times New Roman" w:cs="Times New Roman"/>
          <w:sz w:val="24"/>
          <w:szCs w:val="24"/>
        </w:rPr>
        <w:t>ixed Effects Model (FEM) Estimates</w:t>
      </w:r>
    </w:p>
    <w:tbl>
      <w:tblPr>
        <w:tblStyle w:val="TableGrid"/>
        <w:tblW w:w="9360"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258"/>
        <w:gridCol w:w="1440"/>
        <w:gridCol w:w="1440"/>
        <w:gridCol w:w="1350"/>
        <w:gridCol w:w="1872"/>
      </w:tblGrid>
      <w:tr w:rsidR="003B5071" w:rsidRPr="00702D3B" w:rsidTr="00702D3B">
        <w:tc>
          <w:tcPr>
            <w:tcW w:w="3258" w:type="dxa"/>
            <w:tcBorders>
              <w:top w:val="single" w:sz="4" w:space="0" w:color="auto"/>
              <w:bottom w:val="single" w:sz="4" w:space="0" w:color="auto"/>
            </w:tcBorders>
          </w:tcPr>
          <w:p w:rsidR="003B5071" w:rsidRPr="00702D3B" w:rsidRDefault="00615BF0">
            <w:pPr>
              <w:pStyle w:val="Normal1"/>
              <w:jc w:val="both"/>
              <w:rPr>
                <w:rFonts w:ascii="Times New Roman" w:eastAsia="Times New Roman" w:hAnsi="Times New Roman" w:cs="Times New Roman"/>
                <w:b/>
                <w:sz w:val="24"/>
                <w:szCs w:val="24"/>
              </w:rPr>
            </w:pPr>
            <w:r w:rsidRPr="00702D3B">
              <w:rPr>
                <w:rFonts w:ascii="Times New Roman" w:eastAsia="Times New Roman" w:hAnsi="Times New Roman" w:cs="Times New Roman"/>
                <w:b/>
                <w:sz w:val="24"/>
                <w:szCs w:val="24"/>
              </w:rPr>
              <w:t>Variable</w:t>
            </w:r>
          </w:p>
        </w:tc>
        <w:tc>
          <w:tcPr>
            <w:tcW w:w="1440" w:type="dxa"/>
            <w:tcBorders>
              <w:top w:val="single" w:sz="4" w:space="0" w:color="auto"/>
              <w:bottom w:val="single" w:sz="4" w:space="0" w:color="auto"/>
            </w:tcBorders>
          </w:tcPr>
          <w:p w:rsidR="003B5071" w:rsidRPr="00702D3B" w:rsidRDefault="00615BF0">
            <w:pPr>
              <w:pStyle w:val="Normal1"/>
              <w:jc w:val="both"/>
              <w:rPr>
                <w:rFonts w:ascii="Times New Roman" w:eastAsia="Times New Roman" w:hAnsi="Times New Roman" w:cs="Times New Roman"/>
                <w:b/>
                <w:sz w:val="24"/>
                <w:szCs w:val="24"/>
              </w:rPr>
            </w:pPr>
            <w:r w:rsidRPr="00702D3B">
              <w:rPr>
                <w:rFonts w:ascii="Times New Roman" w:eastAsia="Times New Roman" w:hAnsi="Times New Roman" w:cs="Times New Roman"/>
                <w:b/>
                <w:sz w:val="24"/>
                <w:szCs w:val="24"/>
              </w:rPr>
              <w:t>Coefficient</w:t>
            </w:r>
          </w:p>
        </w:tc>
        <w:tc>
          <w:tcPr>
            <w:tcW w:w="1440" w:type="dxa"/>
            <w:tcBorders>
              <w:top w:val="single" w:sz="4" w:space="0" w:color="auto"/>
              <w:bottom w:val="single" w:sz="4" w:space="0" w:color="auto"/>
            </w:tcBorders>
          </w:tcPr>
          <w:p w:rsidR="003B5071" w:rsidRPr="00702D3B" w:rsidRDefault="00615BF0">
            <w:pPr>
              <w:pStyle w:val="Normal1"/>
              <w:jc w:val="both"/>
              <w:rPr>
                <w:rFonts w:ascii="Times New Roman" w:eastAsia="Times New Roman" w:hAnsi="Times New Roman" w:cs="Times New Roman"/>
                <w:b/>
                <w:sz w:val="24"/>
                <w:szCs w:val="24"/>
              </w:rPr>
            </w:pPr>
            <w:r w:rsidRPr="00702D3B">
              <w:rPr>
                <w:rFonts w:ascii="Times New Roman" w:eastAsia="Times New Roman" w:hAnsi="Times New Roman" w:cs="Times New Roman"/>
                <w:b/>
                <w:sz w:val="24"/>
                <w:szCs w:val="24"/>
              </w:rPr>
              <w:t>Std. Error</w:t>
            </w:r>
          </w:p>
        </w:tc>
        <w:tc>
          <w:tcPr>
            <w:tcW w:w="1350" w:type="dxa"/>
            <w:tcBorders>
              <w:top w:val="single" w:sz="4" w:space="0" w:color="auto"/>
              <w:bottom w:val="single" w:sz="4" w:space="0" w:color="auto"/>
            </w:tcBorders>
          </w:tcPr>
          <w:p w:rsidR="003B5071" w:rsidRPr="00702D3B" w:rsidRDefault="00615BF0">
            <w:pPr>
              <w:pStyle w:val="Normal1"/>
              <w:jc w:val="both"/>
              <w:rPr>
                <w:rFonts w:ascii="Times New Roman" w:eastAsia="Times New Roman" w:hAnsi="Times New Roman" w:cs="Times New Roman"/>
                <w:b/>
                <w:sz w:val="24"/>
                <w:szCs w:val="24"/>
              </w:rPr>
            </w:pPr>
            <w:r w:rsidRPr="00702D3B">
              <w:rPr>
                <w:rFonts w:ascii="Times New Roman" w:eastAsia="Times New Roman" w:hAnsi="Times New Roman" w:cs="Times New Roman"/>
                <w:b/>
                <w:sz w:val="24"/>
                <w:szCs w:val="24"/>
              </w:rPr>
              <w:t>t-Statistic</w:t>
            </w:r>
          </w:p>
        </w:tc>
        <w:tc>
          <w:tcPr>
            <w:tcW w:w="1872" w:type="dxa"/>
            <w:tcBorders>
              <w:top w:val="single" w:sz="4" w:space="0" w:color="auto"/>
              <w:bottom w:val="single" w:sz="4" w:space="0" w:color="auto"/>
            </w:tcBorders>
          </w:tcPr>
          <w:p w:rsidR="003B5071" w:rsidRPr="00702D3B" w:rsidRDefault="00615BF0">
            <w:pPr>
              <w:pStyle w:val="Normal1"/>
              <w:jc w:val="both"/>
              <w:rPr>
                <w:rFonts w:ascii="Times New Roman" w:eastAsia="Times New Roman" w:hAnsi="Times New Roman" w:cs="Times New Roman"/>
                <w:b/>
                <w:sz w:val="24"/>
                <w:szCs w:val="24"/>
              </w:rPr>
            </w:pPr>
            <w:r w:rsidRPr="00702D3B">
              <w:rPr>
                <w:rFonts w:ascii="Times New Roman" w:eastAsia="Times New Roman" w:hAnsi="Times New Roman" w:cs="Times New Roman"/>
                <w:b/>
                <w:sz w:val="24"/>
                <w:szCs w:val="24"/>
              </w:rPr>
              <w:t>p-value</w:t>
            </w:r>
          </w:p>
        </w:tc>
      </w:tr>
      <w:tr w:rsidR="003B5071" w:rsidRPr="00702D3B" w:rsidTr="00702D3B">
        <w:tc>
          <w:tcPr>
            <w:tcW w:w="3258" w:type="dxa"/>
            <w:tcBorders>
              <w:top w:val="single" w:sz="4" w:space="0" w:color="auto"/>
            </w:tcBorders>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BI</w:t>
            </w:r>
          </w:p>
        </w:tc>
        <w:tc>
          <w:tcPr>
            <w:tcW w:w="1440" w:type="dxa"/>
            <w:tcBorders>
              <w:top w:val="single" w:sz="4" w:space="0" w:color="auto"/>
            </w:tcBorders>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77.70882</w:t>
            </w:r>
          </w:p>
        </w:tc>
        <w:tc>
          <w:tcPr>
            <w:tcW w:w="1440" w:type="dxa"/>
            <w:tcBorders>
              <w:top w:val="single" w:sz="4" w:space="0" w:color="auto"/>
            </w:tcBorders>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37.02230</w:t>
            </w:r>
          </w:p>
        </w:tc>
        <w:tc>
          <w:tcPr>
            <w:tcW w:w="1350" w:type="dxa"/>
            <w:tcBorders>
              <w:top w:val="single" w:sz="4" w:space="0" w:color="auto"/>
            </w:tcBorders>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2.098973</w:t>
            </w:r>
          </w:p>
        </w:tc>
        <w:tc>
          <w:tcPr>
            <w:tcW w:w="1872" w:type="dxa"/>
            <w:tcBorders>
              <w:top w:val="single" w:sz="4" w:space="0" w:color="auto"/>
            </w:tcBorders>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0.0416</w:t>
            </w:r>
          </w:p>
        </w:tc>
      </w:tr>
      <w:tr w:rsidR="003B5071" w:rsidRPr="00702D3B" w:rsidTr="00702D3B">
        <w:tc>
          <w:tcPr>
            <w:tcW w:w="3258"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BD</w:t>
            </w:r>
          </w:p>
        </w:tc>
        <w:tc>
          <w:tcPr>
            <w:tcW w:w="144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-1.329918</w:t>
            </w:r>
          </w:p>
        </w:tc>
        <w:tc>
          <w:tcPr>
            <w:tcW w:w="144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0.932552</w:t>
            </w:r>
          </w:p>
        </w:tc>
        <w:tc>
          <w:tcPr>
            <w:tcW w:w="135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-1.426106</w:t>
            </w:r>
          </w:p>
        </w:tc>
        <w:tc>
          <w:tcPr>
            <w:tcW w:w="1872"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0.1609</w:t>
            </w:r>
          </w:p>
        </w:tc>
      </w:tr>
      <w:tr w:rsidR="003B5071" w:rsidRPr="00702D3B" w:rsidTr="00702D3B">
        <w:tc>
          <w:tcPr>
            <w:tcW w:w="3258"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BS</w:t>
            </w:r>
          </w:p>
        </w:tc>
        <w:tc>
          <w:tcPr>
            <w:tcW w:w="144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-0.428861</w:t>
            </w:r>
          </w:p>
        </w:tc>
        <w:tc>
          <w:tcPr>
            <w:tcW w:w="144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1.166520</w:t>
            </w:r>
          </w:p>
        </w:tc>
        <w:tc>
          <w:tcPr>
            <w:tcW w:w="135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-0.367641</w:t>
            </w:r>
          </w:p>
        </w:tc>
        <w:tc>
          <w:tcPr>
            <w:tcW w:w="1872"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0.7149</w:t>
            </w:r>
          </w:p>
        </w:tc>
      </w:tr>
      <w:tr w:rsidR="003B5071" w:rsidRPr="00702D3B" w:rsidTr="00702D3B">
        <w:tc>
          <w:tcPr>
            <w:tcW w:w="3258"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BGD</w:t>
            </w:r>
          </w:p>
        </w:tc>
        <w:tc>
          <w:tcPr>
            <w:tcW w:w="144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-32.66406</w:t>
            </w:r>
          </w:p>
        </w:tc>
        <w:tc>
          <w:tcPr>
            <w:tcW w:w="144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16.39261</w:t>
            </w:r>
          </w:p>
        </w:tc>
        <w:tc>
          <w:tcPr>
            <w:tcW w:w="135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-1.992609</w:t>
            </w:r>
          </w:p>
        </w:tc>
        <w:tc>
          <w:tcPr>
            <w:tcW w:w="1872"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0.0525</w:t>
            </w:r>
          </w:p>
        </w:tc>
      </w:tr>
      <w:tr w:rsidR="003B5071" w:rsidRPr="00702D3B" w:rsidTr="00702D3B">
        <w:tc>
          <w:tcPr>
            <w:tcW w:w="3258"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Constant</w:t>
            </w:r>
          </w:p>
        </w:tc>
        <w:tc>
          <w:tcPr>
            <w:tcW w:w="144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-27.85441</w:t>
            </w:r>
          </w:p>
        </w:tc>
        <w:tc>
          <w:tcPr>
            <w:tcW w:w="144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19.05167</w:t>
            </w:r>
          </w:p>
        </w:tc>
        <w:tc>
          <w:tcPr>
            <w:tcW w:w="1350"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-1.462045</w:t>
            </w:r>
          </w:p>
        </w:tc>
        <w:tc>
          <w:tcPr>
            <w:tcW w:w="1872" w:type="dxa"/>
          </w:tcPr>
          <w:p w:rsidR="003B5071" w:rsidRPr="00702D3B" w:rsidRDefault="00615BF0">
            <w:pPr>
              <w:pStyle w:val="Normal1"/>
              <w:jc w:val="both"/>
              <w:rPr>
                <w:rFonts w:ascii="Times New Roman" w:eastAsia="Times New Roman" w:hAnsi="Times New Roman" w:cs="Times New Roman"/>
                <w:sz w:val="24"/>
                <w:szCs w:val="24"/>
              </w:rPr>
            </w:pPr>
            <w:r w:rsidRPr="00702D3B">
              <w:rPr>
                <w:rFonts w:ascii="Times New Roman" w:eastAsia="Times New Roman" w:hAnsi="Times New Roman" w:cs="Times New Roman"/>
                <w:sz w:val="24"/>
                <w:szCs w:val="24"/>
              </w:rPr>
              <w:t>0.1508</w:t>
            </w:r>
          </w:p>
        </w:tc>
      </w:tr>
      <w:tr w:rsidR="003B5071" w:rsidRPr="00702D3B" w:rsidTr="00702D3B">
        <w:tc>
          <w:tcPr>
            <w:tcW w:w="3258" w:type="dxa"/>
          </w:tcPr>
          <w:p w:rsidR="003B5071" w:rsidRPr="00702D3B" w:rsidRDefault="00615BF0" w:rsidP="00702D3B">
            <w:pPr>
              <w:pStyle w:val="Normal1"/>
              <w:rPr>
                <w:rFonts w:ascii="Times New Roman" w:eastAsia="Times New Roman" w:hAnsi="Times New Roman" w:cs="Times New Roman"/>
                <w:sz w:val="24"/>
                <w:szCs w:val="24"/>
              </w:rPr>
            </w:pPr>
            <w:r w:rsidRPr="00702D3B">
              <w:rPr>
                <w:rFonts w:ascii="Times New Roman" w:eastAsia="Times New Roman" w:hAnsi="Times New Roman" w:cs="Times New Roman"/>
                <w:b/>
                <w:sz w:val="24"/>
                <w:szCs w:val="24"/>
              </w:rPr>
              <w:t>R² = 0.559</w:t>
            </w:r>
            <w:r w:rsidRPr="00702D3B">
              <w:rPr>
                <w:rFonts w:ascii="Times New Roman" w:eastAsia="Times New Roman" w:hAnsi="Times New Roman" w:cs="Times New Roman"/>
                <w:sz w:val="24"/>
                <w:szCs w:val="24"/>
              </w:rPr>
              <w:t>, Adjusted R² = 0.488, F(7, 44) = 7.95, p &lt; .001, Durbin-Watson = 1.03</w:t>
            </w:r>
          </w:p>
        </w:tc>
        <w:tc>
          <w:tcPr>
            <w:tcW w:w="1440" w:type="dxa"/>
          </w:tcPr>
          <w:p w:rsidR="003B5071" w:rsidRPr="00702D3B" w:rsidRDefault="003B5071">
            <w:pPr>
              <w:pStyle w:val="Normal1"/>
              <w:jc w:val="both"/>
              <w:rPr>
                <w:rFonts w:ascii="Times New Roman" w:eastAsia="Times New Roman" w:hAnsi="Times New Roman" w:cs="Times New Roman"/>
                <w:sz w:val="24"/>
                <w:szCs w:val="24"/>
              </w:rPr>
            </w:pPr>
          </w:p>
        </w:tc>
        <w:tc>
          <w:tcPr>
            <w:tcW w:w="1440" w:type="dxa"/>
          </w:tcPr>
          <w:p w:rsidR="003B5071" w:rsidRPr="00702D3B" w:rsidRDefault="003B5071">
            <w:pPr>
              <w:pStyle w:val="Normal1"/>
              <w:jc w:val="both"/>
              <w:rPr>
                <w:rFonts w:ascii="Times New Roman" w:eastAsia="Times New Roman" w:hAnsi="Times New Roman" w:cs="Times New Roman"/>
                <w:sz w:val="24"/>
                <w:szCs w:val="24"/>
              </w:rPr>
            </w:pPr>
          </w:p>
        </w:tc>
        <w:tc>
          <w:tcPr>
            <w:tcW w:w="1350" w:type="dxa"/>
          </w:tcPr>
          <w:p w:rsidR="003B5071" w:rsidRPr="00702D3B" w:rsidRDefault="003B5071">
            <w:pPr>
              <w:pStyle w:val="Normal1"/>
              <w:jc w:val="both"/>
              <w:rPr>
                <w:rFonts w:ascii="Times New Roman" w:eastAsia="Times New Roman" w:hAnsi="Times New Roman" w:cs="Times New Roman"/>
                <w:sz w:val="24"/>
                <w:szCs w:val="24"/>
              </w:rPr>
            </w:pPr>
          </w:p>
        </w:tc>
        <w:tc>
          <w:tcPr>
            <w:tcW w:w="1872" w:type="dxa"/>
          </w:tcPr>
          <w:p w:rsidR="003B5071" w:rsidRPr="00702D3B" w:rsidRDefault="003B5071">
            <w:pPr>
              <w:pStyle w:val="Normal1"/>
              <w:jc w:val="both"/>
              <w:rPr>
                <w:rFonts w:ascii="Times New Roman" w:eastAsia="Times New Roman" w:hAnsi="Times New Roman" w:cs="Times New Roman"/>
                <w:sz w:val="24"/>
                <w:szCs w:val="24"/>
              </w:rPr>
            </w:pPr>
          </w:p>
        </w:tc>
      </w:tr>
    </w:tbl>
    <w:p w:rsidR="003B5071" w:rsidRDefault="003B5071">
      <w:pPr>
        <w:pStyle w:val="Normal1"/>
        <w:spacing w:line="240" w:lineRule="auto"/>
        <w:jc w:val="both"/>
        <w:rPr>
          <w:rFonts w:ascii="Times New Roman" w:eastAsia="Times New Roman" w:hAnsi="Times New Roman" w:cs="Times New Roman"/>
          <w:sz w:val="24"/>
          <w:szCs w:val="24"/>
        </w:rPr>
      </w:pP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fixed effects model reports that board independence (BI) links positively with return on assets (ROA), β = 77.71, p = .042. This shows that more non-executive members often match with higher financial outcomes. Board gender diversity (BGD) turns up a negative coefficient, β = -32.66, p = .053. The signal is weak but close to the threshold, hinting that more female directors may link with lower returns, though this pattern is not firmly conclusive.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diligence (BD), measured by how often the board meets, returns a non-significant negative estimate, β = -1.33, p = .161. That means more meetings do not clearly link with better profits. Board size (BS) also shows a negative, non-significant effect, β = -0.43, p = .715, suggesting that simply having more members on the board does not shape financial results in a clear way.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model accounts for around 56% of the shifts seen in ROA, R² = 0.559, with adjusted R² = 0.488. The F-statistic, F = 7.95, p &lt; .001, supports that all governance variables together carry weight in explaining ROA. The Durbin-Watson value of 1.03 hints at positive autocorrelation in the residuals. That may touch the precision of standard errors but leaves the size of the estimates untouched.</w:t>
      </w:r>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42" w:name="_dlcljx6li8pe" w:colFirst="0" w:colLast="0"/>
      <w:bookmarkEnd w:id="42"/>
      <w:r>
        <w:rPr>
          <w:rFonts w:ascii="Times New Roman" w:eastAsia="Times New Roman" w:hAnsi="Times New Roman" w:cs="Times New Roman"/>
          <w:b/>
          <w:color w:val="000000"/>
          <w:sz w:val="24"/>
          <w:szCs w:val="24"/>
        </w:rPr>
        <w:t>4.3.3 Hypothesis Testing</w:t>
      </w:r>
    </w:p>
    <w:p w:rsidR="003B5071" w:rsidRDefault="00A271C6">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Hypothesis One (H</w:t>
      </w:r>
      <w:r w:rsidRPr="00A271C6">
        <w:rPr>
          <w:rFonts w:ascii="Times New Roman" w:eastAsia="Times New Roman" w:hAnsi="Times New Roman" w:cs="Times New Roman"/>
          <w:b/>
          <w:sz w:val="24"/>
          <w:szCs w:val="24"/>
          <w:vertAlign w:val="subscript"/>
        </w:rPr>
        <w:t>01</w:t>
      </w:r>
      <w:r w:rsidR="00615BF0">
        <w:rPr>
          <w:rFonts w:ascii="Times New Roman" w:eastAsia="Times New Roman" w:hAnsi="Times New Roman" w:cs="Times New Roman"/>
          <w:b/>
          <w:sz w:val="24"/>
          <w:szCs w:val="24"/>
        </w:rPr>
        <w:t>): There is no significant relationship</w:t>
      </w:r>
      <w:r>
        <w:rPr>
          <w:rStyle w:val="CommentReference"/>
        </w:rPr>
        <w:t xml:space="preserve"> </w:t>
      </w:r>
      <w:r w:rsidRPr="00A271C6">
        <w:rPr>
          <w:rStyle w:val="CommentReference"/>
          <w:rFonts w:ascii="Times New Roman" w:hAnsi="Times New Roman" w:cs="Times New Roman"/>
          <w:b/>
          <w:sz w:val="24"/>
          <w:szCs w:val="24"/>
        </w:rPr>
        <w:t>b</w:t>
      </w:r>
      <w:r w:rsidR="00615BF0">
        <w:rPr>
          <w:rFonts w:ascii="Times New Roman" w:eastAsia="Times New Roman" w:hAnsi="Times New Roman" w:cs="Times New Roman"/>
          <w:b/>
          <w:sz w:val="24"/>
          <w:szCs w:val="24"/>
        </w:rPr>
        <w:t>etween board size (BS) and return on assets (ROA) of listed consumer goods companies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fixed effects outcome shows board size (BS) with a negative sign, β = -0.43, p = .715. The slope hints that bigger boards may edge profits downward, but the signal is not strong. At the 5% mark, the evidence does not support any clear link. The null holds—no solid bridge connects board size to ROA in these Nigerian consumer goods firms. Board size, it seems, may not hold the steering wheel for profit outcomes here.</w:t>
      </w:r>
    </w:p>
    <w:p w:rsidR="003B5071" w:rsidRDefault="00A271C6">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 Two (H</w:t>
      </w:r>
      <w:r w:rsidRPr="00A271C6">
        <w:rPr>
          <w:rFonts w:ascii="Times New Roman" w:eastAsia="Times New Roman" w:hAnsi="Times New Roman" w:cs="Times New Roman"/>
          <w:b/>
          <w:sz w:val="24"/>
          <w:szCs w:val="24"/>
          <w:vertAlign w:val="subscript"/>
        </w:rPr>
        <w:t>02</w:t>
      </w:r>
      <w:r w:rsidR="00615BF0">
        <w:rPr>
          <w:rFonts w:ascii="Times New Roman" w:eastAsia="Times New Roman" w:hAnsi="Times New Roman" w:cs="Times New Roman"/>
          <w:b/>
          <w:sz w:val="24"/>
          <w:szCs w:val="24"/>
        </w:rPr>
        <w:t>): There is no significant relationship</w:t>
      </w:r>
      <w:r>
        <w:rPr>
          <w:rStyle w:val="CommentReference"/>
        </w:rPr>
        <w:t xml:space="preserve"> </w:t>
      </w:r>
      <w:r w:rsidRPr="00A271C6">
        <w:rPr>
          <w:rStyle w:val="CommentReference"/>
          <w:rFonts w:ascii="Times New Roman" w:hAnsi="Times New Roman" w:cs="Times New Roman"/>
          <w:b/>
          <w:sz w:val="24"/>
          <w:szCs w:val="24"/>
        </w:rPr>
        <w:t>b</w:t>
      </w:r>
      <w:r w:rsidR="00615BF0">
        <w:rPr>
          <w:rFonts w:ascii="Times New Roman" w:eastAsia="Times New Roman" w:hAnsi="Times New Roman" w:cs="Times New Roman"/>
          <w:b/>
          <w:sz w:val="24"/>
          <w:szCs w:val="24"/>
        </w:rPr>
        <w:t>etween board independence (BI) and return on assets (ROA) of listed consumer goods companies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fixed effects run shows BI carries a large positive coefficient, β = 77.71, p = .042. That is under the 5% threshold, so the null does not survive. This tells that boards stacked with more non-executive hands tend to lean toward better returns. The direction is clear. Independent minds at the table seem to nudge ROA upward.</w:t>
      </w:r>
    </w:p>
    <w:p w:rsidR="003B5071" w:rsidRDefault="00A271C6">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 Three (H</w:t>
      </w:r>
      <w:r w:rsidRPr="00A271C6">
        <w:rPr>
          <w:rFonts w:ascii="Times New Roman" w:eastAsia="Times New Roman" w:hAnsi="Times New Roman" w:cs="Times New Roman"/>
          <w:b/>
          <w:sz w:val="24"/>
          <w:szCs w:val="24"/>
          <w:vertAlign w:val="subscript"/>
        </w:rPr>
        <w:t>03</w:t>
      </w:r>
      <w:r w:rsidR="00615BF0">
        <w:rPr>
          <w:rFonts w:ascii="Times New Roman" w:eastAsia="Times New Roman" w:hAnsi="Times New Roman" w:cs="Times New Roman"/>
          <w:b/>
          <w:sz w:val="24"/>
          <w:szCs w:val="24"/>
        </w:rPr>
        <w:t>): Board gender diversity (BGD) does not significantly influence the return on assets (ROA) of listed consumer goods companies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BGD slides in with a negative pull, β = -32.66, and p = .053. Just past the 0.05 gate, the link is weak but not absent. Statistically, the null holds at 5%, but at a relaxed 10%, the door opens. So gender mix may matter, but how and why may twist depending on other firm traits. The story here is not closed.</w:t>
      </w:r>
    </w:p>
    <w:p w:rsidR="00A271C6" w:rsidRDefault="00A271C6">
      <w:pPr>
        <w:pStyle w:val="Normal1"/>
        <w:spacing w:line="480" w:lineRule="auto"/>
        <w:jc w:val="both"/>
        <w:rPr>
          <w:rFonts w:ascii="Times New Roman" w:eastAsia="Times New Roman" w:hAnsi="Times New Roman" w:cs="Times New Roman"/>
          <w:sz w:val="24"/>
          <w:szCs w:val="24"/>
        </w:rPr>
      </w:pPr>
    </w:p>
    <w:p w:rsidR="00A271C6" w:rsidRDefault="00A271C6">
      <w:pPr>
        <w:pStyle w:val="Normal1"/>
        <w:spacing w:line="480" w:lineRule="auto"/>
        <w:jc w:val="both"/>
        <w:rPr>
          <w:rFonts w:ascii="Times New Roman" w:eastAsia="Times New Roman" w:hAnsi="Times New Roman" w:cs="Times New Roman"/>
          <w:sz w:val="24"/>
          <w:szCs w:val="24"/>
        </w:rPr>
      </w:pPr>
    </w:p>
    <w:p w:rsidR="003B5071" w:rsidRDefault="00A271C6">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 Four (H</w:t>
      </w:r>
      <w:r w:rsidRPr="00A271C6">
        <w:rPr>
          <w:rFonts w:ascii="Times New Roman" w:eastAsia="Times New Roman" w:hAnsi="Times New Roman" w:cs="Times New Roman"/>
          <w:b/>
          <w:sz w:val="24"/>
          <w:szCs w:val="24"/>
          <w:vertAlign w:val="subscript"/>
        </w:rPr>
        <w:t>04</w:t>
      </w:r>
      <w:r w:rsidR="00615BF0">
        <w:rPr>
          <w:rFonts w:ascii="Times New Roman" w:eastAsia="Times New Roman" w:hAnsi="Times New Roman" w:cs="Times New Roman"/>
          <w:b/>
          <w:sz w:val="24"/>
          <w:szCs w:val="24"/>
        </w:rPr>
        <w:t>): Board diligence (BD) has no significant impact on the return on assets (ROA) of listed consumer goods companies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model drops BD with a gentle slope down, β = -1.33, p = .161. The number of board meetings, it seems, has no clear push on returns. The p-value floats above the line, and so the null stays. In </w:t>
      </w:r>
      <w:r>
        <w:rPr>
          <w:rFonts w:ascii="Times New Roman" w:eastAsia="Times New Roman" w:hAnsi="Times New Roman" w:cs="Times New Roman"/>
          <w:sz w:val="24"/>
          <w:szCs w:val="24"/>
        </w:rPr>
        <w:lastRenderedPageBreak/>
        <w:t>this group, more meetings do not clearly build better profits. The rhythm of boardroom presence may not be the trigger for earnings.</w:t>
      </w:r>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43" w:name="_fv1zwbliqcxp" w:colFirst="0" w:colLast="0"/>
      <w:bookmarkEnd w:id="43"/>
      <w:r>
        <w:rPr>
          <w:rFonts w:ascii="Times New Roman" w:eastAsia="Times New Roman" w:hAnsi="Times New Roman" w:cs="Times New Roman"/>
          <w:b/>
          <w:color w:val="000000"/>
          <w:sz w:val="24"/>
          <w:szCs w:val="24"/>
        </w:rPr>
        <w:t>4.3.4 Joint Significance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fixed effects model gives an adjusted R-squared of 0.488. This means close to 49 percent of the shifts in ROA are tied to board size, board independence, gender diversity, and diligence, once firm-specific traits are filtered out. It trims down the inflation of R-squared, which sits at 0.559, by adjusting for how many predictors are in the frame. The 0.488 mark lands in the mid-to-high zone, suggesting that the selected board features hold decent power in explaining firm profit outcomes across the sample window.</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F-statistic clocks in at 7.95, with p less than .001. That sharp figure confirms that the model is not noise. All variables in the mix, taken together, move the dependent needle enough to matter. The null that all predictors are mute gets pushed aside. So, this fixed effects structure earns its place. Together, the board variables explain a meaningful share of the swings in profitability, </w:t>
      </w:r>
      <w:r w:rsidR="00A271C6">
        <w:rPr>
          <w:rFonts w:ascii="Times New Roman" w:eastAsia="Times New Roman" w:hAnsi="Times New Roman" w:cs="Times New Roman"/>
          <w:sz w:val="24"/>
          <w:szCs w:val="24"/>
        </w:rPr>
        <w:t>signaling</w:t>
      </w:r>
      <w:r>
        <w:rPr>
          <w:rFonts w:ascii="Times New Roman" w:eastAsia="Times New Roman" w:hAnsi="Times New Roman" w:cs="Times New Roman"/>
          <w:sz w:val="24"/>
          <w:szCs w:val="24"/>
        </w:rPr>
        <w:t xml:space="preserve"> that corporate governance does not just sit on paper—it moves inside the books of Nigerian consumer goods firms.</w:t>
      </w:r>
    </w:p>
    <w:p w:rsidR="00A271C6" w:rsidRDefault="00A271C6">
      <w:pPr>
        <w:pStyle w:val="Normal1"/>
        <w:spacing w:line="480" w:lineRule="auto"/>
        <w:jc w:val="both"/>
        <w:rPr>
          <w:rFonts w:ascii="Times New Roman" w:eastAsia="Times New Roman" w:hAnsi="Times New Roman" w:cs="Times New Roman"/>
          <w:sz w:val="24"/>
          <w:szCs w:val="24"/>
        </w:rPr>
      </w:pPr>
    </w:p>
    <w:p w:rsidR="00A271C6" w:rsidRDefault="00A271C6">
      <w:pPr>
        <w:pStyle w:val="Normal1"/>
        <w:spacing w:line="480" w:lineRule="auto"/>
        <w:jc w:val="both"/>
        <w:rPr>
          <w:rFonts w:ascii="Times New Roman" w:eastAsia="Times New Roman" w:hAnsi="Times New Roman" w:cs="Times New Roman"/>
          <w:sz w:val="24"/>
          <w:szCs w:val="24"/>
        </w:rPr>
      </w:pPr>
    </w:p>
    <w:p w:rsidR="00A271C6" w:rsidRDefault="00A271C6">
      <w:pPr>
        <w:pStyle w:val="Normal1"/>
        <w:spacing w:line="480" w:lineRule="auto"/>
        <w:jc w:val="both"/>
        <w:rPr>
          <w:rFonts w:ascii="Times New Roman" w:eastAsia="Times New Roman" w:hAnsi="Times New Roman" w:cs="Times New Roman"/>
          <w:sz w:val="24"/>
          <w:szCs w:val="24"/>
        </w:rPr>
      </w:pPr>
    </w:p>
    <w:p w:rsidR="003B5071" w:rsidRDefault="00A271C6">
      <w:pPr>
        <w:pStyle w:val="Heading2"/>
        <w:spacing w:before="0" w:after="0" w:line="480" w:lineRule="auto"/>
        <w:jc w:val="both"/>
        <w:rPr>
          <w:rFonts w:ascii="Times New Roman" w:eastAsia="Times New Roman" w:hAnsi="Times New Roman" w:cs="Times New Roman"/>
          <w:b/>
          <w:sz w:val="24"/>
          <w:szCs w:val="24"/>
        </w:rPr>
      </w:pPr>
      <w:bookmarkStart w:id="44" w:name="_7g8o8g7llc8f" w:colFirst="0" w:colLast="0"/>
      <w:bookmarkEnd w:id="44"/>
      <w:r>
        <w:rPr>
          <w:rFonts w:ascii="Times New Roman" w:eastAsia="Times New Roman" w:hAnsi="Times New Roman" w:cs="Times New Roman"/>
          <w:noProof/>
          <w:color w:val="000000"/>
          <w:sz w:val="24"/>
          <w:szCs w:val="24"/>
          <w:lang w:eastAsia="en-US"/>
        </w:rPr>
        <w:lastRenderedPageBreak/>
        <w:drawing>
          <wp:anchor distT="0" distB="0" distL="114300" distR="114300" simplePos="0" relativeHeight="251658240" behindDoc="0" locked="0" layoutInCell="1" allowOverlap="1" wp14:anchorId="396A7739" wp14:editId="446C962E">
            <wp:simplePos x="0" y="0"/>
            <wp:positionH relativeFrom="column">
              <wp:posOffset>1312856</wp:posOffset>
            </wp:positionH>
            <wp:positionV relativeFrom="paragraph">
              <wp:posOffset>-558593</wp:posOffset>
            </wp:positionV>
            <wp:extent cx="3281045" cy="5851525"/>
            <wp:effectExtent l="1276350" t="0" r="1271905" b="0"/>
            <wp:wrapThrough wrapText="bothSides">
              <wp:wrapPolygon edited="0">
                <wp:start x="21659" y="33"/>
                <wp:lineTo x="88" y="33"/>
                <wp:lineTo x="88" y="21551"/>
                <wp:lineTo x="21659" y="21551"/>
                <wp:lineTo x="21659" y="33"/>
              </wp:wrapPolygon>
            </wp:wrapThrough>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rot="16200000">
                      <a:off x="0" y="0"/>
                      <a:ext cx="3281045" cy="5851525"/>
                    </a:xfrm>
                    <a:prstGeom prst="rect">
                      <a:avLst/>
                    </a:prstGeom>
                    <a:ln/>
                  </pic:spPr>
                </pic:pic>
              </a:graphicData>
            </a:graphic>
            <wp14:sizeRelH relativeFrom="margin">
              <wp14:pctWidth>0</wp14:pctWidth>
            </wp14:sizeRelH>
            <wp14:sizeRelV relativeFrom="margin">
              <wp14:pctHeight>0</wp14:pctHeight>
            </wp14:sizeRelV>
          </wp:anchor>
        </w:drawing>
      </w:r>
      <w:r w:rsidR="00615BF0">
        <w:rPr>
          <w:rFonts w:ascii="Times New Roman" w:eastAsia="Times New Roman" w:hAnsi="Times New Roman" w:cs="Times New Roman"/>
          <w:b/>
          <w:sz w:val="24"/>
          <w:szCs w:val="24"/>
        </w:rPr>
        <w:t>4.5 Post-Estimation Diagnostics</w:t>
      </w:r>
    </w:p>
    <w:p w:rsidR="003B5071" w:rsidRPr="00A271C6" w:rsidRDefault="00615BF0">
      <w:pPr>
        <w:pStyle w:val="Heading3"/>
        <w:spacing w:before="0" w:after="0" w:line="480" w:lineRule="auto"/>
        <w:jc w:val="both"/>
      </w:pPr>
      <w:bookmarkStart w:id="45" w:name="_9tnwb4ffox6d" w:colFirst="0" w:colLast="0"/>
      <w:bookmarkEnd w:id="45"/>
      <w:r>
        <w:rPr>
          <w:rFonts w:ascii="Times New Roman" w:eastAsia="Times New Roman" w:hAnsi="Times New Roman" w:cs="Times New Roman"/>
          <w:b/>
          <w:color w:val="000000"/>
          <w:sz w:val="24"/>
          <w:szCs w:val="24"/>
        </w:rPr>
        <w:t>Figure 4.</w:t>
      </w:r>
      <w:r w:rsidR="00A271C6">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 xml:space="preserve"> </w:t>
      </w:r>
      <w:r w:rsidRPr="00A271C6">
        <w:rPr>
          <w:rFonts w:ascii="Times New Roman" w:eastAsia="Times New Roman" w:hAnsi="Times New Roman" w:cs="Times New Roman"/>
          <w:color w:val="000000"/>
          <w:sz w:val="24"/>
          <w:szCs w:val="24"/>
        </w:rPr>
        <w:t xml:space="preserve">Normality Test of </w:t>
      </w:r>
      <w:proofErr w:type="spellStart"/>
      <w:r w:rsidRPr="00A271C6">
        <w:rPr>
          <w:rFonts w:ascii="Times New Roman" w:eastAsia="Times New Roman" w:hAnsi="Times New Roman" w:cs="Times New Roman"/>
          <w:color w:val="000000"/>
          <w:sz w:val="24"/>
          <w:szCs w:val="24"/>
        </w:rPr>
        <w:t>Standardised</w:t>
      </w:r>
      <w:proofErr w:type="spellEnd"/>
      <w:r w:rsidRPr="00A271C6">
        <w:rPr>
          <w:rFonts w:ascii="Times New Roman" w:eastAsia="Times New Roman" w:hAnsi="Times New Roman" w:cs="Times New Roman"/>
          <w:color w:val="000000"/>
          <w:sz w:val="24"/>
          <w:szCs w:val="24"/>
        </w:rPr>
        <w:t xml:space="preserve"> Residuals (</w:t>
      </w:r>
      <w:proofErr w:type="spellStart"/>
      <w:r w:rsidRPr="00A271C6">
        <w:rPr>
          <w:rFonts w:ascii="Times New Roman" w:eastAsia="Times New Roman" w:hAnsi="Times New Roman" w:cs="Times New Roman"/>
          <w:color w:val="000000"/>
          <w:sz w:val="24"/>
          <w:szCs w:val="24"/>
        </w:rPr>
        <w:t>Jarque-Bera</w:t>
      </w:r>
      <w:proofErr w:type="spellEnd"/>
      <w:r w:rsidRPr="00A271C6">
        <w:rPr>
          <w:rFonts w:ascii="Times New Roman" w:eastAsia="Times New Roman" w:hAnsi="Times New Roman" w:cs="Times New Roman"/>
          <w:color w:val="000000"/>
          <w:sz w:val="24"/>
          <w:szCs w:val="24"/>
        </w:rPr>
        <w:t xml:space="preserve"> Test)</w:t>
      </w:r>
    </w:p>
    <w:p w:rsidR="003B5071" w:rsidRDefault="003B5071">
      <w:pPr>
        <w:pStyle w:val="Heading3"/>
        <w:spacing w:before="0" w:after="0" w:line="480" w:lineRule="auto"/>
        <w:jc w:val="both"/>
        <w:rPr>
          <w:rFonts w:ascii="Times New Roman" w:eastAsia="Times New Roman" w:hAnsi="Times New Roman" w:cs="Times New Roman"/>
          <w:color w:val="000000"/>
          <w:sz w:val="24"/>
          <w:szCs w:val="24"/>
        </w:rPr>
      </w:pPr>
      <w:bookmarkStart w:id="46" w:name="_xrbgp5lw837n" w:colFirst="0" w:colLast="0"/>
      <w:bookmarkEnd w:id="46"/>
    </w:p>
    <w:p w:rsidR="003B5071" w:rsidRDefault="003B5071">
      <w:pPr>
        <w:pStyle w:val="Heading3"/>
        <w:spacing w:before="0" w:after="0" w:line="480" w:lineRule="auto"/>
        <w:jc w:val="both"/>
      </w:pPr>
      <w:bookmarkStart w:id="47" w:name="_k0qaovo11l9o" w:colFirst="0" w:colLast="0"/>
      <w:bookmarkEnd w:id="47"/>
    </w:p>
    <w:p w:rsidR="003B5071" w:rsidRPr="00A271C6" w:rsidRDefault="00615BF0">
      <w:pPr>
        <w:pStyle w:val="Normal1"/>
        <w:spacing w:line="480" w:lineRule="auto"/>
        <w:jc w:val="both"/>
        <w:rPr>
          <w:rFonts w:ascii="Times New Roman" w:eastAsia="Times New Roman" w:hAnsi="Times New Roman" w:cs="Times New Roman"/>
          <w:sz w:val="24"/>
          <w:szCs w:val="24"/>
        </w:rPr>
      </w:pPr>
      <w:r w:rsidRPr="00A271C6">
        <w:rPr>
          <w:rFonts w:ascii="Times New Roman" w:eastAsia="Gungsuh" w:hAnsi="Times New Roman" w:cs="Times New Roman"/>
          <w:sz w:val="24"/>
          <w:szCs w:val="24"/>
        </w:rPr>
        <w:t xml:space="preserve">The </w:t>
      </w:r>
      <w:proofErr w:type="spellStart"/>
      <w:r w:rsidRPr="00A271C6">
        <w:rPr>
          <w:rFonts w:ascii="Times New Roman" w:eastAsia="Gungsuh" w:hAnsi="Times New Roman" w:cs="Times New Roman"/>
          <w:sz w:val="24"/>
          <w:szCs w:val="24"/>
        </w:rPr>
        <w:t>Jarque-Bera</w:t>
      </w:r>
      <w:proofErr w:type="spellEnd"/>
      <w:r w:rsidRPr="00A271C6">
        <w:rPr>
          <w:rFonts w:ascii="Times New Roman" w:eastAsia="Gungsuh" w:hAnsi="Times New Roman" w:cs="Times New Roman"/>
          <w:sz w:val="24"/>
          <w:szCs w:val="24"/>
        </w:rPr>
        <w:t xml:space="preserve"> (JB) test applied to the </w:t>
      </w:r>
      <w:proofErr w:type="spellStart"/>
      <w:r w:rsidRPr="00A271C6">
        <w:rPr>
          <w:rFonts w:ascii="Times New Roman" w:eastAsia="Gungsuh" w:hAnsi="Times New Roman" w:cs="Times New Roman"/>
          <w:sz w:val="24"/>
          <w:szCs w:val="24"/>
        </w:rPr>
        <w:t>standardised</w:t>
      </w:r>
      <w:proofErr w:type="spellEnd"/>
      <w:r w:rsidRPr="00A271C6">
        <w:rPr>
          <w:rFonts w:ascii="Times New Roman" w:eastAsia="Gungsuh" w:hAnsi="Times New Roman" w:cs="Times New Roman"/>
          <w:sz w:val="24"/>
          <w:szCs w:val="24"/>
        </w:rPr>
        <w:t xml:space="preserve"> residuals from the fixed effects regression gives a JB score of 4.43 and a p-value of 0.109. As this p-value crosses the 0.05 cut-off, the null of normality stands. That tells us the residuals align close enough with a normal curve, keeping the analysis on solid ground. The </w:t>
      </w:r>
      <w:proofErr w:type="spellStart"/>
      <w:r w:rsidRPr="00A271C6">
        <w:rPr>
          <w:rFonts w:ascii="Times New Roman" w:eastAsia="Gungsuh" w:hAnsi="Times New Roman" w:cs="Times New Roman"/>
          <w:sz w:val="24"/>
          <w:szCs w:val="24"/>
        </w:rPr>
        <w:t>skewness</w:t>
      </w:r>
      <w:proofErr w:type="spellEnd"/>
      <w:r w:rsidRPr="00A271C6">
        <w:rPr>
          <w:rFonts w:ascii="Times New Roman" w:eastAsia="Gungsuh" w:hAnsi="Times New Roman" w:cs="Times New Roman"/>
          <w:sz w:val="24"/>
          <w:szCs w:val="24"/>
        </w:rPr>
        <w:t xml:space="preserve"> lands at −0.32, nudging left but not alarmingly, while the kurtosis sits at 4.28—just a bit above the normal level but not out of range. Both signs suggest the shape bends mildly but remains within limits.</w:t>
      </w:r>
    </w:p>
    <w:p w:rsidR="003B5071" w:rsidRPr="00A271C6" w:rsidRDefault="00615BF0">
      <w:pPr>
        <w:pStyle w:val="Normal1"/>
        <w:spacing w:line="480" w:lineRule="auto"/>
        <w:jc w:val="both"/>
        <w:rPr>
          <w:rFonts w:ascii="Times New Roman" w:eastAsia="Times New Roman" w:hAnsi="Times New Roman" w:cs="Times New Roman"/>
          <w:sz w:val="24"/>
          <w:szCs w:val="24"/>
        </w:rPr>
      </w:pPr>
      <w:r w:rsidRPr="00A271C6">
        <w:rPr>
          <w:rFonts w:ascii="Times New Roman" w:eastAsia="Times New Roman" w:hAnsi="Times New Roman" w:cs="Times New Roman"/>
          <w:sz w:val="24"/>
          <w:szCs w:val="24"/>
        </w:rPr>
        <w:t>This means the error terms are balanced, with no heavy tilts or spikes that would distort inference. The model holds its shape, and the assumption of normality stands without needing reshaping. So, it clears this check and moves forward without statistical concern.</w:t>
      </w:r>
    </w:p>
    <w:p w:rsidR="003B5071" w:rsidRDefault="00615BF0">
      <w:pPr>
        <w:pStyle w:val="Heading3"/>
        <w:spacing w:before="0" w:after="0" w:line="240" w:lineRule="auto"/>
        <w:jc w:val="both"/>
        <w:rPr>
          <w:rFonts w:ascii="Times New Roman" w:eastAsia="Times New Roman" w:hAnsi="Times New Roman" w:cs="Times New Roman"/>
          <w:b/>
          <w:color w:val="000000"/>
          <w:sz w:val="24"/>
          <w:szCs w:val="24"/>
        </w:rPr>
      </w:pPr>
      <w:bookmarkStart w:id="48" w:name="_eyit75eny3vb" w:colFirst="0" w:colLast="0"/>
      <w:bookmarkEnd w:id="48"/>
      <w:r>
        <w:rPr>
          <w:rFonts w:ascii="Times New Roman" w:eastAsia="Times New Roman" w:hAnsi="Times New Roman" w:cs="Times New Roman"/>
          <w:b/>
          <w:color w:val="000000"/>
          <w:sz w:val="24"/>
          <w:szCs w:val="24"/>
        </w:rPr>
        <w:t>Table 4.</w:t>
      </w:r>
      <w:r w:rsidR="00A271C6">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 xml:space="preserve"> </w:t>
      </w:r>
      <w:r w:rsidRPr="00A271C6">
        <w:rPr>
          <w:rFonts w:ascii="Times New Roman" w:eastAsia="Times New Roman" w:hAnsi="Times New Roman" w:cs="Times New Roman"/>
          <w:color w:val="000000"/>
          <w:sz w:val="24"/>
          <w:szCs w:val="24"/>
        </w:rPr>
        <w:t>Cross-Sectional Dependence Test (</w:t>
      </w:r>
      <w:proofErr w:type="spellStart"/>
      <w:r w:rsidRPr="00A271C6">
        <w:rPr>
          <w:rFonts w:ascii="Times New Roman" w:eastAsia="Times New Roman" w:hAnsi="Times New Roman" w:cs="Times New Roman"/>
          <w:color w:val="000000"/>
          <w:sz w:val="24"/>
          <w:szCs w:val="24"/>
        </w:rPr>
        <w:t>Pesaran</w:t>
      </w:r>
      <w:proofErr w:type="spellEnd"/>
      <w:r w:rsidRPr="00A271C6">
        <w:rPr>
          <w:rFonts w:ascii="Times New Roman" w:eastAsia="Times New Roman" w:hAnsi="Times New Roman" w:cs="Times New Roman"/>
          <w:color w:val="000000"/>
          <w:sz w:val="24"/>
          <w:szCs w:val="24"/>
        </w:rPr>
        <w:t xml:space="preserve"> CD Test Results)</w:t>
      </w:r>
    </w:p>
    <w:tbl>
      <w:tblPr>
        <w:tblStyle w:val="TableGrid"/>
        <w:tblW w:w="9476" w:type="dxa"/>
        <w:tblBorders>
          <w:left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369"/>
        <w:gridCol w:w="2369"/>
        <w:gridCol w:w="2369"/>
        <w:gridCol w:w="2369"/>
      </w:tblGrid>
      <w:tr w:rsidR="003B5071" w:rsidTr="00A271C6">
        <w:trPr>
          <w:trHeight w:val="312"/>
        </w:trPr>
        <w:tc>
          <w:tcPr>
            <w:tcW w:w="2369"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Test Type</w:t>
            </w:r>
          </w:p>
        </w:tc>
        <w:tc>
          <w:tcPr>
            <w:tcW w:w="2369"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Statistic</w:t>
            </w:r>
          </w:p>
        </w:tc>
        <w:tc>
          <w:tcPr>
            <w:tcW w:w="2369"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df</w:t>
            </w:r>
            <w:proofErr w:type="spellEnd"/>
          </w:p>
        </w:tc>
        <w:tc>
          <w:tcPr>
            <w:tcW w:w="2369" w:type="dxa"/>
            <w:tcBorders>
              <w:top w:val="single" w:sz="4" w:space="0" w:color="auto"/>
              <w:bottom w:val="single" w:sz="4" w:space="0" w:color="auto"/>
            </w:tcBorders>
          </w:tcPr>
          <w:p w:rsidR="003B5071" w:rsidRDefault="00615BF0">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p-value</w:t>
            </w:r>
          </w:p>
        </w:tc>
      </w:tr>
      <w:tr w:rsidR="003B5071" w:rsidTr="00A271C6">
        <w:trPr>
          <w:trHeight w:val="290"/>
        </w:trPr>
        <w:tc>
          <w:tcPr>
            <w:tcW w:w="2369"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Breusch</w:t>
            </w:r>
            <w:proofErr w:type="spellEnd"/>
            <w:r>
              <w:rPr>
                <w:rFonts w:ascii="Times New Roman" w:eastAsia="Times New Roman" w:hAnsi="Times New Roman" w:cs="Times New Roman"/>
                <w:sz w:val="20"/>
                <w:szCs w:val="20"/>
              </w:rPr>
              <w:t>-Pagan LM</w:t>
            </w:r>
          </w:p>
        </w:tc>
        <w:tc>
          <w:tcPr>
            <w:tcW w:w="2369"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9.312541</w:t>
            </w:r>
          </w:p>
        </w:tc>
        <w:tc>
          <w:tcPr>
            <w:tcW w:w="2369"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369" w:type="dxa"/>
            <w:tcBorders>
              <w:top w:val="single" w:sz="4" w:space="0" w:color="auto"/>
            </w:tcBorders>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0.1567</w:t>
            </w:r>
          </w:p>
        </w:tc>
      </w:tr>
      <w:tr w:rsidR="003B5071" w:rsidTr="00A271C6">
        <w:trPr>
          <w:trHeight w:val="290"/>
        </w:trPr>
        <w:tc>
          <w:tcPr>
            <w:tcW w:w="2369" w:type="dxa"/>
          </w:tcPr>
          <w:p w:rsidR="003B5071" w:rsidRDefault="00615BF0">
            <w:pPr>
              <w:pStyle w:val="Normal1"/>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Pesaran</w:t>
            </w:r>
            <w:proofErr w:type="spellEnd"/>
            <w:r>
              <w:rPr>
                <w:rFonts w:ascii="Times New Roman" w:eastAsia="Times New Roman" w:hAnsi="Times New Roman" w:cs="Times New Roman"/>
                <w:sz w:val="20"/>
                <w:szCs w:val="20"/>
              </w:rPr>
              <w:t xml:space="preserve"> scaled LM</w:t>
            </w:r>
          </w:p>
        </w:tc>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0.956248</w:t>
            </w:r>
          </w:p>
        </w:tc>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0.3389</w:t>
            </w:r>
          </w:p>
        </w:tc>
      </w:tr>
      <w:tr w:rsidR="003B5071" w:rsidTr="00A271C6">
        <w:trPr>
          <w:trHeight w:val="312"/>
        </w:trPr>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Bias-corrected scaled LM</w:t>
            </w:r>
          </w:p>
        </w:tc>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0.789582</w:t>
            </w:r>
          </w:p>
        </w:tc>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0.4298</w:t>
            </w:r>
          </w:p>
        </w:tc>
      </w:tr>
      <w:tr w:rsidR="003B5071" w:rsidTr="00A271C6">
        <w:trPr>
          <w:trHeight w:val="312"/>
        </w:trPr>
        <w:tc>
          <w:tcPr>
            <w:tcW w:w="2369" w:type="dxa"/>
          </w:tcPr>
          <w:p w:rsidR="003B5071" w:rsidRDefault="00615BF0">
            <w:pPr>
              <w:pStyle w:val="Normal1"/>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Pesaran</w:t>
            </w:r>
            <w:proofErr w:type="spellEnd"/>
            <w:r>
              <w:rPr>
                <w:rFonts w:ascii="Times New Roman" w:eastAsia="Times New Roman" w:hAnsi="Times New Roman" w:cs="Times New Roman"/>
                <w:sz w:val="20"/>
                <w:szCs w:val="20"/>
              </w:rPr>
              <w:t xml:space="preserve"> CD Test</w:t>
            </w:r>
          </w:p>
        </w:tc>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0.560439</w:t>
            </w:r>
          </w:p>
        </w:tc>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369" w:type="dxa"/>
          </w:tcPr>
          <w:p w:rsidR="003B5071" w:rsidRDefault="00615BF0">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0.5752</w:t>
            </w:r>
          </w:p>
        </w:tc>
      </w:tr>
    </w:tbl>
    <w:p w:rsidR="003B5071" w:rsidRDefault="003B5071">
      <w:pPr>
        <w:pStyle w:val="Normal1"/>
        <w:spacing w:line="240" w:lineRule="auto"/>
        <w:jc w:val="both"/>
        <w:rPr>
          <w:rFonts w:ascii="Times New Roman" w:eastAsia="Times New Roman" w:hAnsi="Times New Roman" w:cs="Times New Roman"/>
          <w:sz w:val="24"/>
          <w:szCs w:val="24"/>
        </w:rPr>
      </w:pP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Pesaran</w:t>
      </w:r>
      <w:proofErr w:type="spellEnd"/>
      <w:r>
        <w:rPr>
          <w:rFonts w:ascii="Times New Roman" w:eastAsia="Times New Roman" w:hAnsi="Times New Roman" w:cs="Times New Roman"/>
          <w:sz w:val="24"/>
          <w:szCs w:val="24"/>
        </w:rPr>
        <w:t xml:space="preserve"> CD test gives a statistic of 0.56 with a p-value of 0.575. Since this value stands above the 0.05 threshold, there is no evidence to reject the idea that the cross-sections are independent. The firms do not appear to interfere with each other’s error terms in the model. The </w:t>
      </w:r>
      <w:proofErr w:type="spellStart"/>
      <w:r>
        <w:rPr>
          <w:rFonts w:ascii="Times New Roman" w:eastAsia="Times New Roman" w:hAnsi="Times New Roman" w:cs="Times New Roman"/>
          <w:sz w:val="24"/>
          <w:szCs w:val="24"/>
        </w:rPr>
        <w:t>Breusch</w:t>
      </w:r>
      <w:proofErr w:type="spellEnd"/>
      <w:r>
        <w:rPr>
          <w:rFonts w:ascii="Times New Roman" w:eastAsia="Times New Roman" w:hAnsi="Times New Roman" w:cs="Times New Roman"/>
          <w:sz w:val="24"/>
          <w:szCs w:val="24"/>
        </w:rPr>
        <w:t xml:space="preserve">-Pagan LM test supports this, showing χ² = 9.31 and p = 0.157. The </w:t>
      </w:r>
      <w:proofErr w:type="spellStart"/>
      <w:r>
        <w:rPr>
          <w:rFonts w:ascii="Times New Roman" w:eastAsia="Times New Roman" w:hAnsi="Times New Roman" w:cs="Times New Roman"/>
          <w:sz w:val="24"/>
          <w:szCs w:val="24"/>
        </w:rPr>
        <w:t>Pesaran</w:t>
      </w:r>
      <w:proofErr w:type="spellEnd"/>
      <w:r>
        <w:rPr>
          <w:rFonts w:ascii="Times New Roman" w:eastAsia="Times New Roman" w:hAnsi="Times New Roman" w:cs="Times New Roman"/>
          <w:sz w:val="24"/>
          <w:szCs w:val="24"/>
        </w:rPr>
        <w:t xml:space="preserve"> scaled LM result sits at 0.96, p = 0.339, while the bias-corrected scaled LM lands at 0.79, p = 0.430. None of these tests cross the line into significance. The numbers hold up. Each company moves on its own terms, statistically speaking. So the model clears this diagnostic. No rework is needed to handle cross-firm disturbance overlap. The fixed effects frame stays steady.</w:t>
      </w:r>
    </w:p>
    <w:p w:rsidR="003B5071" w:rsidRDefault="00615BF0">
      <w:pPr>
        <w:pStyle w:val="Heading2"/>
        <w:spacing w:before="0" w:after="0" w:line="480" w:lineRule="auto"/>
        <w:jc w:val="both"/>
        <w:rPr>
          <w:rFonts w:ascii="Times New Roman" w:eastAsia="Times New Roman" w:hAnsi="Times New Roman" w:cs="Times New Roman"/>
          <w:b/>
          <w:sz w:val="24"/>
          <w:szCs w:val="24"/>
        </w:rPr>
      </w:pPr>
      <w:bookmarkStart w:id="49" w:name="_dhoh0e1cir91" w:colFirst="0" w:colLast="0"/>
      <w:bookmarkEnd w:id="49"/>
      <w:r>
        <w:rPr>
          <w:rFonts w:ascii="Times New Roman" w:eastAsia="Times New Roman" w:hAnsi="Times New Roman" w:cs="Times New Roman"/>
          <w:b/>
          <w:sz w:val="24"/>
          <w:szCs w:val="24"/>
        </w:rPr>
        <w:t>4.5 Discussion of Findings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Question One: What is the</w:t>
      </w:r>
      <w:r w:rsidR="00A271C6">
        <w:rPr>
          <w:rStyle w:val="CommentReference"/>
        </w:rPr>
        <w:t xml:space="preserve"> </w:t>
      </w:r>
      <w:r w:rsidR="00A271C6" w:rsidRPr="00A271C6">
        <w:rPr>
          <w:rStyle w:val="CommentReference"/>
          <w:rFonts w:ascii="Times New Roman" w:hAnsi="Times New Roman" w:cs="Times New Roman"/>
          <w:b/>
          <w:sz w:val="24"/>
          <w:szCs w:val="24"/>
        </w:rPr>
        <w:t>e</w:t>
      </w:r>
      <w:r>
        <w:rPr>
          <w:rFonts w:ascii="Times New Roman" w:eastAsia="Times New Roman" w:hAnsi="Times New Roman" w:cs="Times New Roman"/>
          <w:b/>
          <w:sz w:val="24"/>
          <w:szCs w:val="24"/>
        </w:rPr>
        <w:t>ffect of board size on the return on assets (ROA) of listed consumer goods companies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show board size links negatively with profitability but not in a way that holds statistical weight. Larger boards appear tied to lower return on assets, yet the pattern is too loose to call firm. The signal aligns loosely with the idea that too many voices at the table can stall oversight and muddle direction. Agency theory fits here, proposing that beyond a point, more directors might dilute responsibility, making monitoring weaker, not stronger. The negative slope of the coefficient sketches out that more seats might bring more delay and less punch in decision rounds.</w:t>
      </w:r>
    </w:p>
    <w:p w:rsidR="003B5071" w:rsidRDefault="00615BF0">
      <w:pPr>
        <w:pStyle w:val="Normal1"/>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Egbunike</w:t>
      </w:r>
      <w:proofErr w:type="spellEnd"/>
      <w:r>
        <w:rPr>
          <w:rFonts w:ascii="Times New Roman" w:eastAsia="Times New Roman" w:hAnsi="Times New Roman" w:cs="Times New Roman"/>
          <w:sz w:val="24"/>
          <w:szCs w:val="24"/>
        </w:rPr>
        <w:t xml:space="preserve"> (2022) found a similar flat trail—no meaningful tie between how many sat on the board and what the bottom line showed. Coles, Daniel, and Naveen (2015) went further, arguing board size cannot be boxed into one rule, since what works in one firm may drag in another. Still, the result leans away from </w:t>
      </w:r>
      <w:proofErr w:type="spellStart"/>
      <w:r>
        <w:rPr>
          <w:rFonts w:ascii="Times New Roman" w:eastAsia="Times New Roman" w:hAnsi="Times New Roman" w:cs="Times New Roman"/>
          <w:sz w:val="24"/>
          <w:szCs w:val="24"/>
        </w:rPr>
        <w:t>Anyaehie</w:t>
      </w:r>
      <w:proofErr w:type="spellEnd"/>
      <w:r>
        <w:rPr>
          <w:rFonts w:ascii="Times New Roman" w:eastAsia="Times New Roman" w:hAnsi="Times New Roman" w:cs="Times New Roman"/>
          <w:sz w:val="24"/>
          <w:szCs w:val="24"/>
        </w:rPr>
        <w:t xml:space="preserve">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(2017), who spotted a lift in firm performance with more directors. Sector might be the splitter here. What holds in insurance or finance might not apply to </w:t>
      </w:r>
      <w:r>
        <w:rPr>
          <w:rFonts w:ascii="Times New Roman" w:eastAsia="Times New Roman" w:hAnsi="Times New Roman" w:cs="Times New Roman"/>
          <w:sz w:val="24"/>
          <w:szCs w:val="24"/>
        </w:rPr>
        <w:lastRenderedPageBreak/>
        <w:t>consumer goods where logistics and marketing carry different weight. What this shows is that board count alone might not steer profit. It is not how many sit but who they are and what they bring that seems to shape real impact.</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Question Two: What is the</w:t>
      </w:r>
      <w:r w:rsidR="00A271C6">
        <w:rPr>
          <w:rStyle w:val="CommentReference"/>
        </w:rPr>
        <w:t xml:space="preserve"> </w:t>
      </w:r>
      <w:r w:rsidR="00A271C6" w:rsidRPr="00A271C6">
        <w:rPr>
          <w:rStyle w:val="CommentReference"/>
          <w:rFonts w:ascii="Times New Roman" w:hAnsi="Times New Roman" w:cs="Times New Roman"/>
          <w:b/>
          <w:sz w:val="24"/>
          <w:szCs w:val="24"/>
        </w:rPr>
        <w:t>e</w:t>
      </w:r>
      <w:r w:rsidR="00A271C6">
        <w:rPr>
          <w:rFonts w:ascii="Times New Roman" w:eastAsia="Times New Roman" w:hAnsi="Times New Roman" w:cs="Times New Roman"/>
          <w:b/>
          <w:sz w:val="24"/>
          <w:szCs w:val="24"/>
        </w:rPr>
        <w:t>f</w:t>
      </w:r>
      <w:r>
        <w:rPr>
          <w:rFonts w:ascii="Times New Roman" w:eastAsia="Times New Roman" w:hAnsi="Times New Roman" w:cs="Times New Roman"/>
          <w:b/>
          <w:sz w:val="24"/>
          <w:szCs w:val="24"/>
        </w:rPr>
        <w:t>fect of board independence on the return on assets (ROA) of listed consumer goods companies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points to a positive and statistically firm bond between board independence and firm profitability. A coefficient of 77.71 with a p-value of .042 gives it weight. As the share of non-executive directors grows, profitability shows a marked rise. This backs the original assumption that a more independent board watches management better, trims agency costs, and steadies strategic calls. It ties tightly with Agency Theory, which sees independent oversight as key to reducing internal conflict and pushing for shareholder value. The size of the coefficient signals more than just a nudge—it flags independence as a serious lever in governance.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works echo the same note. </w:t>
      </w:r>
      <w:proofErr w:type="spellStart"/>
      <w:r>
        <w:rPr>
          <w:rFonts w:ascii="Times New Roman" w:eastAsia="Times New Roman" w:hAnsi="Times New Roman" w:cs="Times New Roman"/>
          <w:sz w:val="24"/>
          <w:szCs w:val="24"/>
        </w:rPr>
        <w:t>Imeokparia</w:t>
      </w:r>
      <w:proofErr w:type="spellEnd"/>
      <w:r>
        <w:rPr>
          <w:rFonts w:ascii="Times New Roman" w:eastAsia="Times New Roman" w:hAnsi="Times New Roman" w:cs="Times New Roman"/>
          <w:sz w:val="24"/>
          <w:szCs w:val="24"/>
        </w:rPr>
        <w:t xml:space="preserve"> (2021) found that independent boards push Nigerian firms toward better performance. </w:t>
      </w:r>
      <w:proofErr w:type="spellStart"/>
      <w:r>
        <w:rPr>
          <w:rFonts w:ascii="Times New Roman" w:eastAsia="Times New Roman" w:hAnsi="Times New Roman" w:cs="Times New Roman"/>
          <w:sz w:val="24"/>
          <w:szCs w:val="24"/>
        </w:rPr>
        <w:t>Hermalin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Weisbach</w:t>
      </w:r>
      <w:proofErr w:type="spellEnd"/>
      <w:r>
        <w:rPr>
          <w:rFonts w:ascii="Times New Roman" w:eastAsia="Times New Roman" w:hAnsi="Times New Roman" w:cs="Times New Roman"/>
          <w:sz w:val="24"/>
          <w:szCs w:val="24"/>
        </w:rPr>
        <w:t xml:space="preserve"> (2017) also stood on the claim that independence brings sharper oversight, keeping managers in line and decisions less self-serving. From a different market, </w:t>
      </w:r>
      <w:proofErr w:type="spellStart"/>
      <w:r>
        <w:rPr>
          <w:rFonts w:ascii="Times New Roman" w:eastAsia="Times New Roman" w:hAnsi="Times New Roman" w:cs="Times New Roman"/>
          <w:sz w:val="24"/>
          <w:szCs w:val="24"/>
        </w:rPr>
        <w:t>Mandal</w:t>
      </w:r>
      <w:proofErr w:type="spellEnd"/>
      <w:r>
        <w:rPr>
          <w:rFonts w:ascii="Times New Roman" w:eastAsia="Times New Roman" w:hAnsi="Times New Roman" w:cs="Times New Roman"/>
          <w:sz w:val="24"/>
          <w:szCs w:val="24"/>
        </w:rPr>
        <w:t xml:space="preserve"> and Al-Khaled (2018) drew the same line, seeing financial lift from independent audit setups in Indian firms. All these threads twist into a strong case: board independence matters, across regions and industries.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does it hold in Nigeria’s consumer space? Likely because independent directors bring outside eyes, free from internal pressures, able to balance strategy with scrutiny. Their presence boosts trust signals to investors and may reduce capital costs. They also serve as gatekeepers, helping block personal gains that might drain firm value. The outcome is clear. Firms here would do well </w:t>
      </w:r>
      <w:r>
        <w:rPr>
          <w:rFonts w:ascii="Times New Roman" w:eastAsia="Times New Roman" w:hAnsi="Times New Roman" w:cs="Times New Roman"/>
          <w:sz w:val="24"/>
          <w:szCs w:val="24"/>
        </w:rPr>
        <w:lastRenderedPageBreak/>
        <w:t>to keep boards tilted toward non-executive hands—less familiar, more focused, and better placed to keep performance in check.</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Question Three: How does</w:t>
      </w:r>
      <w:r w:rsidR="00A271C6">
        <w:rPr>
          <w:rStyle w:val="CommentReference"/>
        </w:rPr>
        <w:t xml:space="preserve"> </w:t>
      </w:r>
      <w:r w:rsidR="00A271C6" w:rsidRPr="00A271C6">
        <w:rPr>
          <w:rStyle w:val="CommentReference"/>
          <w:rFonts w:ascii="Times New Roman" w:hAnsi="Times New Roman" w:cs="Times New Roman"/>
          <w:b/>
          <w:sz w:val="24"/>
          <w:szCs w:val="24"/>
        </w:rPr>
        <w:t>b</w:t>
      </w:r>
      <w:r>
        <w:rPr>
          <w:rFonts w:ascii="Times New Roman" w:eastAsia="Times New Roman" w:hAnsi="Times New Roman" w:cs="Times New Roman"/>
          <w:b/>
          <w:sz w:val="24"/>
          <w:szCs w:val="24"/>
        </w:rPr>
        <w:t>oard gender diversity influenc</w:t>
      </w:r>
      <w:r w:rsidR="00A271C6">
        <w:rPr>
          <w:rFonts w:ascii="Times New Roman" w:eastAsia="Times New Roman" w:hAnsi="Times New Roman" w:cs="Times New Roman"/>
          <w:b/>
          <w:sz w:val="24"/>
          <w:szCs w:val="24"/>
        </w:rPr>
        <w:t>e t</w:t>
      </w:r>
      <w:r>
        <w:rPr>
          <w:rFonts w:ascii="Times New Roman" w:eastAsia="Times New Roman" w:hAnsi="Times New Roman" w:cs="Times New Roman"/>
          <w:b/>
          <w:sz w:val="24"/>
          <w:szCs w:val="24"/>
        </w:rPr>
        <w:t>he return on assets (ROA) of listed consumer goods companies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points to a negative pull between board gender diversity and firm profitability. A coefficient of minus 32.66, paired with a p-value of .053, lands just shy of the conventional cutoff. This tells a quiet but cautious story—more women on boards might link with thinner profit margins, at least in this sample. The result brushes against the earlier expectation that diversity strengthens board insight and accountability. It also leans away from what Stakeholder Theory suggests, which is that broader voices at the table serve wider interests and bring better balance.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not a lone signal, but it does sit at odds with studies like Carter </w:t>
      </w:r>
      <w:r w:rsidR="00286BBE" w:rsidRPr="00286BB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(2015), who mapped mixed outcomes, often with industry filters. Likewise, </w:t>
      </w:r>
      <w:proofErr w:type="spellStart"/>
      <w:r>
        <w:rPr>
          <w:rFonts w:ascii="Times New Roman" w:eastAsia="Times New Roman" w:hAnsi="Times New Roman" w:cs="Times New Roman"/>
          <w:sz w:val="24"/>
          <w:szCs w:val="24"/>
        </w:rPr>
        <w:t>Adegbile</w:t>
      </w:r>
      <w:proofErr w:type="spellEnd"/>
      <w:r>
        <w:rPr>
          <w:rFonts w:ascii="Times New Roman" w:eastAsia="Times New Roman" w:hAnsi="Times New Roman" w:cs="Times New Roman"/>
          <w:sz w:val="24"/>
          <w:szCs w:val="24"/>
        </w:rPr>
        <w:t xml:space="preserve"> (2020) traced a light upward slope in Nigeria, showing firms starting to benefit from broader gender inclusion. Yet the current finding echoes other reports that, especially in emerging economies, see either no link or a weak negative one. Often, the institutional base matters—when it is soft or uneven, the gains from diversity may not show clearly.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this result? Three possible threads. One: symbolic appointments. Boards might tick boxes without real shifts in influence or process. Two: lag effects. New voices take time to settle, and gains may be delayed or obscured by early-stage tension. Three: cultural drag. In settings where gender norms still pull tight, women on boards might face invisible ceilings, shaping how much they can actually shift decisions. This outcome does not say diversity fails. It only flags that structure, inclusion depth, and institutional backing matter. It nudges firms not to just add names but to rethink participation, training, and role design. The borderline result means it deserves more </w:t>
      </w:r>
      <w:r>
        <w:rPr>
          <w:rFonts w:ascii="Times New Roman" w:eastAsia="Times New Roman" w:hAnsi="Times New Roman" w:cs="Times New Roman"/>
          <w:sz w:val="24"/>
          <w:szCs w:val="24"/>
        </w:rPr>
        <w:lastRenderedPageBreak/>
        <w:t>tracking—maybe through longer periods or with more fine-grained data to capture how diversity works in real time inside these boards.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Research Question Four: What is the</w:t>
      </w:r>
      <w:r w:rsidR="00A271C6">
        <w:rPr>
          <w:rStyle w:val="CommentReference"/>
        </w:rPr>
        <w:t xml:space="preserve"> </w:t>
      </w:r>
      <w:r w:rsidR="00A271C6" w:rsidRPr="00A271C6">
        <w:rPr>
          <w:rStyle w:val="CommentReference"/>
          <w:rFonts w:ascii="Times New Roman" w:hAnsi="Times New Roman" w:cs="Times New Roman"/>
          <w:b/>
          <w:sz w:val="24"/>
          <w:szCs w:val="24"/>
        </w:rPr>
        <w:t>im</w:t>
      </w:r>
      <w:r>
        <w:rPr>
          <w:rFonts w:ascii="Times New Roman" w:eastAsia="Times New Roman" w:hAnsi="Times New Roman" w:cs="Times New Roman"/>
          <w:b/>
          <w:sz w:val="24"/>
          <w:szCs w:val="24"/>
        </w:rPr>
        <w:t>pact of board diligence on the return on assets (ROA) of listed consumer goods companies in Nigeria?</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numbers returned a negative link between board meeting frequency and firm profitability. The coefficient stood at minus 1.33 with a p-value of .161—too high to mark it statistically meaningful. So, more meetings do not clearly lead to better financial results, at least not here. This veers off from the earlier assumption that more sessions would mean tighter control, quicker corrections, and stronger performance. But that linear logic does not hold in this case. It moves away from earlier findings like </w:t>
      </w:r>
      <w:proofErr w:type="spellStart"/>
      <w:r>
        <w:rPr>
          <w:rFonts w:ascii="Times New Roman" w:eastAsia="Times New Roman" w:hAnsi="Times New Roman" w:cs="Times New Roman"/>
          <w:sz w:val="24"/>
          <w:szCs w:val="24"/>
        </w:rPr>
        <w:t>Appah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xml:space="preserve"> (2023), who mapped a clear positive link in the same sector, or </w:t>
      </w:r>
      <w:proofErr w:type="spellStart"/>
      <w:r>
        <w:rPr>
          <w:rFonts w:ascii="Times New Roman" w:eastAsia="Times New Roman" w:hAnsi="Times New Roman" w:cs="Times New Roman"/>
          <w:sz w:val="24"/>
          <w:szCs w:val="24"/>
        </w:rPr>
        <w:t>Ndidu</w:t>
      </w:r>
      <w:proofErr w:type="spellEnd"/>
      <w:r>
        <w:rPr>
          <w:rFonts w:ascii="Times New Roman" w:eastAsia="Times New Roman" w:hAnsi="Times New Roman" w:cs="Times New Roman"/>
          <w:sz w:val="24"/>
          <w:szCs w:val="24"/>
        </w:rPr>
        <w:t xml:space="preserve"> (2017), who spotted a similar pattern in Nigerian banks. Instead, it aligns—though partially—with what </w:t>
      </w:r>
      <w:proofErr w:type="spellStart"/>
      <w:r>
        <w:rPr>
          <w:rFonts w:ascii="Times New Roman" w:eastAsia="Times New Roman" w:hAnsi="Times New Roman" w:cs="Times New Roman"/>
          <w:sz w:val="24"/>
          <w:szCs w:val="24"/>
        </w:rPr>
        <w:t>Uwuigbe</w:t>
      </w:r>
      <w:proofErr w:type="spellEnd"/>
      <w:r>
        <w:rPr>
          <w:rFonts w:ascii="Times New Roman" w:eastAsia="Times New Roman" w:hAnsi="Times New Roman" w:cs="Times New Roman"/>
          <w:sz w:val="24"/>
          <w:szCs w:val="24"/>
        </w:rPr>
        <w:t xml:space="preserve"> (2020) flagged: too many meetings may jam the system, slow things down, or create overhead that outweighs the benefits. Meeting more often is not always the same as governing better.</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the slide? One idea: firms in trouble often meet more. That flips the direction—low performance might cause high meeting counts, not the other way round. Two: cost and fatigue. Extra meetings pull time and money, but unless they sharpen execution, they just stretch the board thin. Three: content matters. Meetings that drift into small tasks or lack strong agendas may not lift outcomes. Quantity without depth may drain more than it builds. So the message is not “fewer meetings” but “better meetings.” Boards might gain more by focusing on how they meet—what gets discussed, what gets decided, and what gets done after—than by simply meeting more. Firms vary, and so should board rhythms. What works for a fast-shifting firm may be excessive for one </w:t>
      </w:r>
      <w:r>
        <w:rPr>
          <w:rFonts w:ascii="Times New Roman" w:eastAsia="Times New Roman" w:hAnsi="Times New Roman" w:cs="Times New Roman"/>
          <w:sz w:val="24"/>
          <w:szCs w:val="24"/>
        </w:rPr>
        <w:lastRenderedPageBreak/>
        <w:t>with stable operations. Meeting discipline, not just meeting count, may be what steers financial results in the right direction.</w:t>
      </w:r>
    </w:p>
    <w:p w:rsidR="003B5071" w:rsidRDefault="00615BF0">
      <w:pPr>
        <w:pStyle w:val="Heading1"/>
        <w:spacing w:before="0" w:after="0" w:line="480" w:lineRule="auto"/>
        <w:jc w:val="both"/>
        <w:rPr>
          <w:rFonts w:ascii="Times New Roman" w:eastAsia="Times New Roman" w:hAnsi="Times New Roman" w:cs="Times New Roman"/>
          <w:sz w:val="24"/>
          <w:szCs w:val="24"/>
        </w:rPr>
      </w:pPr>
      <w:bookmarkStart w:id="50" w:name="_mmz10h4v4rwq" w:colFirst="0" w:colLast="0"/>
      <w:bookmarkEnd w:id="50"/>
      <w:r>
        <w:br w:type="page"/>
      </w:r>
    </w:p>
    <w:p w:rsidR="003B5071" w:rsidRDefault="00615BF0">
      <w:pPr>
        <w:pStyle w:val="Heading1"/>
        <w:spacing w:before="0" w:after="0" w:line="480" w:lineRule="auto"/>
        <w:jc w:val="center"/>
        <w:rPr>
          <w:rFonts w:ascii="Times New Roman" w:eastAsia="Times New Roman" w:hAnsi="Times New Roman" w:cs="Times New Roman"/>
          <w:b/>
          <w:sz w:val="24"/>
          <w:szCs w:val="24"/>
        </w:rPr>
      </w:pPr>
      <w:bookmarkStart w:id="51" w:name="_way5of7d6dgf" w:colFirst="0" w:colLast="0"/>
      <w:bookmarkEnd w:id="51"/>
      <w:r>
        <w:rPr>
          <w:rFonts w:ascii="Times New Roman" w:eastAsia="Times New Roman" w:hAnsi="Times New Roman" w:cs="Times New Roman"/>
          <w:b/>
          <w:sz w:val="24"/>
          <w:szCs w:val="24"/>
        </w:rPr>
        <w:lastRenderedPageBreak/>
        <w:t>CHAPTER FIVE</w:t>
      </w:r>
    </w:p>
    <w:p w:rsidR="003B5071" w:rsidRDefault="00615BF0">
      <w:pPr>
        <w:pStyle w:val="Heading2"/>
        <w:spacing w:before="0" w:after="0" w:line="480" w:lineRule="auto"/>
        <w:jc w:val="center"/>
        <w:rPr>
          <w:rFonts w:ascii="Times New Roman" w:eastAsia="Times New Roman" w:hAnsi="Times New Roman" w:cs="Times New Roman"/>
          <w:b/>
          <w:sz w:val="24"/>
          <w:szCs w:val="24"/>
        </w:rPr>
      </w:pPr>
      <w:bookmarkStart w:id="52" w:name="_89lpwdf32raq" w:colFirst="0" w:colLast="0"/>
      <w:bookmarkEnd w:id="52"/>
      <w:r>
        <w:rPr>
          <w:rFonts w:ascii="Times New Roman" w:eastAsia="Times New Roman" w:hAnsi="Times New Roman" w:cs="Times New Roman"/>
          <w:b/>
          <w:sz w:val="24"/>
          <w:szCs w:val="24"/>
        </w:rPr>
        <w:t>SUMMARY, CONCLUSION AND POLICY RECOMMENDATIONS</w:t>
      </w:r>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53" w:name="_vg8u9x6kfmds" w:colFirst="0" w:colLast="0"/>
      <w:bookmarkEnd w:id="53"/>
      <w:r>
        <w:rPr>
          <w:rFonts w:ascii="Times New Roman" w:eastAsia="Times New Roman" w:hAnsi="Times New Roman" w:cs="Times New Roman"/>
          <w:b/>
          <w:color w:val="000000"/>
          <w:sz w:val="24"/>
          <w:szCs w:val="24"/>
        </w:rPr>
        <w:t>5.1 Summary</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work tested how governance patterns link with firm profitability in Nigerian consumer goods companies from 2012 to 2024. Focus stayed on four main board variables: size, independence, gender diversity, and diligence. The goal was to see how each feeds into return on assets (ROA), taken here as the yardstick for firm success. The dataset followed a panel design, drawing on records from four listed firms, processed through fixed effects modelling. The analysis helped clarify what parts of governance carry weight and which ones barely register across Nigeria’s consumer goods space.</w:t>
      </w:r>
    </w:p>
    <w:p w:rsidR="003B5071" w:rsidRDefault="00615BF0">
      <w:pPr>
        <w:pStyle w:val="Normal1"/>
        <w:numPr>
          <w:ilvl w:val="0"/>
          <w:numId w:val="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size showed a small drop effect on ROA, but the numbers lacked strength. No significance means the size story remains loose.</w:t>
      </w:r>
    </w:p>
    <w:p w:rsidR="003B5071" w:rsidRDefault="00615BF0">
      <w:pPr>
        <w:pStyle w:val="Normal1"/>
        <w:numPr>
          <w:ilvl w:val="0"/>
          <w:numId w:val="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independence made a firm upward shift—significant and clear. More non-executive hands, better profit numbers.</w:t>
      </w:r>
    </w:p>
    <w:p w:rsidR="003B5071" w:rsidRDefault="00615BF0">
      <w:pPr>
        <w:pStyle w:val="Normal1"/>
        <w:numPr>
          <w:ilvl w:val="0"/>
          <w:numId w:val="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Gender diversity leaned negative and stood on the edge of significance—neither firm nor weak, hinting at complexity or underlying frictions.</w:t>
      </w:r>
    </w:p>
    <w:p w:rsidR="003B5071" w:rsidRDefault="00615BF0">
      <w:pPr>
        <w:pStyle w:val="Normal1"/>
        <w:numPr>
          <w:ilvl w:val="0"/>
          <w:numId w:val="6"/>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Board diligence pulled in a slight negative slope but did not hold enough statistical weight to shape conclusions.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model choice held up, backed by a strong fixed effects test. Overall, the predictors together explained 55.9 percent of the changes in profitability. </w:t>
      </w:r>
    </w:p>
    <w:p w:rsidR="003B5071" w:rsidRDefault="00615BF0">
      <w:pPr>
        <w:pStyle w:val="Heading3"/>
        <w:spacing w:before="0" w:after="0" w:line="480" w:lineRule="auto"/>
        <w:jc w:val="both"/>
        <w:rPr>
          <w:rFonts w:ascii="Times New Roman" w:eastAsia="Times New Roman" w:hAnsi="Times New Roman" w:cs="Times New Roman"/>
          <w:b/>
          <w:color w:val="000000"/>
          <w:sz w:val="24"/>
          <w:szCs w:val="24"/>
        </w:rPr>
      </w:pPr>
      <w:bookmarkStart w:id="54" w:name="_olgv05pmurry" w:colFirst="0" w:colLast="0"/>
      <w:bookmarkEnd w:id="54"/>
      <w:r>
        <w:rPr>
          <w:rFonts w:ascii="Times New Roman" w:eastAsia="Times New Roman" w:hAnsi="Times New Roman" w:cs="Times New Roman"/>
          <w:b/>
          <w:color w:val="000000"/>
          <w:sz w:val="24"/>
          <w:szCs w:val="24"/>
        </w:rPr>
        <w:t>5.2 Conclusion</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point clearly toward board independence as the strongest and most consistent driver of financial performance among the studied governance variables. Firms with more non-executive </w:t>
      </w:r>
      <w:r>
        <w:rPr>
          <w:rFonts w:ascii="Times New Roman" w:eastAsia="Times New Roman" w:hAnsi="Times New Roman" w:cs="Times New Roman"/>
          <w:sz w:val="24"/>
          <w:szCs w:val="24"/>
        </w:rPr>
        <w:lastRenderedPageBreak/>
        <w:t>directors showed better monitoring, fewer agency frictions, and sharper decision flow—factors that pushed return on assets upward. In contrast, board size, gender balance, and meeting count did not yield clear gains. Their effects ranged from statistically weak to ambiguous, hinting at more complex or delayed interactions.</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calls for focused but flexible governance choices. Independence should stay a core priority, but the other levers especially gender inclusion and board structure—might demand tailoring by firm size, internal culture, or external pressures. Notably, gender diversity’s marginal drag suggests deeper barriers beyond headcount. Putting more women on boards without improving their influence might stall the intended benefits. Overall, governance shapes profits, but each tool must fit the firm’s own puzzle. One template will not serve all.</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5.3 Recommendations</w:t>
      </w:r>
    </w:p>
    <w:p w:rsidR="00A271C6" w:rsidRDefault="00615BF0">
      <w:pPr>
        <w:pStyle w:val="Normal1"/>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Regulatory authorities such as the Securities and Exchange Commission and the Financial Reporting Council of Nigeria should keep or reinforce board independence clauses within governance codes, as this mechanism shows the clearest </w:t>
      </w:r>
      <w:r w:rsidR="00A271C6">
        <w:rPr>
          <w:rFonts w:ascii="Times New Roman" w:eastAsia="Times New Roman" w:hAnsi="Times New Roman" w:cs="Times New Roman"/>
          <w:sz w:val="24"/>
          <w:szCs w:val="24"/>
        </w:rPr>
        <w:t>link to better firm performance.</w:t>
      </w:r>
    </w:p>
    <w:p w:rsidR="003B5071" w:rsidRDefault="00615BF0">
      <w:pPr>
        <w:pStyle w:val="Normal1"/>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Boards should adjust their size with logic, not tradition, balancing structure with the actual task-load and internal complexity. </w:t>
      </w:r>
    </w:p>
    <w:p w:rsidR="003B5071" w:rsidRDefault="00615BF0">
      <w:pPr>
        <w:pStyle w:val="Normal1"/>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Gender inclusion efforts should shift from headcounts to structural reform, removing subtle frictions that prevent full participation from female directors. </w:t>
      </w:r>
    </w:p>
    <w:p w:rsidR="003B5071" w:rsidRDefault="00615BF0">
      <w:pPr>
        <w:pStyle w:val="Normal1"/>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Managers should treat board meetings as strategic engines—tight agendas, useful documents, and outcome-focused dialogue—not just boxes ticked by frequency. </w:t>
      </w:r>
    </w:p>
    <w:p w:rsidR="00A271C6" w:rsidRPr="00A271C6" w:rsidRDefault="00615BF0" w:rsidP="00A705F8">
      <w:pPr>
        <w:pStyle w:val="Normal1"/>
        <w:numPr>
          <w:ilvl w:val="0"/>
          <w:numId w:val="1"/>
        </w:numPr>
        <w:spacing w:line="480" w:lineRule="auto"/>
        <w:jc w:val="both"/>
        <w:rPr>
          <w:rFonts w:ascii="Times New Roman" w:eastAsia="Times New Roman" w:hAnsi="Times New Roman" w:cs="Times New Roman"/>
          <w:b/>
          <w:sz w:val="24"/>
          <w:szCs w:val="24"/>
        </w:rPr>
      </w:pPr>
      <w:r w:rsidRPr="00A271C6">
        <w:rPr>
          <w:rFonts w:ascii="Times New Roman" w:eastAsia="Times New Roman" w:hAnsi="Times New Roman" w:cs="Times New Roman"/>
          <w:sz w:val="24"/>
          <w:szCs w:val="24"/>
        </w:rPr>
        <w:t>Governance training programs should be adapted to Nigerian realities, guiding directors on how independence works, why it matters, and how inclusiveness strengthens board actions</w:t>
      </w:r>
    </w:p>
    <w:p w:rsidR="003B5071" w:rsidRPr="00A271C6" w:rsidRDefault="00615BF0">
      <w:pPr>
        <w:pStyle w:val="Normal1"/>
        <w:spacing w:line="480" w:lineRule="auto"/>
        <w:jc w:val="both"/>
        <w:rPr>
          <w:rFonts w:ascii="Times New Roman" w:eastAsia="Times New Roman" w:hAnsi="Times New Roman" w:cs="Times New Roman"/>
          <w:b/>
          <w:sz w:val="24"/>
          <w:szCs w:val="24"/>
        </w:rPr>
      </w:pPr>
      <w:r w:rsidRPr="00A271C6">
        <w:rPr>
          <w:rFonts w:ascii="Times New Roman" w:eastAsia="Times New Roman" w:hAnsi="Times New Roman" w:cs="Times New Roman"/>
          <w:b/>
          <w:sz w:val="24"/>
          <w:szCs w:val="24"/>
        </w:rPr>
        <w:t>5.4 Contribution to Knowledge</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work adds a contextual edge to governance literature by presenting new panel data from Nigeria’s consumer goods scene. It sharpens the role of board independence as a measurable input into firm profitability and offers local backing for classic agency claims. It also opens a less-traveled lane in diversity research by showing that female board representation does not guarantee better profit scores, hinting at deeper blockages in board dynamics. The findings expand the governance map by underlining how power, structure, and inclusion interact with performance metrics in emerging markets.</w:t>
      </w:r>
    </w:p>
    <w:p w:rsidR="003B5071" w:rsidRDefault="00615BF0">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5.5 Suggestions for Further Research</w:t>
      </w:r>
    </w:p>
    <w:p w:rsidR="003B5071" w:rsidRDefault="00615BF0">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Later studies could widen the scope by bringing in more firms and sectors to test how governance rules scale across different industries. Additional board traits—such as expertise depth, tenure length, shareholding control, and audit strength—could be added for richer models. Future researchers should also test alternate outcomes, including Tobin’s Q, return on equity, or intangible metrics like brand strength and investor confidence. This would sharpen how corporate governance links with both financial and non-financial results, offering broader decision tools for scholars and policymakers alike.</w:t>
      </w:r>
    </w:p>
    <w:p w:rsidR="003B5071" w:rsidRDefault="003B5071">
      <w:pPr>
        <w:pStyle w:val="Normal1"/>
        <w:spacing w:line="480" w:lineRule="auto"/>
        <w:jc w:val="both"/>
        <w:rPr>
          <w:rFonts w:ascii="Times New Roman" w:eastAsia="Times New Roman" w:hAnsi="Times New Roman" w:cs="Times New Roman"/>
          <w:sz w:val="24"/>
          <w:szCs w:val="24"/>
        </w:rPr>
      </w:pPr>
    </w:p>
    <w:p w:rsidR="003B5071" w:rsidRDefault="00615BF0">
      <w:pPr>
        <w:pStyle w:val="Heading1"/>
        <w:keepNext w:val="0"/>
        <w:keepLines w:val="0"/>
        <w:spacing w:before="0" w:after="0" w:line="480" w:lineRule="auto"/>
        <w:jc w:val="both"/>
        <w:rPr>
          <w:rFonts w:ascii="Times New Roman" w:eastAsia="Times New Roman" w:hAnsi="Times New Roman" w:cs="Times New Roman"/>
          <w:b/>
          <w:sz w:val="24"/>
          <w:szCs w:val="24"/>
        </w:rPr>
      </w:pPr>
      <w:bookmarkStart w:id="55" w:name="_28x3mepy4pd0" w:colFirst="0" w:colLast="0"/>
      <w:bookmarkEnd w:id="55"/>
      <w:r>
        <w:br w:type="page"/>
      </w:r>
    </w:p>
    <w:p w:rsidR="008C355C" w:rsidRDefault="008C355C" w:rsidP="008C355C">
      <w:pPr>
        <w:pStyle w:val="Heading1"/>
        <w:keepNext w:val="0"/>
        <w:keepLines w:val="0"/>
        <w:spacing w:before="0" w:after="0" w:line="480" w:lineRule="auto"/>
        <w:jc w:val="center"/>
        <w:rPr>
          <w:rFonts w:ascii="Times New Roman" w:eastAsia="Times New Roman" w:hAnsi="Times New Roman" w:cs="Times New Roman"/>
          <w:b/>
          <w:sz w:val="24"/>
          <w:szCs w:val="24"/>
        </w:rPr>
      </w:pPr>
      <w:bookmarkStart w:id="56" w:name="_k30l7yc6rqtl" w:colFirst="0" w:colLast="0"/>
      <w:bookmarkStart w:id="57" w:name="_3q28a8jmhpbp" w:colFirst="0" w:colLast="0"/>
      <w:bookmarkEnd w:id="56"/>
      <w:bookmarkEnd w:id="57"/>
      <w:r>
        <w:rPr>
          <w:rFonts w:ascii="Times New Roman" w:eastAsia="Times New Roman" w:hAnsi="Times New Roman" w:cs="Times New Roman"/>
          <w:b/>
          <w:sz w:val="24"/>
          <w:szCs w:val="24"/>
        </w:rPr>
        <w:lastRenderedPageBreak/>
        <w:t>REFERENCES</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Adams, R. B., &amp; Ferreira, D. (2018). A theory of friendly boards. </w:t>
      </w:r>
      <w:r>
        <w:rPr>
          <w:rFonts w:ascii="Times New Roman" w:eastAsia="Times New Roman" w:hAnsi="Times New Roman" w:cs="Times New Roman"/>
          <w:i/>
          <w:sz w:val="24"/>
          <w:szCs w:val="24"/>
        </w:rPr>
        <w:t>Journal of Finance</w:t>
      </w:r>
      <w:r>
        <w:rPr>
          <w:rFonts w:ascii="Times New Roman" w:eastAsia="Times New Roman" w:hAnsi="Times New Roman" w:cs="Times New Roman"/>
          <w:sz w:val="24"/>
          <w:szCs w:val="24"/>
        </w:rPr>
        <w:t>, 62(1), 217–250.</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Adebayo, O. A. (2016). Financial metrics in Nigerian firms. </w:t>
      </w:r>
      <w:r>
        <w:rPr>
          <w:rFonts w:ascii="Times New Roman" w:eastAsia="Times New Roman" w:hAnsi="Times New Roman" w:cs="Times New Roman"/>
          <w:i/>
          <w:sz w:val="24"/>
          <w:szCs w:val="24"/>
        </w:rPr>
        <w:t>The Accountant Journal of Nigeria</w:t>
      </w:r>
      <w:r>
        <w:rPr>
          <w:rFonts w:ascii="Times New Roman" w:eastAsia="Times New Roman" w:hAnsi="Times New Roman" w:cs="Times New Roman"/>
          <w:sz w:val="24"/>
          <w:szCs w:val="24"/>
        </w:rPr>
        <w:t>, 42(3), 25–38.</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Adebayo, O., &amp; </w:t>
      </w:r>
      <w:proofErr w:type="spellStart"/>
      <w:r>
        <w:rPr>
          <w:rFonts w:ascii="Times New Roman" w:eastAsia="Times New Roman" w:hAnsi="Times New Roman" w:cs="Times New Roman"/>
          <w:sz w:val="24"/>
          <w:szCs w:val="24"/>
        </w:rPr>
        <w:t>Olowookere</w:t>
      </w:r>
      <w:proofErr w:type="spellEnd"/>
      <w:r>
        <w:rPr>
          <w:rFonts w:ascii="Times New Roman" w:eastAsia="Times New Roman" w:hAnsi="Times New Roman" w:cs="Times New Roman"/>
          <w:sz w:val="24"/>
          <w:szCs w:val="24"/>
        </w:rPr>
        <w:t xml:space="preserve">, J. (2019). The effectiveness of board meetings in Nigerian firms. </w:t>
      </w:r>
      <w:r>
        <w:rPr>
          <w:rFonts w:ascii="Times New Roman" w:eastAsia="Times New Roman" w:hAnsi="Times New Roman" w:cs="Times New Roman"/>
          <w:i/>
          <w:sz w:val="24"/>
          <w:szCs w:val="24"/>
        </w:rPr>
        <w:t>Journal of Corporate Governance and Accountability</w:t>
      </w:r>
      <w:r>
        <w:rPr>
          <w:rFonts w:ascii="Times New Roman" w:eastAsia="Times New Roman" w:hAnsi="Times New Roman" w:cs="Times New Roman"/>
          <w:sz w:val="24"/>
          <w:szCs w:val="24"/>
        </w:rPr>
        <w:t>, 8(2), 45–61.</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Adegbile</w:t>
      </w:r>
      <w:proofErr w:type="spellEnd"/>
      <w:r>
        <w:rPr>
          <w:rFonts w:ascii="Times New Roman" w:eastAsia="Times New Roman" w:hAnsi="Times New Roman" w:cs="Times New Roman"/>
          <w:sz w:val="24"/>
          <w:szCs w:val="24"/>
        </w:rPr>
        <w:t xml:space="preserve">, T. (2020). Gender diversity in Nigerian corporate boards. </w:t>
      </w:r>
      <w:r>
        <w:rPr>
          <w:rFonts w:ascii="Times New Roman" w:eastAsia="Times New Roman" w:hAnsi="Times New Roman" w:cs="Times New Roman"/>
          <w:i/>
          <w:sz w:val="24"/>
          <w:szCs w:val="24"/>
        </w:rPr>
        <w:t>African Journal of Business Ethics</w:t>
      </w:r>
      <w:r>
        <w:rPr>
          <w:rFonts w:ascii="Times New Roman" w:eastAsia="Times New Roman" w:hAnsi="Times New Roman" w:cs="Times New Roman"/>
          <w:sz w:val="24"/>
          <w:szCs w:val="24"/>
        </w:rPr>
        <w:t>, 6(2), 28–40.</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Adegbite</w:t>
      </w:r>
      <w:proofErr w:type="spellEnd"/>
      <w:r>
        <w:rPr>
          <w:rFonts w:ascii="Times New Roman" w:eastAsia="Times New Roman" w:hAnsi="Times New Roman" w:cs="Times New Roman"/>
          <w:sz w:val="24"/>
          <w:szCs w:val="24"/>
        </w:rPr>
        <w:t xml:space="preserve">, E. (2015). Corporate governance regulation in Nigeria. </w:t>
      </w:r>
      <w:r>
        <w:rPr>
          <w:rFonts w:ascii="Times New Roman" w:eastAsia="Times New Roman" w:hAnsi="Times New Roman" w:cs="Times New Roman"/>
          <w:i/>
          <w:sz w:val="24"/>
          <w:szCs w:val="24"/>
        </w:rPr>
        <w:t>Corporate Governance: The International Journal of Business in Society</w:t>
      </w:r>
      <w:r>
        <w:rPr>
          <w:rFonts w:ascii="Times New Roman" w:eastAsia="Times New Roman" w:hAnsi="Times New Roman" w:cs="Times New Roman"/>
          <w:sz w:val="24"/>
          <w:szCs w:val="24"/>
        </w:rPr>
        <w:t>, 15(2), 142–162.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Adigwe</w:t>
      </w:r>
      <w:proofErr w:type="spellEnd"/>
      <w:r>
        <w:rPr>
          <w:rFonts w:ascii="Times New Roman" w:eastAsia="Times New Roman" w:hAnsi="Times New Roman" w:cs="Times New Roman"/>
          <w:sz w:val="24"/>
          <w:szCs w:val="24"/>
        </w:rPr>
        <w:t xml:space="preserve">, P. K., </w:t>
      </w:r>
      <w:proofErr w:type="spellStart"/>
      <w:r>
        <w:rPr>
          <w:rFonts w:ascii="Times New Roman" w:eastAsia="Times New Roman" w:hAnsi="Times New Roman" w:cs="Times New Roman"/>
          <w:sz w:val="24"/>
          <w:szCs w:val="24"/>
        </w:rPr>
        <w:t>Onyenwe</w:t>
      </w:r>
      <w:proofErr w:type="spellEnd"/>
      <w:r>
        <w:rPr>
          <w:rFonts w:ascii="Times New Roman" w:eastAsia="Times New Roman" w:hAnsi="Times New Roman" w:cs="Times New Roman"/>
          <w:sz w:val="24"/>
          <w:szCs w:val="24"/>
        </w:rPr>
        <w:t xml:space="preserve">, N. I., &amp; Isaac, J. E. (2016). Effect of corporate governance mechanism on the financial performance of banks in Nigeria. </w:t>
      </w:r>
      <w:r>
        <w:rPr>
          <w:rFonts w:ascii="Times New Roman" w:eastAsia="Times New Roman" w:hAnsi="Times New Roman" w:cs="Times New Roman"/>
          <w:i/>
          <w:sz w:val="24"/>
          <w:szCs w:val="24"/>
        </w:rPr>
        <w:t>NG-Journal of Social Development</w:t>
      </w:r>
      <w:r>
        <w:rPr>
          <w:rFonts w:ascii="Times New Roman" w:eastAsia="Times New Roman" w:hAnsi="Times New Roman" w:cs="Times New Roman"/>
          <w:sz w:val="24"/>
          <w:szCs w:val="24"/>
        </w:rPr>
        <w:t>, 5(2), 41–50.</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Afor</w:t>
      </w:r>
      <w:proofErr w:type="spellEnd"/>
      <w:r>
        <w:rPr>
          <w:rFonts w:ascii="Times New Roman" w:eastAsia="Times New Roman" w:hAnsi="Times New Roman" w:cs="Times New Roman"/>
          <w:sz w:val="24"/>
          <w:szCs w:val="24"/>
        </w:rPr>
        <w:t xml:space="preserve">, H. R., Jacob, A., Emmanuel, O. G., &amp; </w:t>
      </w:r>
      <w:proofErr w:type="spellStart"/>
      <w:r>
        <w:rPr>
          <w:rFonts w:ascii="Times New Roman" w:eastAsia="Times New Roman" w:hAnsi="Times New Roman" w:cs="Times New Roman"/>
          <w:sz w:val="24"/>
          <w:szCs w:val="24"/>
        </w:rPr>
        <w:t>Abdulkareem</w:t>
      </w:r>
      <w:proofErr w:type="spellEnd"/>
      <w:r>
        <w:rPr>
          <w:rFonts w:ascii="Times New Roman" w:eastAsia="Times New Roman" w:hAnsi="Times New Roman" w:cs="Times New Roman"/>
          <w:sz w:val="24"/>
          <w:szCs w:val="24"/>
        </w:rPr>
        <w:t xml:space="preserve">, J. K. (2019). Effect of corporate governance mechanisms on the financial performance of listed insurance companies in Nigeria. </w:t>
      </w:r>
      <w:r>
        <w:rPr>
          <w:rFonts w:ascii="Times New Roman" w:eastAsia="Times New Roman" w:hAnsi="Times New Roman" w:cs="Times New Roman"/>
          <w:i/>
          <w:sz w:val="24"/>
          <w:szCs w:val="24"/>
        </w:rPr>
        <w:t>International Journal of Innovative Finance and Economics Research</w:t>
      </w:r>
      <w:r>
        <w:rPr>
          <w:rFonts w:ascii="Times New Roman" w:eastAsia="Times New Roman" w:hAnsi="Times New Roman" w:cs="Times New Roman"/>
          <w:sz w:val="24"/>
          <w:szCs w:val="24"/>
        </w:rPr>
        <w:t>, 7(2), 56–65.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Aguilera, R. V., &amp; </w:t>
      </w:r>
      <w:proofErr w:type="spellStart"/>
      <w:r>
        <w:rPr>
          <w:rFonts w:ascii="Times New Roman" w:eastAsia="Times New Roman" w:hAnsi="Times New Roman" w:cs="Times New Roman"/>
          <w:sz w:val="24"/>
          <w:szCs w:val="24"/>
        </w:rPr>
        <w:t>Cuervo-Cazurra</w:t>
      </w:r>
      <w:proofErr w:type="spellEnd"/>
      <w:r>
        <w:rPr>
          <w:rFonts w:ascii="Times New Roman" w:eastAsia="Times New Roman" w:hAnsi="Times New Roman" w:cs="Times New Roman"/>
          <w:sz w:val="24"/>
          <w:szCs w:val="24"/>
        </w:rPr>
        <w:t xml:space="preserve">, A. (2019). Codes of good governance. </w:t>
      </w:r>
      <w:r>
        <w:rPr>
          <w:rFonts w:ascii="Times New Roman" w:eastAsia="Times New Roman" w:hAnsi="Times New Roman" w:cs="Times New Roman"/>
          <w:i/>
          <w:sz w:val="24"/>
          <w:szCs w:val="24"/>
        </w:rPr>
        <w:t>Corporate Governance: An International Review</w:t>
      </w:r>
      <w:r>
        <w:rPr>
          <w:rFonts w:ascii="Times New Roman" w:eastAsia="Times New Roman" w:hAnsi="Times New Roman" w:cs="Times New Roman"/>
          <w:sz w:val="24"/>
          <w:szCs w:val="24"/>
        </w:rPr>
        <w:t>, 27(1), 7–17. https://doi.org/10.1111/corg.12259</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Aifes</w:t>
      </w:r>
      <w:proofErr w:type="spellEnd"/>
      <w:r>
        <w:rPr>
          <w:rFonts w:ascii="Times New Roman" w:eastAsia="Times New Roman" w:hAnsi="Times New Roman" w:cs="Times New Roman"/>
          <w:sz w:val="24"/>
          <w:szCs w:val="24"/>
        </w:rPr>
        <w:t xml:space="preserve">, W., &amp; </w:t>
      </w:r>
      <w:proofErr w:type="spellStart"/>
      <w:r>
        <w:rPr>
          <w:rFonts w:ascii="Times New Roman" w:eastAsia="Times New Roman" w:hAnsi="Times New Roman" w:cs="Times New Roman"/>
          <w:sz w:val="24"/>
          <w:szCs w:val="24"/>
        </w:rPr>
        <w:t>Jarboui</w:t>
      </w:r>
      <w:proofErr w:type="spellEnd"/>
      <w:r>
        <w:rPr>
          <w:rFonts w:ascii="Times New Roman" w:eastAsia="Times New Roman" w:hAnsi="Times New Roman" w:cs="Times New Roman"/>
          <w:sz w:val="24"/>
          <w:szCs w:val="24"/>
        </w:rPr>
        <w:t xml:space="preserve">, A. (2023). The impact of corporate governance on financial performance: A cross-sector study. </w:t>
      </w:r>
      <w:r>
        <w:rPr>
          <w:rFonts w:ascii="Times New Roman" w:eastAsia="Times New Roman" w:hAnsi="Times New Roman" w:cs="Times New Roman"/>
          <w:i/>
          <w:sz w:val="24"/>
          <w:szCs w:val="24"/>
        </w:rPr>
        <w:t>International Journal of Disclosure and Governance</w:t>
      </w:r>
      <w:r>
        <w:rPr>
          <w:rFonts w:ascii="Times New Roman" w:eastAsia="Times New Roman" w:hAnsi="Times New Roman" w:cs="Times New Roman"/>
          <w:sz w:val="24"/>
          <w:szCs w:val="24"/>
        </w:rPr>
        <w:t>, 20(3), 313–393. https://doi.org/10.1057/s41310-023-00212-2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Akingunola</w:t>
      </w:r>
      <w:proofErr w:type="spellEnd"/>
      <w:r>
        <w:rPr>
          <w:rFonts w:ascii="Times New Roman" w:eastAsia="Times New Roman" w:hAnsi="Times New Roman" w:cs="Times New Roman"/>
          <w:sz w:val="24"/>
          <w:szCs w:val="24"/>
        </w:rPr>
        <w:t xml:space="preserve">, R. O., </w:t>
      </w:r>
      <w:proofErr w:type="spellStart"/>
      <w:r>
        <w:rPr>
          <w:rFonts w:ascii="Times New Roman" w:eastAsia="Times New Roman" w:hAnsi="Times New Roman" w:cs="Times New Roman"/>
          <w:sz w:val="24"/>
          <w:szCs w:val="24"/>
        </w:rPr>
        <w:t>Oludele</w:t>
      </w:r>
      <w:proofErr w:type="spellEnd"/>
      <w:r>
        <w:rPr>
          <w:rFonts w:ascii="Times New Roman" w:eastAsia="Times New Roman" w:hAnsi="Times New Roman" w:cs="Times New Roman"/>
          <w:sz w:val="24"/>
          <w:szCs w:val="24"/>
        </w:rPr>
        <w:t xml:space="preserve">, A. O., &amp; </w:t>
      </w:r>
      <w:proofErr w:type="spellStart"/>
      <w:r>
        <w:rPr>
          <w:rFonts w:ascii="Times New Roman" w:eastAsia="Times New Roman" w:hAnsi="Times New Roman" w:cs="Times New Roman"/>
          <w:sz w:val="24"/>
          <w:szCs w:val="24"/>
        </w:rPr>
        <w:t>Adedipe</w:t>
      </w:r>
      <w:proofErr w:type="spellEnd"/>
      <w:r>
        <w:rPr>
          <w:rFonts w:ascii="Times New Roman" w:eastAsia="Times New Roman" w:hAnsi="Times New Roman" w:cs="Times New Roman"/>
          <w:sz w:val="24"/>
          <w:szCs w:val="24"/>
        </w:rPr>
        <w:t xml:space="preserve">, A. O. (2020). Corporate governance and Nigerian firms: A review of the regulatory framework. </w:t>
      </w:r>
      <w:r>
        <w:rPr>
          <w:rFonts w:ascii="Times New Roman" w:eastAsia="Times New Roman" w:hAnsi="Times New Roman" w:cs="Times New Roman"/>
          <w:i/>
          <w:sz w:val="24"/>
          <w:szCs w:val="24"/>
        </w:rPr>
        <w:t>Journal of Business and Management</w:t>
      </w:r>
      <w:r>
        <w:rPr>
          <w:rFonts w:ascii="Times New Roman" w:eastAsia="Times New Roman" w:hAnsi="Times New Roman" w:cs="Times New Roman"/>
          <w:sz w:val="24"/>
          <w:szCs w:val="24"/>
        </w:rPr>
        <w:t>, 5(1), 54–63.</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Akbar, M., </w:t>
      </w:r>
      <w:proofErr w:type="spellStart"/>
      <w:r>
        <w:rPr>
          <w:rFonts w:ascii="Times New Roman" w:eastAsia="Times New Roman" w:hAnsi="Times New Roman" w:cs="Times New Roman"/>
          <w:sz w:val="24"/>
          <w:szCs w:val="24"/>
        </w:rPr>
        <w:t>Hussain</w:t>
      </w:r>
      <w:proofErr w:type="spellEnd"/>
      <w:r>
        <w:rPr>
          <w:rFonts w:ascii="Times New Roman" w:eastAsia="Times New Roman" w:hAnsi="Times New Roman" w:cs="Times New Roman"/>
          <w:sz w:val="24"/>
          <w:szCs w:val="24"/>
        </w:rPr>
        <w:t xml:space="preserve">, S., Ahmad, T., &amp; Hassan, S. (2019). Corporate governance and firm performance in Pakistan: Dynamic panel estimate. </w:t>
      </w:r>
      <w:proofErr w:type="spellStart"/>
      <w:r>
        <w:rPr>
          <w:rFonts w:ascii="Times New Roman" w:eastAsia="Times New Roman" w:hAnsi="Times New Roman" w:cs="Times New Roman"/>
          <w:i/>
          <w:sz w:val="24"/>
          <w:szCs w:val="24"/>
        </w:rPr>
        <w:t>Abasyn</w:t>
      </w:r>
      <w:proofErr w:type="spellEnd"/>
      <w:r>
        <w:rPr>
          <w:rFonts w:ascii="Times New Roman" w:eastAsia="Times New Roman" w:hAnsi="Times New Roman" w:cs="Times New Roman"/>
          <w:i/>
          <w:sz w:val="24"/>
          <w:szCs w:val="24"/>
        </w:rPr>
        <w:t xml:space="preserve"> Journal of Social Sciences</w:t>
      </w:r>
      <w:r>
        <w:rPr>
          <w:rFonts w:ascii="Times New Roman" w:eastAsia="Times New Roman" w:hAnsi="Times New Roman" w:cs="Times New Roman"/>
          <w:sz w:val="24"/>
          <w:szCs w:val="24"/>
        </w:rPr>
        <w:t>, 12(2), 213–241.</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 A., &amp; Shadrach, B. (2023). Corporate governance practices and financial instability in Nigerian firms. </w:t>
      </w:r>
      <w:r>
        <w:rPr>
          <w:rFonts w:ascii="Times New Roman" w:eastAsia="Times New Roman" w:hAnsi="Times New Roman" w:cs="Times New Roman"/>
          <w:i/>
          <w:sz w:val="24"/>
          <w:szCs w:val="24"/>
        </w:rPr>
        <w:t>Nigerian Business Review</w:t>
      </w:r>
      <w:r>
        <w:rPr>
          <w:rFonts w:ascii="Times New Roman" w:eastAsia="Times New Roman" w:hAnsi="Times New Roman" w:cs="Times New Roman"/>
          <w:sz w:val="24"/>
          <w:szCs w:val="24"/>
        </w:rPr>
        <w:t>, 18(3), 45–62.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Altman, E. I. (2016). Financial ratios, discriminant analysis, and the prediction of corporate bankruptcy. </w:t>
      </w:r>
      <w:r>
        <w:rPr>
          <w:rFonts w:ascii="Times New Roman" w:eastAsia="Times New Roman" w:hAnsi="Times New Roman" w:cs="Times New Roman"/>
          <w:i/>
          <w:sz w:val="24"/>
          <w:szCs w:val="24"/>
        </w:rPr>
        <w:t>Journal of Finance</w:t>
      </w:r>
      <w:r>
        <w:rPr>
          <w:rFonts w:ascii="Times New Roman" w:eastAsia="Times New Roman" w:hAnsi="Times New Roman" w:cs="Times New Roman"/>
          <w:sz w:val="24"/>
          <w:szCs w:val="24"/>
        </w:rPr>
        <w:t>, 23(4), 589–609.</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Anyaehie</w:t>
      </w:r>
      <w:proofErr w:type="spellEnd"/>
      <w:r>
        <w:rPr>
          <w:rFonts w:ascii="Times New Roman" w:eastAsia="Times New Roman" w:hAnsi="Times New Roman" w:cs="Times New Roman"/>
          <w:sz w:val="24"/>
          <w:szCs w:val="24"/>
        </w:rPr>
        <w:t xml:space="preserve">, I. C., </w:t>
      </w:r>
      <w:proofErr w:type="spellStart"/>
      <w:r>
        <w:rPr>
          <w:rFonts w:ascii="Times New Roman" w:eastAsia="Times New Roman" w:hAnsi="Times New Roman" w:cs="Times New Roman"/>
          <w:sz w:val="24"/>
          <w:szCs w:val="24"/>
        </w:rPr>
        <w:t>Ugwuanyi</w:t>
      </w:r>
      <w:proofErr w:type="spellEnd"/>
      <w:r>
        <w:rPr>
          <w:rFonts w:ascii="Times New Roman" w:eastAsia="Times New Roman" w:hAnsi="Times New Roman" w:cs="Times New Roman"/>
          <w:sz w:val="24"/>
          <w:szCs w:val="24"/>
        </w:rPr>
        <w:t xml:space="preserve">, G., </w:t>
      </w:r>
      <w:proofErr w:type="spellStart"/>
      <w:r>
        <w:rPr>
          <w:rFonts w:ascii="Times New Roman" w:eastAsia="Times New Roman" w:hAnsi="Times New Roman" w:cs="Times New Roman"/>
          <w:sz w:val="24"/>
          <w:szCs w:val="24"/>
        </w:rPr>
        <w:t>Oko</w:t>
      </w:r>
      <w:proofErr w:type="spellEnd"/>
      <w:r>
        <w:rPr>
          <w:rFonts w:ascii="Times New Roman" w:eastAsia="Times New Roman" w:hAnsi="Times New Roman" w:cs="Times New Roman"/>
          <w:sz w:val="24"/>
          <w:szCs w:val="24"/>
        </w:rPr>
        <w:t xml:space="preserve">, C., &amp; </w:t>
      </w:r>
      <w:proofErr w:type="spellStart"/>
      <w:r>
        <w:rPr>
          <w:rFonts w:ascii="Times New Roman" w:eastAsia="Times New Roman" w:hAnsi="Times New Roman" w:cs="Times New Roman"/>
          <w:sz w:val="24"/>
          <w:szCs w:val="24"/>
        </w:rPr>
        <w:t>Chimezie</w:t>
      </w:r>
      <w:proofErr w:type="spellEnd"/>
      <w:r>
        <w:rPr>
          <w:rFonts w:ascii="Times New Roman" w:eastAsia="Times New Roman" w:hAnsi="Times New Roman" w:cs="Times New Roman"/>
          <w:sz w:val="24"/>
          <w:szCs w:val="24"/>
        </w:rPr>
        <w:t xml:space="preserve">, O. (2017). Effect of corporate governance mechanisms on the financial performance of insurance companies in Nigeria. </w:t>
      </w:r>
      <w:r>
        <w:rPr>
          <w:rFonts w:ascii="Times New Roman" w:eastAsia="Times New Roman" w:hAnsi="Times New Roman" w:cs="Times New Roman"/>
          <w:i/>
          <w:sz w:val="24"/>
          <w:szCs w:val="24"/>
        </w:rPr>
        <w:t>Journal of Finance and Accounting</w:t>
      </w:r>
      <w:r>
        <w:rPr>
          <w:rFonts w:ascii="Times New Roman" w:eastAsia="Times New Roman" w:hAnsi="Times New Roman" w:cs="Times New Roman"/>
          <w:sz w:val="24"/>
          <w:szCs w:val="24"/>
        </w:rPr>
        <w:t>, 5(3), 93–103. https://doi.org/10.11648/j.jfa.20170503.11</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Appah</w:t>
      </w:r>
      <w:proofErr w:type="spellEnd"/>
      <w:r>
        <w:rPr>
          <w:rFonts w:ascii="Times New Roman" w:eastAsia="Times New Roman" w:hAnsi="Times New Roman" w:cs="Times New Roman"/>
          <w:sz w:val="24"/>
          <w:szCs w:val="24"/>
        </w:rPr>
        <w:t xml:space="preserve">, E., &amp; </w:t>
      </w:r>
      <w:proofErr w:type="spellStart"/>
      <w:r>
        <w:rPr>
          <w:rFonts w:ascii="Times New Roman" w:eastAsia="Times New Roman" w:hAnsi="Times New Roman" w:cs="Times New Roman"/>
          <w:sz w:val="24"/>
          <w:szCs w:val="24"/>
        </w:rPr>
        <w:t>Fetir</w:t>
      </w:r>
      <w:proofErr w:type="spellEnd"/>
      <w:r>
        <w:rPr>
          <w:rFonts w:ascii="Times New Roman" w:eastAsia="Times New Roman" w:hAnsi="Times New Roman" w:cs="Times New Roman"/>
          <w:sz w:val="24"/>
          <w:szCs w:val="24"/>
        </w:rPr>
        <w:t xml:space="preserve">, T. S. (2023). Corporate governance practices and financial performance of listed companies in Nigeria. </w:t>
      </w:r>
      <w:r>
        <w:rPr>
          <w:rFonts w:ascii="Times New Roman" w:eastAsia="Times New Roman" w:hAnsi="Times New Roman" w:cs="Times New Roman"/>
          <w:i/>
          <w:sz w:val="24"/>
          <w:szCs w:val="24"/>
        </w:rPr>
        <w:t>British Journal of Management and Marketing Studies</w:t>
      </w:r>
      <w:r>
        <w:rPr>
          <w:rFonts w:ascii="Times New Roman" w:eastAsia="Times New Roman" w:hAnsi="Times New Roman" w:cs="Times New Roman"/>
          <w:sz w:val="24"/>
          <w:szCs w:val="24"/>
        </w:rPr>
        <w:t>, 6(1), 55–83. https://doi.org/10.52589/BJMMSS-CRVYRRKW7</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Armstrong, C. S., </w:t>
      </w:r>
      <w:proofErr w:type="spellStart"/>
      <w:r>
        <w:rPr>
          <w:rFonts w:ascii="Times New Roman" w:eastAsia="Times New Roman" w:hAnsi="Times New Roman" w:cs="Times New Roman"/>
          <w:sz w:val="24"/>
          <w:szCs w:val="24"/>
        </w:rPr>
        <w:t>Balakrishnan</w:t>
      </w:r>
      <w:proofErr w:type="spellEnd"/>
      <w:r>
        <w:rPr>
          <w:rFonts w:ascii="Times New Roman" w:eastAsia="Times New Roman" w:hAnsi="Times New Roman" w:cs="Times New Roman"/>
          <w:sz w:val="24"/>
          <w:szCs w:val="24"/>
        </w:rPr>
        <w:t xml:space="preserve">, K., &amp; Cohen, D. (2015). Corporate governance and the information environment: Evidence from state antitakeover laws. </w:t>
      </w:r>
      <w:r>
        <w:rPr>
          <w:rFonts w:ascii="Times New Roman" w:eastAsia="Times New Roman" w:hAnsi="Times New Roman" w:cs="Times New Roman"/>
          <w:i/>
          <w:sz w:val="24"/>
          <w:szCs w:val="24"/>
        </w:rPr>
        <w:t>Journal of Accounting and Economics</w:t>
      </w:r>
      <w:r>
        <w:rPr>
          <w:rFonts w:ascii="Times New Roman" w:eastAsia="Times New Roman" w:hAnsi="Times New Roman" w:cs="Times New Roman"/>
          <w:sz w:val="24"/>
          <w:szCs w:val="24"/>
        </w:rPr>
        <w:t>, 53(1-2), 185–204.</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Ayuso</w:t>
      </w:r>
      <w:proofErr w:type="spellEnd"/>
      <w:r>
        <w:rPr>
          <w:rFonts w:ascii="Times New Roman" w:eastAsia="Times New Roman" w:hAnsi="Times New Roman" w:cs="Times New Roman"/>
          <w:sz w:val="24"/>
          <w:szCs w:val="24"/>
        </w:rPr>
        <w:t xml:space="preserve">, S., Rodríguez, M. A., &amp; </w:t>
      </w:r>
      <w:proofErr w:type="spellStart"/>
      <w:r>
        <w:rPr>
          <w:rFonts w:ascii="Times New Roman" w:eastAsia="Times New Roman" w:hAnsi="Times New Roman" w:cs="Times New Roman"/>
          <w:sz w:val="24"/>
          <w:szCs w:val="24"/>
        </w:rPr>
        <w:t>Ricart</w:t>
      </w:r>
      <w:proofErr w:type="spellEnd"/>
      <w:r>
        <w:rPr>
          <w:rFonts w:ascii="Times New Roman" w:eastAsia="Times New Roman" w:hAnsi="Times New Roman" w:cs="Times New Roman"/>
          <w:sz w:val="24"/>
          <w:szCs w:val="24"/>
        </w:rPr>
        <w:t xml:space="preserve">, J. E. (2006). Responsible corporate governance: Towards a stakeholder board of directors? </w:t>
      </w:r>
      <w:r>
        <w:rPr>
          <w:rFonts w:ascii="Times New Roman" w:eastAsia="Times New Roman" w:hAnsi="Times New Roman" w:cs="Times New Roman"/>
          <w:i/>
          <w:sz w:val="24"/>
          <w:szCs w:val="24"/>
        </w:rPr>
        <w:t>Corporate Governance: An International Review</w:t>
      </w:r>
      <w:r>
        <w:rPr>
          <w:rFonts w:ascii="Times New Roman" w:eastAsia="Times New Roman" w:hAnsi="Times New Roman" w:cs="Times New Roman"/>
          <w:sz w:val="24"/>
          <w:szCs w:val="24"/>
        </w:rPr>
        <w:t>, 14(3), 415–430.</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Beaver, W. H., </w:t>
      </w:r>
      <w:proofErr w:type="spellStart"/>
      <w:r>
        <w:rPr>
          <w:rFonts w:ascii="Times New Roman" w:eastAsia="Times New Roman" w:hAnsi="Times New Roman" w:cs="Times New Roman"/>
          <w:sz w:val="24"/>
          <w:szCs w:val="24"/>
        </w:rPr>
        <w:t>Correia</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McNichols</w:t>
      </w:r>
      <w:proofErr w:type="spellEnd"/>
      <w:r>
        <w:rPr>
          <w:rFonts w:ascii="Times New Roman" w:eastAsia="Times New Roman" w:hAnsi="Times New Roman" w:cs="Times New Roman"/>
          <w:sz w:val="24"/>
          <w:szCs w:val="24"/>
        </w:rPr>
        <w:t xml:space="preserve">, M. F. (2017). Financial statement analysis and the prediction of financial distress. </w:t>
      </w:r>
      <w:r>
        <w:rPr>
          <w:rFonts w:ascii="Times New Roman" w:eastAsia="Times New Roman" w:hAnsi="Times New Roman" w:cs="Times New Roman"/>
          <w:i/>
          <w:sz w:val="24"/>
          <w:szCs w:val="24"/>
        </w:rPr>
        <w:t>Foundations and Trends in Accounting</w:t>
      </w:r>
      <w:r>
        <w:rPr>
          <w:rFonts w:ascii="Times New Roman" w:eastAsia="Times New Roman" w:hAnsi="Times New Roman" w:cs="Times New Roman"/>
          <w:sz w:val="24"/>
          <w:szCs w:val="24"/>
        </w:rPr>
        <w:t>, 12(2), 105–169. https://doi.org/10.1561/1400000052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Berger, A. N., &amp; Humphrey, D. B. (2019). Internal and external determinants of financial performance. </w:t>
      </w:r>
      <w:r>
        <w:rPr>
          <w:rFonts w:ascii="Times New Roman" w:eastAsia="Times New Roman" w:hAnsi="Times New Roman" w:cs="Times New Roman"/>
          <w:i/>
          <w:sz w:val="24"/>
          <w:szCs w:val="24"/>
        </w:rPr>
        <w:t>Journal of Financial Intermediation</w:t>
      </w:r>
      <w:r>
        <w:rPr>
          <w:rFonts w:ascii="Times New Roman" w:eastAsia="Times New Roman" w:hAnsi="Times New Roman" w:cs="Times New Roman"/>
          <w:sz w:val="24"/>
          <w:szCs w:val="24"/>
        </w:rPr>
        <w:t xml:space="preserve">, 24(1), 1–21. </w:t>
      </w:r>
      <w:r w:rsidR="00A271C6" w:rsidRPr="00A271C6">
        <w:rPr>
          <w:rFonts w:ascii="Times New Roman" w:eastAsia="Times New Roman" w:hAnsi="Times New Roman" w:cs="Times New Roman"/>
          <w:sz w:val="24"/>
          <w:szCs w:val="24"/>
        </w:rPr>
        <w:t>https://doi.org/10</w:t>
      </w:r>
      <w:r w:rsidR="00A271C6">
        <w:rPr>
          <w:rFonts w:ascii="Times New Roman" w:eastAsia="Times New Roman" w:hAnsi="Times New Roman" w:cs="Times New Roman"/>
          <w:sz w:val="24"/>
          <w:szCs w:val="24"/>
        </w:rPr>
        <w:t>.</w:t>
      </w:r>
      <w:r>
        <w:rPr>
          <w:rFonts w:ascii="Times New Roman" w:eastAsia="Times New Roman" w:hAnsi="Times New Roman" w:cs="Times New Roman"/>
          <w:sz w:val="24"/>
          <w:szCs w:val="24"/>
        </w:rPr>
        <w:t>101</w:t>
      </w:r>
      <w:r w:rsidR="00A271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6/j.jfi.2018.07.002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Bhagat</w:t>
      </w:r>
      <w:proofErr w:type="spellEnd"/>
      <w:r>
        <w:rPr>
          <w:rFonts w:ascii="Times New Roman" w:eastAsia="Times New Roman" w:hAnsi="Times New Roman" w:cs="Times New Roman"/>
          <w:sz w:val="24"/>
          <w:szCs w:val="24"/>
        </w:rPr>
        <w:t xml:space="preserve">, S., &amp; Bolton, B. (2019). Corporate governance and firm performance: The role of board and external governance mechanisms. </w:t>
      </w:r>
      <w:r>
        <w:rPr>
          <w:rFonts w:ascii="Times New Roman" w:eastAsia="Times New Roman" w:hAnsi="Times New Roman" w:cs="Times New Roman"/>
          <w:i/>
          <w:sz w:val="24"/>
          <w:szCs w:val="24"/>
        </w:rPr>
        <w:t>Journal of Corporate Finance</w:t>
      </w:r>
      <w:r>
        <w:rPr>
          <w:rFonts w:ascii="Times New Roman" w:eastAsia="Times New Roman" w:hAnsi="Times New Roman" w:cs="Times New Roman"/>
          <w:sz w:val="24"/>
          <w:szCs w:val="24"/>
        </w:rPr>
        <w:t>, 58, 142–168. https://doi.org/10.1016/j.jcorpfin.2019.04.006</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 H., &amp; </w:t>
      </w:r>
      <w:proofErr w:type="spellStart"/>
      <w:r>
        <w:rPr>
          <w:rFonts w:ascii="Times New Roman" w:eastAsia="Times New Roman" w:hAnsi="Times New Roman" w:cs="Times New Roman"/>
          <w:sz w:val="24"/>
          <w:szCs w:val="24"/>
        </w:rPr>
        <w:t>Kravaszak</w:t>
      </w:r>
      <w:proofErr w:type="spellEnd"/>
      <w:r>
        <w:rPr>
          <w:rFonts w:ascii="Times New Roman" w:eastAsia="Times New Roman" w:hAnsi="Times New Roman" w:cs="Times New Roman"/>
          <w:sz w:val="24"/>
          <w:szCs w:val="24"/>
        </w:rPr>
        <w:t xml:space="preserve">, Z. (2023). The impacts of corporate governance on firms' performance: From theories and approaches to empirical findings. </w:t>
      </w:r>
      <w:r>
        <w:rPr>
          <w:rFonts w:ascii="Times New Roman" w:eastAsia="Times New Roman" w:hAnsi="Times New Roman" w:cs="Times New Roman"/>
          <w:i/>
          <w:sz w:val="24"/>
          <w:szCs w:val="24"/>
        </w:rPr>
        <w:t>Asian Journal of Economics, Business and Accounting</w:t>
      </w:r>
      <w:r>
        <w:rPr>
          <w:rFonts w:ascii="Times New Roman" w:eastAsia="Times New Roman" w:hAnsi="Times New Roman" w:cs="Times New Roman"/>
          <w:sz w:val="24"/>
          <w:szCs w:val="24"/>
        </w:rPr>
        <w:t>, 16, 18–40. https://doi.org/10.9734/ajeba/2023/v16i430988</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Carter, D. A., D'Souza, F., </w:t>
      </w:r>
      <w:proofErr w:type="spellStart"/>
      <w:r>
        <w:rPr>
          <w:rFonts w:ascii="Times New Roman" w:eastAsia="Times New Roman" w:hAnsi="Times New Roman" w:cs="Times New Roman"/>
          <w:sz w:val="24"/>
          <w:szCs w:val="24"/>
        </w:rPr>
        <w:t>Simkins</w:t>
      </w:r>
      <w:proofErr w:type="spellEnd"/>
      <w:r>
        <w:rPr>
          <w:rFonts w:ascii="Times New Roman" w:eastAsia="Times New Roman" w:hAnsi="Times New Roman" w:cs="Times New Roman"/>
          <w:sz w:val="24"/>
          <w:szCs w:val="24"/>
        </w:rPr>
        <w:t xml:space="preserve">, B. J., &amp; Simpson, W. G. (2015). Gender diversity and firm performance. </w:t>
      </w:r>
      <w:r>
        <w:rPr>
          <w:rFonts w:ascii="Times New Roman" w:eastAsia="Times New Roman" w:hAnsi="Times New Roman" w:cs="Times New Roman"/>
          <w:i/>
          <w:sz w:val="24"/>
          <w:szCs w:val="24"/>
        </w:rPr>
        <w:t>Journal of Management Studies</w:t>
      </w:r>
      <w:r>
        <w:rPr>
          <w:rFonts w:ascii="Times New Roman" w:eastAsia="Times New Roman" w:hAnsi="Times New Roman" w:cs="Times New Roman"/>
          <w:sz w:val="24"/>
          <w:szCs w:val="24"/>
        </w:rPr>
        <w:t xml:space="preserve">, 52(4), 435–469. </w:t>
      </w:r>
      <w:r w:rsidR="00A271C6" w:rsidRPr="00A271C6">
        <w:rPr>
          <w:rFonts w:ascii="Times New Roman" w:eastAsia="Times New Roman" w:hAnsi="Times New Roman" w:cs="Times New Roman"/>
          <w:sz w:val="24"/>
          <w:szCs w:val="24"/>
        </w:rPr>
        <w:t>https://doi.org/10</w:t>
      </w:r>
      <w:r w:rsidR="00A271C6">
        <w:rPr>
          <w:rFonts w:ascii="Times New Roman" w:eastAsia="Times New Roman" w:hAnsi="Times New Roman" w:cs="Times New Roman"/>
          <w:sz w:val="24"/>
          <w:szCs w:val="24"/>
        </w:rPr>
        <w:t>.</w:t>
      </w:r>
      <w:r>
        <w:rPr>
          <w:rFonts w:ascii="Times New Roman" w:eastAsia="Times New Roman" w:hAnsi="Times New Roman" w:cs="Times New Roman"/>
          <w:sz w:val="24"/>
          <w:szCs w:val="24"/>
        </w:rPr>
        <w:t>111</w:t>
      </w:r>
      <w:r w:rsidR="00A271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1/joms.12082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Coles, J. L., Daniel, N. D., &amp; Naveen, L. (2015). Board size and firm performance. </w:t>
      </w:r>
      <w:r>
        <w:rPr>
          <w:rFonts w:ascii="Times New Roman" w:eastAsia="Times New Roman" w:hAnsi="Times New Roman" w:cs="Times New Roman"/>
          <w:i/>
          <w:sz w:val="24"/>
          <w:szCs w:val="24"/>
        </w:rPr>
        <w:t>Journal of Corporate Finance</w:t>
      </w:r>
      <w:r>
        <w:rPr>
          <w:rFonts w:ascii="Times New Roman" w:eastAsia="Times New Roman" w:hAnsi="Times New Roman" w:cs="Times New Roman"/>
          <w:sz w:val="24"/>
          <w:szCs w:val="24"/>
        </w:rPr>
        <w:t>, 15(2), 87–111.</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Daily, C. M., Dalton, D. R., &amp; </w:t>
      </w:r>
      <w:proofErr w:type="spellStart"/>
      <w:r>
        <w:rPr>
          <w:rFonts w:ascii="Times New Roman" w:eastAsia="Times New Roman" w:hAnsi="Times New Roman" w:cs="Times New Roman"/>
          <w:sz w:val="24"/>
          <w:szCs w:val="24"/>
        </w:rPr>
        <w:t>Cannella</w:t>
      </w:r>
      <w:proofErr w:type="spellEnd"/>
      <w:r>
        <w:rPr>
          <w:rFonts w:ascii="Times New Roman" w:eastAsia="Times New Roman" w:hAnsi="Times New Roman" w:cs="Times New Roman"/>
          <w:sz w:val="24"/>
          <w:szCs w:val="24"/>
        </w:rPr>
        <w:t xml:space="preserve">, A. A. (2003). Corporate governance: Decades of dialogue and data. </w:t>
      </w:r>
      <w:r>
        <w:rPr>
          <w:rFonts w:ascii="Times New Roman" w:eastAsia="Times New Roman" w:hAnsi="Times New Roman" w:cs="Times New Roman"/>
          <w:i/>
          <w:sz w:val="24"/>
          <w:szCs w:val="24"/>
        </w:rPr>
        <w:t>Academy of Management Review</w:t>
      </w:r>
      <w:r>
        <w:rPr>
          <w:rFonts w:ascii="Times New Roman" w:eastAsia="Times New Roman" w:hAnsi="Times New Roman" w:cs="Times New Roman"/>
          <w:sz w:val="24"/>
          <w:szCs w:val="24"/>
        </w:rPr>
        <w:t>, 28(3), 371–382.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Dandago</w:t>
      </w:r>
      <w:proofErr w:type="spellEnd"/>
      <w:r>
        <w:rPr>
          <w:rFonts w:ascii="Times New Roman" w:eastAsia="Times New Roman" w:hAnsi="Times New Roman" w:cs="Times New Roman"/>
          <w:sz w:val="24"/>
          <w:szCs w:val="24"/>
        </w:rPr>
        <w:t xml:space="preserve">, K. I., &amp; </w:t>
      </w:r>
      <w:proofErr w:type="spellStart"/>
      <w:r>
        <w:rPr>
          <w:rFonts w:ascii="Times New Roman" w:eastAsia="Times New Roman" w:hAnsi="Times New Roman" w:cs="Times New Roman"/>
          <w:sz w:val="24"/>
          <w:szCs w:val="24"/>
        </w:rPr>
        <w:t>Gugong</w:t>
      </w:r>
      <w:proofErr w:type="spellEnd"/>
      <w:r>
        <w:rPr>
          <w:rFonts w:ascii="Times New Roman" w:eastAsia="Times New Roman" w:hAnsi="Times New Roman" w:cs="Times New Roman"/>
          <w:sz w:val="24"/>
          <w:szCs w:val="24"/>
        </w:rPr>
        <w:t xml:space="preserve">, B. K. (2013). Impact of corporate governance mechanisms on the financial performance of listed insurance firms in Nigeria. In the </w:t>
      </w:r>
      <w:r>
        <w:rPr>
          <w:rFonts w:ascii="Times New Roman" w:eastAsia="Times New Roman" w:hAnsi="Times New Roman" w:cs="Times New Roman"/>
          <w:i/>
          <w:sz w:val="24"/>
          <w:szCs w:val="24"/>
        </w:rPr>
        <w:t xml:space="preserve">3rd International Conference on Luca </w:t>
      </w:r>
      <w:proofErr w:type="spellStart"/>
      <w:r>
        <w:rPr>
          <w:rFonts w:ascii="Times New Roman" w:eastAsia="Times New Roman" w:hAnsi="Times New Roman" w:cs="Times New Roman"/>
          <w:i/>
          <w:sz w:val="24"/>
          <w:szCs w:val="24"/>
        </w:rPr>
        <w:t>Pacioli</w:t>
      </w:r>
      <w:proofErr w:type="spellEnd"/>
      <w:r>
        <w:rPr>
          <w:rFonts w:ascii="Times New Roman" w:eastAsia="Times New Roman" w:hAnsi="Times New Roman" w:cs="Times New Roman"/>
          <w:i/>
          <w:sz w:val="24"/>
          <w:szCs w:val="24"/>
        </w:rPr>
        <w:t xml:space="preserve"> in Accounting History</w:t>
      </w:r>
      <w:r>
        <w:rPr>
          <w:rFonts w:ascii="Times New Roman" w:eastAsia="Times New Roman" w:hAnsi="Times New Roman" w:cs="Times New Roman"/>
          <w:sz w:val="24"/>
          <w:szCs w:val="24"/>
        </w:rPr>
        <w:t xml:space="preserve"> [Conference presentation].</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Dechow</w:t>
      </w:r>
      <w:proofErr w:type="spellEnd"/>
      <w:r>
        <w:rPr>
          <w:rFonts w:ascii="Times New Roman" w:eastAsia="Times New Roman" w:hAnsi="Times New Roman" w:cs="Times New Roman"/>
          <w:sz w:val="24"/>
          <w:szCs w:val="24"/>
        </w:rPr>
        <w:t xml:space="preserve">, P. M., </w:t>
      </w:r>
      <w:proofErr w:type="spellStart"/>
      <w:r>
        <w:rPr>
          <w:rFonts w:ascii="Times New Roman" w:eastAsia="Times New Roman" w:hAnsi="Times New Roman" w:cs="Times New Roman"/>
          <w:sz w:val="24"/>
          <w:szCs w:val="24"/>
        </w:rPr>
        <w:t>Ge</w:t>
      </w:r>
      <w:proofErr w:type="spellEnd"/>
      <w:r>
        <w:rPr>
          <w:rFonts w:ascii="Times New Roman" w:eastAsia="Times New Roman" w:hAnsi="Times New Roman" w:cs="Times New Roman"/>
          <w:sz w:val="24"/>
          <w:szCs w:val="24"/>
        </w:rPr>
        <w:t xml:space="preserve">, W., &amp; </w:t>
      </w:r>
      <w:proofErr w:type="spellStart"/>
      <w:r>
        <w:rPr>
          <w:rFonts w:ascii="Times New Roman" w:eastAsia="Times New Roman" w:hAnsi="Times New Roman" w:cs="Times New Roman"/>
          <w:sz w:val="24"/>
          <w:szCs w:val="24"/>
        </w:rPr>
        <w:t>Schrand</w:t>
      </w:r>
      <w:proofErr w:type="spellEnd"/>
      <w:r>
        <w:rPr>
          <w:rFonts w:ascii="Times New Roman" w:eastAsia="Times New Roman" w:hAnsi="Times New Roman" w:cs="Times New Roman"/>
          <w:sz w:val="24"/>
          <w:szCs w:val="24"/>
        </w:rPr>
        <w:t xml:space="preserve">, C. M. (2017). Understanding earnings quality: A review of the proxies, their determinants and their consequences. </w:t>
      </w:r>
      <w:r>
        <w:rPr>
          <w:rFonts w:ascii="Times New Roman" w:eastAsia="Times New Roman" w:hAnsi="Times New Roman" w:cs="Times New Roman"/>
          <w:i/>
          <w:sz w:val="24"/>
          <w:szCs w:val="24"/>
        </w:rPr>
        <w:t>Journal of Accounting and Economics</w:t>
      </w:r>
      <w:r>
        <w:rPr>
          <w:rFonts w:ascii="Times New Roman" w:eastAsia="Times New Roman" w:hAnsi="Times New Roman" w:cs="Times New Roman"/>
          <w:sz w:val="24"/>
          <w:szCs w:val="24"/>
        </w:rPr>
        <w:t>, 50(2), 344–401.</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Donaldson, T., &amp; Preston, L. E. (1995). The stakeholder theory of the corporation: Concepts, evidence, and implications. </w:t>
      </w:r>
      <w:r>
        <w:rPr>
          <w:rFonts w:ascii="Times New Roman" w:eastAsia="Times New Roman" w:hAnsi="Times New Roman" w:cs="Times New Roman"/>
          <w:i/>
          <w:sz w:val="24"/>
          <w:szCs w:val="24"/>
        </w:rPr>
        <w:t>Academy of Management Review</w:t>
      </w:r>
      <w:r>
        <w:rPr>
          <w:rFonts w:ascii="Times New Roman" w:eastAsia="Times New Roman" w:hAnsi="Times New Roman" w:cs="Times New Roman"/>
          <w:sz w:val="24"/>
          <w:szCs w:val="24"/>
        </w:rPr>
        <w:t>, 20(1), 65–91.</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Egbunike</w:t>
      </w:r>
      <w:proofErr w:type="spellEnd"/>
      <w:r>
        <w:rPr>
          <w:rFonts w:ascii="Times New Roman" w:eastAsia="Times New Roman" w:hAnsi="Times New Roman" w:cs="Times New Roman"/>
          <w:sz w:val="24"/>
          <w:szCs w:val="24"/>
        </w:rPr>
        <w:t xml:space="preserve">, C. F., &amp; </w:t>
      </w:r>
      <w:proofErr w:type="spellStart"/>
      <w:r>
        <w:rPr>
          <w:rFonts w:ascii="Times New Roman" w:eastAsia="Times New Roman" w:hAnsi="Times New Roman" w:cs="Times New Roman"/>
          <w:sz w:val="24"/>
          <w:szCs w:val="24"/>
        </w:rPr>
        <w:t>Okoro</w:t>
      </w:r>
      <w:proofErr w:type="spellEnd"/>
      <w:r>
        <w:rPr>
          <w:rFonts w:ascii="Times New Roman" w:eastAsia="Times New Roman" w:hAnsi="Times New Roman" w:cs="Times New Roman"/>
          <w:sz w:val="24"/>
          <w:szCs w:val="24"/>
        </w:rPr>
        <w:t xml:space="preserve">, A. (2021). Agency theory and corporate governance practice in Nigerian banks. </w:t>
      </w:r>
      <w:r>
        <w:rPr>
          <w:rFonts w:ascii="Times New Roman" w:eastAsia="Times New Roman" w:hAnsi="Times New Roman" w:cs="Times New Roman"/>
          <w:i/>
          <w:sz w:val="24"/>
          <w:szCs w:val="24"/>
        </w:rPr>
        <w:t>Academy of Strategic Management Journal</w:t>
      </w:r>
      <w:r>
        <w:rPr>
          <w:rFonts w:ascii="Times New Roman" w:eastAsia="Times New Roman" w:hAnsi="Times New Roman" w:cs="Times New Roman"/>
          <w:sz w:val="24"/>
          <w:szCs w:val="24"/>
        </w:rPr>
        <w:t>, 20(6), 1–12.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Egbunike</w:t>
      </w:r>
      <w:proofErr w:type="spellEnd"/>
      <w:r>
        <w:rPr>
          <w:rFonts w:ascii="Times New Roman" w:eastAsia="Times New Roman" w:hAnsi="Times New Roman" w:cs="Times New Roman"/>
          <w:sz w:val="24"/>
          <w:szCs w:val="24"/>
        </w:rPr>
        <w:t xml:space="preserve">, P. A. (2022). Corporate boards and company performance in Nigeria. </w:t>
      </w:r>
      <w:r>
        <w:rPr>
          <w:rFonts w:ascii="Times New Roman" w:eastAsia="Times New Roman" w:hAnsi="Times New Roman" w:cs="Times New Roman"/>
          <w:i/>
          <w:sz w:val="24"/>
          <w:szCs w:val="24"/>
        </w:rPr>
        <w:t>International Journal of Corporate Governance</w:t>
      </w:r>
      <w:r>
        <w:rPr>
          <w:rFonts w:ascii="Times New Roman" w:eastAsia="Times New Roman" w:hAnsi="Times New Roman" w:cs="Times New Roman"/>
          <w:sz w:val="24"/>
          <w:szCs w:val="24"/>
        </w:rPr>
        <w:t>, 12(4), 50–70.</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Eisenhardt</w:t>
      </w:r>
      <w:proofErr w:type="spellEnd"/>
      <w:r>
        <w:rPr>
          <w:rFonts w:ascii="Times New Roman" w:eastAsia="Times New Roman" w:hAnsi="Times New Roman" w:cs="Times New Roman"/>
          <w:sz w:val="24"/>
          <w:szCs w:val="24"/>
        </w:rPr>
        <w:t xml:space="preserve">, K. M. (1989). Agency theory: An assessment and review. </w:t>
      </w:r>
      <w:r>
        <w:rPr>
          <w:rFonts w:ascii="Times New Roman" w:eastAsia="Times New Roman" w:hAnsi="Times New Roman" w:cs="Times New Roman"/>
          <w:i/>
          <w:sz w:val="24"/>
          <w:szCs w:val="24"/>
        </w:rPr>
        <w:t>Academy of Management Review</w:t>
      </w:r>
      <w:r>
        <w:rPr>
          <w:rFonts w:ascii="Times New Roman" w:eastAsia="Times New Roman" w:hAnsi="Times New Roman" w:cs="Times New Roman"/>
          <w:sz w:val="24"/>
          <w:szCs w:val="24"/>
        </w:rPr>
        <w:t>, 14(1), 57–74.</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Fagbemi</w:t>
      </w:r>
      <w:proofErr w:type="spellEnd"/>
      <w:r>
        <w:rPr>
          <w:rFonts w:ascii="Times New Roman" w:eastAsia="Times New Roman" w:hAnsi="Times New Roman" w:cs="Times New Roman"/>
          <w:sz w:val="24"/>
          <w:szCs w:val="24"/>
        </w:rPr>
        <w:t xml:space="preserve">, T. (2021). Board attendance and corporate performance in Nigerian companies. </w:t>
      </w:r>
      <w:r>
        <w:rPr>
          <w:rFonts w:ascii="Times New Roman" w:eastAsia="Times New Roman" w:hAnsi="Times New Roman" w:cs="Times New Roman"/>
          <w:i/>
          <w:sz w:val="24"/>
          <w:szCs w:val="24"/>
        </w:rPr>
        <w:t>The Nigerian Accountant</w:t>
      </w:r>
      <w:r>
        <w:rPr>
          <w:rFonts w:ascii="Times New Roman" w:eastAsia="Times New Roman" w:hAnsi="Times New Roman" w:cs="Times New Roman"/>
          <w:sz w:val="24"/>
          <w:szCs w:val="24"/>
        </w:rPr>
        <w:t>, 45(2), 23–37.</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Fagbemi</w:t>
      </w:r>
      <w:proofErr w:type="spellEnd"/>
      <w:r>
        <w:rPr>
          <w:rFonts w:ascii="Times New Roman" w:eastAsia="Times New Roman" w:hAnsi="Times New Roman" w:cs="Times New Roman"/>
          <w:sz w:val="24"/>
          <w:szCs w:val="24"/>
        </w:rPr>
        <w:t xml:space="preserve">, T. O., &amp; </w:t>
      </w:r>
      <w:proofErr w:type="spellStart"/>
      <w:r>
        <w:rPr>
          <w:rFonts w:ascii="Times New Roman" w:eastAsia="Times New Roman" w:hAnsi="Times New Roman" w:cs="Times New Roman"/>
          <w:sz w:val="24"/>
          <w:szCs w:val="24"/>
        </w:rPr>
        <w:t>Ehiogu</w:t>
      </w:r>
      <w:proofErr w:type="spellEnd"/>
      <w:r>
        <w:rPr>
          <w:rFonts w:ascii="Times New Roman" w:eastAsia="Times New Roman" w:hAnsi="Times New Roman" w:cs="Times New Roman"/>
          <w:sz w:val="24"/>
          <w:szCs w:val="24"/>
        </w:rPr>
        <w:t xml:space="preserve">, S. T. (2020). Factors influencing the profitability of Nigerian firms. </w:t>
      </w:r>
      <w:r>
        <w:rPr>
          <w:rFonts w:ascii="Times New Roman" w:eastAsia="Times New Roman" w:hAnsi="Times New Roman" w:cs="Times New Roman"/>
          <w:i/>
          <w:sz w:val="24"/>
          <w:szCs w:val="24"/>
        </w:rPr>
        <w:t>International Journal of Economics and Financial Issues</w:t>
      </w:r>
      <w:r>
        <w:rPr>
          <w:rFonts w:ascii="Times New Roman" w:eastAsia="Times New Roman" w:hAnsi="Times New Roman" w:cs="Times New Roman"/>
          <w:sz w:val="24"/>
          <w:szCs w:val="24"/>
        </w:rPr>
        <w:t>, 8(4), 22–35.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Faleye</w:t>
      </w:r>
      <w:proofErr w:type="spellEnd"/>
      <w:r>
        <w:rPr>
          <w:rFonts w:ascii="Times New Roman" w:eastAsia="Times New Roman" w:hAnsi="Times New Roman" w:cs="Times New Roman"/>
          <w:sz w:val="24"/>
          <w:szCs w:val="24"/>
        </w:rPr>
        <w:t xml:space="preserve">, O. S. (2021). Skills diversity in Nigerian boardrooms. </w:t>
      </w:r>
      <w:r>
        <w:rPr>
          <w:rFonts w:ascii="Times New Roman" w:eastAsia="Times New Roman" w:hAnsi="Times New Roman" w:cs="Times New Roman"/>
          <w:i/>
          <w:sz w:val="24"/>
          <w:szCs w:val="24"/>
        </w:rPr>
        <w:t>International Review of Management and Business Research</w:t>
      </w:r>
      <w:r>
        <w:rPr>
          <w:rFonts w:ascii="Times New Roman" w:eastAsia="Times New Roman" w:hAnsi="Times New Roman" w:cs="Times New Roman"/>
          <w:sz w:val="24"/>
          <w:szCs w:val="24"/>
        </w:rPr>
        <w:t>, 10(4), 12–34.</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Fama</w:t>
      </w:r>
      <w:proofErr w:type="spellEnd"/>
      <w:r>
        <w:rPr>
          <w:rFonts w:ascii="Times New Roman" w:eastAsia="Times New Roman" w:hAnsi="Times New Roman" w:cs="Times New Roman"/>
          <w:sz w:val="24"/>
          <w:szCs w:val="24"/>
        </w:rPr>
        <w:t xml:space="preserve">, E. F., &amp; Jensen, M. C. (1983). Separation of ownership and control. </w:t>
      </w:r>
      <w:r>
        <w:rPr>
          <w:rFonts w:ascii="Times New Roman" w:eastAsia="Times New Roman" w:hAnsi="Times New Roman" w:cs="Times New Roman"/>
          <w:i/>
          <w:sz w:val="24"/>
          <w:szCs w:val="24"/>
        </w:rPr>
        <w:t>Journal of Law and Economics</w:t>
      </w:r>
      <w:r>
        <w:rPr>
          <w:rFonts w:ascii="Times New Roman" w:eastAsia="Times New Roman" w:hAnsi="Times New Roman" w:cs="Times New Roman"/>
          <w:sz w:val="24"/>
          <w:szCs w:val="24"/>
        </w:rPr>
        <w:t>, 26(2), 301–325.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Fama</w:t>
      </w:r>
      <w:proofErr w:type="spellEnd"/>
      <w:r>
        <w:rPr>
          <w:rFonts w:ascii="Times New Roman" w:eastAsia="Times New Roman" w:hAnsi="Times New Roman" w:cs="Times New Roman"/>
          <w:sz w:val="24"/>
          <w:szCs w:val="24"/>
        </w:rPr>
        <w:t xml:space="preserve">, E. F., &amp; Jensen, M. C. (2019). Separation of ownership and control. </w:t>
      </w:r>
      <w:r>
        <w:rPr>
          <w:rFonts w:ascii="Times New Roman" w:eastAsia="Times New Roman" w:hAnsi="Times New Roman" w:cs="Times New Roman"/>
          <w:i/>
          <w:sz w:val="24"/>
          <w:szCs w:val="24"/>
        </w:rPr>
        <w:t>Journal of Law and Economics</w:t>
      </w:r>
      <w:r>
        <w:rPr>
          <w:rFonts w:ascii="Times New Roman" w:eastAsia="Times New Roman" w:hAnsi="Times New Roman" w:cs="Times New Roman"/>
          <w:sz w:val="24"/>
          <w:szCs w:val="24"/>
        </w:rPr>
        <w:t>, 26(2), 301–325.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Farooq, M., Ahmed, N., &amp; Khan, S. (2022). Corporate governance and firm value enhancement: Evidence from emerging markets. </w:t>
      </w:r>
      <w:r>
        <w:rPr>
          <w:rFonts w:ascii="Times New Roman" w:eastAsia="Times New Roman" w:hAnsi="Times New Roman" w:cs="Times New Roman"/>
          <w:i/>
          <w:sz w:val="24"/>
          <w:szCs w:val="24"/>
        </w:rPr>
        <w:t>International Journal of Corporate Governance</w:t>
      </w:r>
      <w:r>
        <w:rPr>
          <w:rFonts w:ascii="Times New Roman" w:eastAsia="Times New Roman" w:hAnsi="Times New Roman" w:cs="Times New Roman"/>
          <w:sz w:val="24"/>
          <w:szCs w:val="24"/>
        </w:rPr>
        <w:t>, 13(2), 156–175.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Freeman, R. E. (1984). </w:t>
      </w:r>
      <w:r>
        <w:rPr>
          <w:rFonts w:ascii="Times New Roman" w:eastAsia="Times New Roman" w:hAnsi="Times New Roman" w:cs="Times New Roman"/>
          <w:i/>
          <w:sz w:val="24"/>
          <w:szCs w:val="24"/>
        </w:rPr>
        <w:t>Strategic management: A stakeholder approach</w:t>
      </w:r>
      <w:r>
        <w:rPr>
          <w:rFonts w:ascii="Times New Roman" w:eastAsia="Times New Roman" w:hAnsi="Times New Roman" w:cs="Times New Roman"/>
          <w:sz w:val="24"/>
          <w:szCs w:val="24"/>
        </w:rPr>
        <w:t>. Pitman.</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Harrison, J. S., &amp; Wicks, A. C. (2013). Stakeholder theory, value, and firm performance. </w:t>
      </w:r>
      <w:r>
        <w:rPr>
          <w:rFonts w:ascii="Times New Roman" w:eastAsia="Times New Roman" w:hAnsi="Times New Roman" w:cs="Times New Roman"/>
          <w:i/>
          <w:sz w:val="24"/>
          <w:szCs w:val="24"/>
        </w:rPr>
        <w:t>Business Ethics Quarterly</w:t>
      </w:r>
      <w:r>
        <w:rPr>
          <w:rFonts w:ascii="Times New Roman" w:eastAsia="Times New Roman" w:hAnsi="Times New Roman" w:cs="Times New Roman"/>
          <w:sz w:val="24"/>
          <w:szCs w:val="24"/>
        </w:rPr>
        <w:t>, 23(1), 97–124. https://doi.org/10.5840/beq20132314</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Hermalin</w:t>
      </w:r>
      <w:proofErr w:type="spellEnd"/>
      <w:r>
        <w:rPr>
          <w:rFonts w:ascii="Times New Roman" w:eastAsia="Times New Roman" w:hAnsi="Times New Roman" w:cs="Times New Roman"/>
          <w:sz w:val="24"/>
          <w:szCs w:val="24"/>
        </w:rPr>
        <w:t xml:space="preserve">, B. E., &amp; </w:t>
      </w:r>
      <w:proofErr w:type="spellStart"/>
      <w:r>
        <w:rPr>
          <w:rFonts w:ascii="Times New Roman" w:eastAsia="Times New Roman" w:hAnsi="Times New Roman" w:cs="Times New Roman"/>
          <w:sz w:val="24"/>
          <w:szCs w:val="24"/>
        </w:rPr>
        <w:t>Weisbach</w:t>
      </w:r>
      <w:proofErr w:type="spellEnd"/>
      <w:r>
        <w:rPr>
          <w:rFonts w:ascii="Times New Roman" w:eastAsia="Times New Roman" w:hAnsi="Times New Roman" w:cs="Times New Roman"/>
          <w:sz w:val="24"/>
          <w:szCs w:val="24"/>
        </w:rPr>
        <w:t xml:space="preserve">, M. S. (2017). Boards of directors as an endogenously determined institution. </w:t>
      </w:r>
      <w:r>
        <w:rPr>
          <w:rFonts w:ascii="Times New Roman" w:eastAsia="Times New Roman" w:hAnsi="Times New Roman" w:cs="Times New Roman"/>
          <w:i/>
          <w:sz w:val="24"/>
          <w:szCs w:val="24"/>
        </w:rPr>
        <w:t>Journal of Financial Economics</w:t>
      </w:r>
      <w:r>
        <w:rPr>
          <w:rFonts w:ascii="Times New Roman" w:eastAsia="Times New Roman" w:hAnsi="Times New Roman" w:cs="Times New Roman"/>
          <w:sz w:val="24"/>
          <w:szCs w:val="24"/>
        </w:rPr>
        <w:t>, 87(3), 63–87.</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Hillman, A. J., &amp; </w:t>
      </w:r>
      <w:proofErr w:type="spellStart"/>
      <w:r>
        <w:rPr>
          <w:rFonts w:ascii="Times New Roman" w:eastAsia="Times New Roman" w:hAnsi="Times New Roman" w:cs="Times New Roman"/>
          <w:sz w:val="24"/>
          <w:szCs w:val="24"/>
        </w:rPr>
        <w:t>Dalziel</w:t>
      </w:r>
      <w:proofErr w:type="spellEnd"/>
      <w:r>
        <w:rPr>
          <w:rFonts w:ascii="Times New Roman" w:eastAsia="Times New Roman" w:hAnsi="Times New Roman" w:cs="Times New Roman"/>
          <w:sz w:val="24"/>
          <w:szCs w:val="24"/>
        </w:rPr>
        <w:t xml:space="preserve">, T. (2019). Boards of directors and firm performance: Integrating agency and resource dependence perspectives. </w:t>
      </w:r>
      <w:r>
        <w:rPr>
          <w:rFonts w:ascii="Times New Roman" w:eastAsia="Times New Roman" w:hAnsi="Times New Roman" w:cs="Times New Roman"/>
          <w:i/>
          <w:sz w:val="24"/>
          <w:szCs w:val="24"/>
        </w:rPr>
        <w:t>Academy of Management Review</w:t>
      </w:r>
      <w:r>
        <w:rPr>
          <w:rFonts w:ascii="Times New Roman" w:eastAsia="Times New Roman" w:hAnsi="Times New Roman" w:cs="Times New Roman"/>
          <w:sz w:val="24"/>
          <w:szCs w:val="24"/>
        </w:rPr>
        <w:t>, 28(3), 383–396.</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Imeokparia</w:t>
      </w:r>
      <w:proofErr w:type="spellEnd"/>
      <w:r>
        <w:rPr>
          <w:rFonts w:ascii="Times New Roman" w:eastAsia="Times New Roman" w:hAnsi="Times New Roman" w:cs="Times New Roman"/>
          <w:sz w:val="24"/>
          <w:szCs w:val="24"/>
        </w:rPr>
        <w:t xml:space="preserve">, L. (2021). The role of independent directors in Nigerian firms. </w:t>
      </w:r>
      <w:r>
        <w:rPr>
          <w:rFonts w:ascii="Times New Roman" w:eastAsia="Times New Roman" w:hAnsi="Times New Roman" w:cs="Times New Roman"/>
          <w:i/>
          <w:sz w:val="24"/>
          <w:szCs w:val="24"/>
        </w:rPr>
        <w:t>Nigerian Journal of Business Research</w:t>
      </w:r>
      <w:r>
        <w:rPr>
          <w:rFonts w:ascii="Times New Roman" w:eastAsia="Times New Roman" w:hAnsi="Times New Roman" w:cs="Times New Roman"/>
          <w:sz w:val="24"/>
          <w:szCs w:val="24"/>
        </w:rPr>
        <w:t>, 8(2), 35–49.</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Jensen, M. C., &amp;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xml:space="preserve">, W. H. (1976). Theory of the firm: Managerial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agency costs, and ownership structure. </w:t>
      </w:r>
      <w:r>
        <w:rPr>
          <w:rFonts w:ascii="Times New Roman" w:eastAsia="Times New Roman" w:hAnsi="Times New Roman" w:cs="Times New Roman"/>
          <w:i/>
          <w:sz w:val="24"/>
          <w:szCs w:val="24"/>
        </w:rPr>
        <w:t>Journal of Financial Economics</w:t>
      </w:r>
      <w:r>
        <w:rPr>
          <w:rFonts w:ascii="Times New Roman" w:eastAsia="Times New Roman" w:hAnsi="Times New Roman" w:cs="Times New Roman"/>
          <w:sz w:val="24"/>
          <w:szCs w:val="24"/>
        </w:rPr>
        <w:t>, 3(4), 305–360. https://doi.org/10.1016/0304-</w:t>
      </w:r>
      <w:proofErr w:type="gramStart"/>
      <w:r>
        <w:rPr>
          <w:rFonts w:ascii="Times New Roman" w:eastAsia="Times New Roman" w:hAnsi="Times New Roman" w:cs="Times New Roman"/>
          <w:sz w:val="24"/>
          <w:szCs w:val="24"/>
        </w:rPr>
        <w:t>405X(</w:t>
      </w:r>
      <w:proofErr w:type="gramEnd"/>
      <w:r>
        <w:rPr>
          <w:rFonts w:ascii="Times New Roman" w:eastAsia="Times New Roman" w:hAnsi="Times New Roman" w:cs="Times New Roman"/>
          <w:sz w:val="24"/>
          <w:szCs w:val="24"/>
        </w:rPr>
        <w:t>76)90026-X</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Jensen, M. C., &amp; </w:t>
      </w:r>
      <w:proofErr w:type="spellStart"/>
      <w:r>
        <w:rPr>
          <w:rFonts w:ascii="Times New Roman" w:eastAsia="Times New Roman" w:hAnsi="Times New Roman" w:cs="Times New Roman"/>
          <w:sz w:val="24"/>
          <w:szCs w:val="24"/>
        </w:rPr>
        <w:t>Meckling</w:t>
      </w:r>
      <w:proofErr w:type="spellEnd"/>
      <w:r>
        <w:rPr>
          <w:rFonts w:ascii="Times New Roman" w:eastAsia="Times New Roman" w:hAnsi="Times New Roman" w:cs="Times New Roman"/>
          <w:sz w:val="24"/>
          <w:szCs w:val="24"/>
        </w:rPr>
        <w:t xml:space="preserve">, W. H. (2017). Theory of the firm: Managerial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agency costs, and ownership structure. </w:t>
      </w:r>
      <w:r>
        <w:rPr>
          <w:rFonts w:ascii="Times New Roman" w:eastAsia="Times New Roman" w:hAnsi="Times New Roman" w:cs="Times New Roman"/>
          <w:i/>
          <w:sz w:val="24"/>
          <w:szCs w:val="24"/>
        </w:rPr>
        <w:t>Journal of Financial Economics</w:t>
      </w:r>
      <w:r>
        <w:rPr>
          <w:rFonts w:ascii="Times New Roman" w:eastAsia="Times New Roman" w:hAnsi="Times New Roman" w:cs="Times New Roman"/>
          <w:sz w:val="24"/>
          <w:szCs w:val="24"/>
        </w:rPr>
        <w:t>, 3(4), 305–360.</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Kaplan, R. S., &amp; Norton, D. P. (2015). Financial performance measurement and its critical importance. </w:t>
      </w:r>
      <w:r>
        <w:rPr>
          <w:rFonts w:ascii="Times New Roman" w:eastAsia="Times New Roman" w:hAnsi="Times New Roman" w:cs="Times New Roman"/>
          <w:i/>
          <w:sz w:val="24"/>
          <w:szCs w:val="24"/>
        </w:rPr>
        <w:t>Harvard Business Review</w:t>
      </w:r>
      <w:r>
        <w:rPr>
          <w:rFonts w:ascii="Times New Roman" w:eastAsia="Times New Roman" w:hAnsi="Times New Roman" w:cs="Times New Roman"/>
          <w:sz w:val="24"/>
          <w:szCs w:val="24"/>
        </w:rPr>
        <w:t>, 83(10), 19–31.</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Klein, A. (2017). Audit committee, board of </w:t>
      </w:r>
      <w:proofErr w:type="gramStart"/>
      <w:r>
        <w:rPr>
          <w:rFonts w:ascii="Times New Roman" w:eastAsia="Times New Roman" w:hAnsi="Times New Roman" w:cs="Times New Roman"/>
          <w:sz w:val="24"/>
          <w:szCs w:val="24"/>
        </w:rPr>
        <w:t>directors</w:t>
      </w:r>
      <w:proofErr w:type="gramEnd"/>
      <w:r>
        <w:rPr>
          <w:rFonts w:ascii="Times New Roman" w:eastAsia="Times New Roman" w:hAnsi="Times New Roman" w:cs="Times New Roman"/>
          <w:sz w:val="24"/>
          <w:szCs w:val="24"/>
        </w:rPr>
        <w:t xml:space="preserve"> characteristics, and earnings management. </w:t>
      </w:r>
      <w:r>
        <w:rPr>
          <w:rFonts w:ascii="Times New Roman" w:eastAsia="Times New Roman" w:hAnsi="Times New Roman" w:cs="Times New Roman"/>
          <w:i/>
          <w:sz w:val="24"/>
          <w:szCs w:val="24"/>
        </w:rPr>
        <w:t>Journal of Accounting and Economics</w:t>
      </w:r>
      <w:r>
        <w:rPr>
          <w:rFonts w:ascii="Times New Roman" w:eastAsia="Times New Roman" w:hAnsi="Times New Roman" w:cs="Times New Roman"/>
          <w:sz w:val="24"/>
          <w:szCs w:val="24"/>
        </w:rPr>
        <w:t>, 33(3), 375–400.</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Kufo</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Shtembari</w:t>
      </w:r>
      <w:proofErr w:type="spellEnd"/>
      <w:r>
        <w:rPr>
          <w:rFonts w:ascii="Times New Roman" w:eastAsia="Times New Roman" w:hAnsi="Times New Roman" w:cs="Times New Roman"/>
          <w:sz w:val="24"/>
          <w:szCs w:val="24"/>
        </w:rPr>
        <w:t xml:space="preserve">, E. (2023). Ownership concentration and corporate performance: Evidence from emerging markets. </w:t>
      </w:r>
      <w:r>
        <w:rPr>
          <w:rFonts w:ascii="Times New Roman" w:eastAsia="Times New Roman" w:hAnsi="Times New Roman" w:cs="Times New Roman"/>
          <w:i/>
          <w:sz w:val="24"/>
          <w:szCs w:val="24"/>
        </w:rPr>
        <w:t>Journal of Corporate Finance</w:t>
      </w:r>
      <w:r>
        <w:rPr>
          <w:rFonts w:ascii="Times New Roman" w:eastAsia="Times New Roman" w:hAnsi="Times New Roman" w:cs="Times New Roman"/>
          <w:sz w:val="24"/>
          <w:szCs w:val="24"/>
        </w:rPr>
        <w:t>, 28(4), 78–95.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Lipton, M., &amp; </w:t>
      </w:r>
      <w:proofErr w:type="spellStart"/>
      <w:r>
        <w:rPr>
          <w:rFonts w:ascii="Times New Roman" w:eastAsia="Times New Roman" w:hAnsi="Times New Roman" w:cs="Times New Roman"/>
          <w:sz w:val="24"/>
          <w:szCs w:val="24"/>
        </w:rPr>
        <w:t>Lorsch</w:t>
      </w:r>
      <w:proofErr w:type="spellEnd"/>
      <w:r>
        <w:rPr>
          <w:rFonts w:ascii="Times New Roman" w:eastAsia="Times New Roman" w:hAnsi="Times New Roman" w:cs="Times New Roman"/>
          <w:sz w:val="24"/>
          <w:szCs w:val="24"/>
        </w:rPr>
        <w:t xml:space="preserve">, J. W. (2018). A modest proposal for improved corporate governance. </w:t>
      </w:r>
      <w:r>
        <w:rPr>
          <w:rFonts w:ascii="Times New Roman" w:eastAsia="Times New Roman" w:hAnsi="Times New Roman" w:cs="Times New Roman"/>
          <w:i/>
          <w:sz w:val="24"/>
          <w:szCs w:val="24"/>
        </w:rPr>
        <w:t>Business Lawyer</w:t>
      </w:r>
      <w:r>
        <w:rPr>
          <w:rFonts w:ascii="Times New Roman" w:eastAsia="Times New Roman" w:hAnsi="Times New Roman" w:cs="Times New Roman"/>
          <w:sz w:val="24"/>
          <w:szCs w:val="24"/>
        </w:rPr>
        <w:t>, 48(1), 59–77.</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Mandal</w:t>
      </w:r>
      <w:proofErr w:type="spellEnd"/>
      <w:r>
        <w:rPr>
          <w:rFonts w:ascii="Times New Roman" w:eastAsia="Times New Roman" w:hAnsi="Times New Roman" w:cs="Times New Roman"/>
          <w:sz w:val="24"/>
          <w:szCs w:val="24"/>
        </w:rPr>
        <w:t xml:space="preserve">, M., &amp; Al-Khaled, W. (2018). Impact of corporate governance on the financial performance of Indian electronic consumer durables companies. </w:t>
      </w:r>
      <w:r>
        <w:rPr>
          <w:rFonts w:ascii="Times New Roman" w:eastAsia="Times New Roman" w:hAnsi="Times New Roman" w:cs="Times New Roman"/>
          <w:i/>
          <w:sz w:val="24"/>
          <w:szCs w:val="24"/>
        </w:rPr>
        <w:t>International Journal of Scientific and Research Publications</w:t>
      </w:r>
      <w:r>
        <w:rPr>
          <w:rFonts w:ascii="Times New Roman" w:eastAsia="Times New Roman" w:hAnsi="Times New Roman" w:cs="Times New Roman"/>
          <w:sz w:val="24"/>
          <w:szCs w:val="24"/>
        </w:rPr>
        <w:t>, 4(9), 451–454.</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Mitchell, R. K., </w:t>
      </w:r>
      <w:proofErr w:type="spellStart"/>
      <w:r>
        <w:rPr>
          <w:rFonts w:ascii="Times New Roman" w:eastAsia="Times New Roman" w:hAnsi="Times New Roman" w:cs="Times New Roman"/>
          <w:sz w:val="24"/>
          <w:szCs w:val="24"/>
        </w:rPr>
        <w:t>Agle</w:t>
      </w:r>
      <w:proofErr w:type="spellEnd"/>
      <w:r>
        <w:rPr>
          <w:rFonts w:ascii="Times New Roman" w:eastAsia="Times New Roman" w:hAnsi="Times New Roman" w:cs="Times New Roman"/>
          <w:sz w:val="24"/>
          <w:szCs w:val="24"/>
        </w:rPr>
        <w:t xml:space="preserve">, B. R., &amp; Wood, D. J. (1997). Toward a theory of stakeholder identification and salience. </w:t>
      </w:r>
      <w:r>
        <w:rPr>
          <w:rFonts w:ascii="Times New Roman" w:eastAsia="Times New Roman" w:hAnsi="Times New Roman" w:cs="Times New Roman"/>
          <w:i/>
          <w:sz w:val="24"/>
          <w:szCs w:val="24"/>
        </w:rPr>
        <w:t>Academy of Management Review</w:t>
      </w:r>
      <w:r>
        <w:rPr>
          <w:rFonts w:ascii="Times New Roman" w:eastAsia="Times New Roman" w:hAnsi="Times New Roman" w:cs="Times New Roman"/>
          <w:sz w:val="24"/>
          <w:szCs w:val="24"/>
        </w:rPr>
        <w:t>, 22(4), 853–886.</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Ndidu</w:t>
      </w:r>
      <w:proofErr w:type="spellEnd"/>
      <w:r>
        <w:rPr>
          <w:rFonts w:ascii="Times New Roman" w:eastAsia="Times New Roman" w:hAnsi="Times New Roman" w:cs="Times New Roman"/>
          <w:sz w:val="24"/>
          <w:szCs w:val="24"/>
        </w:rPr>
        <w:t xml:space="preserve">, J. (2017). </w:t>
      </w:r>
      <w:r>
        <w:rPr>
          <w:rFonts w:ascii="Times New Roman" w:eastAsia="Times New Roman" w:hAnsi="Times New Roman" w:cs="Times New Roman"/>
          <w:i/>
          <w:sz w:val="24"/>
          <w:szCs w:val="24"/>
        </w:rPr>
        <w:t>Impact of corporate governance on the financial performance of deposit money banks in Nigeria</w:t>
      </w:r>
      <w:r>
        <w:rPr>
          <w:rFonts w:ascii="Times New Roman" w:eastAsia="Times New Roman" w:hAnsi="Times New Roman" w:cs="Times New Roman"/>
          <w:sz w:val="24"/>
          <w:szCs w:val="24"/>
        </w:rPr>
        <w:t xml:space="preserve"> [Master's thesis, Delta State University].</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Ndum</w:t>
      </w:r>
      <w:proofErr w:type="spellEnd"/>
      <w:r>
        <w:rPr>
          <w:rFonts w:ascii="Times New Roman" w:eastAsia="Times New Roman" w:hAnsi="Times New Roman" w:cs="Times New Roman"/>
          <w:sz w:val="24"/>
          <w:szCs w:val="24"/>
        </w:rPr>
        <w:t xml:space="preserve">, N., &amp; </w:t>
      </w:r>
      <w:proofErr w:type="spellStart"/>
      <w:r>
        <w:rPr>
          <w:rFonts w:ascii="Times New Roman" w:eastAsia="Times New Roman" w:hAnsi="Times New Roman" w:cs="Times New Roman"/>
          <w:sz w:val="24"/>
          <w:szCs w:val="24"/>
        </w:rPr>
        <w:t>Oranefo</w:t>
      </w:r>
      <w:proofErr w:type="spellEnd"/>
      <w:r>
        <w:rPr>
          <w:rFonts w:ascii="Times New Roman" w:eastAsia="Times New Roman" w:hAnsi="Times New Roman" w:cs="Times New Roman"/>
          <w:sz w:val="24"/>
          <w:szCs w:val="24"/>
        </w:rPr>
        <w:t xml:space="preserve">, P. (2021). Corporate governance and firm performance: A study of conglomerates in Nigeria. </w:t>
      </w:r>
      <w:r>
        <w:rPr>
          <w:rFonts w:ascii="Times New Roman" w:eastAsia="Times New Roman" w:hAnsi="Times New Roman" w:cs="Times New Roman"/>
          <w:i/>
          <w:sz w:val="24"/>
          <w:szCs w:val="24"/>
        </w:rPr>
        <w:t>International Journal of Business and Law Research</w:t>
      </w:r>
      <w:r>
        <w:rPr>
          <w:rFonts w:ascii="Times New Roman" w:eastAsia="Times New Roman" w:hAnsi="Times New Roman" w:cs="Times New Roman"/>
          <w:sz w:val="24"/>
          <w:szCs w:val="24"/>
        </w:rPr>
        <w:t>, 9(2), 11–23.</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Nicholson, G. J., &amp; Kiel, G. C. (2017). Can directors impact performance? A case-based test of three theories of corporate governance. </w:t>
      </w:r>
      <w:r>
        <w:rPr>
          <w:rFonts w:ascii="Times New Roman" w:eastAsia="Times New Roman" w:hAnsi="Times New Roman" w:cs="Times New Roman"/>
          <w:i/>
          <w:sz w:val="24"/>
          <w:szCs w:val="24"/>
        </w:rPr>
        <w:t>Corporate Governance: An International Review</w:t>
      </w:r>
      <w:r>
        <w:rPr>
          <w:rFonts w:ascii="Times New Roman" w:eastAsia="Times New Roman" w:hAnsi="Times New Roman" w:cs="Times New Roman"/>
          <w:sz w:val="24"/>
          <w:szCs w:val="24"/>
        </w:rPr>
        <w:t>, 15(4), 585–608.</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Obafemi</w:t>
      </w:r>
      <w:proofErr w:type="spellEnd"/>
      <w:r>
        <w:rPr>
          <w:rFonts w:ascii="Times New Roman" w:eastAsia="Times New Roman" w:hAnsi="Times New Roman" w:cs="Times New Roman"/>
          <w:sz w:val="24"/>
          <w:szCs w:val="24"/>
        </w:rPr>
        <w:t xml:space="preserve">, S. (2020). Information systems in board decision-making processes. </w:t>
      </w:r>
      <w:r>
        <w:rPr>
          <w:rFonts w:ascii="Times New Roman" w:eastAsia="Times New Roman" w:hAnsi="Times New Roman" w:cs="Times New Roman"/>
          <w:i/>
          <w:sz w:val="24"/>
          <w:szCs w:val="24"/>
        </w:rPr>
        <w:t>International Journal of Governance Studies</w:t>
      </w:r>
      <w:r>
        <w:rPr>
          <w:rFonts w:ascii="Times New Roman" w:eastAsia="Times New Roman" w:hAnsi="Times New Roman" w:cs="Times New Roman"/>
          <w:sz w:val="24"/>
          <w:szCs w:val="24"/>
        </w:rPr>
        <w:t>, 7(2), 50–68.</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Obafemi</w:t>
      </w:r>
      <w:proofErr w:type="spellEnd"/>
      <w:r>
        <w:rPr>
          <w:rFonts w:ascii="Times New Roman" w:eastAsia="Times New Roman" w:hAnsi="Times New Roman" w:cs="Times New Roman"/>
          <w:sz w:val="24"/>
          <w:szCs w:val="24"/>
        </w:rPr>
        <w:t xml:space="preserve">, T., &amp; </w:t>
      </w:r>
      <w:proofErr w:type="spellStart"/>
      <w:r>
        <w:rPr>
          <w:rFonts w:ascii="Times New Roman" w:eastAsia="Times New Roman" w:hAnsi="Times New Roman" w:cs="Times New Roman"/>
          <w:sz w:val="24"/>
          <w:szCs w:val="24"/>
        </w:rPr>
        <w:t>Adeyemi</w:t>
      </w:r>
      <w:proofErr w:type="spellEnd"/>
      <w:r>
        <w:rPr>
          <w:rFonts w:ascii="Times New Roman" w:eastAsia="Times New Roman" w:hAnsi="Times New Roman" w:cs="Times New Roman"/>
          <w:sz w:val="24"/>
          <w:szCs w:val="24"/>
        </w:rPr>
        <w:t xml:space="preserve">, S. (2022). Evaluating boardroom effectiveness in Nigeria. </w:t>
      </w:r>
      <w:r>
        <w:rPr>
          <w:rFonts w:ascii="Times New Roman" w:eastAsia="Times New Roman" w:hAnsi="Times New Roman" w:cs="Times New Roman"/>
          <w:i/>
          <w:sz w:val="24"/>
          <w:szCs w:val="24"/>
        </w:rPr>
        <w:t>Nigerian Business Review Journal</w:t>
      </w:r>
      <w:r>
        <w:rPr>
          <w:rFonts w:ascii="Times New Roman" w:eastAsia="Times New Roman" w:hAnsi="Times New Roman" w:cs="Times New Roman"/>
          <w:sz w:val="24"/>
          <w:szCs w:val="24"/>
        </w:rPr>
        <w:t>, 14(3), 61–82.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Ochego</w:t>
      </w:r>
      <w:proofErr w:type="spellEnd"/>
      <w:r>
        <w:rPr>
          <w:rFonts w:ascii="Times New Roman" w:eastAsia="Times New Roman" w:hAnsi="Times New Roman" w:cs="Times New Roman"/>
          <w:sz w:val="24"/>
          <w:szCs w:val="24"/>
        </w:rPr>
        <w:t xml:space="preserve">, E. M., </w:t>
      </w:r>
      <w:proofErr w:type="spellStart"/>
      <w:r>
        <w:rPr>
          <w:rFonts w:ascii="Times New Roman" w:eastAsia="Times New Roman" w:hAnsi="Times New Roman" w:cs="Times New Roman"/>
          <w:sz w:val="24"/>
          <w:szCs w:val="24"/>
        </w:rPr>
        <w:t>Omagwa</w:t>
      </w:r>
      <w:proofErr w:type="spellEnd"/>
      <w:r>
        <w:rPr>
          <w:rFonts w:ascii="Times New Roman" w:eastAsia="Times New Roman" w:hAnsi="Times New Roman" w:cs="Times New Roman"/>
          <w:sz w:val="24"/>
          <w:szCs w:val="24"/>
        </w:rPr>
        <w:t xml:space="preserve">, J., &amp; </w:t>
      </w:r>
      <w:proofErr w:type="spellStart"/>
      <w:r>
        <w:rPr>
          <w:rFonts w:ascii="Times New Roman" w:eastAsia="Times New Roman" w:hAnsi="Times New Roman" w:cs="Times New Roman"/>
          <w:sz w:val="24"/>
          <w:szCs w:val="24"/>
        </w:rPr>
        <w:t>Muathe</w:t>
      </w:r>
      <w:proofErr w:type="spellEnd"/>
      <w:r>
        <w:rPr>
          <w:rFonts w:ascii="Times New Roman" w:eastAsia="Times New Roman" w:hAnsi="Times New Roman" w:cs="Times New Roman"/>
          <w:sz w:val="24"/>
          <w:szCs w:val="24"/>
        </w:rPr>
        <w:t xml:space="preserve">, S. (2019). Corporate governance, financial performance and firm value: A case of commercial banks in Kenya. </w:t>
      </w:r>
      <w:r>
        <w:rPr>
          <w:rFonts w:ascii="Times New Roman" w:eastAsia="Times New Roman" w:hAnsi="Times New Roman" w:cs="Times New Roman"/>
          <w:i/>
          <w:sz w:val="24"/>
          <w:szCs w:val="24"/>
        </w:rPr>
        <w:t>International Journal of Finance and Banking Studies</w:t>
      </w:r>
      <w:r>
        <w:rPr>
          <w:rFonts w:ascii="Times New Roman" w:eastAsia="Times New Roman" w:hAnsi="Times New Roman" w:cs="Times New Roman"/>
          <w:sz w:val="24"/>
          <w:szCs w:val="24"/>
        </w:rPr>
        <w:t>, 8(4), 41–48.</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Ogundipe</w:t>
      </w:r>
      <w:proofErr w:type="spellEnd"/>
      <w:r>
        <w:rPr>
          <w:rFonts w:ascii="Times New Roman" w:eastAsia="Times New Roman" w:hAnsi="Times New Roman" w:cs="Times New Roman"/>
          <w:sz w:val="24"/>
          <w:szCs w:val="24"/>
        </w:rPr>
        <w:t xml:space="preserve">, S. O., </w:t>
      </w:r>
      <w:proofErr w:type="spellStart"/>
      <w:r>
        <w:rPr>
          <w:rFonts w:ascii="Times New Roman" w:eastAsia="Times New Roman" w:hAnsi="Times New Roman" w:cs="Times New Roman"/>
          <w:sz w:val="24"/>
          <w:szCs w:val="24"/>
        </w:rPr>
        <w:t>Idowu</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Ogundipe</w:t>
      </w:r>
      <w:proofErr w:type="spellEnd"/>
      <w:r>
        <w:rPr>
          <w:rFonts w:ascii="Times New Roman" w:eastAsia="Times New Roman" w:hAnsi="Times New Roman" w:cs="Times New Roman"/>
          <w:sz w:val="24"/>
          <w:szCs w:val="24"/>
        </w:rPr>
        <w:t xml:space="preserve">, L. (2020). Predicting financial distress in Nigerian firms. </w:t>
      </w:r>
      <w:r>
        <w:rPr>
          <w:rFonts w:ascii="Times New Roman" w:eastAsia="Times New Roman" w:hAnsi="Times New Roman" w:cs="Times New Roman"/>
          <w:i/>
          <w:sz w:val="24"/>
          <w:szCs w:val="24"/>
        </w:rPr>
        <w:t>African Journal of Business Management</w:t>
      </w:r>
      <w:r>
        <w:rPr>
          <w:rFonts w:ascii="Times New Roman" w:eastAsia="Times New Roman" w:hAnsi="Times New Roman" w:cs="Times New Roman"/>
          <w:sz w:val="24"/>
          <w:szCs w:val="24"/>
        </w:rPr>
        <w:t>, 9(11), 33–47.</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Ogunsuyi</w:t>
      </w:r>
      <w:proofErr w:type="spellEnd"/>
      <w:r>
        <w:rPr>
          <w:rFonts w:ascii="Times New Roman" w:eastAsia="Times New Roman" w:hAnsi="Times New Roman" w:cs="Times New Roman"/>
          <w:sz w:val="24"/>
          <w:szCs w:val="24"/>
        </w:rPr>
        <w:t xml:space="preserve">, O. (2022). Effect of corporate governance on firm performance in Nigeria. </w:t>
      </w:r>
      <w:proofErr w:type="spellStart"/>
      <w:r>
        <w:rPr>
          <w:rFonts w:ascii="Times New Roman" w:eastAsia="Times New Roman" w:hAnsi="Times New Roman" w:cs="Times New Roman"/>
          <w:i/>
          <w:sz w:val="24"/>
          <w:szCs w:val="24"/>
        </w:rPr>
        <w:t>Economia</w:t>
      </w:r>
      <w:proofErr w:type="spellEnd"/>
      <w:r>
        <w:rPr>
          <w:rFonts w:ascii="Times New Roman" w:eastAsia="Times New Roman" w:hAnsi="Times New Roman" w:cs="Times New Roman"/>
          <w:sz w:val="24"/>
          <w:szCs w:val="24"/>
        </w:rPr>
        <w:t>, 15(2/II), 82–97.</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Okike</w:t>
      </w:r>
      <w:proofErr w:type="spellEnd"/>
      <w:r>
        <w:rPr>
          <w:rFonts w:ascii="Times New Roman" w:eastAsia="Times New Roman" w:hAnsi="Times New Roman" w:cs="Times New Roman"/>
          <w:sz w:val="24"/>
          <w:szCs w:val="24"/>
        </w:rPr>
        <w:t xml:space="preserve">, E. N. M. (2017). Corporate governance in Nigeria: The status quo. </w:t>
      </w:r>
      <w:r>
        <w:rPr>
          <w:rFonts w:ascii="Times New Roman" w:eastAsia="Times New Roman" w:hAnsi="Times New Roman" w:cs="Times New Roman"/>
          <w:i/>
          <w:sz w:val="24"/>
          <w:szCs w:val="24"/>
        </w:rPr>
        <w:t>The Nigerian Accountant</w:t>
      </w:r>
      <w:r>
        <w:rPr>
          <w:rFonts w:ascii="Times New Roman" w:eastAsia="Times New Roman" w:hAnsi="Times New Roman" w:cs="Times New Roman"/>
          <w:sz w:val="24"/>
          <w:szCs w:val="24"/>
        </w:rPr>
        <w:t>, 50(2), 34–41.</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Okike</w:t>
      </w:r>
      <w:proofErr w:type="spellEnd"/>
      <w:r>
        <w:rPr>
          <w:rFonts w:ascii="Times New Roman" w:eastAsia="Times New Roman" w:hAnsi="Times New Roman" w:cs="Times New Roman"/>
          <w:sz w:val="24"/>
          <w:szCs w:val="24"/>
        </w:rPr>
        <w:t xml:space="preserve">, E. N. M. (2019). Corporate governance reforms in Nigeria: Lessons learned. </w:t>
      </w:r>
      <w:r>
        <w:rPr>
          <w:rFonts w:ascii="Times New Roman" w:eastAsia="Times New Roman" w:hAnsi="Times New Roman" w:cs="Times New Roman"/>
          <w:i/>
          <w:sz w:val="24"/>
          <w:szCs w:val="24"/>
        </w:rPr>
        <w:t>Journal of Corporate Governance and Business Ethics</w:t>
      </w:r>
      <w:r>
        <w:rPr>
          <w:rFonts w:ascii="Times New Roman" w:eastAsia="Times New Roman" w:hAnsi="Times New Roman" w:cs="Times New Roman"/>
          <w:sz w:val="24"/>
          <w:szCs w:val="24"/>
        </w:rPr>
        <w:t>, 5(1), 1–20.</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Oladele</w:t>
      </w:r>
      <w:proofErr w:type="spellEnd"/>
      <w:r>
        <w:rPr>
          <w:rFonts w:ascii="Times New Roman" w:eastAsia="Times New Roman" w:hAnsi="Times New Roman" w:cs="Times New Roman"/>
          <w:sz w:val="24"/>
          <w:szCs w:val="24"/>
        </w:rPr>
        <w:t xml:space="preserve">, T. A., &amp; </w:t>
      </w:r>
      <w:proofErr w:type="spellStart"/>
      <w:r>
        <w:rPr>
          <w:rFonts w:ascii="Times New Roman" w:eastAsia="Times New Roman" w:hAnsi="Times New Roman" w:cs="Times New Roman"/>
          <w:sz w:val="24"/>
          <w:szCs w:val="24"/>
        </w:rPr>
        <w:t>Adekunle</w:t>
      </w:r>
      <w:proofErr w:type="spellEnd"/>
      <w:r>
        <w:rPr>
          <w:rFonts w:ascii="Times New Roman" w:eastAsia="Times New Roman" w:hAnsi="Times New Roman" w:cs="Times New Roman"/>
          <w:sz w:val="24"/>
          <w:szCs w:val="24"/>
        </w:rPr>
        <w:t xml:space="preserve">, S. O. (2019). The role of audit committees in Nigerian firms. </w:t>
      </w:r>
      <w:r>
        <w:rPr>
          <w:rFonts w:ascii="Times New Roman" w:eastAsia="Times New Roman" w:hAnsi="Times New Roman" w:cs="Times New Roman"/>
          <w:i/>
          <w:sz w:val="24"/>
          <w:szCs w:val="24"/>
        </w:rPr>
        <w:t>Journal of Financial Reporting and Governance</w:t>
      </w:r>
      <w:r>
        <w:rPr>
          <w:rFonts w:ascii="Times New Roman" w:eastAsia="Times New Roman" w:hAnsi="Times New Roman" w:cs="Times New Roman"/>
          <w:sz w:val="24"/>
          <w:szCs w:val="24"/>
        </w:rPr>
        <w:t>, 6(4), 22–39.</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Oladipo</w:t>
      </w:r>
      <w:proofErr w:type="spellEnd"/>
      <w:r>
        <w:rPr>
          <w:rFonts w:ascii="Times New Roman" w:eastAsia="Times New Roman" w:hAnsi="Times New Roman" w:cs="Times New Roman"/>
          <w:sz w:val="24"/>
          <w:szCs w:val="24"/>
        </w:rPr>
        <w:t xml:space="preserve">, J. B., &amp; </w:t>
      </w:r>
      <w:proofErr w:type="spellStart"/>
      <w:r>
        <w:rPr>
          <w:rFonts w:ascii="Times New Roman" w:eastAsia="Times New Roman" w:hAnsi="Times New Roman" w:cs="Times New Roman"/>
          <w:sz w:val="24"/>
          <w:szCs w:val="24"/>
        </w:rPr>
        <w:t>Adeyemi</w:t>
      </w:r>
      <w:proofErr w:type="spellEnd"/>
      <w:r>
        <w:rPr>
          <w:rFonts w:ascii="Times New Roman" w:eastAsia="Times New Roman" w:hAnsi="Times New Roman" w:cs="Times New Roman"/>
          <w:sz w:val="24"/>
          <w:szCs w:val="24"/>
        </w:rPr>
        <w:t xml:space="preserve">, K. O. (2020). Firm size as a moderator in governance-performance relationships in Nigerian firms. </w:t>
      </w:r>
      <w:r>
        <w:rPr>
          <w:rFonts w:ascii="Times New Roman" w:eastAsia="Times New Roman" w:hAnsi="Times New Roman" w:cs="Times New Roman"/>
          <w:i/>
          <w:sz w:val="24"/>
          <w:szCs w:val="24"/>
        </w:rPr>
        <w:t>Journal of Corporate Governance Research</w:t>
      </w:r>
      <w:r>
        <w:rPr>
          <w:rFonts w:ascii="Times New Roman" w:eastAsia="Times New Roman" w:hAnsi="Times New Roman" w:cs="Times New Roman"/>
          <w:sz w:val="24"/>
          <w:szCs w:val="24"/>
        </w:rPr>
        <w:t>, 7(1), 20–38.</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Olowookere</w:t>
      </w:r>
      <w:proofErr w:type="spellEnd"/>
      <w:r>
        <w:rPr>
          <w:rFonts w:ascii="Times New Roman" w:eastAsia="Times New Roman" w:hAnsi="Times New Roman" w:cs="Times New Roman"/>
          <w:sz w:val="24"/>
          <w:szCs w:val="24"/>
        </w:rPr>
        <w:t xml:space="preserve">, J. K., &amp; </w:t>
      </w:r>
      <w:proofErr w:type="spellStart"/>
      <w:r>
        <w:rPr>
          <w:rFonts w:ascii="Times New Roman" w:eastAsia="Times New Roman" w:hAnsi="Times New Roman" w:cs="Times New Roman"/>
          <w:sz w:val="24"/>
          <w:szCs w:val="24"/>
        </w:rPr>
        <w:t>Fasina</w:t>
      </w:r>
      <w:proofErr w:type="spellEnd"/>
      <w:r>
        <w:rPr>
          <w:rFonts w:ascii="Times New Roman" w:eastAsia="Times New Roman" w:hAnsi="Times New Roman" w:cs="Times New Roman"/>
          <w:sz w:val="24"/>
          <w:szCs w:val="24"/>
        </w:rPr>
        <w:t xml:space="preserve">, H. T. (2019). Financial reporting quality in Nigeria. </w:t>
      </w:r>
      <w:r>
        <w:rPr>
          <w:rFonts w:ascii="Times New Roman" w:eastAsia="Times New Roman" w:hAnsi="Times New Roman" w:cs="Times New Roman"/>
          <w:i/>
          <w:sz w:val="24"/>
          <w:szCs w:val="24"/>
        </w:rPr>
        <w:t>International Journal of Business and Management Review</w:t>
      </w:r>
      <w:r>
        <w:rPr>
          <w:rFonts w:ascii="Times New Roman" w:eastAsia="Times New Roman" w:hAnsi="Times New Roman" w:cs="Times New Roman"/>
          <w:sz w:val="24"/>
          <w:szCs w:val="24"/>
        </w:rPr>
        <w:t>, 7(5), 45–57.</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Omorokunwa</w:t>
      </w:r>
      <w:proofErr w:type="spellEnd"/>
      <w:r>
        <w:rPr>
          <w:rFonts w:ascii="Times New Roman" w:eastAsia="Times New Roman" w:hAnsi="Times New Roman" w:cs="Times New Roman"/>
          <w:sz w:val="24"/>
          <w:szCs w:val="24"/>
        </w:rPr>
        <w:t xml:space="preserve">, O. G., &amp; </w:t>
      </w:r>
      <w:proofErr w:type="spellStart"/>
      <w:r>
        <w:rPr>
          <w:rFonts w:ascii="Times New Roman" w:eastAsia="Times New Roman" w:hAnsi="Times New Roman" w:cs="Times New Roman"/>
          <w:sz w:val="24"/>
          <w:szCs w:val="24"/>
        </w:rPr>
        <w:t>Idubor</w:t>
      </w:r>
      <w:proofErr w:type="spellEnd"/>
      <w:r>
        <w:rPr>
          <w:rFonts w:ascii="Times New Roman" w:eastAsia="Times New Roman" w:hAnsi="Times New Roman" w:cs="Times New Roman"/>
          <w:sz w:val="24"/>
          <w:szCs w:val="24"/>
        </w:rPr>
        <w:t xml:space="preserve">, E. E. (2023). Ownership concentration and corporate governance in Nigerian listed companies. </w:t>
      </w:r>
      <w:r>
        <w:rPr>
          <w:rFonts w:ascii="Times New Roman" w:eastAsia="Times New Roman" w:hAnsi="Times New Roman" w:cs="Times New Roman"/>
          <w:i/>
          <w:sz w:val="24"/>
          <w:szCs w:val="24"/>
        </w:rPr>
        <w:t>African Journal of Business Management</w:t>
      </w:r>
      <w:r>
        <w:rPr>
          <w:rFonts w:ascii="Times New Roman" w:eastAsia="Times New Roman" w:hAnsi="Times New Roman" w:cs="Times New Roman"/>
          <w:sz w:val="24"/>
          <w:szCs w:val="24"/>
        </w:rPr>
        <w:t>, 17(3), 89–105.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Paniagua</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Rivelles</w:t>
      </w:r>
      <w:proofErr w:type="spellEnd"/>
      <w:r>
        <w:rPr>
          <w:rFonts w:ascii="Times New Roman" w:eastAsia="Times New Roman" w:hAnsi="Times New Roman" w:cs="Times New Roman"/>
          <w:sz w:val="24"/>
          <w:szCs w:val="24"/>
        </w:rPr>
        <w:t xml:space="preserve">, R., &amp; </w:t>
      </w:r>
      <w:proofErr w:type="spellStart"/>
      <w:r>
        <w:rPr>
          <w:rFonts w:ascii="Times New Roman" w:eastAsia="Times New Roman" w:hAnsi="Times New Roman" w:cs="Times New Roman"/>
          <w:sz w:val="24"/>
          <w:szCs w:val="24"/>
        </w:rPr>
        <w:t>Sapena</w:t>
      </w:r>
      <w:proofErr w:type="spellEnd"/>
      <w:r>
        <w:rPr>
          <w:rFonts w:ascii="Times New Roman" w:eastAsia="Times New Roman" w:hAnsi="Times New Roman" w:cs="Times New Roman"/>
          <w:sz w:val="24"/>
          <w:szCs w:val="24"/>
        </w:rPr>
        <w:t xml:space="preserve">, J. (2018). Corporate governance and financial performance: The role of ownership structure and board of directors. </w:t>
      </w:r>
      <w:r>
        <w:rPr>
          <w:rFonts w:ascii="Times New Roman" w:eastAsia="Times New Roman" w:hAnsi="Times New Roman" w:cs="Times New Roman"/>
          <w:i/>
          <w:sz w:val="24"/>
          <w:szCs w:val="24"/>
        </w:rPr>
        <w:t>BRQ Business Research Quarterly</w:t>
      </w:r>
      <w:r>
        <w:rPr>
          <w:rFonts w:ascii="Times New Roman" w:eastAsia="Times New Roman" w:hAnsi="Times New Roman" w:cs="Times New Roman"/>
          <w:sz w:val="24"/>
          <w:szCs w:val="24"/>
        </w:rPr>
        <w:t>, 21(1), 39–50. https://doi.org/10.1016/j.brq.2017.07.001</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Phillips, R. A., Freeman, R. E., &amp; Wicks, A. C. (2003). What stakeholder theory is </w:t>
      </w:r>
      <w:proofErr w:type="gramStart"/>
      <w:r>
        <w:rPr>
          <w:rFonts w:ascii="Times New Roman" w:eastAsia="Times New Roman" w:hAnsi="Times New Roman" w:cs="Times New Roman"/>
          <w:sz w:val="24"/>
          <w:szCs w:val="24"/>
        </w:rPr>
        <w:t>not.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Business Ethics Quarterly</w:t>
      </w:r>
      <w:r>
        <w:rPr>
          <w:rFonts w:ascii="Times New Roman" w:eastAsia="Times New Roman" w:hAnsi="Times New Roman" w:cs="Times New Roman"/>
          <w:sz w:val="24"/>
          <w:szCs w:val="24"/>
        </w:rPr>
        <w:t>, 13(4), 479–502.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Sani</w:t>
      </w:r>
      <w:proofErr w:type="spellEnd"/>
      <w:r>
        <w:rPr>
          <w:rFonts w:ascii="Times New Roman" w:eastAsia="Times New Roman" w:hAnsi="Times New Roman" w:cs="Times New Roman"/>
          <w:sz w:val="24"/>
          <w:szCs w:val="24"/>
        </w:rPr>
        <w:t xml:space="preserve">, S. U., Muhammad, A., &amp; </w:t>
      </w:r>
      <w:proofErr w:type="spellStart"/>
      <w:r>
        <w:rPr>
          <w:rFonts w:ascii="Times New Roman" w:eastAsia="Times New Roman" w:hAnsi="Times New Roman" w:cs="Times New Roman"/>
          <w:sz w:val="24"/>
          <w:szCs w:val="24"/>
        </w:rPr>
        <w:t>Tukur</w:t>
      </w:r>
      <w:proofErr w:type="spellEnd"/>
      <w:r>
        <w:rPr>
          <w:rFonts w:ascii="Times New Roman" w:eastAsia="Times New Roman" w:hAnsi="Times New Roman" w:cs="Times New Roman"/>
          <w:sz w:val="24"/>
          <w:szCs w:val="24"/>
        </w:rPr>
        <w:t xml:space="preserve">, A. (2019). Corporate governance and financial performance of deposit money banks in Nigeria. </w:t>
      </w:r>
      <w:r>
        <w:rPr>
          <w:rFonts w:ascii="Times New Roman" w:eastAsia="Times New Roman" w:hAnsi="Times New Roman" w:cs="Times New Roman"/>
          <w:i/>
          <w:sz w:val="24"/>
          <w:szCs w:val="24"/>
        </w:rPr>
        <w:t>International Journal of Business, Economics and Law</w:t>
      </w:r>
      <w:r>
        <w:rPr>
          <w:rFonts w:ascii="Times New Roman" w:eastAsia="Times New Roman" w:hAnsi="Times New Roman" w:cs="Times New Roman"/>
          <w:sz w:val="24"/>
          <w:szCs w:val="24"/>
        </w:rPr>
        <w:t>, 2(4), 88–94.</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Seidman</w:t>
      </w:r>
      <w:proofErr w:type="spellEnd"/>
      <w:r>
        <w:rPr>
          <w:rFonts w:ascii="Times New Roman" w:eastAsia="Times New Roman" w:hAnsi="Times New Roman" w:cs="Times New Roman"/>
          <w:sz w:val="24"/>
          <w:szCs w:val="24"/>
        </w:rPr>
        <w:t xml:space="preserve">, J. K., &amp; </w:t>
      </w:r>
      <w:proofErr w:type="spellStart"/>
      <w:r>
        <w:rPr>
          <w:rFonts w:ascii="Times New Roman" w:eastAsia="Times New Roman" w:hAnsi="Times New Roman" w:cs="Times New Roman"/>
          <w:sz w:val="24"/>
          <w:szCs w:val="24"/>
        </w:rPr>
        <w:t>Stomberg</w:t>
      </w:r>
      <w:proofErr w:type="spellEnd"/>
      <w:r>
        <w:rPr>
          <w:rFonts w:ascii="Times New Roman" w:eastAsia="Times New Roman" w:hAnsi="Times New Roman" w:cs="Times New Roman"/>
          <w:sz w:val="24"/>
          <w:szCs w:val="24"/>
        </w:rPr>
        <w:t xml:space="preserve">, B. (2017). Equity compensation and earnings management: Evidence from the field. </w:t>
      </w:r>
      <w:r>
        <w:rPr>
          <w:rFonts w:ascii="Times New Roman" w:eastAsia="Times New Roman" w:hAnsi="Times New Roman" w:cs="Times New Roman"/>
          <w:i/>
          <w:sz w:val="24"/>
          <w:szCs w:val="24"/>
        </w:rPr>
        <w:t>The Accounting Review</w:t>
      </w:r>
      <w:r>
        <w:rPr>
          <w:rFonts w:ascii="Times New Roman" w:eastAsia="Times New Roman" w:hAnsi="Times New Roman" w:cs="Times New Roman"/>
          <w:sz w:val="24"/>
          <w:szCs w:val="24"/>
        </w:rPr>
        <w:t>, 92(4), 189–219.</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Shleifer</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Vishny</w:t>
      </w:r>
      <w:proofErr w:type="spellEnd"/>
      <w:r>
        <w:rPr>
          <w:rFonts w:ascii="Times New Roman" w:eastAsia="Times New Roman" w:hAnsi="Times New Roman" w:cs="Times New Roman"/>
          <w:sz w:val="24"/>
          <w:szCs w:val="24"/>
        </w:rPr>
        <w:t xml:space="preserve">, R. W. (1997). A survey of corporate governance. </w:t>
      </w:r>
      <w:r>
        <w:rPr>
          <w:rFonts w:ascii="Times New Roman" w:eastAsia="Times New Roman" w:hAnsi="Times New Roman" w:cs="Times New Roman"/>
          <w:i/>
          <w:sz w:val="24"/>
          <w:szCs w:val="24"/>
        </w:rPr>
        <w:t>Journal of Finance</w:t>
      </w:r>
      <w:r>
        <w:rPr>
          <w:rFonts w:ascii="Times New Roman" w:eastAsia="Times New Roman" w:hAnsi="Times New Roman" w:cs="Times New Roman"/>
          <w:sz w:val="24"/>
          <w:szCs w:val="24"/>
        </w:rPr>
        <w:t>, 52(2), 737–783.</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Urhoghide</w:t>
      </w:r>
      <w:proofErr w:type="spellEnd"/>
      <w:r>
        <w:rPr>
          <w:rFonts w:ascii="Times New Roman" w:eastAsia="Times New Roman" w:hAnsi="Times New Roman" w:cs="Times New Roman"/>
          <w:sz w:val="24"/>
          <w:szCs w:val="24"/>
        </w:rPr>
        <w:t xml:space="preserve">, S. O., &amp; </w:t>
      </w:r>
      <w:proofErr w:type="spellStart"/>
      <w:r>
        <w:rPr>
          <w:rFonts w:ascii="Times New Roman" w:eastAsia="Times New Roman" w:hAnsi="Times New Roman" w:cs="Times New Roman"/>
          <w:sz w:val="24"/>
          <w:szCs w:val="24"/>
        </w:rPr>
        <w:t>Omolaiye</w:t>
      </w:r>
      <w:proofErr w:type="spellEnd"/>
      <w:r>
        <w:rPr>
          <w:rFonts w:ascii="Times New Roman" w:eastAsia="Times New Roman" w:hAnsi="Times New Roman" w:cs="Times New Roman"/>
          <w:sz w:val="24"/>
          <w:szCs w:val="24"/>
        </w:rPr>
        <w:t xml:space="preserve">, A. F. (2017). Corporate governance and financial performance of quoted oil and gas companies in Nigeria. </w:t>
      </w:r>
      <w:r>
        <w:rPr>
          <w:rFonts w:ascii="Times New Roman" w:eastAsia="Times New Roman" w:hAnsi="Times New Roman" w:cs="Times New Roman"/>
          <w:i/>
          <w:sz w:val="24"/>
          <w:szCs w:val="24"/>
        </w:rPr>
        <w:t>International Journal of Business and Management Review</w:t>
      </w:r>
      <w:r>
        <w:rPr>
          <w:rFonts w:ascii="Times New Roman" w:eastAsia="Times New Roman" w:hAnsi="Times New Roman" w:cs="Times New Roman"/>
          <w:sz w:val="24"/>
          <w:szCs w:val="24"/>
        </w:rPr>
        <w:t>, 7(8), 88–115.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Usikhia</w:t>
      </w:r>
      <w:proofErr w:type="spellEnd"/>
      <w:r>
        <w:rPr>
          <w:rFonts w:ascii="Times New Roman" w:eastAsia="Times New Roman" w:hAnsi="Times New Roman" w:cs="Times New Roman"/>
          <w:sz w:val="24"/>
          <w:szCs w:val="24"/>
        </w:rPr>
        <w:t xml:space="preserve">, O. U., </w:t>
      </w:r>
      <w:proofErr w:type="spellStart"/>
      <w:r>
        <w:rPr>
          <w:rFonts w:ascii="Times New Roman" w:eastAsia="Times New Roman" w:hAnsi="Times New Roman" w:cs="Times New Roman"/>
          <w:sz w:val="24"/>
          <w:szCs w:val="24"/>
        </w:rPr>
        <w:t>Fabunmi</w:t>
      </w:r>
      <w:proofErr w:type="spellEnd"/>
      <w:r>
        <w:rPr>
          <w:rFonts w:ascii="Times New Roman" w:eastAsia="Times New Roman" w:hAnsi="Times New Roman" w:cs="Times New Roman"/>
          <w:sz w:val="24"/>
          <w:szCs w:val="24"/>
        </w:rPr>
        <w:t xml:space="preserve">, S. A., </w:t>
      </w:r>
      <w:proofErr w:type="spellStart"/>
      <w:r>
        <w:rPr>
          <w:rFonts w:ascii="Times New Roman" w:eastAsia="Times New Roman" w:hAnsi="Times New Roman" w:cs="Times New Roman"/>
          <w:sz w:val="24"/>
          <w:szCs w:val="24"/>
        </w:rPr>
        <w:t>Akinlabi</w:t>
      </w:r>
      <w:proofErr w:type="spellEnd"/>
      <w:r>
        <w:rPr>
          <w:rFonts w:ascii="Times New Roman" w:eastAsia="Times New Roman" w:hAnsi="Times New Roman" w:cs="Times New Roman"/>
          <w:sz w:val="24"/>
          <w:szCs w:val="24"/>
        </w:rPr>
        <w:t xml:space="preserve">, B. H., &amp; </w:t>
      </w:r>
      <w:proofErr w:type="spellStart"/>
      <w:r>
        <w:rPr>
          <w:rFonts w:ascii="Times New Roman" w:eastAsia="Times New Roman" w:hAnsi="Times New Roman" w:cs="Times New Roman"/>
          <w:sz w:val="24"/>
          <w:szCs w:val="24"/>
        </w:rPr>
        <w:t>Makinde</w:t>
      </w:r>
      <w:proofErr w:type="spellEnd"/>
      <w:r>
        <w:rPr>
          <w:rFonts w:ascii="Times New Roman" w:eastAsia="Times New Roman" w:hAnsi="Times New Roman" w:cs="Times New Roman"/>
          <w:sz w:val="24"/>
          <w:szCs w:val="24"/>
        </w:rPr>
        <w:t xml:space="preserve">, G. O. (2023). Corporate governance practices and financial performance of listed oil and gas firms in Nigeria: An empirical assessment. </w:t>
      </w:r>
      <w:r>
        <w:rPr>
          <w:rFonts w:ascii="Times New Roman" w:eastAsia="Times New Roman" w:hAnsi="Times New Roman" w:cs="Times New Roman"/>
          <w:i/>
          <w:sz w:val="24"/>
          <w:szCs w:val="24"/>
        </w:rPr>
        <w:t>Asian Journal of Economics, Business and Accounting</w:t>
      </w:r>
      <w:r>
        <w:rPr>
          <w:rFonts w:ascii="Times New Roman" w:eastAsia="Times New Roman" w:hAnsi="Times New Roman" w:cs="Times New Roman"/>
          <w:sz w:val="24"/>
          <w:szCs w:val="24"/>
        </w:rPr>
        <w:t>, 16, 41–54. https://doi.org/10.9734/ajeba/2023/v16i430997</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Uwuigbe</w:t>
      </w:r>
      <w:proofErr w:type="spellEnd"/>
      <w:r>
        <w:rPr>
          <w:rFonts w:ascii="Times New Roman" w:eastAsia="Times New Roman" w:hAnsi="Times New Roman" w:cs="Times New Roman"/>
          <w:sz w:val="24"/>
          <w:szCs w:val="24"/>
        </w:rPr>
        <w:t xml:space="preserve">, O. (2020). Frequency of board meetings and firm performance in Nigeria. </w:t>
      </w:r>
      <w:r>
        <w:rPr>
          <w:rFonts w:ascii="Times New Roman" w:eastAsia="Times New Roman" w:hAnsi="Times New Roman" w:cs="Times New Roman"/>
          <w:i/>
          <w:sz w:val="24"/>
          <w:szCs w:val="24"/>
        </w:rPr>
        <w:t>African Journal of Business Management</w:t>
      </w:r>
      <w:r>
        <w:rPr>
          <w:rFonts w:ascii="Times New Roman" w:eastAsia="Times New Roman" w:hAnsi="Times New Roman" w:cs="Times New Roman"/>
          <w:sz w:val="24"/>
          <w:szCs w:val="24"/>
        </w:rPr>
        <w:t>, 10(3), 145–155.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Uwuigbe</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Uwuigbe</w:t>
      </w:r>
      <w:proofErr w:type="spellEnd"/>
      <w:r>
        <w:rPr>
          <w:rFonts w:ascii="Times New Roman" w:eastAsia="Times New Roman" w:hAnsi="Times New Roman" w:cs="Times New Roman"/>
          <w:sz w:val="24"/>
          <w:szCs w:val="24"/>
        </w:rPr>
        <w:t xml:space="preserve">, U., &amp; </w:t>
      </w:r>
      <w:proofErr w:type="spellStart"/>
      <w:r>
        <w:rPr>
          <w:rFonts w:ascii="Times New Roman" w:eastAsia="Times New Roman" w:hAnsi="Times New Roman" w:cs="Times New Roman"/>
          <w:sz w:val="24"/>
          <w:szCs w:val="24"/>
        </w:rPr>
        <w:t>Daramola</w:t>
      </w:r>
      <w:proofErr w:type="spellEnd"/>
      <w:r>
        <w:rPr>
          <w:rFonts w:ascii="Times New Roman" w:eastAsia="Times New Roman" w:hAnsi="Times New Roman" w:cs="Times New Roman"/>
          <w:sz w:val="24"/>
          <w:szCs w:val="24"/>
        </w:rPr>
        <w:t xml:space="preserve">, D. A. (2018). Corporate governance and the financial performance of selected quoted firms in Nigeria. </w:t>
      </w:r>
      <w:r>
        <w:rPr>
          <w:rFonts w:ascii="Times New Roman" w:eastAsia="Times New Roman" w:hAnsi="Times New Roman" w:cs="Times New Roman"/>
          <w:i/>
          <w:sz w:val="24"/>
          <w:szCs w:val="24"/>
        </w:rPr>
        <w:t>International Journal of Economics and Financial Issues</w:t>
      </w:r>
      <w:r>
        <w:rPr>
          <w:rFonts w:ascii="Times New Roman" w:eastAsia="Times New Roman" w:hAnsi="Times New Roman" w:cs="Times New Roman"/>
          <w:sz w:val="24"/>
          <w:szCs w:val="24"/>
        </w:rPr>
        <w:t>, 8(3), 12–23.</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Uwuigbe</w:t>
      </w:r>
      <w:proofErr w:type="spellEnd"/>
      <w:r>
        <w:rPr>
          <w:rFonts w:ascii="Times New Roman" w:eastAsia="Times New Roman" w:hAnsi="Times New Roman" w:cs="Times New Roman"/>
          <w:sz w:val="24"/>
          <w:szCs w:val="24"/>
        </w:rPr>
        <w:t xml:space="preserve">, U., &amp; </w:t>
      </w:r>
      <w:proofErr w:type="spellStart"/>
      <w:r>
        <w:rPr>
          <w:rFonts w:ascii="Times New Roman" w:eastAsia="Times New Roman" w:hAnsi="Times New Roman" w:cs="Times New Roman"/>
          <w:sz w:val="24"/>
          <w:szCs w:val="24"/>
        </w:rPr>
        <w:t>Fakile</w:t>
      </w:r>
      <w:proofErr w:type="spellEnd"/>
      <w:r>
        <w:rPr>
          <w:rFonts w:ascii="Times New Roman" w:eastAsia="Times New Roman" w:hAnsi="Times New Roman" w:cs="Times New Roman"/>
          <w:sz w:val="24"/>
          <w:szCs w:val="24"/>
        </w:rPr>
        <w:t xml:space="preserve">, A. S. (2018). Corporate governance challenges and the financial performance of listed firms in Nigeria. </w:t>
      </w:r>
      <w:r>
        <w:rPr>
          <w:rFonts w:ascii="Times New Roman" w:eastAsia="Times New Roman" w:hAnsi="Times New Roman" w:cs="Times New Roman"/>
          <w:i/>
          <w:sz w:val="24"/>
          <w:szCs w:val="24"/>
        </w:rPr>
        <w:t>Research Journal of Finance and Accounting</w:t>
      </w:r>
      <w:r>
        <w:rPr>
          <w:rFonts w:ascii="Times New Roman" w:eastAsia="Times New Roman" w:hAnsi="Times New Roman" w:cs="Times New Roman"/>
          <w:sz w:val="24"/>
          <w:szCs w:val="24"/>
        </w:rPr>
        <w:t>, 9(15), 46–55.</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Vafeas</w:t>
      </w:r>
      <w:proofErr w:type="spellEnd"/>
      <w:r>
        <w:rPr>
          <w:rFonts w:ascii="Times New Roman" w:eastAsia="Times New Roman" w:hAnsi="Times New Roman" w:cs="Times New Roman"/>
          <w:sz w:val="24"/>
          <w:szCs w:val="24"/>
        </w:rPr>
        <w:t xml:space="preserve">, N. (2019). Board meeting frequency and firm performance. </w:t>
      </w:r>
      <w:r>
        <w:rPr>
          <w:rFonts w:ascii="Times New Roman" w:eastAsia="Times New Roman" w:hAnsi="Times New Roman" w:cs="Times New Roman"/>
          <w:i/>
          <w:sz w:val="24"/>
          <w:szCs w:val="24"/>
        </w:rPr>
        <w:t>Journal of Financial Economics</w:t>
      </w:r>
      <w:r>
        <w:rPr>
          <w:rFonts w:ascii="Times New Roman" w:eastAsia="Times New Roman" w:hAnsi="Times New Roman" w:cs="Times New Roman"/>
          <w:sz w:val="24"/>
          <w:szCs w:val="24"/>
        </w:rPr>
        <w:t>, 53(1), 113–142. https://doi.org/10.1016/j.jfineco.2019.01.002</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Vintial</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Radu</w:t>
      </w:r>
      <w:proofErr w:type="spellEnd"/>
      <w:r>
        <w:rPr>
          <w:rFonts w:ascii="Times New Roman" w:eastAsia="Times New Roman" w:hAnsi="Times New Roman" w:cs="Times New Roman"/>
          <w:sz w:val="24"/>
          <w:szCs w:val="24"/>
        </w:rPr>
        <w:t xml:space="preserve">, C. (2023). Corporate governance practices and financial performance: Evidence from European markets. </w:t>
      </w:r>
      <w:r>
        <w:rPr>
          <w:rFonts w:ascii="Times New Roman" w:eastAsia="Times New Roman" w:hAnsi="Times New Roman" w:cs="Times New Roman"/>
          <w:i/>
          <w:sz w:val="24"/>
          <w:szCs w:val="24"/>
        </w:rPr>
        <w:t>European Journal of Finance</w:t>
      </w:r>
      <w:r>
        <w:rPr>
          <w:rFonts w:ascii="Times New Roman" w:eastAsia="Times New Roman" w:hAnsi="Times New Roman" w:cs="Times New Roman"/>
          <w:sz w:val="24"/>
          <w:szCs w:val="24"/>
        </w:rPr>
        <w:t>, 29(5), 445–467.</w:t>
      </w:r>
    </w:p>
    <w:p w:rsidR="008C355C" w:rsidRDefault="008C355C" w:rsidP="008C355C">
      <w:pPr>
        <w:spacing w:after="20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Yahaya</w:t>
      </w:r>
      <w:proofErr w:type="spellEnd"/>
      <w:r>
        <w:rPr>
          <w:rFonts w:ascii="Times New Roman" w:eastAsia="Times New Roman" w:hAnsi="Times New Roman" w:cs="Times New Roman"/>
          <w:sz w:val="24"/>
          <w:szCs w:val="24"/>
        </w:rPr>
        <w:t xml:space="preserve">, S. (2017). Evaluating financial performance in Nigerian companies. </w:t>
      </w:r>
      <w:r>
        <w:rPr>
          <w:rFonts w:ascii="Times New Roman" w:eastAsia="Times New Roman" w:hAnsi="Times New Roman" w:cs="Times New Roman"/>
          <w:i/>
          <w:sz w:val="24"/>
          <w:szCs w:val="24"/>
        </w:rPr>
        <w:t>Journal of Economics and Finance</w:t>
      </w:r>
      <w:r>
        <w:rPr>
          <w:rFonts w:ascii="Times New Roman" w:eastAsia="Times New Roman" w:hAnsi="Times New Roman" w:cs="Times New Roman"/>
          <w:sz w:val="24"/>
          <w:szCs w:val="24"/>
        </w:rPr>
        <w:t>, 2(5), 20–34.</w:t>
      </w:r>
    </w:p>
    <w:p w:rsidR="008C355C" w:rsidRDefault="008C355C" w:rsidP="008C355C">
      <w:pPr>
        <w:spacing w:after="200" w:line="240" w:lineRule="auto"/>
        <w:ind w:left="720" w:hanging="720"/>
        <w:jc w:val="both"/>
      </w:pPr>
      <w:proofErr w:type="spellStart"/>
      <w:r>
        <w:rPr>
          <w:rFonts w:ascii="Times New Roman" w:eastAsia="Times New Roman" w:hAnsi="Times New Roman" w:cs="Times New Roman"/>
          <w:sz w:val="24"/>
          <w:szCs w:val="24"/>
        </w:rPr>
        <w:t>Yermack</w:t>
      </w:r>
      <w:proofErr w:type="spellEnd"/>
      <w:r>
        <w:rPr>
          <w:rFonts w:ascii="Times New Roman" w:eastAsia="Times New Roman" w:hAnsi="Times New Roman" w:cs="Times New Roman"/>
          <w:sz w:val="24"/>
          <w:szCs w:val="24"/>
        </w:rPr>
        <w:t xml:space="preserve">, D. (1996). Higher market valuation of companies with a small board of directors. </w:t>
      </w:r>
      <w:r>
        <w:rPr>
          <w:rFonts w:ascii="Times New Roman" w:eastAsia="Times New Roman" w:hAnsi="Times New Roman" w:cs="Times New Roman"/>
          <w:i/>
          <w:sz w:val="24"/>
          <w:szCs w:val="24"/>
        </w:rPr>
        <w:t>Journal of Financial Economics</w:t>
      </w:r>
      <w:r>
        <w:rPr>
          <w:rFonts w:ascii="Times New Roman" w:eastAsia="Times New Roman" w:hAnsi="Times New Roman" w:cs="Times New Roman"/>
          <w:sz w:val="24"/>
          <w:szCs w:val="24"/>
        </w:rPr>
        <w:t>, 40(2), 185–211.</w:t>
      </w:r>
    </w:p>
    <w:p w:rsidR="003B5071" w:rsidRDefault="003B5071">
      <w:pPr>
        <w:pStyle w:val="Normal1"/>
        <w:spacing w:line="480" w:lineRule="auto"/>
        <w:jc w:val="both"/>
        <w:rPr>
          <w:rFonts w:ascii="Times New Roman" w:eastAsia="Times New Roman" w:hAnsi="Times New Roman" w:cs="Times New Roman"/>
          <w:sz w:val="24"/>
          <w:szCs w:val="24"/>
        </w:rPr>
      </w:pPr>
    </w:p>
    <w:sectPr w:rsidR="003B5071" w:rsidSect="003B507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304" w:rsidRDefault="00BB1304">
      <w:pPr>
        <w:spacing w:line="240" w:lineRule="auto"/>
      </w:pPr>
      <w:r>
        <w:separator/>
      </w:r>
    </w:p>
  </w:endnote>
  <w:endnote w:type="continuationSeparator" w:id="0">
    <w:p w:rsidR="00BB1304" w:rsidRDefault="00BB13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5F8" w:rsidRDefault="00A705F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304" w:rsidRDefault="00BB1304">
      <w:pPr>
        <w:spacing w:line="240" w:lineRule="auto"/>
      </w:pPr>
      <w:r>
        <w:separator/>
      </w:r>
    </w:p>
  </w:footnote>
  <w:footnote w:type="continuationSeparator" w:id="0">
    <w:p w:rsidR="00BB1304" w:rsidRDefault="00BB130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2531"/>
      <w:docPartObj>
        <w:docPartGallery w:val="Page Numbers (Top of Page)"/>
        <w:docPartUnique/>
      </w:docPartObj>
    </w:sdtPr>
    <w:sdtEndPr/>
    <w:sdtContent>
      <w:p w:rsidR="00A705F8" w:rsidRDefault="00A705F8">
        <w:pPr>
          <w:pStyle w:val="Header"/>
          <w:jc w:val="right"/>
        </w:pPr>
        <w:r>
          <w:fldChar w:fldCharType="begin"/>
        </w:r>
        <w:r>
          <w:instrText xml:space="preserve"> PAGE   \* MERGEFORMAT </w:instrText>
        </w:r>
        <w:r>
          <w:fldChar w:fldCharType="separate"/>
        </w:r>
        <w:r w:rsidR="00932A36">
          <w:rPr>
            <w:noProof/>
          </w:rPr>
          <w:t>20</w:t>
        </w:r>
        <w:r>
          <w:rPr>
            <w:noProof/>
          </w:rPr>
          <w:fldChar w:fldCharType="end"/>
        </w:r>
      </w:p>
    </w:sdtContent>
  </w:sdt>
  <w:p w:rsidR="00A705F8" w:rsidRDefault="00A705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735AE5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47D5B27"/>
    <w:multiLevelType w:val="multilevel"/>
    <w:tmpl w:val="CECA9D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CD61377"/>
    <w:multiLevelType w:val="multilevel"/>
    <w:tmpl w:val="BF7448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48A64B6C"/>
    <w:multiLevelType w:val="multilevel"/>
    <w:tmpl w:val="485207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5B8716A3"/>
    <w:multiLevelType w:val="multilevel"/>
    <w:tmpl w:val="2166B3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6BEB6947"/>
    <w:multiLevelType w:val="multilevel"/>
    <w:tmpl w:val="28D6167A"/>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C430CC5"/>
    <w:multiLevelType w:val="multilevel"/>
    <w:tmpl w:val="054A20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756328A5"/>
    <w:multiLevelType w:val="hybridMultilevel"/>
    <w:tmpl w:val="0B6EC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4"/>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071"/>
    <w:rsid w:val="00250B59"/>
    <w:rsid w:val="00286BBE"/>
    <w:rsid w:val="00286DEB"/>
    <w:rsid w:val="003B5071"/>
    <w:rsid w:val="00401D6E"/>
    <w:rsid w:val="005A64ED"/>
    <w:rsid w:val="005D7C1B"/>
    <w:rsid w:val="00615BF0"/>
    <w:rsid w:val="006B6AD2"/>
    <w:rsid w:val="006D3AF1"/>
    <w:rsid w:val="00702D3B"/>
    <w:rsid w:val="00710622"/>
    <w:rsid w:val="008C355C"/>
    <w:rsid w:val="00932A36"/>
    <w:rsid w:val="00941499"/>
    <w:rsid w:val="00A271C6"/>
    <w:rsid w:val="00A705F8"/>
    <w:rsid w:val="00BB1304"/>
    <w:rsid w:val="00BD4E21"/>
    <w:rsid w:val="00CA3C4E"/>
    <w:rsid w:val="00D82F84"/>
    <w:rsid w:val="00E773C1"/>
    <w:rsid w:val="00F31B28"/>
    <w:rsid w:val="00F91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99ECFD-5D09-4619-BF57-EC430A13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link w:val="Heading1Char"/>
    <w:rsid w:val="003B5071"/>
    <w:pPr>
      <w:keepNext/>
      <w:keepLines/>
      <w:spacing w:before="400" w:after="120"/>
      <w:outlineLvl w:val="0"/>
    </w:pPr>
    <w:rPr>
      <w:sz w:val="40"/>
      <w:szCs w:val="40"/>
    </w:rPr>
  </w:style>
  <w:style w:type="paragraph" w:styleId="Heading2">
    <w:name w:val="heading 2"/>
    <w:basedOn w:val="Normal1"/>
    <w:next w:val="Normal1"/>
    <w:rsid w:val="003B5071"/>
    <w:pPr>
      <w:keepNext/>
      <w:keepLines/>
      <w:spacing w:before="360" w:after="120"/>
      <w:outlineLvl w:val="1"/>
    </w:pPr>
    <w:rPr>
      <w:sz w:val="32"/>
      <w:szCs w:val="32"/>
    </w:rPr>
  </w:style>
  <w:style w:type="paragraph" w:styleId="Heading3">
    <w:name w:val="heading 3"/>
    <w:basedOn w:val="Normal1"/>
    <w:next w:val="Normal1"/>
    <w:rsid w:val="003B5071"/>
    <w:pPr>
      <w:keepNext/>
      <w:keepLines/>
      <w:spacing w:before="320" w:after="80"/>
      <w:outlineLvl w:val="2"/>
    </w:pPr>
    <w:rPr>
      <w:color w:val="434343"/>
      <w:sz w:val="28"/>
      <w:szCs w:val="28"/>
    </w:rPr>
  </w:style>
  <w:style w:type="paragraph" w:styleId="Heading4">
    <w:name w:val="heading 4"/>
    <w:basedOn w:val="Normal1"/>
    <w:next w:val="Normal1"/>
    <w:rsid w:val="003B5071"/>
    <w:pPr>
      <w:keepNext/>
      <w:keepLines/>
      <w:spacing w:before="280" w:after="80"/>
      <w:outlineLvl w:val="3"/>
    </w:pPr>
    <w:rPr>
      <w:color w:val="666666"/>
      <w:sz w:val="24"/>
      <w:szCs w:val="24"/>
    </w:rPr>
  </w:style>
  <w:style w:type="paragraph" w:styleId="Heading5">
    <w:name w:val="heading 5"/>
    <w:basedOn w:val="Normal1"/>
    <w:next w:val="Normal1"/>
    <w:rsid w:val="003B5071"/>
    <w:pPr>
      <w:keepNext/>
      <w:keepLines/>
      <w:spacing w:before="240" w:after="80"/>
      <w:outlineLvl w:val="4"/>
    </w:pPr>
    <w:rPr>
      <w:color w:val="666666"/>
    </w:rPr>
  </w:style>
  <w:style w:type="paragraph" w:styleId="Heading6">
    <w:name w:val="heading 6"/>
    <w:basedOn w:val="Normal1"/>
    <w:next w:val="Normal1"/>
    <w:rsid w:val="003B507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B5071"/>
  </w:style>
  <w:style w:type="table" w:customStyle="1" w:styleId="TableNormal0">
    <w:name w:val="TableNormal"/>
    <w:rsid w:val="003B5071"/>
    <w:tblPr>
      <w:tblCellMar>
        <w:top w:w="0" w:type="dxa"/>
        <w:left w:w="0" w:type="dxa"/>
        <w:bottom w:w="0" w:type="dxa"/>
        <w:right w:w="0" w:type="dxa"/>
      </w:tblCellMar>
    </w:tblPr>
  </w:style>
  <w:style w:type="paragraph" w:styleId="Title">
    <w:name w:val="Title"/>
    <w:basedOn w:val="Normal1"/>
    <w:next w:val="Normal1"/>
    <w:rsid w:val="003B5071"/>
    <w:pPr>
      <w:keepNext/>
      <w:keepLines/>
      <w:spacing w:after="60"/>
    </w:pPr>
    <w:rPr>
      <w:sz w:val="52"/>
      <w:szCs w:val="52"/>
    </w:rPr>
  </w:style>
  <w:style w:type="paragraph" w:styleId="Subtitle">
    <w:name w:val="Subtitle"/>
    <w:basedOn w:val="Normal1"/>
    <w:next w:val="Normal1"/>
    <w:rsid w:val="003B5071"/>
    <w:pPr>
      <w:keepNext/>
      <w:keepLines/>
      <w:spacing w:after="320"/>
    </w:pPr>
    <w:rPr>
      <w:color w:val="666666"/>
      <w:sz w:val="30"/>
      <w:szCs w:val="30"/>
    </w:rPr>
  </w:style>
  <w:style w:type="table" w:customStyle="1" w:styleId="a">
    <w:basedOn w:val="TableNormal0"/>
    <w:rsid w:val="003B5071"/>
    <w:tblPr>
      <w:tblStyleRowBandSize w:val="1"/>
      <w:tblStyleColBandSize w:val="1"/>
      <w:tblCellMar>
        <w:top w:w="100" w:type="dxa"/>
        <w:left w:w="100" w:type="dxa"/>
        <w:bottom w:w="100" w:type="dxa"/>
        <w:right w:w="100" w:type="dxa"/>
      </w:tblCellMar>
    </w:tblPr>
  </w:style>
  <w:style w:type="table" w:customStyle="1" w:styleId="a0">
    <w:basedOn w:val="TableNormal0"/>
    <w:rsid w:val="003B5071"/>
    <w:tblPr>
      <w:tblStyleRowBandSize w:val="1"/>
      <w:tblStyleColBandSize w:val="1"/>
      <w:tblCellMar>
        <w:top w:w="100" w:type="dxa"/>
        <w:left w:w="100" w:type="dxa"/>
        <w:bottom w:w="100" w:type="dxa"/>
        <w:right w:w="100" w:type="dxa"/>
      </w:tblCellMar>
    </w:tblPr>
  </w:style>
  <w:style w:type="table" w:customStyle="1" w:styleId="a1">
    <w:basedOn w:val="TableNormal0"/>
    <w:rsid w:val="003B5071"/>
    <w:tblPr>
      <w:tblStyleRowBandSize w:val="1"/>
      <w:tblStyleColBandSize w:val="1"/>
      <w:tblCellMar>
        <w:top w:w="100" w:type="dxa"/>
        <w:left w:w="100" w:type="dxa"/>
        <w:bottom w:w="100" w:type="dxa"/>
        <w:right w:w="100" w:type="dxa"/>
      </w:tblCellMar>
    </w:tblPr>
  </w:style>
  <w:style w:type="table" w:customStyle="1" w:styleId="a2">
    <w:basedOn w:val="TableNormal0"/>
    <w:rsid w:val="003B5071"/>
    <w:tblPr>
      <w:tblStyleRowBandSize w:val="1"/>
      <w:tblStyleColBandSize w:val="1"/>
      <w:tblCellMar>
        <w:top w:w="100" w:type="dxa"/>
        <w:left w:w="100" w:type="dxa"/>
        <w:bottom w:w="100" w:type="dxa"/>
        <w:right w:w="100" w:type="dxa"/>
      </w:tblCellMar>
    </w:tblPr>
  </w:style>
  <w:style w:type="table" w:customStyle="1" w:styleId="a3">
    <w:basedOn w:val="TableNormal0"/>
    <w:rsid w:val="003B5071"/>
    <w:tblPr>
      <w:tblStyleRowBandSize w:val="1"/>
      <w:tblStyleColBandSize w:val="1"/>
      <w:tblCellMar>
        <w:top w:w="100" w:type="dxa"/>
        <w:left w:w="100" w:type="dxa"/>
        <w:bottom w:w="100" w:type="dxa"/>
        <w:right w:w="100" w:type="dxa"/>
      </w:tblCellMar>
    </w:tblPr>
  </w:style>
  <w:style w:type="table" w:customStyle="1" w:styleId="a4">
    <w:basedOn w:val="TableNormal0"/>
    <w:rsid w:val="003B5071"/>
    <w:tblPr>
      <w:tblStyleRowBandSize w:val="1"/>
      <w:tblStyleColBandSize w:val="1"/>
      <w:tblCellMar>
        <w:top w:w="100" w:type="dxa"/>
        <w:left w:w="100" w:type="dxa"/>
        <w:bottom w:w="100" w:type="dxa"/>
        <w:right w:w="100" w:type="dxa"/>
      </w:tblCellMar>
    </w:tblPr>
  </w:style>
  <w:style w:type="table" w:customStyle="1" w:styleId="a5">
    <w:basedOn w:val="TableNormal0"/>
    <w:rsid w:val="003B5071"/>
    <w:tblPr>
      <w:tblStyleRowBandSize w:val="1"/>
      <w:tblStyleColBandSize w:val="1"/>
      <w:tblCellMar>
        <w:top w:w="100" w:type="dxa"/>
        <w:left w:w="100" w:type="dxa"/>
        <w:bottom w:w="100" w:type="dxa"/>
        <w:right w:w="100" w:type="dxa"/>
      </w:tblCellMar>
    </w:tblPr>
  </w:style>
  <w:style w:type="table" w:customStyle="1" w:styleId="a6">
    <w:basedOn w:val="TableNormal0"/>
    <w:rsid w:val="003B5071"/>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615BF0"/>
    <w:rPr>
      <w:sz w:val="16"/>
      <w:szCs w:val="16"/>
    </w:rPr>
  </w:style>
  <w:style w:type="paragraph" w:styleId="CommentText">
    <w:name w:val="annotation text"/>
    <w:basedOn w:val="Normal"/>
    <w:link w:val="CommentTextChar"/>
    <w:uiPriority w:val="99"/>
    <w:semiHidden/>
    <w:unhideWhenUsed/>
    <w:rsid w:val="00615BF0"/>
    <w:pPr>
      <w:spacing w:line="240" w:lineRule="auto"/>
    </w:pPr>
    <w:rPr>
      <w:sz w:val="20"/>
      <w:szCs w:val="20"/>
    </w:rPr>
  </w:style>
  <w:style w:type="character" w:customStyle="1" w:styleId="CommentTextChar">
    <w:name w:val="Comment Text Char"/>
    <w:basedOn w:val="DefaultParagraphFont"/>
    <w:link w:val="CommentText"/>
    <w:uiPriority w:val="99"/>
    <w:semiHidden/>
    <w:rsid w:val="00615BF0"/>
    <w:rPr>
      <w:sz w:val="20"/>
      <w:szCs w:val="20"/>
    </w:rPr>
  </w:style>
  <w:style w:type="paragraph" w:styleId="CommentSubject">
    <w:name w:val="annotation subject"/>
    <w:basedOn w:val="CommentText"/>
    <w:next w:val="CommentText"/>
    <w:link w:val="CommentSubjectChar"/>
    <w:uiPriority w:val="99"/>
    <w:semiHidden/>
    <w:unhideWhenUsed/>
    <w:rsid w:val="00615BF0"/>
    <w:rPr>
      <w:b/>
      <w:bCs/>
    </w:rPr>
  </w:style>
  <w:style w:type="character" w:customStyle="1" w:styleId="CommentSubjectChar">
    <w:name w:val="Comment Subject Char"/>
    <w:basedOn w:val="CommentTextChar"/>
    <w:link w:val="CommentSubject"/>
    <w:uiPriority w:val="99"/>
    <w:semiHidden/>
    <w:rsid w:val="00615BF0"/>
    <w:rPr>
      <w:b/>
      <w:bCs/>
      <w:sz w:val="20"/>
      <w:szCs w:val="20"/>
    </w:rPr>
  </w:style>
  <w:style w:type="paragraph" w:styleId="BalloonText">
    <w:name w:val="Balloon Text"/>
    <w:basedOn w:val="Normal"/>
    <w:link w:val="BalloonTextChar"/>
    <w:uiPriority w:val="99"/>
    <w:semiHidden/>
    <w:unhideWhenUsed/>
    <w:rsid w:val="00615B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BF0"/>
    <w:rPr>
      <w:rFonts w:ascii="Tahoma" w:hAnsi="Tahoma" w:cs="Tahoma"/>
      <w:sz w:val="16"/>
      <w:szCs w:val="16"/>
    </w:rPr>
  </w:style>
  <w:style w:type="character" w:customStyle="1" w:styleId="Heading1Char">
    <w:name w:val="Heading 1 Char"/>
    <w:basedOn w:val="DefaultParagraphFont"/>
    <w:link w:val="Heading1"/>
    <w:rsid w:val="008C355C"/>
    <w:rPr>
      <w:sz w:val="40"/>
      <w:szCs w:val="40"/>
    </w:rPr>
  </w:style>
  <w:style w:type="table" w:styleId="TableGrid">
    <w:name w:val="Table Grid"/>
    <w:basedOn w:val="TableNormal"/>
    <w:uiPriority w:val="59"/>
    <w:rsid w:val="00E773C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1D6E"/>
    <w:pPr>
      <w:tabs>
        <w:tab w:val="center" w:pos="4680"/>
        <w:tab w:val="right" w:pos="9360"/>
      </w:tabs>
      <w:spacing w:line="240" w:lineRule="auto"/>
    </w:pPr>
    <w:rPr>
      <w:rFonts w:ascii="Cambria" w:eastAsia="Cambria" w:hAnsi="Cambria" w:cs="Cambria"/>
      <w:sz w:val="24"/>
      <w:szCs w:val="24"/>
      <w:lang w:eastAsia="en-US"/>
    </w:rPr>
  </w:style>
  <w:style w:type="character" w:customStyle="1" w:styleId="HeaderChar">
    <w:name w:val="Header Char"/>
    <w:basedOn w:val="DefaultParagraphFont"/>
    <w:link w:val="Header"/>
    <w:uiPriority w:val="99"/>
    <w:rsid w:val="00401D6E"/>
    <w:rPr>
      <w:rFonts w:ascii="Cambria" w:eastAsia="Cambria" w:hAnsi="Cambria" w:cs="Cambria"/>
      <w:sz w:val="24"/>
      <w:szCs w:val="24"/>
      <w:lang w:eastAsia="en-US"/>
    </w:rPr>
  </w:style>
  <w:style w:type="paragraph" w:styleId="ListParagraph">
    <w:name w:val="List Paragraph"/>
    <w:basedOn w:val="Normal"/>
    <w:uiPriority w:val="34"/>
    <w:qFormat/>
    <w:rsid w:val="00401D6E"/>
    <w:pPr>
      <w:spacing w:after="200" w:line="240" w:lineRule="auto"/>
      <w:ind w:left="720"/>
      <w:contextualSpacing/>
    </w:pPr>
    <w:rPr>
      <w:rFonts w:ascii="Cambria" w:eastAsia="Cambria" w:hAnsi="Cambria" w:cs="Cambria"/>
      <w:sz w:val="24"/>
      <w:szCs w:val="24"/>
      <w:lang w:eastAsia="en-US"/>
    </w:rPr>
  </w:style>
  <w:style w:type="character" w:styleId="Hyperlink">
    <w:name w:val="Hyperlink"/>
    <w:basedOn w:val="DefaultParagraphFont"/>
    <w:uiPriority w:val="99"/>
    <w:unhideWhenUsed/>
    <w:rsid w:val="00A271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19015</Words>
  <Characters>108386</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Windows User</cp:lastModifiedBy>
  <cp:revision>2</cp:revision>
  <cp:lastPrinted>2025-07-31T16:45:00Z</cp:lastPrinted>
  <dcterms:created xsi:type="dcterms:W3CDTF">2026-05-28T12:25:00Z</dcterms:created>
  <dcterms:modified xsi:type="dcterms:W3CDTF">2026-05-28T12:25:00Z</dcterms:modified>
</cp:coreProperties>
</file>