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5389" w:rsidRDefault="00601CBA">
      <w:pPr>
        <w:spacing w:after="0" w:line="240" w:lineRule="auto"/>
        <w:jc w:val="center"/>
        <w:rPr>
          <w:rFonts w:ascii="Times New Roman" w:eastAsia="Times New Roman" w:hAnsi="Times New Roman" w:cs="Times New Roman"/>
          <w:b/>
        </w:rPr>
      </w:pPr>
      <w:bookmarkStart w:id="0" w:name="_GoBack"/>
      <w:bookmarkEnd w:id="0"/>
      <w:r>
        <w:rPr>
          <w:rFonts w:ascii="Times New Roman" w:eastAsia="Times New Roman" w:hAnsi="Times New Roman" w:cs="Times New Roman"/>
          <w:b/>
        </w:rPr>
        <w:t>EFFECT OF FIRM SOLVENCY ON FINANCIAL PERFORMANCE OF NESTLE NIGERIA PLC</w:t>
      </w:r>
    </w:p>
    <w:p w:rsidR="00F65389" w:rsidRDefault="00F65389">
      <w:pPr>
        <w:spacing w:after="0" w:line="240" w:lineRule="auto"/>
        <w:jc w:val="center"/>
        <w:rPr>
          <w:rFonts w:ascii="Times New Roman" w:eastAsia="Times New Roman" w:hAnsi="Times New Roman" w:cs="Times New Roman"/>
          <w:b/>
        </w:rPr>
      </w:pPr>
    </w:p>
    <w:p w:rsidR="00F65389" w:rsidRDefault="00F65389">
      <w:pPr>
        <w:spacing w:after="0" w:line="240" w:lineRule="auto"/>
        <w:jc w:val="center"/>
        <w:rPr>
          <w:rFonts w:ascii="Times New Roman" w:eastAsia="Times New Roman" w:hAnsi="Times New Roman" w:cs="Times New Roman"/>
          <w:b/>
        </w:rPr>
      </w:pPr>
    </w:p>
    <w:p w:rsidR="00F65389" w:rsidRDefault="00F65389">
      <w:pPr>
        <w:spacing w:after="0" w:line="240" w:lineRule="auto"/>
        <w:jc w:val="center"/>
        <w:rPr>
          <w:rFonts w:ascii="Times New Roman" w:eastAsia="Times New Roman" w:hAnsi="Times New Roman" w:cs="Times New Roman"/>
          <w:b/>
        </w:rPr>
      </w:pPr>
    </w:p>
    <w:p w:rsidR="00F65389" w:rsidRDefault="00F65389">
      <w:pPr>
        <w:spacing w:after="0" w:line="240" w:lineRule="auto"/>
        <w:jc w:val="center"/>
        <w:rPr>
          <w:rFonts w:ascii="Times New Roman" w:eastAsia="Times New Roman" w:hAnsi="Times New Roman" w:cs="Times New Roman"/>
          <w:b/>
        </w:rPr>
      </w:pPr>
    </w:p>
    <w:p w:rsidR="00F65389" w:rsidRDefault="00F65389">
      <w:pPr>
        <w:spacing w:after="0" w:line="240" w:lineRule="auto"/>
        <w:jc w:val="center"/>
        <w:rPr>
          <w:rFonts w:ascii="Times New Roman" w:eastAsia="Times New Roman" w:hAnsi="Times New Roman" w:cs="Times New Roman"/>
          <w:b/>
        </w:rPr>
      </w:pPr>
    </w:p>
    <w:p w:rsidR="00F65389" w:rsidRDefault="00F65389">
      <w:pPr>
        <w:spacing w:after="0" w:line="240" w:lineRule="auto"/>
        <w:jc w:val="center"/>
        <w:rPr>
          <w:rFonts w:ascii="Times New Roman" w:eastAsia="Times New Roman" w:hAnsi="Times New Roman" w:cs="Times New Roman"/>
          <w:b/>
        </w:rPr>
      </w:pPr>
    </w:p>
    <w:p w:rsidR="00F65389" w:rsidRDefault="00F65389">
      <w:pPr>
        <w:spacing w:after="0" w:line="240" w:lineRule="auto"/>
        <w:jc w:val="center"/>
        <w:rPr>
          <w:rFonts w:ascii="Times New Roman" w:eastAsia="Times New Roman" w:hAnsi="Times New Roman" w:cs="Times New Roman"/>
          <w:b/>
        </w:rPr>
      </w:pPr>
    </w:p>
    <w:p w:rsidR="00F65389" w:rsidRDefault="00F65389">
      <w:pPr>
        <w:spacing w:after="0" w:line="240" w:lineRule="auto"/>
        <w:jc w:val="center"/>
        <w:rPr>
          <w:rFonts w:ascii="Times New Roman" w:eastAsia="Times New Roman" w:hAnsi="Times New Roman" w:cs="Times New Roman"/>
          <w:b/>
        </w:rPr>
      </w:pPr>
    </w:p>
    <w:p w:rsidR="00F65389" w:rsidRDefault="00F65389">
      <w:pPr>
        <w:spacing w:after="0" w:line="240" w:lineRule="auto"/>
        <w:jc w:val="center"/>
        <w:rPr>
          <w:rFonts w:ascii="Times New Roman" w:eastAsia="Times New Roman" w:hAnsi="Times New Roman" w:cs="Times New Roman"/>
          <w:b/>
        </w:rPr>
      </w:pPr>
    </w:p>
    <w:p w:rsidR="00F65389" w:rsidRDefault="00601CBA">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BY</w:t>
      </w:r>
    </w:p>
    <w:p w:rsidR="00F65389" w:rsidRDefault="00F65389">
      <w:pPr>
        <w:spacing w:after="0" w:line="240" w:lineRule="auto"/>
        <w:jc w:val="center"/>
        <w:rPr>
          <w:rFonts w:ascii="Times New Roman" w:eastAsia="Times New Roman" w:hAnsi="Times New Roman" w:cs="Times New Roman"/>
          <w:b/>
        </w:rPr>
      </w:pPr>
    </w:p>
    <w:p w:rsidR="00F65389" w:rsidRDefault="00F65389">
      <w:pPr>
        <w:spacing w:after="0" w:line="240" w:lineRule="auto"/>
        <w:jc w:val="center"/>
        <w:rPr>
          <w:rFonts w:ascii="Times New Roman" w:eastAsia="Times New Roman" w:hAnsi="Times New Roman" w:cs="Times New Roman"/>
          <w:b/>
        </w:rPr>
      </w:pPr>
    </w:p>
    <w:p w:rsidR="00F65389" w:rsidRDefault="00F65389">
      <w:pPr>
        <w:spacing w:after="0" w:line="240" w:lineRule="auto"/>
        <w:jc w:val="center"/>
        <w:rPr>
          <w:rFonts w:ascii="Times New Roman" w:eastAsia="Times New Roman" w:hAnsi="Times New Roman" w:cs="Times New Roman"/>
          <w:b/>
        </w:rPr>
      </w:pPr>
    </w:p>
    <w:p w:rsidR="00F65389" w:rsidRDefault="00F65389">
      <w:pPr>
        <w:spacing w:after="0" w:line="240" w:lineRule="auto"/>
        <w:jc w:val="center"/>
        <w:rPr>
          <w:rFonts w:ascii="Times New Roman" w:eastAsia="Times New Roman" w:hAnsi="Times New Roman" w:cs="Times New Roman"/>
          <w:b/>
        </w:rPr>
      </w:pPr>
    </w:p>
    <w:p w:rsidR="00F65389" w:rsidRDefault="00F65389">
      <w:pPr>
        <w:spacing w:after="0" w:line="240" w:lineRule="auto"/>
        <w:jc w:val="center"/>
        <w:rPr>
          <w:rFonts w:ascii="Times New Roman" w:eastAsia="Times New Roman" w:hAnsi="Times New Roman" w:cs="Times New Roman"/>
          <w:b/>
        </w:rPr>
      </w:pPr>
    </w:p>
    <w:p w:rsidR="00F65389" w:rsidRDefault="00F65389">
      <w:pPr>
        <w:spacing w:after="0" w:line="240" w:lineRule="auto"/>
        <w:jc w:val="center"/>
        <w:rPr>
          <w:rFonts w:ascii="Times New Roman" w:eastAsia="Times New Roman" w:hAnsi="Times New Roman" w:cs="Times New Roman"/>
          <w:b/>
        </w:rPr>
      </w:pPr>
    </w:p>
    <w:p w:rsidR="00F65389" w:rsidRDefault="00F65389">
      <w:pPr>
        <w:spacing w:after="0" w:line="240" w:lineRule="auto"/>
        <w:jc w:val="center"/>
        <w:rPr>
          <w:rFonts w:ascii="Times New Roman" w:eastAsia="Times New Roman" w:hAnsi="Times New Roman" w:cs="Times New Roman"/>
          <w:b/>
        </w:rPr>
      </w:pPr>
    </w:p>
    <w:p w:rsidR="00F65389" w:rsidRDefault="00601CBA">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ASUQUO MOTHER THERESA ENE</w:t>
      </w:r>
    </w:p>
    <w:p w:rsidR="00F65389" w:rsidRDefault="00601CBA">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GOU/U21/ACC/359</w:t>
      </w:r>
    </w:p>
    <w:p w:rsidR="00F65389" w:rsidRDefault="00F65389">
      <w:pPr>
        <w:spacing w:after="0" w:line="240" w:lineRule="auto"/>
        <w:jc w:val="center"/>
        <w:rPr>
          <w:rFonts w:ascii="Times New Roman" w:eastAsia="Times New Roman" w:hAnsi="Times New Roman" w:cs="Times New Roman"/>
          <w:b/>
        </w:rPr>
      </w:pPr>
    </w:p>
    <w:p w:rsidR="00F65389" w:rsidRDefault="00F65389">
      <w:pPr>
        <w:spacing w:after="0" w:line="240" w:lineRule="auto"/>
        <w:jc w:val="center"/>
        <w:rPr>
          <w:rFonts w:ascii="Times New Roman" w:eastAsia="Times New Roman" w:hAnsi="Times New Roman" w:cs="Times New Roman"/>
          <w:b/>
        </w:rPr>
      </w:pPr>
    </w:p>
    <w:p w:rsidR="00F65389" w:rsidRDefault="00F65389">
      <w:pPr>
        <w:spacing w:after="0" w:line="240" w:lineRule="auto"/>
        <w:jc w:val="center"/>
        <w:rPr>
          <w:rFonts w:ascii="Times New Roman" w:eastAsia="Times New Roman" w:hAnsi="Times New Roman" w:cs="Times New Roman"/>
          <w:b/>
        </w:rPr>
      </w:pPr>
    </w:p>
    <w:p w:rsidR="00F65389" w:rsidRDefault="00F65389">
      <w:pPr>
        <w:spacing w:after="0" w:line="240" w:lineRule="auto"/>
        <w:jc w:val="center"/>
        <w:rPr>
          <w:rFonts w:ascii="Times New Roman" w:eastAsia="Times New Roman" w:hAnsi="Times New Roman" w:cs="Times New Roman"/>
          <w:b/>
        </w:rPr>
      </w:pPr>
    </w:p>
    <w:p w:rsidR="00F65389" w:rsidRDefault="00F65389">
      <w:pPr>
        <w:spacing w:after="0" w:line="240" w:lineRule="auto"/>
        <w:jc w:val="center"/>
        <w:rPr>
          <w:rFonts w:ascii="Times New Roman" w:eastAsia="Times New Roman" w:hAnsi="Times New Roman" w:cs="Times New Roman"/>
          <w:b/>
        </w:rPr>
      </w:pPr>
    </w:p>
    <w:p w:rsidR="00F65389" w:rsidRDefault="00F65389">
      <w:pPr>
        <w:spacing w:after="0" w:line="240" w:lineRule="auto"/>
        <w:jc w:val="center"/>
        <w:rPr>
          <w:rFonts w:ascii="Times New Roman" w:eastAsia="Times New Roman" w:hAnsi="Times New Roman" w:cs="Times New Roman"/>
          <w:b/>
        </w:rPr>
      </w:pPr>
    </w:p>
    <w:p w:rsidR="00F65389" w:rsidRDefault="00F65389">
      <w:pPr>
        <w:spacing w:after="0" w:line="240" w:lineRule="auto"/>
        <w:jc w:val="center"/>
        <w:rPr>
          <w:rFonts w:ascii="Times New Roman" w:eastAsia="Times New Roman" w:hAnsi="Times New Roman" w:cs="Times New Roman"/>
          <w:b/>
        </w:rPr>
      </w:pPr>
    </w:p>
    <w:p w:rsidR="00F65389" w:rsidRDefault="00F65389">
      <w:pPr>
        <w:spacing w:after="0" w:line="240" w:lineRule="auto"/>
        <w:jc w:val="center"/>
        <w:rPr>
          <w:rFonts w:ascii="Times New Roman" w:eastAsia="Times New Roman" w:hAnsi="Times New Roman" w:cs="Times New Roman"/>
          <w:b/>
        </w:rPr>
      </w:pPr>
    </w:p>
    <w:p w:rsidR="00F65389" w:rsidRDefault="00F65389">
      <w:pPr>
        <w:spacing w:after="0" w:line="240" w:lineRule="auto"/>
        <w:jc w:val="center"/>
        <w:rPr>
          <w:rFonts w:ascii="Times New Roman" w:eastAsia="Times New Roman" w:hAnsi="Times New Roman" w:cs="Times New Roman"/>
          <w:b/>
        </w:rPr>
      </w:pPr>
    </w:p>
    <w:p w:rsidR="00F65389" w:rsidRDefault="00601CBA">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DEPARTMENT OF ACCOUNTING AND FINANCE</w:t>
      </w:r>
    </w:p>
    <w:p w:rsidR="00F65389" w:rsidRDefault="00601CBA">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FACULTY OF MANAGEMENT AND SOCIAL SCIENCES</w:t>
      </w:r>
    </w:p>
    <w:p w:rsidR="00F65389" w:rsidRDefault="00601CBA">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GODFERY OKOYE UNIVERSITY UGWUOMU-NIKE ENUGU</w:t>
      </w:r>
    </w:p>
    <w:p w:rsidR="00F65389" w:rsidRDefault="00F65389">
      <w:pPr>
        <w:spacing w:after="0" w:line="240" w:lineRule="auto"/>
        <w:jc w:val="center"/>
        <w:rPr>
          <w:rFonts w:ascii="Times New Roman" w:eastAsia="Times New Roman" w:hAnsi="Times New Roman" w:cs="Times New Roman"/>
          <w:b/>
        </w:rPr>
      </w:pPr>
    </w:p>
    <w:p w:rsidR="00F65389" w:rsidRDefault="00F65389">
      <w:pPr>
        <w:spacing w:after="0" w:line="240" w:lineRule="auto"/>
        <w:ind w:left="-720"/>
        <w:jc w:val="center"/>
        <w:rPr>
          <w:rFonts w:ascii="Times New Roman" w:eastAsia="Times New Roman" w:hAnsi="Times New Roman" w:cs="Times New Roman"/>
          <w:b/>
        </w:rPr>
      </w:pPr>
    </w:p>
    <w:p w:rsidR="00F65389" w:rsidRDefault="00F65389">
      <w:pPr>
        <w:spacing w:after="0" w:line="240" w:lineRule="auto"/>
        <w:ind w:left="-720"/>
        <w:jc w:val="center"/>
        <w:rPr>
          <w:rFonts w:ascii="Times New Roman" w:eastAsia="Times New Roman" w:hAnsi="Times New Roman" w:cs="Times New Roman"/>
          <w:b/>
        </w:rPr>
      </w:pPr>
    </w:p>
    <w:p w:rsidR="00F65389" w:rsidRDefault="00F65389">
      <w:pPr>
        <w:spacing w:after="0" w:line="240" w:lineRule="auto"/>
        <w:ind w:left="-720"/>
        <w:jc w:val="center"/>
        <w:rPr>
          <w:rFonts w:ascii="Times New Roman" w:eastAsia="Times New Roman" w:hAnsi="Times New Roman" w:cs="Times New Roman"/>
          <w:b/>
        </w:rPr>
      </w:pPr>
    </w:p>
    <w:p w:rsidR="00F65389" w:rsidRDefault="00F65389">
      <w:pPr>
        <w:spacing w:after="0" w:line="240" w:lineRule="auto"/>
        <w:ind w:left="-720"/>
        <w:jc w:val="center"/>
        <w:rPr>
          <w:rFonts w:ascii="Times New Roman" w:eastAsia="Times New Roman" w:hAnsi="Times New Roman" w:cs="Times New Roman"/>
          <w:b/>
        </w:rPr>
      </w:pPr>
    </w:p>
    <w:p w:rsidR="00F65389" w:rsidRDefault="00F65389">
      <w:pPr>
        <w:spacing w:after="0" w:line="240" w:lineRule="auto"/>
        <w:ind w:left="-720"/>
        <w:jc w:val="center"/>
        <w:rPr>
          <w:rFonts w:ascii="Times New Roman" w:eastAsia="Times New Roman" w:hAnsi="Times New Roman" w:cs="Times New Roman"/>
          <w:b/>
        </w:rPr>
      </w:pPr>
    </w:p>
    <w:p w:rsidR="00F65389" w:rsidRDefault="00F65389">
      <w:pPr>
        <w:spacing w:after="0" w:line="240" w:lineRule="auto"/>
        <w:ind w:left="-720"/>
        <w:jc w:val="center"/>
        <w:rPr>
          <w:rFonts w:ascii="Times New Roman" w:eastAsia="Times New Roman" w:hAnsi="Times New Roman" w:cs="Times New Roman"/>
          <w:b/>
        </w:rPr>
      </w:pPr>
    </w:p>
    <w:p w:rsidR="00F65389" w:rsidRDefault="00F65389">
      <w:pPr>
        <w:spacing w:after="0" w:line="240" w:lineRule="auto"/>
        <w:ind w:left="-720"/>
        <w:jc w:val="center"/>
        <w:rPr>
          <w:rFonts w:ascii="Times New Roman" w:eastAsia="Times New Roman" w:hAnsi="Times New Roman" w:cs="Times New Roman"/>
          <w:b/>
        </w:rPr>
      </w:pPr>
    </w:p>
    <w:p w:rsidR="00F65389" w:rsidRDefault="00F65389">
      <w:pPr>
        <w:spacing w:after="0" w:line="240" w:lineRule="auto"/>
        <w:ind w:left="-720"/>
        <w:jc w:val="center"/>
        <w:rPr>
          <w:rFonts w:ascii="Times New Roman" w:eastAsia="Times New Roman" w:hAnsi="Times New Roman" w:cs="Times New Roman"/>
          <w:b/>
        </w:rPr>
      </w:pPr>
    </w:p>
    <w:p w:rsidR="00F65389" w:rsidRDefault="00F65389">
      <w:pPr>
        <w:spacing w:after="0" w:line="240" w:lineRule="auto"/>
        <w:ind w:left="-720"/>
        <w:jc w:val="center"/>
        <w:rPr>
          <w:rFonts w:ascii="Times New Roman" w:eastAsia="Times New Roman" w:hAnsi="Times New Roman" w:cs="Times New Roman"/>
          <w:b/>
        </w:rPr>
      </w:pPr>
    </w:p>
    <w:p w:rsidR="00F65389" w:rsidRDefault="00F65389">
      <w:pPr>
        <w:spacing w:after="0" w:line="240" w:lineRule="auto"/>
        <w:ind w:left="-720"/>
        <w:jc w:val="center"/>
        <w:rPr>
          <w:rFonts w:ascii="Times New Roman" w:eastAsia="Times New Roman" w:hAnsi="Times New Roman" w:cs="Times New Roman"/>
          <w:b/>
        </w:rPr>
      </w:pPr>
    </w:p>
    <w:p w:rsidR="00F65389" w:rsidRDefault="00F65389">
      <w:pPr>
        <w:spacing w:after="0" w:line="240" w:lineRule="auto"/>
        <w:ind w:left="-720"/>
        <w:jc w:val="center"/>
        <w:rPr>
          <w:rFonts w:ascii="Times New Roman" w:eastAsia="Times New Roman" w:hAnsi="Times New Roman" w:cs="Times New Roman"/>
          <w:b/>
        </w:rPr>
      </w:pPr>
    </w:p>
    <w:p w:rsidR="00F65389" w:rsidRDefault="00601CBA">
      <w:pPr>
        <w:spacing w:after="0" w:line="240" w:lineRule="auto"/>
        <w:jc w:val="center"/>
        <w:rPr>
          <w:rFonts w:ascii="Times New Roman" w:eastAsia="Times New Roman" w:hAnsi="Times New Roman" w:cs="Times New Roman"/>
          <w:b/>
        </w:rPr>
        <w:sectPr w:rsidR="00F65389">
          <w:headerReference w:type="default" r:id="rId7"/>
          <w:footerReference w:type="default" r:id="rId8"/>
          <w:pgSz w:w="12240" w:h="15840"/>
          <w:pgMar w:top="1440" w:right="1440" w:bottom="1440" w:left="1440" w:header="360" w:footer="360" w:gutter="0"/>
          <w:pgNumType w:start="1"/>
          <w:cols w:space="720"/>
          <w:titlePg/>
        </w:sectPr>
      </w:pPr>
      <w:r>
        <w:rPr>
          <w:rFonts w:ascii="Times New Roman" w:eastAsia="Times New Roman" w:hAnsi="Times New Roman" w:cs="Times New Roman"/>
          <w:b/>
        </w:rPr>
        <w:t>JULY, 2025.</w:t>
      </w:r>
    </w:p>
    <w:p w:rsidR="00F65389" w:rsidRDefault="00601CBA">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TITLE PAGE</w:t>
      </w:r>
    </w:p>
    <w:p w:rsidR="00F65389" w:rsidRDefault="00F65389">
      <w:pPr>
        <w:spacing w:after="0" w:line="240" w:lineRule="auto"/>
        <w:jc w:val="center"/>
        <w:rPr>
          <w:rFonts w:ascii="Times New Roman" w:eastAsia="Times New Roman" w:hAnsi="Times New Roman" w:cs="Times New Roman"/>
          <w:b/>
        </w:rPr>
      </w:pPr>
    </w:p>
    <w:p w:rsidR="00F65389" w:rsidRDefault="00601CBA">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EFFECT OF FIRM SOLVENCY ON FINANCIAL PERFORMANCE OF NESTLE NIGERIA PLC</w:t>
      </w:r>
    </w:p>
    <w:p w:rsidR="00F65389" w:rsidRDefault="00F65389">
      <w:pPr>
        <w:spacing w:after="0" w:line="240" w:lineRule="auto"/>
        <w:jc w:val="center"/>
        <w:rPr>
          <w:rFonts w:ascii="Times New Roman" w:eastAsia="Times New Roman" w:hAnsi="Times New Roman" w:cs="Times New Roman"/>
          <w:b/>
        </w:rPr>
      </w:pPr>
    </w:p>
    <w:p w:rsidR="00F65389" w:rsidRDefault="00F65389">
      <w:pPr>
        <w:spacing w:after="0" w:line="240" w:lineRule="auto"/>
        <w:jc w:val="center"/>
        <w:rPr>
          <w:rFonts w:ascii="Times New Roman" w:eastAsia="Times New Roman" w:hAnsi="Times New Roman" w:cs="Times New Roman"/>
          <w:b/>
        </w:rPr>
      </w:pPr>
    </w:p>
    <w:p w:rsidR="00F65389" w:rsidRDefault="00F65389">
      <w:pPr>
        <w:spacing w:after="0" w:line="240" w:lineRule="auto"/>
        <w:jc w:val="center"/>
        <w:rPr>
          <w:rFonts w:ascii="Times New Roman" w:eastAsia="Times New Roman" w:hAnsi="Times New Roman" w:cs="Times New Roman"/>
          <w:b/>
        </w:rPr>
      </w:pPr>
    </w:p>
    <w:p w:rsidR="00F65389" w:rsidRDefault="00F65389">
      <w:pPr>
        <w:spacing w:after="0" w:line="240" w:lineRule="auto"/>
        <w:jc w:val="center"/>
        <w:rPr>
          <w:rFonts w:ascii="Times New Roman" w:eastAsia="Times New Roman" w:hAnsi="Times New Roman" w:cs="Times New Roman"/>
          <w:b/>
        </w:rPr>
      </w:pPr>
    </w:p>
    <w:p w:rsidR="00F65389" w:rsidRDefault="00F65389">
      <w:pPr>
        <w:spacing w:after="0" w:line="240" w:lineRule="auto"/>
        <w:ind w:left="-720"/>
        <w:jc w:val="center"/>
        <w:rPr>
          <w:rFonts w:ascii="Times New Roman" w:eastAsia="Times New Roman" w:hAnsi="Times New Roman" w:cs="Times New Roman"/>
          <w:b/>
        </w:rPr>
      </w:pPr>
    </w:p>
    <w:p w:rsidR="00F65389" w:rsidRDefault="00F65389">
      <w:pPr>
        <w:spacing w:after="0" w:line="240" w:lineRule="auto"/>
        <w:jc w:val="center"/>
        <w:rPr>
          <w:rFonts w:ascii="Times New Roman" w:eastAsia="Times New Roman" w:hAnsi="Times New Roman" w:cs="Times New Roman"/>
          <w:b/>
        </w:rPr>
      </w:pPr>
    </w:p>
    <w:p w:rsidR="00F65389" w:rsidRDefault="00F65389">
      <w:pPr>
        <w:spacing w:after="0" w:line="240" w:lineRule="auto"/>
        <w:jc w:val="center"/>
        <w:rPr>
          <w:rFonts w:ascii="Times New Roman" w:eastAsia="Times New Roman" w:hAnsi="Times New Roman" w:cs="Times New Roman"/>
          <w:b/>
        </w:rPr>
      </w:pPr>
    </w:p>
    <w:p w:rsidR="00F65389" w:rsidRDefault="00601CBA">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BY</w:t>
      </w:r>
    </w:p>
    <w:p w:rsidR="00F65389" w:rsidRDefault="00F65389">
      <w:pPr>
        <w:spacing w:after="0" w:line="240" w:lineRule="auto"/>
        <w:jc w:val="center"/>
        <w:rPr>
          <w:rFonts w:ascii="Times New Roman" w:eastAsia="Times New Roman" w:hAnsi="Times New Roman" w:cs="Times New Roman"/>
          <w:b/>
        </w:rPr>
      </w:pPr>
    </w:p>
    <w:p w:rsidR="00F65389" w:rsidRDefault="00F65389">
      <w:pPr>
        <w:spacing w:after="0" w:line="240" w:lineRule="auto"/>
        <w:ind w:left="-720"/>
        <w:jc w:val="center"/>
        <w:rPr>
          <w:rFonts w:ascii="Times New Roman" w:eastAsia="Times New Roman" w:hAnsi="Times New Roman" w:cs="Times New Roman"/>
          <w:b/>
        </w:rPr>
      </w:pPr>
    </w:p>
    <w:p w:rsidR="00F65389" w:rsidRDefault="00F65389">
      <w:pPr>
        <w:spacing w:after="0" w:line="240" w:lineRule="auto"/>
        <w:ind w:left="-720"/>
        <w:jc w:val="center"/>
        <w:rPr>
          <w:rFonts w:ascii="Times New Roman" w:eastAsia="Times New Roman" w:hAnsi="Times New Roman" w:cs="Times New Roman"/>
          <w:b/>
        </w:rPr>
      </w:pPr>
    </w:p>
    <w:p w:rsidR="00F65389" w:rsidRDefault="00F65389">
      <w:pPr>
        <w:spacing w:after="0" w:line="240" w:lineRule="auto"/>
        <w:ind w:left="-720"/>
        <w:jc w:val="center"/>
        <w:rPr>
          <w:rFonts w:ascii="Times New Roman" w:eastAsia="Times New Roman" w:hAnsi="Times New Roman" w:cs="Times New Roman"/>
          <w:b/>
        </w:rPr>
      </w:pPr>
    </w:p>
    <w:p w:rsidR="00F65389" w:rsidRDefault="00F65389">
      <w:pPr>
        <w:spacing w:after="0" w:line="240" w:lineRule="auto"/>
        <w:ind w:left="-720"/>
        <w:jc w:val="center"/>
        <w:rPr>
          <w:rFonts w:ascii="Times New Roman" w:eastAsia="Times New Roman" w:hAnsi="Times New Roman" w:cs="Times New Roman"/>
          <w:b/>
        </w:rPr>
      </w:pPr>
    </w:p>
    <w:p w:rsidR="00F65389" w:rsidRDefault="00601CBA">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ASUQUO MOTHER THERESA ENE</w:t>
      </w:r>
    </w:p>
    <w:p w:rsidR="00F65389" w:rsidRDefault="00601CBA">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GOU/U21/ACC/359</w:t>
      </w:r>
    </w:p>
    <w:p w:rsidR="00F65389" w:rsidRDefault="00F65389">
      <w:pPr>
        <w:spacing w:after="0" w:line="240" w:lineRule="auto"/>
        <w:jc w:val="center"/>
        <w:rPr>
          <w:rFonts w:ascii="Times New Roman" w:eastAsia="Times New Roman" w:hAnsi="Times New Roman" w:cs="Times New Roman"/>
          <w:b/>
        </w:rPr>
      </w:pPr>
    </w:p>
    <w:p w:rsidR="00F65389" w:rsidRDefault="00F65389">
      <w:pPr>
        <w:spacing w:after="0" w:line="240" w:lineRule="auto"/>
        <w:jc w:val="center"/>
        <w:rPr>
          <w:rFonts w:ascii="Times New Roman" w:eastAsia="Times New Roman" w:hAnsi="Times New Roman" w:cs="Times New Roman"/>
          <w:b/>
        </w:rPr>
      </w:pPr>
    </w:p>
    <w:p w:rsidR="00F65389" w:rsidRDefault="00F65389">
      <w:pPr>
        <w:spacing w:after="0" w:line="240" w:lineRule="auto"/>
        <w:jc w:val="center"/>
        <w:rPr>
          <w:rFonts w:ascii="Times New Roman" w:eastAsia="Times New Roman" w:hAnsi="Times New Roman" w:cs="Times New Roman"/>
          <w:b/>
        </w:rPr>
      </w:pPr>
    </w:p>
    <w:p w:rsidR="00F65389" w:rsidRDefault="00F65389">
      <w:pPr>
        <w:spacing w:after="0" w:line="240" w:lineRule="auto"/>
        <w:jc w:val="center"/>
        <w:rPr>
          <w:rFonts w:ascii="Times New Roman" w:eastAsia="Times New Roman" w:hAnsi="Times New Roman" w:cs="Times New Roman"/>
          <w:b/>
        </w:rPr>
      </w:pPr>
    </w:p>
    <w:p w:rsidR="00F65389" w:rsidRDefault="00601CBA">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PROJECT SUBMITTED TO DEPARTMENT OF ACCOUNTING AND </w:t>
      </w:r>
    </w:p>
    <w:p w:rsidR="00F65389" w:rsidRDefault="00601CBA">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FINANCE, FACULTY OF MANAGEMENT AND SOCIAL SCIENCES</w:t>
      </w:r>
    </w:p>
    <w:p w:rsidR="00F65389" w:rsidRDefault="00601CBA">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GODFERY OKOYE UNIVERSITY, UGWUOMU-NIKE, ENUGU</w:t>
      </w:r>
    </w:p>
    <w:p w:rsidR="00F65389" w:rsidRDefault="00F65389">
      <w:pPr>
        <w:tabs>
          <w:tab w:val="left" w:pos="6480"/>
        </w:tabs>
        <w:spacing w:after="0" w:line="240" w:lineRule="auto"/>
        <w:jc w:val="center"/>
        <w:rPr>
          <w:rFonts w:ascii="Times New Roman" w:eastAsia="Times New Roman" w:hAnsi="Times New Roman" w:cs="Times New Roman"/>
          <w:b/>
        </w:rPr>
      </w:pPr>
    </w:p>
    <w:p w:rsidR="00F65389" w:rsidRDefault="00601CBA">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IN PARTIAL FULFILMENT OF THE REQUIREMENTS FOR THE </w:t>
      </w:r>
    </w:p>
    <w:p w:rsidR="00F65389" w:rsidRDefault="00601CBA">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AWARD OF BACHELOR OF SCIENCE (B.Sc) DEGREE </w:t>
      </w:r>
    </w:p>
    <w:p w:rsidR="00F65389" w:rsidRDefault="00601CBA">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IN ACCOUNTING</w:t>
      </w:r>
    </w:p>
    <w:p w:rsidR="00F65389" w:rsidRDefault="00F65389">
      <w:pPr>
        <w:spacing w:after="0" w:line="240" w:lineRule="auto"/>
        <w:jc w:val="center"/>
        <w:rPr>
          <w:rFonts w:ascii="Times New Roman" w:eastAsia="Times New Roman" w:hAnsi="Times New Roman" w:cs="Times New Roman"/>
          <w:b/>
        </w:rPr>
      </w:pPr>
    </w:p>
    <w:p w:rsidR="00F65389" w:rsidRDefault="00F65389">
      <w:pPr>
        <w:spacing w:after="0" w:line="240" w:lineRule="auto"/>
        <w:jc w:val="center"/>
        <w:rPr>
          <w:rFonts w:ascii="Times New Roman" w:eastAsia="Times New Roman" w:hAnsi="Times New Roman" w:cs="Times New Roman"/>
          <w:b/>
        </w:rPr>
      </w:pPr>
    </w:p>
    <w:p w:rsidR="00F65389" w:rsidRDefault="00F65389">
      <w:pPr>
        <w:spacing w:after="0" w:line="240" w:lineRule="auto"/>
        <w:jc w:val="center"/>
        <w:rPr>
          <w:rFonts w:ascii="Times New Roman" w:eastAsia="Times New Roman" w:hAnsi="Times New Roman" w:cs="Times New Roman"/>
          <w:b/>
        </w:rPr>
      </w:pPr>
    </w:p>
    <w:p w:rsidR="00F65389" w:rsidRDefault="00F65389">
      <w:pPr>
        <w:spacing w:after="0" w:line="240" w:lineRule="auto"/>
        <w:jc w:val="center"/>
        <w:rPr>
          <w:rFonts w:ascii="Times New Roman" w:eastAsia="Times New Roman" w:hAnsi="Times New Roman" w:cs="Times New Roman"/>
          <w:b/>
        </w:rPr>
      </w:pPr>
    </w:p>
    <w:p w:rsidR="00F65389" w:rsidRDefault="00F65389">
      <w:pPr>
        <w:spacing w:after="0" w:line="240" w:lineRule="auto"/>
        <w:jc w:val="center"/>
        <w:rPr>
          <w:rFonts w:ascii="Times New Roman" w:eastAsia="Times New Roman" w:hAnsi="Times New Roman" w:cs="Times New Roman"/>
          <w:b/>
        </w:rPr>
      </w:pPr>
    </w:p>
    <w:p w:rsidR="00F65389" w:rsidRDefault="00F65389">
      <w:pPr>
        <w:spacing w:after="0" w:line="240" w:lineRule="auto"/>
        <w:jc w:val="center"/>
        <w:rPr>
          <w:rFonts w:ascii="Times New Roman" w:eastAsia="Times New Roman" w:hAnsi="Times New Roman" w:cs="Times New Roman"/>
          <w:b/>
        </w:rPr>
      </w:pPr>
    </w:p>
    <w:p w:rsidR="00F65389" w:rsidRDefault="00601CBA">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SUPERVISOR: DR. J.UGWU</w:t>
      </w:r>
    </w:p>
    <w:p w:rsidR="00F65389" w:rsidRDefault="00F65389">
      <w:pPr>
        <w:spacing w:after="0" w:line="240" w:lineRule="auto"/>
        <w:jc w:val="center"/>
        <w:rPr>
          <w:rFonts w:ascii="Times New Roman" w:eastAsia="Times New Roman" w:hAnsi="Times New Roman" w:cs="Times New Roman"/>
          <w:b/>
        </w:rPr>
      </w:pPr>
    </w:p>
    <w:p w:rsidR="00F65389" w:rsidRDefault="00F65389">
      <w:pPr>
        <w:spacing w:after="0" w:line="240" w:lineRule="auto"/>
        <w:jc w:val="center"/>
        <w:rPr>
          <w:rFonts w:ascii="Times New Roman" w:eastAsia="Times New Roman" w:hAnsi="Times New Roman" w:cs="Times New Roman"/>
          <w:b/>
        </w:rPr>
      </w:pPr>
    </w:p>
    <w:p w:rsidR="00F65389" w:rsidRDefault="00F65389">
      <w:pPr>
        <w:spacing w:after="0" w:line="240" w:lineRule="auto"/>
        <w:jc w:val="center"/>
        <w:rPr>
          <w:rFonts w:ascii="Times New Roman" w:eastAsia="Times New Roman" w:hAnsi="Times New Roman" w:cs="Times New Roman"/>
          <w:b/>
        </w:rPr>
      </w:pPr>
    </w:p>
    <w:p w:rsidR="00F65389" w:rsidRDefault="00F65389">
      <w:pPr>
        <w:spacing w:after="0" w:line="240" w:lineRule="auto"/>
        <w:jc w:val="center"/>
        <w:rPr>
          <w:rFonts w:ascii="Times New Roman" w:eastAsia="Times New Roman" w:hAnsi="Times New Roman" w:cs="Times New Roman"/>
          <w:b/>
        </w:rPr>
      </w:pPr>
    </w:p>
    <w:p w:rsidR="00F65389" w:rsidRDefault="00F65389">
      <w:pPr>
        <w:spacing w:after="0" w:line="240" w:lineRule="auto"/>
        <w:jc w:val="center"/>
        <w:rPr>
          <w:rFonts w:ascii="Times New Roman" w:eastAsia="Times New Roman" w:hAnsi="Times New Roman" w:cs="Times New Roman"/>
          <w:b/>
        </w:rPr>
      </w:pPr>
    </w:p>
    <w:p w:rsidR="00F65389" w:rsidRDefault="00F65389">
      <w:pPr>
        <w:spacing w:after="0" w:line="240" w:lineRule="auto"/>
        <w:jc w:val="center"/>
        <w:rPr>
          <w:rFonts w:ascii="Times New Roman" w:eastAsia="Times New Roman" w:hAnsi="Times New Roman" w:cs="Times New Roman"/>
          <w:b/>
        </w:rPr>
      </w:pPr>
    </w:p>
    <w:p w:rsidR="00F65389" w:rsidRDefault="00F65389">
      <w:pPr>
        <w:spacing w:after="0" w:line="240" w:lineRule="auto"/>
        <w:jc w:val="center"/>
        <w:rPr>
          <w:rFonts w:ascii="Times New Roman" w:eastAsia="Times New Roman" w:hAnsi="Times New Roman" w:cs="Times New Roman"/>
          <w:b/>
        </w:rPr>
      </w:pPr>
    </w:p>
    <w:p w:rsidR="00F65389" w:rsidRDefault="00601CBA">
      <w:pPr>
        <w:spacing w:after="0" w:line="240" w:lineRule="auto"/>
        <w:ind w:left="-720"/>
        <w:jc w:val="center"/>
        <w:rPr>
          <w:rFonts w:ascii="Times New Roman" w:eastAsia="Times New Roman" w:hAnsi="Times New Roman" w:cs="Times New Roman"/>
          <w:b/>
        </w:rPr>
      </w:pPr>
      <w:r>
        <w:rPr>
          <w:rFonts w:ascii="Times New Roman" w:eastAsia="Times New Roman" w:hAnsi="Times New Roman" w:cs="Times New Roman"/>
          <w:b/>
        </w:rPr>
        <w:t>JULY, 2025</w:t>
      </w:r>
    </w:p>
    <w:p w:rsidR="00F65389" w:rsidRDefault="00F65389">
      <w:pPr>
        <w:spacing w:after="0" w:line="240" w:lineRule="auto"/>
        <w:ind w:left="-720"/>
        <w:jc w:val="center"/>
        <w:rPr>
          <w:rFonts w:ascii="Times New Roman" w:eastAsia="Times New Roman" w:hAnsi="Times New Roman" w:cs="Times New Roman"/>
          <w:b/>
        </w:rPr>
      </w:pPr>
    </w:p>
    <w:p w:rsidR="00F65389" w:rsidRDefault="00601CBA">
      <w:pPr>
        <w:spacing w:after="20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DECLARATION</w:t>
      </w:r>
    </w:p>
    <w:p w:rsidR="00F65389" w:rsidRDefault="00601CBA">
      <w:pPr>
        <w:spacing w:after="200" w:line="360" w:lineRule="auto"/>
        <w:jc w:val="both"/>
        <w:rPr>
          <w:rFonts w:ascii="Times New Roman" w:eastAsia="Times New Roman" w:hAnsi="Times New Roman" w:cs="Times New Roman"/>
        </w:rPr>
      </w:pPr>
      <w:r>
        <w:rPr>
          <w:rFonts w:ascii="Times New Roman" w:eastAsia="Times New Roman" w:hAnsi="Times New Roman" w:cs="Times New Roman"/>
        </w:rPr>
        <w:t>I, Asuquo Mother Theresa Ene is a bona fide student in the Department of Accounting and Finance under the Faculty of Management and Social Sciences in Godfrey Okoye University.  I hereby declare that the work entitled EFFECT OF FIRM SOLVENCY ON FINANCIAL PERFORMANCE OF NE</w:t>
      </w:r>
      <w:r w:rsidR="009B6535">
        <w:rPr>
          <w:rFonts w:ascii="Times New Roman" w:eastAsia="Times New Roman" w:hAnsi="Times New Roman" w:cs="Times New Roman"/>
        </w:rPr>
        <w:t xml:space="preserve">STLE NIGERIA PLC (2012 – 2023) </w:t>
      </w:r>
      <w:r>
        <w:rPr>
          <w:rFonts w:ascii="Times New Roman" w:eastAsia="Times New Roman" w:hAnsi="Times New Roman" w:cs="Times New Roman"/>
        </w:rPr>
        <w:t>submitted by me in partial fulfillment of the requirements for the award of Bachelor of Science (B.Sc) Degree in Accounting is my original work and has not been submitted either in part or full for any other degree or diploma either in this or any other tertiary institution.</w:t>
      </w:r>
    </w:p>
    <w:p w:rsidR="00F65389" w:rsidRDefault="00F65389">
      <w:pPr>
        <w:spacing w:after="200" w:line="240" w:lineRule="auto"/>
        <w:jc w:val="center"/>
        <w:rPr>
          <w:rFonts w:ascii="Times New Roman" w:eastAsia="Times New Roman" w:hAnsi="Times New Roman" w:cs="Times New Roman"/>
        </w:rPr>
      </w:pPr>
    </w:p>
    <w:p w:rsidR="00F65389" w:rsidRDefault="00F65389">
      <w:pPr>
        <w:spacing w:after="200" w:line="240" w:lineRule="auto"/>
        <w:jc w:val="center"/>
        <w:rPr>
          <w:rFonts w:ascii="Times New Roman" w:eastAsia="Times New Roman" w:hAnsi="Times New Roman" w:cs="Times New Roman"/>
        </w:rPr>
      </w:pPr>
    </w:p>
    <w:p w:rsidR="00F65389" w:rsidRDefault="00F65389">
      <w:pPr>
        <w:spacing w:after="200" w:line="240" w:lineRule="auto"/>
        <w:jc w:val="center"/>
        <w:rPr>
          <w:rFonts w:ascii="Times New Roman" w:eastAsia="Times New Roman" w:hAnsi="Times New Roman" w:cs="Times New Roman"/>
          <w:b/>
        </w:rPr>
      </w:pPr>
    </w:p>
    <w:p w:rsidR="00F65389" w:rsidRDefault="00F65389">
      <w:pPr>
        <w:spacing w:after="200" w:line="240" w:lineRule="auto"/>
        <w:rPr>
          <w:rFonts w:ascii="Times New Roman" w:eastAsia="Times New Roman" w:hAnsi="Times New Roman" w:cs="Times New Roman"/>
          <w:b/>
        </w:rPr>
      </w:pPr>
    </w:p>
    <w:p w:rsidR="00F65389" w:rsidRDefault="00601CBA">
      <w:pPr>
        <w:spacing w:after="200" w:line="240" w:lineRule="auto"/>
        <w:rPr>
          <w:rFonts w:ascii="Times New Roman" w:eastAsia="Times New Roman" w:hAnsi="Times New Roman" w:cs="Times New Roman"/>
          <w:b/>
        </w:rPr>
      </w:pPr>
      <w:r>
        <w:rPr>
          <w:rFonts w:ascii="Times New Roman" w:eastAsia="Times New Roman" w:hAnsi="Times New Roman" w:cs="Times New Roman"/>
          <w:b/>
        </w:rPr>
        <w:t>………………………….</w:t>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t>……………..</w:t>
      </w:r>
    </w:p>
    <w:p w:rsidR="00F65389" w:rsidRDefault="00601CBA">
      <w:pPr>
        <w:spacing w:after="200" w:line="240" w:lineRule="auto"/>
        <w:rPr>
          <w:rFonts w:ascii="Times New Roman" w:eastAsia="Times New Roman" w:hAnsi="Times New Roman" w:cs="Times New Roman"/>
          <w:b/>
        </w:rPr>
      </w:pPr>
      <w:r>
        <w:rPr>
          <w:rFonts w:ascii="Times New Roman" w:eastAsia="Times New Roman" w:hAnsi="Times New Roman" w:cs="Times New Roman"/>
          <w:b/>
        </w:rPr>
        <w:t>ASUQUO MOTHER THERESA</w:t>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t>Date</w:t>
      </w:r>
    </w:p>
    <w:p w:rsidR="00F65389" w:rsidRDefault="00F65389">
      <w:pPr>
        <w:spacing w:after="200" w:line="240" w:lineRule="auto"/>
        <w:jc w:val="center"/>
        <w:rPr>
          <w:rFonts w:ascii="Times New Roman" w:eastAsia="Times New Roman" w:hAnsi="Times New Roman" w:cs="Times New Roman"/>
          <w:b/>
        </w:rPr>
      </w:pPr>
    </w:p>
    <w:p w:rsidR="00F65389" w:rsidRDefault="00F65389">
      <w:pPr>
        <w:spacing w:after="200" w:line="240" w:lineRule="auto"/>
        <w:jc w:val="center"/>
        <w:rPr>
          <w:rFonts w:ascii="Times New Roman" w:eastAsia="Times New Roman" w:hAnsi="Times New Roman" w:cs="Times New Roman"/>
          <w:b/>
        </w:rPr>
      </w:pPr>
    </w:p>
    <w:p w:rsidR="00F65389" w:rsidRDefault="00F65389">
      <w:pPr>
        <w:spacing w:after="200" w:line="240" w:lineRule="auto"/>
        <w:jc w:val="center"/>
        <w:rPr>
          <w:rFonts w:ascii="Times New Roman" w:eastAsia="Times New Roman" w:hAnsi="Times New Roman" w:cs="Times New Roman"/>
          <w:b/>
        </w:rPr>
      </w:pPr>
    </w:p>
    <w:p w:rsidR="00F65389" w:rsidRDefault="00F65389">
      <w:pPr>
        <w:spacing w:after="200" w:line="240" w:lineRule="auto"/>
        <w:jc w:val="center"/>
        <w:rPr>
          <w:rFonts w:ascii="Times New Roman" w:eastAsia="Times New Roman" w:hAnsi="Times New Roman" w:cs="Times New Roman"/>
          <w:b/>
        </w:rPr>
      </w:pPr>
    </w:p>
    <w:p w:rsidR="00F65389" w:rsidRDefault="00F65389">
      <w:pPr>
        <w:spacing w:after="200" w:line="240" w:lineRule="auto"/>
        <w:jc w:val="center"/>
        <w:rPr>
          <w:rFonts w:ascii="Times New Roman" w:eastAsia="Times New Roman" w:hAnsi="Times New Roman" w:cs="Times New Roman"/>
          <w:b/>
        </w:rPr>
      </w:pPr>
    </w:p>
    <w:p w:rsidR="00F65389" w:rsidRDefault="00F65389">
      <w:pPr>
        <w:spacing w:after="200" w:line="240" w:lineRule="auto"/>
        <w:jc w:val="center"/>
        <w:rPr>
          <w:rFonts w:ascii="Times New Roman" w:eastAsia="Times New Roman" w:hAnsi="Times New Roman" w:cs="Times New Roman"/>
          <w:b/>
        </w:rPr>
      </w:pPr>
    </w:p>
    <w:p w:rsidR="00F65389" w:rsidRDefault="00F65389">
      <w:pPr>
        <w:spacing w:after="200" w:line="240" w:lineRule="auto"/>
        <w:jc w:val="center"/>
        <w:rPr>
          <w:rFonts w:ascii="Times New Roman" w:eastAsia="Times New Roman" w:hAnsi="Times New Roman" w:cs="Times New Roman"/>
          <w:b/>
        </w:rPr>
      </w:pPr>
    </w:p>
    <w:p w:rsidR="00F65389" w:rsidRDefault="00F65389">
      <w:pPr>
        <w:spacing w:after="200" w:line="240" w:lineRule="auto"/>
        <w:jc w:val="center"/>
        <w:rPr>
          <w:rFonts w:ascii="Times New Roman" w:eastAsia="Times New Roman" w:hAnsi="Times New Roman" w:cs="Times New Roman"/>
          <w:b/>
        </w:rPr>
      </w:pPr>
    </w:p>
    <w:p w:rsidR="00F65389" w:rsidRDefault="00F65389">
      <w:pPr>
        <w:spacing w:after="200" w:line="240" w:lineRule="auto"/>
        <w:jc w:val="center"/>
        <w:rPr>
          <w:rFonts w:ascii="Times New Roman" w:eastAsia="Times New Roman" w:hAnsi="Times New Roman" w:cs="Times New Roman"/>
          <w:b/>
        </w:rPr>
      </w:pPr>
    </w:p>
    <w:p w:rsidR="00F65389" w:rsidRDefault="00F65389">
      <w:pPr>
        <w:spacing w:after="200" w:line="240" w:lineRule="auto"/>
        <w:jc w:val="center"/>
        <w:rPr>
          <w:rFonts w:ascii="Times New Roman" w:eastAsia="Times New Roman" w:hAnsi="Times New Roman" w:cs="Times New Roman"/>
          <w:b/>
        </w:rPr>
      </w:pPr>
    </w:p>
    <w:p w:rsidR="00F65389" w:rsidRDefault="00F65389">
      <w:pPr>
        <w:spacing w:after="200" w:line="240" w:lineRule="auto"/>
        <w:jc w:val="center"/>
        <w:rPr>
          <w:rFonts w:ascii="Times New Roman" w:eastAsia="Times New Roman" w:hAnsi="Times New Roman" w:cs="Times New Roman"/>
          <w:b/>
        </w:rPr>
      </w:pPr>
    </w:p>
    <w:p w:rsidR="00F65389" w:rsidRDefault="00F65389">
      <w:pPr>
        <w:spacing w:after="200" w:line="240" w:lineRule="auto"/>
        <w:jc w:val="center"/>
        <w:rPr>
          <w:rFonts w:ascii="Times New Roman" w:eastAsia="Times New Roman" w:hAnsi="Times New Roman" w:cs="Times New Roman"/>
          <w:b/>
        </w:rPr>
      </w:pPr>
    </w:p>
    <w:p w:rsidR="00F65389" w:rsidRDefault="00F65389">
      <w:pPr>
        <w:spacing w:after="200" w:line="240" w:lineRule="auto"/>
        <w:jc w:val="center"/>
        <w:rPr>
          <w:rFonts w:ascii="Times New Roman" w:eastAsia="Times New Roman" w:hAnsi="Times New Roman" w:cs="Times New Roman"/>
          <w:b/>
        </w:rPr>
      </w:pPr>
    </w:p>
    <w:p w:rsidR="00F65389" w:rsidRDefault="00F65389">
      <w:pPr>
        <w:spacing w:after="200" w:line="240" w:lineRule="auto"/>
        <w:jc w:val="center"/>
        <w:rPr>
          <w:rFonts w:ascii="Times New Roman" w:eastAsia="Times New Roman" w:hAnsi="Times New Roman" w:cs="Times New Roman"/>
          <w:b/>
        </w:rPr>
      </w:pPr>
    </w:p>
    <w:p w:rsidR="00F65389" w:rsidRDefault="00601CBA">
      <w:pPr>
        <w:spacing w:after="20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CERTIFICATION</w:t>
      </w:r>
    </w:p>
    <w:p w:rsidR="00F65389" w:rsidRDefault="00601CBA">
      <w:pPr>
        <w:spacing w:after="200" w:line="276" w:lineRule="auto"/>
        <w:jc w:val="both"/>
        <w:rPr>
          <w:rFonts w:ascii="Times New Roman" w:eastAsia="Times New Roman" w:hAnsi="Times New Roman" w:cs="Times New Roman"/>
        </w:rPr>
      </w:pPr>
      <w:r>
        <w:rPr>
          <w:rFonts w:ascii="Times New Roman" w:eastAsia="Times New Roman" w:hAnsi="Times New Roman" w:cs="Times New Roman"/>
        </w:rPr>
        <w:t>This is to certify that this research entitled EFFECT OF FIRM SOLVENCY ON FINANCIAL PERFORMANCE OF NESTLE NIGERIA PLC (2012- 2023) written by ASUQUO MOTHER THERESA ENE with Registration Number GOU/U21/ACC/359 presented to the Department of Accounting and Finance of Godfrey Okoye University, Enugu has been assessed and approved for oral examination/defense by the Department of Accounting and Finance, Godfrey Okoye University, Enugu.</w:t>
      </w:r>
    </w:p>
    <w:p w:rsidR="00F65389" w:rsidRDefault="00F65389">
      <w:pPr>
        <w:spacing w:after="200" w:line="240" w:lineRule="auto"/>
        <w:jc w:val="center"/>
        <w:rPr>
          <w:rFonts w:ascii="Times New Roman" w:eastAsia="Times New Roman" w:hAnsi="Times New Roman" w:cs="Times New Roman"/>
          <w:b/>
        </w:rPr>
      </w:pPr>
    </w:p>
    <w:p w:rsidR="00F65389" w:rsidRDefault="00F65389">
      <w:pPr>
        <w:spacing w:after="200" w:line="240" w:lineRule="auto"/>
        <w:jc w:val="center"/>
        <w:rPr>
          <w:rFonts w:ascii="Times New Roman" w:eastAsia="Times New Roman" w:hAnsi="Times New Roman" w:cs="Times New Roman"/>
          <w:b/>
        </w:rPr>
      </w:pPr>
    </w:p>
    <w:p w:rsidR="00F65389" w:rsidRDefault="00601CBA">
      <w:pPr>
        <w:spacing w:after="0" w:line="240" w:lineRule="auto"/>
        <w:rPr>
          <w:rFonts w:ascii="Times New Roman" w:eastAsia="Times New Roman" w:hAnsi="Times New Roman" w:cs="Times New Roman"/>
        </w:rPr>
      </w:pPr>
      <w:r>
        <w:rPr>
          <w:rFonts w:ascii="Times New Roman" w:eastAsia="Times New Roman" w:hAnsi="Times New Roman" w:cs="Times New Roman"/>
          <w:b/>
        </w:rPr>
        <w:t>_____________________</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b/>
        </w:rPr>
        <w:t>____________________</w:t>
      </w:r>
    </w:p>
    <w:p w:rsidR="00F65389" w:rsidRDefault="00601CBA">
      <w:pPr>
        <w:spacing w:after="0" w:line="240" w:lineRule="auto"/>
        <w:rPr>
          <w:rFonts w:ascii="Times New Roman" w:eastAsia="Times New Roman" w:hAnsi="Times New Roman" w:cs="Times New Roman"/>
          <w:b/>
        </w:rPr>
      </w:pPr>
      <w:r>
        <w:rPr>
          <w:rFonts w:ascii="Times New Roman" w:eastAsia="Times New Roman" w:hAnsi="Times New Roman" w:cs="Times New Roman"/>
          <w:b/>
        </w:rPr>
        <w:t>ASSOC. PROF. J. UGWU</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b/>
        </w:rPr>
        <w:t xml:space="preserve">Date </w:t>
      </w:r>
    </w:p>
    <w:p w:rsidR="00F65389" w:rsidRDefault="00601CBA">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Supervisor </w:t>
      </w:r>
    </w:p>
    <w:p w:rsidR="00F65389" w:rsidRDefault="00F65389">
      <w:pPr>
        <w:spacing w:after="0" w:line="240" w:lineRule="auto"/>
        <w:rPr>
          <w:rFonts w:ascii="Times New Roman" w:eastAsia="Times New Roman" w:hAnsi="Times New Roman" w:cs="Times New Roman"/>
        </w:rPr>
      </w:pPr>
    </w:p>
    <w:p w:rsidR="00F65389" w:rsidRDefault="00F65389">
      <w:pPr>
        <w:spacing w:after="0" w:line="240" w:lineRule="auto"/>
        <w:rPr>
          <w:rFonts w:ascii="Times New Roman" w:eastAsia="Times New Roman" w:hAnsi="Times New Roman" w:cs="Times New Roman"/>
        </w:rPr>
      </w:pPr>
    </w:p>
    <w:p w:rsidR="00F65389" w:rsidRDefault="00F65389">
      <w:pPr>
        <w:spacing w:after="0" w:line="240" w:lineRule="auto"/>
        <w:rPr>
          <w:rFonts w:ascii="Times New Roman" w:eastAsia="Times New Roman" w:hAnsi="Times New Roman" w:cs="Times New Roman"/>
        </w:rPr>
      </w:pPr>
    </w:p>
    <w:p w:rsidR="00F65389" w:rsidRDefault="00601CBA">
      <w:pPr>
        <w:spacing w:after="0" w:line="240" w:lineRule="auto"/>
        <w:rPr>
          <w:rFonts w:ascii="Times New Roman" w:eastAsia="Times New Roman" w:hAnsi="Times New Roman" w:cs="Times New Roman"/>
        </w:rPr>
      </w:pPr>
      <w:r>
        <w:rPr>
          <w:rFonts w:ascii="Times New Roman" w:eastAsia="Times New Roman" w:hAnsi="Times New Roman" w:cs="Times New Roman"/>
          <w:b/>
        </w:rPr>
        <w:t>_____________________</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b/>
        </w:rPr>
        <w:t>____________________</w:t>
      </w:r>
    </w:p>
    <w:p w:rsidR="00F65389" w:rsidRDefault="00601CBA">
      <w:pPr>
        <w:spacing w:after="0" w:line="240" w:lineRule="auto"/>
        <w:rPr>
          <w:rFonts w:ascii="Times New Roman" w:eastAsia="Times New Roman" w:hAnsi="Times New Roman" w:cs="Times New Roman"/>
          <w:b/>
        </w:rPr>
      </w:pPr>
      <w:r>
        <w:rPr>
          <w:rFonts w:ascii="Times New Roman" w:eastAsia="Times New Roman" w:hAnsi="Times New Roman" w:cs="Times New Roman"/>
          <w:b/>
        </w:rPr>
        <w:t>ASSOC. PROF JOHN ODO</w:t>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t>Date</w:t>
      </w:r>
    </w:p>
    <w:p w:rsidR="00F65389" w:rsidRDefault="00601CBA">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Head of Department </w:t>
      </w:r>
    </w:p>
    <w:p w:rsidR="00F65389" w:rsidRDefault="00F65389">
      <w:pPr>
        <w:spacing w:after="0" w:line="240" w:lineRule="auto"/>
        <w:rPr>
          <w:rFonts w:ascii="Times New Roman" w:eastAsia="Times New Roman" w:hAnsi="Times New Roman" w:cs="Times New Roman"/>
        </w:rPr>
      </w:pPr>
    </w:p>
    <w:p w:rsidR="00F65389" w:rsidRDefault="00F65389">
      <w:pPr>
        <w:spacing w:after="0" w:line="240" w:lineRule="auto"/>
        <w:rPr>
          <w:rFonts w:ascii="Times New Roman" w:eastAsia="Times New Roman" w:hAnsi="Times New Roman" w:cs="Times New Roman"/>
        </w:rPr>
      </w:pPr>
    </w:p>
    <w:p w:rsidR="00F65389" w:rsidRDefault="00F65389">
      <w:pPr>
        <w:spacing w:after="0" w:line="240" w:lineRule="auto"/>
        <w:rPr>
          <w:rFonts w:ascii="Times New Roman" w:eastAsia="Times New Roman" w:hAnsi="Times New Roman" w:cs="Times New Roman"/>
        </w:rPr>
      </w:pPr>
    </w:p>
    <w:p w:rsidR="00F65389" w:rsidRDefault="00601CBA">
      <w:pPr>
        <w:spacing w:after="0" w:line="240" w:lineRule="auto"/>
        <w:rPr>
          <w:rFonts w:ascii="Times New Roman" w:eastAsia="Times New Roman" w:hAnsi="Times New Roman" w:cs="Times New Roman"/>
        </w:rPr>
      </w:pPr>
      <w:r>
        <w:rPr>
          <w:rFonts w:ascii="Times New Roman" w:eastAsia="Times New Roman" w:hAnsi="Times New Roman" w:cs="Times New Roman"/>
          <w:b/>
        </w:rPr>
        <w:t>_______________________</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b/>
        </w:rPr>
        <w:t>____________________</w:t>
      </w:r>
    </w:p>
    <w:p w:rsidR="00F65389" w:rsidRDefault="00601CBA">
      <w:pPr>
        <w:spacing w:after="0" w:line="240" w:lineRule="auto"/>
        <w:rPr>
          <w:rFonts w:ascii="Times New Roman" w:eastAsia="Times New Roman" w:hAnsi="Times New Roman" w:cs="Times New Roman"/>
        </w:rPr>
      </w:pPr>
      <w:r>
        <w:rPr>
          <w:rFonts w:ascii="Times New Roman" w:eastAsia="Times New Roman" w:hAnsi="Times New Roman" w:cs="Times New Roman"/>
          <w:b/>
        </w:rPr>
        <w:t>ASSOC. PROF JOHN ODO</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b/>
        </w:rPr>
        <w:t>Date</w:t>
      </w:r>
    </w:p>
    <w:p w:rsidR="00F65389" w:rsidRDefault="00601CBA">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Dean, Faculty of MSS </w:t>
      </w:r>
    </w:p>
    <w:p w:rsidR="00F65389" w:rsidRDefault="00F65389">
      <w:pPr>
        <w:spacing w:after="0" w:line="240" w:lineRule="auto"/>
        <w:rPr>
          <w:rFonts w:ascii="Times New Roman" w:eastAsia="Times New Roman" w:hAnsi="Times New Roman" w:cs="Times New Roman"/>
        </w:rPr>
      </w:pPr>
    </w:p>
    <w:p w:rsidR="00F65389" w:rsidRDefault="00F65389">
      <w:pPr>
        <w:spacing w:after="0" w:line="240" w:lineRule="auto"/>
        <w:rPr>
          <w:rFonts w:ascii="Times New Roman" w:eastAsia="Times New Roman" w:hAnsi="Times New Roman" w:cs="Times New Roman"/>
        </w:rPr>
      </w:pPr>
    </w:p>
    <w:p w:rsidR="00F65389" w:rsidRDefault="00F65389">
      <w:pPr>
        <w:spacing w:after="0" w:line="240" w:lineRule="auto"/>
        <w:rPr>
          <w:rFonts w:ascii="Times New Roman" w:eastAsia="Times New Roman" w:hAnsi="Times New Roman" w:cs="Times New Roman"/>
        </w:rPr>
      </w:pPr>
    </w:p>
    <w:p w:rsidR="00F65389" w:rsidRDefault="00F65389">
      <w:pPr>
        <w:spacing w:after="0" w:line="240" w:lineRule="auto"/>
        <w:rPr>
          <w:rFonts w:ascii="Times New Roman" w:eastAsia="Times New Roman" w:hAnsi="Times New Roman" w:cs="Times New Roman"/>
        </w:rPr>
      </w:pPr>
    </w:p>
    <w:p w:rsidR="00F65389" w:rsidRDefault="00601CBA">
      <w:pPr>
        <w:spacing w:after="0" w:line="240" w:lineRule="auto"/>
        <w:rPr>
          <w:rFonts w:ascii="Times New Roman" w:eastAsia="Times New Roman" w:hAnsi="Times New Roman" w:cs="Times New Roman"/>
        </w:rPr>
      </w:pPr>
      <w:r>
        <w:rPr>
          <w:rFonts w:ascii="Times New Roman" w:eastAsia="Times New Roman" w:hAnsi="Times New Roman" w:cs="Times New Roman"/>
          <w:b/>
        </w:rPr>
        <w:t>_______________________</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b/>
        </w:rPr>
        <w:t xml:space="preserve"> </w:t>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t>_____________________</w:t>
      </w:r>
    </w:p>
    <w:p w:rsidR="00F65389" w:rsidRDefault="00601CBA">
      <w:pPr>
        <w:spacing w:after="0" w:line="240" w:lineRule="auto"/>
        <w:rPr>
          <w:rFonts w:ascii="Times New Roman" w:eastAsia="Times New Roman" w:hAnsi="Times New Roman" w:cs="Times New Roman"/>
          <w:b/>
        </w:rPr>
      </w:pPr>
      <w:r>
        <w:rPr>
          <w:rFonts w:ascii="Times New Roman" w:eastAsia="Times New Roman" w:hAnsi="Times New Roman" w:cs="Times New Roman"/>
          <w:b/>
        </w:rPr>
        <w:t xml:space="preserve">External Examiner </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b/>
        </w:rPr>
        <w:t xml:space="preserve">Date       </w:t>
      </w:r>
    </w:p>
    <w:p w:rsidR="00F65389" w:rsidRDefault="00F65389">
      <w:pPr>
        <w:spacing w:after="0" w:line="259" w:lineRule="auto"/>
        <w:jc w:val="center"/>
        <w:rPr>
          <w:rFonts w:ascii="Times New Roman" w:eastAsia="Times New Roman" w:hAnsi="Times New Roman" w:cs="Times New Roman"/>
          <w:b/>
        </w:rPr>
      </w:pPr>
    </w:p>
    <w:p w:rsidR="00F65389" w:rsidRDefault="00F65389">
      <w:pPr>
        <w:spacing w:after="200" w:line="240" w:lineRule="auto"/>
        <w:jc w:val="center"/>
        <w:rPr>
          <w:rFonts w:ascii="Times New Roman" w:eastAsia="Times New Roman" w:hAnsi="Times New Roman" w:cs="Times New Roman"/>
          <w:b/>
        </w:rPr>
      </w:pPr>
    </w:p>
    <w:p w:rsidR="00F65389" w:rsidRDefault="00F65389">
      <w:pPr>
        <w:spacing w:after="200" w:line="240" w:lineRule="auto"/>
        <w:jc w:val="center"/>
        <w:rPr>
          <w:rFonts w:ascii="Times New Roman" w:eastAsia="Times New Roman" w:hAnsi="Times New Roman" w:cs="Times New Roman"/>
          <w:b/>
        </w:rPr>
      </w:pPr>
    </w:p>
    <w:p w:rsidR="00F65389" w:rsidRDefault="00F65389">
      <w:pPr>
        <w:spacing w:after="200" w:line="240" w:lineRule="auto"/>
        <w:jc w:val="center"/>
        <w:rPr>
          <w:rFonts w:ascii="Times New Roman" w:eastAsia="Times New Roman" w:hAnsi="Times New Roman" w:cs="Times New Roman"/>
          <w:b/>
        </w:rPr>
      </w:pPr>
    </w:p>
    <w:p w:rsidR="00F65389" w:rsidRDefault="00F65389">
      <w:pPr>
        <w:spacing w:after="200" w:line="240" w:lineRule="auto"/>
        <w:jc w:val="center"/>
        <w:rPr>
          <w:rFonts w:ascii="Times New Roman" w:eastAsia="Times New Roman" w:hAnsi="Times New Roman" w:cs="Times New Roman"/>
          <w:b/>
        </w:rPr>
      </w:pPr>
    </w:p>
    <w:p w:rsidR="00F65389" w:rsidRDefault="00F65389">
      <w:pPr>
        <w:spacing w:after="200" w:line="240" w:lineRule="auto"/>
        <w:jc w:val="center"/>
        <w:rPr>
          <w:rFonts w:ascii="Times New Roman" w:eastAsia="Times New Roman" w:hAnsi="Times New Roman" w:cs="Times New Roman"/>
          <w:b/>
        </w:rPr>
      </w:pPr>
    </w:p>
    <w:p w:rsidR="00F65389" w:rsidRDefault="00F65389">
      <w:pPr>
        <w:spacing w:after="200" w:line="240" w:lineRule="auto"/>
        <w:jc w:val="center"/>
        <w:rPr>
          <w:rFonts w:ascii="Times New Roman" w:eastAsia="Times New Roman" w:hAnsi="Times New Roman" w:cs="Times New Roman"/>
          <w:b/>
        </w:rPr>
      </w:pPr>
    </w:p>
    <w:p w:rsidR="00F65389" w:rsidRDefault="00F65389">
      <w:pPr>
        <w:spacing w:after="200" w:line="240" w:lineRule="auto"/>
        <w:jc w:val="center"/>
        <w:rPr>
          <w:rFonts w:ascii="Times New Roman" w:eastAsia="Times New Roman" w:hAnsi="Times New Roman" w:cs="Times New Roman"/>
          <w:b/>
        </w:rPr>
      </w:pPr>
    </w:p>
    <w:p w:rsidR="00F65389" w:rsidRDefault="00601CBA">
      <w:pPr>
        <w:spacing w:after="20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DEDICATION</w:t>
      </w:r>
    </w:p>
    <w:p w:rsidR="00F65389" w:rsidRDefault="00601CBA">
      <w:pPr>
        <w:spacing w:after="200" w:line="240" w:lineRule="auto"/>
        <w:jc w:val="center"/>
        <w:rPr>
          <w:rFonts w:ascii="Times New Roman" w:eastAsia="Times New Roman" w:hAnsi="Times New Roman" w:cs="Times New Roman"/>
        </w:rPr>
      </w:pPr>
      <w:r>
        <w:rPr>
          <w:rFonts w:ascii="Times New Roman" w:eastAsia="Times New Roman" w:hAnsi="Times New Roman" w:cs="Times New Roman"/>
        </w:rPr>
        <w:t>This work is dedicated to God Almighty for his grace and mercy towards me.</w:t>
      </w:r>
    </w:p>
    <w:p w:rsidR="00F65389" w:rsidRDefault="00F65389">
      <w:pPr>
        <w:spacing w:after="200" w:line="240" w:lineRule="auto"/>
        <w:jc w:val="center"/>
        <w:rPr>
          <w:rFonts w:ascii="Times New Roman" w:eastAsia="Times New Roman" w:hAnsi="Times New Roman" w:cs="Times New Roman"/>
        </w:rPr>
      </w:pPr>
    </w:p>
    <w:p w:rsidR="00F65389" w:rsidRDefault="00F65389">
      <w:pPr>
        <w:spacing w:after="200" w:line="240" w:lineRule="auto"/>
        <w:jc w:val="center"/>
        <w:rPr>
          <w:rFonts w:ascii="Times New Roman" w:eastAsia="Times New Roman" w:hAnsi="Times New Roman" w:cs="Times New Roman"/>
          <w:b/>
        </w:rPr>
      </w:pPr>
    </w:p>
    <w:p w:rsidR="00F65389" w:rsidRDefault="00F65389">
      <w:pPr>
        <w:spacing w:after="200" w:line="240" w:lineRule="auto"/>
        <w:jc w:val="center"/>
        <w:rPr>
          <w:rFonts w:ascii="Times New Roman" w:eastAsia="Times New Roman" w:hAnsi="Times New Roman" w:cs="Times New Roman"/>
          <w:b/>
        </w:rPr>
      </w:pPr>
    </w:p>
    <w:p w:rsidR="00F65389" w:rsidRDefault="00F65389">
      <w:pPr>
        <w:spacing w:after="200" w:line="240" w:lineRule="auto"/>
        <w:jc w:val="center"/>
        <w:rPr>
          <w:rFonts w:ascii="Times New Roman" w:eastAsia="Times New Roman" w:hAnsi="Times New Roman" w:cs="Times New Roman"/>
          <w:b/>
        </w:rPr>
      </w:pPr>
    </w:p>
    <w:p w:rsidR="00F65389" w:rsidRDefault="00F65389">
      <w:pPr>
        <w:spacing w:after="200" w:line="240" w:lineRule="auto"/>
        <w:jc w:val="center"/>
        <w:rPr>
          <w:rFonts w:ascii="Times New Roman" w:eastAsia="Times New Roman" w:hAnsi="Times New Roman" w:cs="Times New Roman"/>
          <w:b/>
        </w:rPr>
      </w:pPr>
    </w:p>
    <w:p w:rsidR="00F65389" w:rsidRDefault="00F65389">
      <w:pPr>
        <w:spacing w:after="200" w:line="240" w:lineRule="auto"/>
        <w:jc w:val="center"/>
        <w:rPr>
          <w:rFonts w:ascii="Times New Roman" w:eastAsia="Times New Roman" w:hAnsi="Times New Roman" w:cs="Times New Roman"/>
          <w:b/>
        </w:rPr>
      </w:pPr>
    </w:p>
    <w:p w:rsidR="00F65389" w:rsidRDefault="00F65389">
      <w:pPr>
        <w:spacing w:after="200" w:line="240" w:lineRule="auto"/>
        <w:jc w:val="center"/>
        <w:rPr>
          <w:rFonts w:ascii="Times New Roman" w:eastAsia="Times New Roman" w:hAnsi="Times New Roman" w:cs="Times New Roman"/>
          <w:b/>
        </w:rPr>
      </w:pPr>
    </w:p>
    <w:p w:rsidR="00F65389" w:rsidRDefault="00F65389">
      <w:pPr>
        <w:spacing w:after="200" w:line="240" w:lineRule="auto"/>
        <w:jc w:val="center"/>
        <w:rPr>
          <w:rFonts w:ascii="Times New Roman" w:eastAsia="Times New Roman" w:hAnsi="Times New Roman" w:cs="Times New Roman"/>
          <w:b/>
        </w:rPr>
      </w:pPr>
    </w:p>
    <w:p w:rsidR="00F65389" w:rsidRDefault="00F65389">
      <w:pPr>
        <w:spacing w:after="200" w:line="240" w:lineRule="auto"/>
        <w:jc w:val="center"/>
        <w:rPr>
          <w:rFonts w:ascii="Times New Roman" w:eastAsia="Times New Roman" w:hAnsi="Times New Roman" w:cs="Times New Roman"/>
          <w:b/>
        </w:rPr>
      </w:pPr>
    </w:p>
    <w:p w:rsidR="00F65389" w:rsidRDefault="00F65389">
      <w:pPr>
        <w:spacing w:after="200" w:line="240" w:lineRule="auto"/>
        <w:jc w:val="center"/>
        <w:rPr>
          <w:rFonts w:ascii="Times New Roman" w:eastAsia="Times New Roman" w:hAnsi="Times New Roman" w:cs="Times New Roman"/>
          <w:b/>
        </w:rPr>
      </w:pPr>
    </w:p>
    <w:p w:rsidR="00F65389" w:rsidRDefault="00F65389">
      <w:pPr>
        <w:spacing w:after="200" w:line="240" w:lineRule="auto"/>
        <w:jc w:val="center"/>
        <w:rPr>
          <w:rFonts w:ascii="Times New Roman" w:eastAsia="Times New Roman" w:hAnsi="Times New Roman" w:cs="Times New Roman"/>
          <w:b/>
        </w:rPr>
      </w:pPr>
    </w:p>
    <w:p w:rsidR="00F65389" w:rsidRDefault="00F65389">
      <w:pPr>
        <w:spacing w:after="200" w:line="240" w:lineRule="auto"/>
        <w:jc w:val="center"/>
        <w:rPr>
          <w:rFonts w:ascii="Times New Roman" w:eastAsia="Times New Roman" w:hAnsi="Times New Roman" w:cs="Times New Roman"/>
          <w:b/>
        </w:rPr>
      </w:pPr>
    </w:p>
    <w:p w:rsidR="00F65389" w:rsidRDefault="00F65389">
      <w:pPr>
        <w:spacing w:after="200" w:line="240" w:lineRule="auto"/>
        <w:jc w:val="center"/>
        <w:rPr>
          <w:rFonts w:ascii="Times New Roman" w:eastAsia="Times New Roman" w:hAnsi="Times New Roman" w:cs="Times New Roman"/>
          <w:b/>
        </w:rPr>
      </w:pPr>
    </w:p>
    <w:p w:rsidR="00F65389" w:rsidRDefault="00F65389">
      <w:pPr>
        <w:spacing w:after="200" w:line="240" w:lineRule="auto"/>
        <w:jc w:val="center"/>
        <w:rPr>
          <w:rFonts w:ascii="Times New Roman" w:eastAsia="Times New Roman" w:hAnsi="Times New Roman" w:cs="Times New Roman"/>
          <w:b/>
        </w:rPr>
      </w:pPr>
    </w:p>
    <w:p w:rsidR="00F65389" w:rsidRDefault="00F65389">
      <w:pPr>
        <w:spacing w:after="200" w:line="240" w:lineRule="auto"/>
        <w:jc w:val="center"/>
        <w:rPr>
          <w:rFonts w:ascii="Times New Roman" w:eastAsia="Times New Roman" w:hAnsi="Times New Roman" w:cs="Times New Roman"/>
          <w:b/>
        </w:rPr>
      </w:pPr>
    </w:p>
    <w:p w:rsidR="00F65389" w:rsidRDefault="00F65389">
      <w:pPr>
        <w:spacing w:after="200" w:line="240" w:lineRule="auto"/>
        <w:jc w:val="center"/>
        <w:rPr>
          <w:rFonts w:ascii="Times New Roman" w:eastAsia="Times New Roman" w:hAnsi="Times New Roman" w:cs="Times New Roman"/>
          <w:b/>
        </w:rPr>
      </w:pPr>
    </w:p>
    <w:p w:rsidR="00F65389" w:rsidRDefault="00F65389">
      <w:pPr>
        <w:spacing w:after="200" w:line="240" w:lineRule="auto"/>
        <w:jc w:val="center"/>
        <w:rPr>
          <w:rFonts w:ascii="Times New Roman" w:eastAsia="Times New Roman" w:hAnsi="Times New Roman" w:cs="Times New Roman"/>
          <w:b/>
        </w:rPr>
      </w:pPr>
    </w:p>
    <w:p w:rsidR="00F65389" w:rsidRDefault="00F65389">
      <w:pPr>
        <w:spacing w:after="200" w:line="240" w:lineRule="auto"/>
        <w:jc w:val="center"/>
        <w:rPr>
          <w:rFonts w:ascii="Times New Roman" w:eastAsia="Times New Roman" w:hAnsi="Times New Roman" w:cs="Times New Roman"/>
          <w:b/>
        </w:rPr>
      </w:pPr>
    </w:p>
    <w:p w:rsidR="00F65389" w:rsidRDefault="00F65389">
      <w:pPr>
        <w:spacing w:after="200" w:line="240" w:lineRule="auto"/>
        <w:jc w:val="center"/>
        <w:rPr>
          <w:rFonts w:ascii="Times New Roman" w:eastAsia="Times New Roman" w:hAnsi="Times New Roman" w:cs="Times New Roman"/>
          <w:b/>
        </w:rPr>
      </w:pPr>
    </w:p>
    <w:p w:rsidR="00F65389" w:rsidRDefault="00F65389">
      <w:pPr>
        <w:spacing w:after="200" w:line="240" w:lineRule="auto"/>
        <w:jc w:val="center"/>
        <w:rPr>
          <w:rFonts w:ascii="Times New Roman" w:eastAsia="Times New Roman" w:hAnsi="Times New Roman" w:cs="Times New Roman"/>
          <w:b/>
        </w:rPr>
      </w:pPr>
    </w:p>
    <w:p w:rsidR="00F65389" w:rsidRDefault="00F65389">
      <w:pPr>
        <w:spacing w:after="200" w:line="240" w:lineRule="auto"/>
        <w:jc w:val="center"/>
        <w:rPr>
          <w:rFonts w:ascii="Times New Roman" w:eastAsia="Times New Roman" w:hAnsi="Times New Roman" w:cs="Times New Roman"/>
          <w:b/>
        </w:rPr>
      </w:pPr>
    </w:p>
    <w:p w:rsidR="00F65389" w:rsidRDefault="00F65389">
      <w:pPr>
        <w:spacing w:after="200" w:line="240" w:lineRule="auto"/>
        <w:jc w:val="center"/>
        <w:rPr>
          <w:rFonts w:ascii="Times New Roman" w:eastAsia="Times New Roman" w:hAnsi="Times New Roman" w:cs="Times New Roman"/>
          <w:b/>
        </w:rPr>
      </w:pPr>
    </w:p>
    <w:p w:rsidR="00F65389" w:rsidRDefault="00F65389">
      <w:pPr>
        <w:spacing w:after="200" w:line="240" w:lineRule="auto"/>
        <w:jc w:val="center"/>
        <w:rPr>
          <w:rFonts w:ascii="Times New Roman" w:eastAsia="Times New Roman" w:hAnsi="Times New Roman" w:cs="Times New Roman"/>
          <w:b/>
        </w:rPr>
      </w:pPr>
    </w:p>
    <w:p w:rsidR="00F65389" w:rsidRDefault="00F65389">
      <w:pPr>
        <w:spacing w:after="200" w:line="240" w:lineRule="auto"/>
        <w:jc w:val="center"/>
        <w:rPr>
          <w:rFonts w:ascii="Times New Roman" w:eastAsia="Times New Roman" w:hAnsi="Times New Roman" w:cs="Times New Roman"/>
          <w:b/>
        </w:rPr>
      </w:pPr>
    </w:p>
    <w:p w:rsidR="00F65389" w:rsidRDefault="00F65389">
      <w:pPr>
        <w:spacing w:after="200" w:line="240" w:lineRule="auto"/>
        <w:jc w:val="center"/>
        <w:rPr>
          <w:rFonts w:ascii="Times New Roman" w:eastAsia="Times New Roman" w:hAnsi="Times New Roman" w:cs="Times New Roman"/>
          <w:b/>
        </w:rPr>
      </w:pPr>
    </w:p>
    <w:p w:rsidR="00F65389" w:rsidRDefault="00601CBA">
      <w:pPr>
        <w:spacing w:after="20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ACKNOWLEDGMENTS</w:t>
      </w:r>
    </w:p>
    <w:p w:rsidR="005B419C" w:rsidRPr="005B419C" w:rsidRDefault="005B419C" w:rsidP="005B419C">
      <w:pPr>
        <w:spacing w:line="360" w:lineRule="auto"/>
        <w:jc w:val="both"/>
        <w:rPr>
          <w:rFonts w:ascii="Times New Roman" w:eastAsia="Times New Roman" w:hAnsi="Times New Roman" w:cs="Times New Roman"/>
        </w:rPr>
      </w:pPr>
      <w:r w:rsidRPr="005B419C">
        <w:rPr>
          <w:rFonts w:ascii="Times New Roman" w:eastAsia="Times New Roman" w:hAnsi="Times New Roman" w:cs="Times New Roman"/>
        </w:rPr>
        <w:t>My profound gratitude goes to God Almighty whose grace and faithfulness saw me through this work. To my supervisor, Asso.</w:t>
      </w:r>
      <w:r>
        <w:rPr>
          <w:rFonts w:ascii="Times New Roman" w:eastAsia="Times New Roman" w:hAnsi="Times New Roman" w:cs="Times New Roman"/>
        </w:rPr>
        <w:t xml:space="preserve"> </w:t>
      </w:r>
      <w:r w:rsidRPr="005B419C">
        <w:rPr>
          <w:rFonts w:ascii="Times New Roman" w:eastAsia="Times New Roman" w:hAnsi="Times New Roman" w:cs="Times New Roman"/>
        </w:rPr>
        <w:t>Prof J.</w:t>
      </w:r>
      <w:r>
        <w:rPr>
          <w:rFonts w:ascii="Times New Roman" w:eastAsia="Times New Roman" w:hAnsi="Times New Roman" w:cs="Times New Roman"/>
        </w:rPr>
        <w:t xml:space="preserve"> </w:t>
      </w:r>
      <w:r w:rsidRPr="005B419C">
        <w:rPr>
          <w:rFonts w:ascii="Times New Roman" w:eastAsia="Times New Roman" w:hAnsi="Times New Roman" w:cs="Times New Roman"/>
        </w:rPr>
        <w:t>Ugwu for his understanding, patience, guidance, corrections, support and for dedicating his time towards helping me accomplish this project. I am forever grateful sir.</w:t>
      </w:r>
    </w:p>
    <w:p w:rsidR="005B419C" w:rsidRPr="005B419C" w:rsidRDefault="005B419C" w:rsidP="005B419C">
      <w:pPr>
        <w:spacing w:line="360" w:lineRule="auto"/>
        <w:jc w:val="both"/>
        <w:rPr>
          <w:rFonts w:ascii="Times New Roman" w:eastAsia="Times New Roman" w:hAnsi="Times New Roman" w:cs="Times New Roman"/>
        </w:rPr>
      </w:pPr>
      <w:r w:rsidRPr="005B419C">
        <w:rPr>
          <w:rFonts w:ascii="Times New Roman" w:eastAsia="Times New Roman" w:hAnsi="Times New Roman" w:cs="Times New Roman"/>
        </w:rPr>
        <w:t>I am immensely grateful to the Head of Department who is also the Dean of Management and Social Sciences, Asso. Prof. J. Odo for his words of advice and support.</w:t>
      </w:r>
    </w:p>
    <w:p w:rsidR="005B419C" w:rsidRPr="005B419C" w:rsidRDefault="005B419C" w:rsidP="005B419C">
      <w:pPr>
        <w:spacing w:line="360" w:lineRule="auto"/>
        <w:jc w:val="both"/>
        <w:rPr>
          <w:rFonts w:ascii="Times New Roman" w:eastAsia="Times New Roman" w:hAnsi="Times New Roman" w:cs="Times New Roman"/>
        </w:rPr>
      </w:pPr>
      <w:r w:rsidRPr="005B419C">
        <w:rPr>
          <w:rFonts w:ascii="Times New Roman" w:eastAsia="Times New Roman" w:hAnsi="Times New Roman" w:cs="Times New Roman"/>
        </w:rPr>
        <w:t xml:space="preserve">To my lecturers Asso. Prof. J. Odo, Prof. S. N. Udeh, Prof. O. Inyiama, Mrs. V. I. Okoro, Asso. Prof. J. Ugwu, Dr. S. N. P. Nwankwo, Prof. Nwafor,  Dr. Ewah Bassey, Prof. Elias I. Agbo, Prof. Modesta Egiyi, Prof. Eyisi, Rev. Fr. W. Agu, Mrs V.I Okoro, Dr. Stephen Agu, Dr. Ugwu Osmond, Dr. Nwachukwu Basilia,  Miss Amarachukwu. I sincerely thank you all for impacting your knowledge and experience in me, from my first year in this University down to my final year. </w:t>
      </w:r>
    </w:p>
    <w:p w:rsidR="005B419C" w:rsidRPr="005B419C" w:rsidRDefault="005B419C" w:rsidP="005B419C">
      <w:pPr>
        <w:spacing w:line="360" w:lineRule="auto"/>
        <w:jc w:val="both"/>
        <w:rPr>
          <w:rFonts w:ascii="Times New Roman" w:eastAsia="Times New Roman" w:hAnsi="Times New Roman" w:cs="Times New Roman"/>
        </w:rPr>
      </w:pPr>
      <w:r w:rsidRPr="005B419C">
        <w:rPr>
          <w:rFonts w:ascii="Times New Roman" w:eastAsia="Times New Roman" w:hAnsi="Times New Roman" w:cs="Times New Roman"/>
        </w:rPr>
        <w:t>My lovely friends Asuquo Eunice,</w:t>
      </w:r>
      <w:r>
        <w:rPr>
          <w:rFonts w:ascii="Times New Roman" w:eastAsia="Times New Roman" w:hAnsi="Times New Roman" w:cs="Times New Roman"/>
        </w:rPr>
        <w:t xml:space="preserve"> </w:t>
      </w:r>
      <w:r w:rsidRPr="005B419C">
        <w:rPr>
          <w:rFonts w:ascii="Times New Roman" w:eastAsia="Times New Roman" w:hAnsi="Times New Roman" w:cs="Times New Roman"/>
        </w:rPr>
        <w:t>Solomon Manuchimso,</w:t>
      </w:r>
      <w:r>
        <w:rPr>
          <w:rFonts w:ascii="Times New Roman" w:eastAsia="Times New Roman" w:hAnsi="Times New Roman" w:cs="Times New Roman"/>
        </w:rPr>
        <w:t xml:space="preserve"> </w:t>
      </w:r>
      <w:r w:rsidRPr="005B419C">
        <w:rPr>
          <w:rFonts w:ascii="Times New Roman" w:eastAsia="Times New Roman" w:hAnsi="Times New Roman" w:cs="Times New Roman"/>
        </w:rPr>
        <w:t>Nwachuwku Deborah,Doofan Rita,</w:t>
      </w:r>
      <w:r>
        <w:rPr>
          <w:rFonts w:ascii="Times New Roman" w:eastAsia="Times New Roman" w:hAnsi="Times New Roman" w:cs="Times New Roman"/>
        </w:rPr>
        <w:t xml:space="preserve"> </w:t>
      </w:r>
      <w:r w:rsidRPr="005B419C">
        <w:rPr>
          <w:rFonts w:ascii="Times New Roman" w:eastAsia="Times New Roman" w:hAnsi="Times New Roman" w:cs="Times New Roman"/>
        </w:rPr>
        <w:t>Mekwunye Dumebi,</w:t>
      </w:r>
      <w:r>
        <w:rPr>
          <w:rFonts w:ascii="Times New Roman" w:eastAsia="Times New Roman" w:hAnsi="Times New Roman" w:cs="Times New Roman"/>
        </w:rPr>
        <w:t xml:space="preserve"> </w:t>
      </w:r>
      <w:r w:rsidRPr="005B419C">
        <w:rPr>
          <w:rFonts w:ascii="Times New Roman" w:eastAsia="Times New Roman" w:hAnsi="Times New Roman" w:cs="Times New Roman"/>
        </w:rPr>
        <w:t>Abity Obase-Torsam, Agwu-Chima Nneoma, Ezennia Ifechukwu, and many others, I am grateful for your support, friendship, gestures, judgements and guidance you’ve shown me during the period.</w:t>
      </w:r>
    </w:p>
    <w:p w:rsidR="00F65389" w:rsidRDefault="005B419C" w:rsidP="005B419C">
      <w:pPr>
        <w:spacing w:line="360" w:lineRule="auto"/>
        <w:jc w:val="both"/>
        <w:rPr>
          <w:rFonts w:ascii="Times New Roman" w:eastAsia="Times New Roman" w:hAnsi="Times New Roman" w:cs="Times New Roman"/>
        </w:rPr>
      </w:pPr>
      <w:r w:rsidRPr="005B419C">
        <w:rPr>
          <w:rFonts w:ascii="Times New Roman" w:eastAsia="Times New Roman" w:hAnsi="Times New Roman" w:cs="Times New Roman"/>
        </w:rPr>
        <w:t>My utmost gratitude goes to my loving and wonderful pa</w:t>
      </w:r>
      <w:r>
        <w:rPr>
          <w:rFonts w:ascii="Times New Roman" w:eastAsia="Times New Roman" w:hAnsi="Times New Roman" w:cs="Times New Roman"/>
        </w:rPr>
        <w:t>rents Mr. &amp; Mrs Asuquo</w:t>
      </w:r>
      <w:r w:rsidRPr="005B419C">
        <w:rPr>
          <w:rFonts w:ascii="Times New Roman" w:eastAsia="Times New Roman" w:hAnsi="Times New Roman" w:cs="Times New Roman"/>
        </w:rPr>
        <w:t>, for their love, sacrifices, and prayers. May God Almighty grant you long life in good health. Amen.</w:t>
      </w:r>
    </w:p>
    <w:p w:rsidR="00F65389" w:rsidRDefault="00F65389">
      <w:pPr>
        <w:rPr>
          <w:rFonts w:ascii="Times New Roman" w:eastAsia="Times New Roman" w:hAnsi="Times New Roman" w:cs="Times New Roman"/>
        </w:rPr>
      </w:pPr>
    </w:p>
    <w:p w:rsidR="00F65389" w:rsidRDefault="00F65389">
      <w:pPr>
        <w:rPr>
          <w:rFonts w:ascii="Times New Roman" w:eastAsia="Times New Roman" w:hAnsi="Times New Roman" w:cs="Times New Roman"/>
        </w:rPr>
      </w:pPr>
    </w:p>
    <w:p w:rsidR="00F65389" w:rsidRDefault="00F65389">
      <w:pPr>
        <w:rPr>
          <w:rFonts w:ascii="Times New Roman" w:eastAsia="Times New Roman" w:hAnsi="Times New Roman" w:cs="Times New Roman"/>
        </w:rPr>
      </w:pPr>
    </w:p>
    <w:p w:rsidR="00F65389" w:rsidRDefault="00F65389">
      <w:pPr>
        <w:rPr>
          <w:rFonts w:ascii="Times New Roman" w:eastAsia="Times New Roman" w:hAnsi="Times New Roman" w:cs="Times New Roman"/>
        </w:rPr>
      </w:pPr>
    </w:p>
    <w:p w:rsidR="00F65389" w:rsidRDefault="00F65389">
      <w:pPr>
        <w:rPr>
          <w:rFonts w:ascii="Times New Roman" w:eastAsia="Times New Roman" w:hAnsi="Times New Roman" w:cs="Times New Roman"/>
        </w:rPr>
      </w:pPr>
    </w:p>
    <w:p w:rsidR="00F65389" w:rsidRDefault="00F65389">
      <w:pPr>
        <w:rPr>
          <w:rFonts w:ascii="Times New Roman" w:eastAsia="Times New Roman" w:hAnsi="Times New Roman" w:cs="Times New Roman"/>
        </w:rPr>
      </w:pPr>
    </w:p>
    <w:p w:rsidR="00F65389" w:rsidRDefault="00F65389">
      <w:pPr>
        <w:rPr>
          <w:rFonts w:ascii="Times New Roman" w:eastAsia="Times New Roman" w:hAnsi="Times New Roman" w:cs="Times New Roman"/>
        </w:rPr>
      </w:pPr>
    </w:p>
    <w:p w:rsidR="00F65389" w:rsidRDefault="00F65389">
      <w:pPr>
        <w:rPr>
          <w:rFonts w:ascii="Times New Roman" w:eastAsia="Times New Roman" w:hAnsi="Times New Roman" w:cs="Times New Roman"/>
        </w:rPr>
      </w:pPr>
    </w:p>
    <w:p w:rsidR="00F65389" w:rsidRDefault="00F65389">
      <w:pPr>
        <w:rPr>
          <w:rFonts w:ascii="Times New Roman" w:eastAsia="Times New Roman" w:hAnsi="Times New Roman" w:cs="Times New Roman"/>
        </w:rPr>
      </w:pPr>
    </w:p>
    <w:p w:rsidR="00F65389" w:rsidRDefault="00F65389">
      <w:pPr>
        <w:rPr>
          <w:rFonts w:ascii="Times New Roman" w:eastAsia="Times New Roman" w:hAnsi="Times New Roman" w:cs="Times New Roman"/>
        </w:rPr>
      </w:pPr>
    </w:p>
    <w:p w:rsidR="00F65389" w:rsidRDefault="00601CBA">
      <w:pPr>
        <w:jc w:val="center"/>
        <w:rPr>
          <w:rFonts w:ascii="Times New Roman" w:eastAsia="Times New Roman" w:hAnsi="Times New Roman" w:cs="Times New Roman"/>
          <w:b/>
        </w:rPr>
      </w:pPr>
      <w:r>
        <w:rPr>
          <w:rFonts w:ascii="Times New Roman" w:eastAsia="Times New Roman" w:hAnsi="Times New Roman" w:cs="Times New Roman"/>
          <w:b/>
        </w:rPr>
        <w:lastRenderedPageBreak/>
        <w:t>TABLE OF CONTENTS</w:t>
      </w:r>
    </w:p>
    <w:p w:rsidR="00F65389" w:rsidRDefault="00601CBA" w:rsidP="00601CBA">
      <w:pPr>
        <w:spacing w:after="0" w:line="276" w:lineRule="auto"/>
        <w:jc w:val="both"/>
        <w:rPr>
          <w:rFonts w:ascii="Times New Roman" w:eastAsia="Times New Roman" w:hAnsi="Times New Roman" w:cs="Times New Roman"/>
        </w:rPr>
      </w:pPr>
      <w:r>
        <w:rPr>
          <w:rFonts w:ascii="Times New Roman" w:eastAsia="Times New Roman" w:hAnsi="Times New Roman" w:cs="Times New Roman"/>
        </w:rPr>
        <w:t>Title Page</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1</w:t>
      </w:r>
    </w:p>
    <w:p w:rsidR="00F65389" w:rsidRDefault="00601CBA" w:rsidP="00601CBA">
      <w:pPr>
        <w:spacing w:after="0" w:line="276" w:lineRule="auto"/>
        <w:jc w:val="both"/>
        <w:rPr>
          <w:rFonts w:ascii="Times New Roman" w:eastAsia="Times New Roman" w:hAnsi="Times New Roman" w:cs="Times New Roman"/>
        </w:rPr>
      </w:pPr>
      <w:r>
        <w:rPr>
          <w:rFonts w:ascii="Times New Roman" w:eastAsia="Times New Roman" w:hAnsi="Times New Roman" w:cs="Times New Roman"/>
        </w:rPr>
        <w:t>Declaration</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2</w:t>
      </w:r>
    </w:p>
    <w:p w:rsidR="00F65389" w:rsidRDefault="00601CBA" w:rsidP="00601CBA">
      <w:pPr>
        <w:spacing w:after="0" w:line="276" w:lineRule="auto"/>
        <w:jc w:val="both"/>
        <w:rPr>
          <w:rFonts w:ascii="Times New Roman" w:eastAsia="Times New Roman" w:hAnsi="Times New Roman" w:cs="Times New Roman"/>
        </w:rPr>
      </w:pPr>
      <w:r>
        <w:rPr>
          <w:rFonts w:ascii="Times New Roman" w:eastAsia="Times New Roman" w:hAnsi="Times New Roman" w:cs="Times New Roman"/>
        </w:rPr>
        <w:t>Certification</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3</w:t>
      </w:r>
    </w:p>
    <w:p w:rsidR="00F65389" w:rsidRDefault="00601CBA" w:rsidP="00601CBA">
      <w:pPr>
        <w:spacing w:after="0" w:line="276" w:lineRule="auto"/>
        <w:jc w:val="both"/>
        <w:rPr>
          <w:rFonts w:ascii="Times New Roman" w:eastAsia="Times New Roman" w:hAnsi="Times New Roman" w:cs="Times New Roman"/>
        </w:rPr>
      </w:pPr>
      <w:r>
        <w:rPr>
          <w:rFonts w:ascii="Times New Roman" w:eastAsia="Times New Roman" w:hAnsi="Times New Roman" w:cs="Times New Roman"/>
        </w:rPr>
        <w:t>Dedication</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4</w:t>
      </w:r>
    </w:p>
    <w:p w:rsidR="00F65389" w:rsidRDefault="00601CBA" w:rsidP="00601CBA">
      <w:pPr>
        <w:spacing w:after="0" w:line="276" w:lineRule="auto"/>
        <w:jc w:val="both"/>
        <w:rPr>
          <w:rFonts w:ascii="Times New Roman" w:eastAsia="Times New Roman" w:hAnsi="Times New Roman" w:cs="Times New Roman"/>
        </w:rPr>
      </w:pPr>
      <w:r>
        <w:rPr>
          <w:rFonts w:ascii="Times New Roman" w:eastAsia="Times New Roman" w:hAnsi="Times New Roman" w:cs="Times New Roman"/>
        </w:rPr>
        <w:t>Acknowledgments</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5</w:t>
      </w:r>
    </w:p>
    <w:p w:rsidR="00F65389" w:rsidRDefault="00601CBA" w:rsidP="00601CBA">
      <w:pPr>
        <w:spacing w:after="0" w:line="276" w:lineRule="auto"/>
        <w:jc w:val="both"/>
        <w:rPr>
          <w:rFonts w:ascii="Times New Roman" w:eastAsia="Times New Roman" w:hAnsi="Times New Roman" w:cs="Times New Roman"/>
        </w:rPr>
      </w:pPr>
      <w:r>
        <w:rPr>
          <w:rFonts w:ascii="Times New Roman" w:eastAsia="Times New Roman" w:hAnsi="Times New Roman" w:cs="Times New Roman"/>
        </w:rPr>
        <w:t>Table of Contents</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6</w:t>
      </w:r>
    </w:p>
    <w:p w:rsidR="00F65389" w:rsidRDefault="00601CBA" w:rsidP="00601CBA">
      <w:pPr>
        <w:spacing w:after="0" w:line="276" w:lineRule="auto"/>
        <w:jc w:val="both"/>
        <w:rPr>
          <w:rFonts w:ascii="Times New Roman" w:eastAsia="Times New Roman" w:hAnsi="Times New Roman" w:cs="Times New Roman"/>
        </w:rPr>
      </w:pPr>
      <w:r>
        <w:rPr>
          <w:rFonts w:ascii="Times New Roman" w:eastAsia="Times New Roman" w:hAnsi="Times New Roman" w:cs="Times New Roman"/>
        </w:rPr>
        <w:t>List of Tables</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8</w:t>
      </w:r>
    </w:p>
    <w:p w:rsidR="00F65389" w:rsidRDefault="00601CBA" w:rsidP="00601CBA">
      <w:pPr>
        <w:spacing w:after="0" w:line="276" w:lineRule="auto"/>
        <w:jc w:val="both"/>
        <w:rPr>
          <w:rFonts w:ascii="Times New Roman" w:eastAsia="Times New Roman" w:hAnsi="Times New Roman" w:cs="Times New Roman"/>
        </w:rPr>
      </w:pPr>
      <w:r>
        <w:rPr>
          <w:rFonts w:ascii="Times New Roman" w:eastAsia="Times New Roman" w:hAnsi="Times New Roman" w:cs="Times New Roman"/>
        </w:rPr>
        <w:t>List of Figure</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9</w:t>
      </w:r>
    </w:p>
    <w:p w:rsidR="00F65389" w:rsidRDefault="00601CBA" w:rsidP="00601CBA">
      <w:pPr>
        <w:spacing w:after="0" w:line="276" w:lineRule="auto"/>
        <w:jc w:val="both"/>
        <w:rPr>
          <w:rFonts w:ascii="Times New Roman" w:eastAsia="Times New Roman" w:hAnsi="Times New Roman" w:cs="Times New Roman"/>
        </w:rPr>
      </w:pPr>
      <w:r>
        <w:rPr>
          <w:rFonts w:ascii="Times New Roman" w:eastAsia="Times New Roman" w:hAnsi="Times New Roman" w:cs="Times New Roman"/>
        </w:rPr>
        <w:t>Abstract</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10</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p>
    <w:p w:rsidR="00F65389" w:rsidRDefault="00601CBA" w:rsidP="00601CBA">
      <w:pPr>
        <w:spacing w:after="0" w:line="276" w:lineRule="auto"/>
        <w:jc w:val="both"/>
        <w:rPr>
          <w:rFonts w:ascii="Times New Roman" w:eastAsia="Times New Roman" w:hAnsi="Times New Roman" w:cs="Times New Roman"/>
          <w:b/>
        </w:rPr>
      </w:pPr>
      <w:r>
        <w:rPr>
          <w:rFonts w:ascii="Times New Roman" w:eastAsia="Times New Roman" w:hAnsi="Times New Roman" w:cs="Times New Roman"/>
          <w:b/>
        </w:rPr>
        <w:t>CHAPTER ONE: INTRODUCTION</w:t>
      </w:r>
    </w:p>
    <w:p w:rsidR="00F65389" w:rsidRDefault="00601CBA" w:rsidP="00601CBA">
      <w:pPr>
        <w:spacing w:after="0" w:line="276" w:lineRule="auto"/>
        <w:jc w:val="both"/>
        <w:rPr>
          <w:rFonts w:ascii="Times New Roman" w:eastAsia="Times New Roman" w:hAnsi="Times New Roman" w:cs="Times New Roman"/>
        </w:rPr>
      </w:pPr>
      <w:r>
        <w:rPr>
          <w:rFonts w:ascii="Times New Roman" w:eastAsia="Times New Roman" w:hAnsi="Times New Roman" w:cs="Times New Roman"/>
        </w:rPr>
        <w:t xml:space="preserve">1.1 Background to the Study </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11</w:t>
      </w:r>
    </w:p>
    <w:p w:rsidR="00F65389" w:rsidRDefault="00601CBA" w:rsidP="00601CBA">
      <w:pPr>
        <w:spacing w:after="0" w:line="276" w:lineRule="auto"/>
        <w:jc w:val="both"/>
        <w:rPr>
          <w:rFonts w:ascii="Times New Roman" w:eastAsia="Times New Roman" w:hAnsi="Times New Roman" w:cs="Times New Roman"/>
        </w:rPr>
      </w:pPr>
      <w:r>
        <w:rPr>
          <w:rFonts w:ascii="Times New Roman" w:eastAsia="Times New Roman" w:hAnsi="Times New Roman" w:cs="Times New Roman"/>
        </w:rPr>
        <w:t xml:space="preserve">1.2 Statement of the Problem       </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13</w:t>
      </w:r>
    </w:p>
    <w:p w:rsidR="00F65389" w:rsidRDefault="00601CBA" w:rsidP="00601CBA">
      <w:pPr>
        <w:spacing w:after="0" w:line="276" w:lineRule="auto"/>
        <w:jc w:val="both"/>
        <w:rPr>
          <w:rFonts w:ascii="Times New Roman" w:eastAsia="Times New Roman" w:hAnsi="Times New Roman" w:cs="Times New Roman"/>
        </w:rPr>
      </w:pPr>
      <w:r>
        <w:rPr>
          <w:rFonts w:ascii="Times New Roman" w:eastAsia="Times New Roman" w:hAnsi="Times New Roman" w:cs="Times New Roman"/>
        </w:rPr>
        <w:t>1.3 Objectives of the Study</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14</w:t>
      </w:r>
    </w:p>
    <w:p w:rsidR="00F65389" w:rsidRDefault="00601CBA" w:rsidP="00601CBA">
      <w:pPr>
        <w:spacing w:after="0" w:line="276" w:lineRule="auto"/>
        <w:jc w:val="both"/>
        <w:rPr>
          <w:rFonts w:ascii="Times New Roman" w:eastAsia="Times New Roman" w:hAnsi="Times New Roman" w:cs="Times New Roman"/>
        </w:rPr>
      </w:pPr>
      <w:r>
        <w:rPr>
          <w:rFonts w:ascii="Times New Roman" w:eastAsia="Times New Roman" w:hAnsi="Times New Roman" w:cs="Times New Roman"/>
        </w:rPr>
        <w:t>1.4 Research Questions</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15</w:t>
      </w:r>
    </w:p>
    <w:p w:rsidR="00F65389" w:rsidRDefault="00601CBA" w:rsidP="00601CBA">
      <w:pPr>
        <w:spacing w:after="0" w:line="276" w:lineRule="auto"/>
        <w:jc w:val="both"/>
        <w:rPr>
          <w:rFonts w:ascii="Times New Roman" w:eastAsia="Times New Roman" w:hAnsi="Times New Roman" w:cs="Times New Roman"/>
        </w:rPr>
      </w:pPr>
      <w:r>
        <w:rPr>
          <w:rFonts w:ascii="Times New Roman" w:eastAsia="Times New Roman" w:hAnsi="Times New Roman" w:cs="Times New Roman"/>
        </w:rPr>
        <w:t>1.5 Research Hypotheses</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15</w:t>
      </w:r>
    </w:p>
    <w:p w:rsidR="00F65389" w:rsidRDefault="00601CBA" w:rsidP="00601CBA">
      <w:pPr>
        <w:pStyle w:val="Heading3"/>
        <w:keepNext w:val="0"/>
        <w:keepLines w:val="0"/>
        <w:spacing w:before="0"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 Significance of the Study</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16</w:t>
      </w:r>
    </w:p>
    <w:p w:rsidR="00F65389" w:rsidRDefault="00601CBA" w:rsidP="00601CBA">
      <w:pPr>
        <w:pStyle w:val="Heading3"/>
        <w:keepNext w:val="0"/>
        <w:keepLines w:val="0"/>
        <w:spacing w:before="0"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 Scope of the Study</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sidR="005B419C">
        <w:rPr>
          <w:rFonts w:ascii="Times New Roman" w:eastAsia="Times New Roman" w:hAnsi="Times New Roman" w:cs="Times New Roman"/>
          <w:color w:val="000000"/>
          <w:sz w:val="24"/>
          <w:szCs w:val="24"/>
        </w:rPr>
        <w:t>16</w:t>
      </w:r>
    </w:p>
    <w:p w:rsidR="00F65389" w:rsidRDefault="00601CBA" w:rsidP="00601CBA">
      <w:pPr>
        <w:pStyle w:val="Heading3"/>
        <w:keepNext w:val="0"/>
        <w:keepLines w:val="0"/>
        <w:spacing w:before="0"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 Operational Definitions of Terms</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17</w:t>
      </w:r>
    </w:p>
    <w:p w:rsidR="00F65389" w:rsidRDefault="00F65389" w:rsidP="00601CBA">
      <w:pPr>
        <w:spacing w:after="0" w:line="276" w:lineRule="auto"/>
      </w:pPr>
    </w:p>
    <w:p w:rsidR="00F65389" w:rsidRDefault="00601CBA" w:rsidP="00601CBA">
      <w:pPr>
        <w:spacing w:after="0" w:line="276" w:lineRule="auto"/>
        <w:jc w:val="both"/>
        <w:rPr>
          <w:rFonts w:ascii="Times New Roman" w:eastAsia="Times New Roman" w:hAnsi="Times New Roman" w:cs="Times New Roman"/>
          <w:b/>
        </w:rPr>
      </w:pPr>
      <w:r>
        <w:rPr>
          <w:rFonts w:ascii="Times New Roman" w:eastAsia="Times New Roman" w:hAnsi="Times New Roman" w:cs="Times New Roman"/>
          <w:b/>
        </w:rPr>
        <w:t xml:space="preserve">CHAPTER TWO: REVIEW OF RELATED LITERATURE </w:t>
      </w:r>
    </w:p>
    <w:p w:rsidR="00F65389" w:rsidRDefault="00601CBA" w:rsidP="00601CBA">
      <w:pPr>
        <w:spacing w:after="0" w:line="276" w:lineRule="auto"/>
        <w:jc w:val="both"/>
        <w:rPr>
          <w:rFonts w:ascii="Times New Roman" w:eastAsia="Times New Roman" w:hAnsi="Times New Roman" w:cs="Times New Roman"/>
        </w:rPr>
      </w:pPr>
      <w:r>
        <w:rPr>
          <w:rFonts w:ascii="Times New Roman" w:eastAsia="Times New Roman" w:hAnsi="Times New Roman" w:cs="Times New Roman"/>
        </w:rPr>
        <w:t>2.1 Conceptual Framework</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19</w:t>
      </w:r>
    </w:p>
    <w:p w:rsidR="00F65389" w:rsidRDefault="00601CBA" w:rsidP="00601CBA">
      <w:pPr>
        <w:spacing w:after="0" w:line="276" w:lineRule="auto"/>
        <w:jc w:val="both"/>
        <w:rPr>
          <w:rFonts w:ascii="Times New Roman" w:eastAsia="Times New Roman" w:hAnsi="Times New Roman" w:cs="Times New Roman"/>
        </w:rPr>
      </w:pPr>
      <w:r>
        <w:rPr>
          <w:rFonts w:ascii="Times New Roman" w:eastAsia="Times New Roman" w:hAnsi="Times New Roman" w:cs="Times New Roman"/>
        </w:rPr>
        <w:t xml:space="preserve">2.2 Theoretical Framework </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sidR="005B419C">
        <w:rPr>
          <w:rFonts w:ascii="Times New Roman" w:eastAsia="Times New Roman" w:hAnsi="Times New Roman" w:cs="Times New Roman"/>
        </w:rPr>
        <w:t>37</w:t>
      </w:r>
    </w:p>
    <w:p w:rsidR="00F65389" w:rsidRDefault="00601CBA" w:rsidP="00601CBA">
      <w:pPr>
        <w:spacing w:after="0" w:line="276" w:lineRule="auto"/>
        <w:jc w:val="both"/>
        <w:rPr>
          <w:rFonts w:ascii="Times New Roman" w:eastAsia="Times New Roman" w:hAnsi="Times New Roman" w:cs="Times New Roman"/>
        </w:rPr>
      </w:pPr>
      <w:r>
        <w:rPr>
          <w:rFonts w:ascii="Times New Roman" w:eastAsia="Times New Roman" w:hAnsi="Times New Roman" w:cs="Times New Roman"/>
        </w:rPr>
        <w:t xml:space="preserve">2.3 Empirical Reviews </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40</w:t>
      </w:r>
    </w:p>
    <w:p w:rsidR="00F65389" w:rsidRDefault="00601CBA" w:rsidP="00601CBA">
      <w:pPr>
        <w:spacing w:after="0" w:line="276" w:lineRule="auto"/>
        <w:jc w:val="both"/>
        <w:rPr>
          <w:rFonts w:ascii="Times New Roman" w:eastAsia="Times New Roman" w:hAnsi="Times New Roman" w:cs="Times New Roman"/>
        </w:rPr>
      </w:pPr>
      <w:r>
        <w:rPr>
          <w:rFonts w:ascii="Times New Roman" w:eastAsia="Times New Roman" w:hAnsi="Times New Roman" w:cs="Times New Roman"/>
        </w:rPr>
        <w:t xml:space="preserve">2.4 Summary of Literature and Gap </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sidR="005B419C">
        <w:rPr>
          <w:rFonts w:ascii="Times New Roman" w:eastAsia="Times New Roman" w:hAnsi="Times New Roman" w:cs="Times New Roman"/>
        </w:rPr>
        <w:t>44</w:t>
      </w:r>
    </w:p>
    <w:p w:rsidR="00F65389" w:rsidRDefault="00F65389" w:rsidP="00601CBA">
      <w:pPr>
        <w:spacing w:after="0" w:line="276" w:lineRule="auto"/>
        <w:jc w:val="both"/>
        <w:rPr>
          <w:rFonts w:ascii="Times New Roman" w:eastAsia="Times New Roman" w:hAnsi="Times New Roman" w:cs="Times New Roman"/>
        </w:rPr>
      </w:pPr>
    </w:p>
    <w:p w:rsidR="00F65389" w:rsidRDefault="00601CBA" w:rsidP="00601CBA">
      <w:pPr>
        <w:spacing w:after="0" w:line="276" w:lineRule="auto"/>
        <w:jc w:val="both"/>
        <w:rPr>
          <w:rFonts w:ascii="Times New Roman" w:eastAsia="Times New Roman" w:hAnsi="Times New Roman" w:cs="Times New Roman"/>
          <w:b/>
        </w:rPr>
      </w:pPr>
      <w:r>
        <w:rPr>
          <w:rFonts w:ascii="Times New Roman" w:eastAsia="Times New Roman" w:hAnsi="Times New Roman" w:cs="Times New Roman"/>
          <w:b/>
        </w:rPr>
        <w:t>CHAPTER THREE: METHODOLOGY</w:t>
      </w:r>
    </w:p>
    <w:p w:rsidR="00F65389" w:rsidRDefault="00601CBA" w:rsidP="00601CBA">
      <w:pPr>
        <w:spacing w:after="0" w:line="276" w:lineRule="auto"/>
        <w:jc w:val="both"/>
        <w:rPr>
          <w:rFonts w:ascii="Times New Roman" w:eastAsia="Times New Roman" w:hAnsi="Times New Roman" w:cs="Times New Roman"/>
        </w:rPr>
      </w:pPr>
      <w:r>
        <w:rPr>
          <w:rFonts w:ascii="Times New Roman" w:eastAsia="Times New Roman" w:hAnsi="Times New Roman" w:cs="Times New Roman"/>
        </w:rPr>
        <w:t>3.1 Research Design</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sidR="005B419C">
        <w:rPr>
          <w:rFonts w:ascii="Times New Roman" w:eastAsia="Times New Roman" w:hAnsi="Times New Roman" w:cs="Times New Roman"/>
        </w:rPr>
        <w:t>45</w:t>
      </w:r>
    </w:p>
    <w:p w:rsidR="00F65389" w:rsidRDefault="00601CBA" w:rsidP="00601CBA">
      <w:pPr>
        <w:spacing w:after="0" w:line="276" w:lineRule="auto"/>
        <w:jc w:val="both"/>
        <w:rPr>
          <w:rFonts w:ascii="Times New Roman" w:eastAsia="Times New Roman" w:hAnsi="Times New Roman" w:cs="Times New Roman"/>
        </w:rPr>
      </w:pPr>
      <w:r>
        <w:rPr>
          <w:rFonts w:ascii="Times New Roman" w:eastAsia="Times New Roman" w:hAnsi="Times New Roman" w:cs="Times New Roman"/>
        </w:rPr>
        <w:t>3.2 Area of Study</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sidR="005B419C">
        <w:rPr>
          <w:rFonts w:ascii="Times New Roman" w:eastAsia="Times New Roman" w:hAnsi="Times New Roman" w:cs="Times New Roman"/>
        </w:rPr>
        <w:t>45</w:t>
      </w:r>
    </w:p>
    <w:p w:rsidR="00F65389" w:rsidRDefault="00601CBA" w:rsidP="00601CBA">
      <w:pPr>
        <w:spacing w:after="0" w:line="276" w:lineRule="auto"/>
        <w:jc w:val="both"/>
        <w:rPr>
          <w:rFonts w:ascii="Times New Roman" w:eastAsia="Times New Roman" w:hAnsi="Times New Roman" w:cs="Times New Roman"/>
        </w:rPr>
      </w:pPr>
      <w:r>
        <w:rPr>
          <w:rFonts w:ascii="Times New Roman" w:eastAsia="Times New Roman" w:hAnsi="Times New Roman" w:cs="Times New Roman"/>
        </w:rPr>
        <w:t>3.3 Sources of Data</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sidR="005B419C">
        <w:rPr>
          <w:rFonts w:ascii="Times New Roman" w:eastAsia="Times New Roman" w:hAnsi="Times New Roman" w:cs="Times New Roman"/>
        </w:rPr>
        <w:t>45</w:t>
      </w:r>
    </w:p>
    <w:p w:rsidR="00F65389" w:rsidRDefault="00601CBA" w:rsidP="00601CBA">
      <w:pPr>
        <w:spacing w:after="0" w:line="276" w:lineRule="auto"/>
        <w:jc w:val="both"/>
        <w:rPr>
          <w:rFonts w:ascii="Times New Roman" w:eastAsia="Times New Roman" w:hAnsi="Times New Roman" w:cs="Times New Roman"/>
        </w:rPr>
      </w:pPr>
      <w:r>
        <w:rPr>
          <w:rFonts w:ascii="Times New Roman" w:eastAsia="Times New Roman" w:hAnsi="Times New Roman" w:cs="Times New Roman"/>
        </w:rPr>
        <w:t>3.4 Model Specification</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sidR="005B419C">
        <w:rPr>
          <w:rFonts w:ascii="Times New Roman" w:eastAsia="Times New Roman" w:hAnsi="Times New Roman" w:cs="Times New Roman"/>
        </w:rPr>
        <w:t>46</w:t>
      </w:r>
    </w:p>
    <w:p w:rsidR="00F65389" w:rsidRDefault="00601CBA" w:rsidP="00601CBA">
      <w:pPr>
        <w:spacing w:after="0" w:line="276" w:lineRule="auto"/>
        <w:jc w:val="both"/>
        <w:rPr>
          <w:rFonts w:ascii="Times New Roman" w:eastAsia="Times New Roman" w:hAnsi="Times New Roman" w:cs="Times New Roman"/>
        </w:rPr>
      </w:pPr>
      <w:r>
        <w:rPr>
          <w:rFonts w:ascii="Times New Roman" w:eastAsia="Times New Roman" w:hAnsi="Times New Roman" w:cs="Times New Roman"/>
        </w:rPr>
        <w:t>3.5 Description of Variables</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sidR="005B419C">
        <w:rPr>
          <w:rFonts w:ascii="Times New Roman" w:eastAsia="Times New Roman" w:hAnsi="Times New Roman" w:cs="Times New Roman"/>
        </w:rPr>
        <w:t>46</w:t>
      </w:r>
    </w:p>
    <w:p w:rsidR="00F65389" w:rsidRDefault="00601CBA" w:rsidP="00601CBA">
      <w:pPr>
        <w:spacing w:after="0" w:line="276" w:lineRule="auto"/>
        <w:jc w:val="both"/>
        <w:rPr>
          <w:rFonts w:ascii="Times New Roman" w:eastAsia="Times New Roman" w:hAnsi="Times New Roman" w:cs="Times New Roman"/>
        </w:rPr>
      </w:pPr>
      <w:r>
        <w:rPr>
          <w:rFonts w:ascii="Times New Roman" w:eastAsia="Times New Roman" w:hAnsi="Times New Roman" w:cs="Times New Roman"/>
        </w:rPr>
        <w:t>3.7 Data Analysis Techniques</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sidR="0066584F">
        <w:rPr>
          <w:rFonts w:ascii="Times New Roman" w:eastAsia="Times New Roman" w:hAnsi="Times New Roman" w:cs="Times New Roman"/>
        </w:rPr>
        <w:t>50</w:t>
      </w:r>
    </w:p>
    <w:p w:rsidR="00F65389" w:rsidRDefault="00601CBA" w:rsidP="00601CBA">
      <w:pPr>
        <w:spacing w:after="0" w:line="276" w:lineRule="auto"/>
        <w:jc w:val="both"/>
        <w:rPr>
          <w:rFonts w:ascii="Times New Roman" w:eastAsia="Times New Roman" w:hAnsi="Times New Roman" w:cs="Times New Roman"/>
        </w:rPr>
      </w:pPr>
      <w:r>
        <w:rPr>
          <w:rFonts w:ascii="Times New Roman" w:eastAsia="Times New Roman" w:hAnsi="Times New Roman" w:cs="Times New Roman"/>
        </w:rPr>
        <w:t>3.8 Limitations of the Study</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sidR="0066584F">
        <w:rPr>
          <w:rFonts w:ascii="Times New Roman" w:eastAsia="Times New Roman" w:hAnsi="Times New Roman" w:cs="Times New Roman"/>
        </w:rPr>
        <w:t>50</w:t>
      </w:r>
    </w:p>
    <w:p w:rsidR="00F65389" w:rsidRDefault="00601CBA" w:rsidP="00601CBA">
      <w:pPr>
        <w:pStyle w:val="Heading1"/>
        <w:spacing w:before="0" w:after="0" w:line="276"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CHAPTER FOUR: DATA PRESENTATION, ANALYSIS, INTERPRETATION OF RESULTS, AND DISCUSSION OF FINDINGS</w:t>
      </w:r>
    </w:p>
    <w:p w:rsidR="00F65389" w:rsidRDefault="00601CBA" w:rsidP="00601CBA">
      <w:pPr>
        <w:pStyle w:val="Heading2"/>
        <w:spacing w:before="0"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 Data presentation</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sidR="0066584F">
        <w:rPr>
          <w:rFonts w:ascii="Times New Roman" w:eastAsia="Times New Roman" w:hAnsi="Times New Roman" w:cs="Times New Roman"/>
          <w:color w:val="000000"/>
          <w:sz w:val="24"/>
          <w:szCs w:val="24"/>
        </w:rPr>
        <w:t>51</w:t>
      </w:r>
    </w:p>
    <w:p w:rsidR="00F65389" w:rsidRDefault="00601CBA" w:rsidP="00601CBA">
      <w:pPr>
        <w:pStyle w:val="Heading2"/>
        <w:spacing w:before="0"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4.2 Correlation Matrix</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sidR="0066584F">
        <w:rPr>
          <w:rFonts w:ascii="Times New Roman" w:eastAsia="Times New Roman" w:hAnsi="Times New Roman" w:cs="Times New Roman"/>
          <w:color w:val="000000"/>
          <w:sz w:val="24"/>
          <w:szCs w:val="24"/>
        </w:rPr>
        <w:t>55</w:t>
      </w:r>
    </w:p>
    <w:p w:rsidR="00F65389" w:rsidRDefault="00601CBA" w:rsidP="00601CBA">
      <w:pPr>
        <w:pStyle w:val="Heading2"/>
        <w:spacing w:before="0"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4.3 Diagnostic Tests</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sidR="0066584F">
        <w:rPr>
          <w:rFonts w:ascii="Times New Roman" w:eastAsia="Times New Roman" w:hAnsi="Times New Roman" w:cs="Times New Roman"/>
          <w:color w:val="000000"/>
          <w:sz w:val="24"/>
          <w:szCs w:val="24"/>
        </w:rPr>
        <w:t>58</w:t>
      </w:r>
    </w:p>
    <w:p w:rsidR="00F65389" w:rsidRDefault="00601CBA" w:rsidP="00601CBA">
      <w:pPr>
        <w:pStyle w:val="Heading2"/>
        <w:spacing w:before="0"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4.4 Regression Analysis</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sidR="0066584F">
        <w:rPr>
          <w:rFonts w:ascii="Times New Roman" w:eastAsia="Times New Roman" w:hAnsi="Times New Roman" w:cs="Times New Roman"/>
          <w:color w:val="000000"/>
          <w:sz w:val="24"/>
          <w:szCs w:val="24"/>
        </w:rPr>
        <w:t>60</w:t>
      </w:r>
    </w:p>
    <w:p w:rsidR="00F65389" w:rsidRDefault="00601CBA" w:rsidP="00601CBA">
      <w:pPr>
        <w:pStyle w:val="Heading2"/>
        <w:spacing w:before="0"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4.5 Test of Hypotheses</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sidR="0066584F">
        <w:rPr>
          <w:rFonts w:ascii="Times New Roman" w:eastAsia="Times New Roman" w:hAnsi="Times New Roman" w:cs="Times New Roman"/>
          <w:color w:val="000000"/>
          <w:sz w:val="24"/>
          <w:szCs w:val="24"/>
        </w:rPr>
        <w:t>63</w:t>
      </w:r>
    </w:p>
    <w:p w:rsidR="00F65389" w:rsidRDefault="00601CBA" w:rsidP="00601CBA">
      <w:pPr>
        <w:pStyle w:val="Heading2"/>
        <w:spacing w:before="0"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4.6 Discussion of Findings</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sidR="0066584F">
        <w:rPr>
          <w:rFonts w:ascii="Times New Roman" w:eastAsia="Times New Roman" w:hAnsi="Times New Roman" w:cs="Times New Roman"/>
          <w:color w:val="000000"/>
          <w:sz w:val="24"/>
          <w:szCs w:val="24"/>
        </w:rPr>
        <w:t>64</w:t>
      </w:r>
    </w:p>
    <w:p w:rsidR="00F65389" w:rsidRDefault="00F65389" w:rsidP="00601CBA">
      <w:pPr>
        <w:pStyle w:val="Heading1"/>
        <w:spacing w:before="0" w:after="0" w:line="276" w:lineRule="auto"/>
        <w:jc w:val="both"/>
        <w:rPr>
          <w:rFonts w:ascii="Times New Roman" w:eastAsia="Times New Roman" w:hAnsi="Times New Roman" w:cs="Times New Roman"/>
          <w:color w:val="000000"/>
          <w:sz w:val="24"/>
          <w:szCs w:val="24"/>
        </w:rPr>
      </w:pPr>
    </w:p>
    <w:p w:rsidR="00F65389" w:rsidRDefault="00601CBA" w:rsidP="00601CBA">
      <w:pPr>
        <w:pStyle w:val="Heading1"/>
        <w:spacing w:before="0" w:after="0" w:line="276"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CHAPTER FIVE: SUMMARY, CONCLUSION, AND RECOMMENDATION</w:t>
      </w:r>
    </w:p>
    <w:p w:rsidR="00F65389" w:rsidRDefault="00601CBA" w:rsidP="00601CBA">
      <w:pPr>
        <w:pStyle w:val="Heading2"/>
        <w:spacing w:before="0"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5.1 Summary of Findings</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sidR="0066584F">
        <w:rPr>
          <w:rFonts w:ascii="Times New Roman" w:eastAsia="Times New Roman" w:hAnsi="Times New Roman" w:cs="Times New Roman"/>
          <w:color w:val="000000"/>
          <w:sz w:val="24"/>
          <w:szCs w:val="24"/>
        </w:rPr>
        <w:t>69</w:t>
      </w:r>
    </w:p>
    <w:p w:rsidR="00F65389" w:rsidRDefault="00601CBA" w:rsidP="00601CBA">
      <w:pPr>
        <w:spacing w:after="0" w:line="276" w:lineRule="auto"/>
        <w:jc w:val="both"/>
        <w:rPr>
          <w:rFonts w:ascii="Times New Roman" w:eastAsia="Times New Roman" w:hAnsi="Times New Roman" w:cs="Times New Roman"/>
        </w:rPr>
      </w:pPr>
      <w:r>
        <w:rPr>
          <w:rFonts w:ascii="Times New Roman" w:eastAsia="Times New Roman" w:hAnsi="Times New Roman" w:cs="Times New Roman"/>
        </w:rPr>
        <w:t>5.2 Conclusion</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sidR="0066584F">
        <w:rPr>
          <w:rFonts w:ascii="Times New Roman" w:eastAsia="Times New Roman" w:hAnsi="Times New Roman" w:cs="Times New Roman"/>
        </w:rPr>
        <w:t>69</w:t>
      </w:r>
    </w:p>
    <w:p w:rsidR="00F65389" w:rsidRDefault="00601CBA" w:rsidP="00601CBA">
      <w:pPr>
        <w:pStyle w:val="Heading2"/>
        <w:spacing w:before="0"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5.3 Recommendations</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sidR="0066584F">
        <w:rPr>
          <w:rFonts w:ascii="Times New Roman" w:eastAsia="Times New Roman" w:hAnsi="Times New Roman" w:cs="Times New Roman"/>
          <w:color w:val="000000"/>
          <w:sz w:val="24"/>
          <w:szCs w:val="24"/>
        </w:rPr>
        <w:t>70</w:t>
      </w:r>
    </w:p>
    <w:p w:rsidR="00F65389" w:rsidRDefault="00601CBA" w:rsidP="00601CBA">
      <w:pPr>
        <w:pStyle w:val="Heading2"/>
        <w:spacing w:before="0"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5.4 Contributions to Knowledge</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sidR="0066584F">
        <w:rPr>
          <w:rFonts w:ascii="Times New Roman" w:eastAsia="Times New Roman" w:hAnsi="Times New Roman" w:cs="Times New Roman"/>
          <w:color w:val="000000"/>
          <w:sz w:val="24"/>
          <w:szCs w:val="24"/>
        </w:rPr>
        <w:t>70</w:t>
      </w:r>
    </w:p>
    <w:p w:rsidR="00F65389" w:rsidRDefault="00601CBA" w:rsidP="00601CBA">
      <w:pPr>
        <w:pStyle w:val="Heading2"/>
        <w:spacing w:before="0"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5.5 Suggestions for Further Studies</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sidR="0066584F">
        <w:rPr>
          <w:rFonts w:ascii="Times New Roman" w:eastAsia="Times New Roman" w:hAnsi="Times New Roman" w:cs="Times New Roman"/>
          <w:color w:val="000000"/>
          <w:sz w:val="24"/>
          <w:szCs w:val="24"/>
        </w:rPr>
        <w:t>71</w:t>
      </w:r>
    </w:p>
    <w:p w:rsidR="00F65389" w:rsidRDefault="00F65389" w:rsidP="00601CBA">
      <w:pPr>
        <w:spacing w:after="0" w:line="276" w:lineRule="auto"/>
        <w:jc w:val="both"/>
        <w:rPr>
          <w:rFonts w:ascii="Times New Roman" w:eastAsia="Times New Roman" w:hAnsi="Times New Roman" w:cs="Times New Roman"/>
        </w:rPr>
      </w:pPr>
    </w:p>
    <w:p w:rsidR="00F65389" w:rsidRDefault="00601CBA" w:rsidP="00601CBA">
      <w:pPr>
        <w:spacing w:after="0" w:line="276" w:lineRule="auto"/>
        <w:jc w:val="both"/>
        <w:rPr>
          <w:rFonts w:ascii="Times New Roman" w:eastAsia="Times New Roman" w:hAnsi="Times New Roman" w:cs="Times New Roman"/>
          <w:b/>
        </w:rPr>
      </w:pPr>
      <w:r>
        <w:rPr>
          <w:rFonts w:ascii="Times New Roman" w:eastAsia="Times New Roman" w:hAnsi="Times New Roman" w:cs="Times New Roman"/>
          <w:b/>
        </w:rPr>
        <w:t>REFERENCES</w:t>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sidR="0066584F">
        <w:rPr>
          <w:rFonts w:ascii="Times New Roman" w:eastAsia="Times New Roman" w:hAnsi="Times New Roman" w:cs="Times New Roman"/>
          <w:b/>
        </w:rPr>
        <w:t>72</w:t>
      </w:r>
    </w:p>
    <w:p w:rsidR="00F65389" w:rsidRDefault="00601CBA" w:rsidP="00601CBA">
      <w:pPr>
        <w:spacing w:after="0" w:line="276" w:lineRule="auto"/>
        <w:jc w:val="both"/>
        <w:rPr>
          <w:rFonts w:ascii="Times New Roman" w:eastAsia="Times New Roman" w:hAnsi="Times New Roman" w:cs="Times New Roman"/>
          <w:b/>
        </w:rPr>
      </w:pPr>
      <w:r>
        <w:rPr>
          <w:rFonts w:ascii="Times New Roman" w:eastAsia="Times New Roman" w:hAnsi="Times New Roman" w:cs="Times New Roman"/>
          <w:b/>
        </w:rPr>
        <w:t>APPENDIX</w:t>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sidR="0066584F">
        <w:rPr>
          <w:rFonts w:ascii="Times New Roman" w:eastAsia="Times New Roman" w:hAnsi="Times New Roman" w:cs="Times New Roman"/>
          <w:b/>
        </w:rPr>
        <w:t>78</w:t>
      </w:r>
    </w:p>
    <w:p w:rsidR="00F65389" w:rsidRDefault="00601CBA" w:rsidP="00601CBA">
      <w:pPr>
        <w:spacing w:after="0" w:line="276" w:lineRule="auto"/>
      </w:pPr>
      <w:r>
        <w:tab/>
      </w:r>
      <w:r>
        <w:tab/>
      </w:r>
      <w:r>
        <w:tab/>
      </w:r>
      <w:r>
        <w:tab/>
      </w:r>
      <w:r>
        <w:tab/>
      </w:r>
      <w:r>
        <w:tab/>
      </w:r>
    </w:p>
    <w:p w:rsidR="00F65389" w:rsidRDefault="00F65389">
      <w:pPr>
        <w:spacing w:line="240" w:lineRule="auto"/>
        <w:jc w:val="both"/>
        <w:rPr>
          <w:rFonts w:ascii="Times New Roman" w:eastAsia="Times New Roman" w:hAnsi="Times New Roman" w:cs="Times New Roman"/>
        </w:rPr>
      </w:pPr>
    </w:p>
    <w:p w:rsidR="00F65389" w:rsidRDefault="00F65389">
      <w:pPr>
        <w:spacing w:line="240" w:lineRule="auto"/>
        <w:jc w:val="both"/>
        <w:rPr>
          <w:rFonts w:ascii="Times New Roman" w:eastAsia="Times New Roman" w:hAnsi="Times New Roman" w:cs="Times New Roman"/>
        </w:rPr>
      </w:pPr>
    </w:p>
    <w:p w:rsidR="00F65389" w:rsidRDefault="00F65389">
      <w:pPr>
        <w:spacing w:line="240" w:lineRule="auto"/>
        <w:jc w:val="both"/>
        <w:rPr>
          <w:rFonts w:ascii="Times New Roman" w:eastAsia="Times New Roman" w:hAnsi="Times New Roman" w:cs="Times New Roman"/>
        </w:rPr>
      </w:pPr>
    </w:p>
    <w:p w:rsidR="00F65389" w:rsidRDefault="00F65389">
      <w:pPr>
        <w:spacing w:line="240" w:lineRule="auto"/>
        <w:jc w:val="both"/>
        <w:rPr>
          <w:rFonts w:ascii="Times New Roman" w:eastAsia="Times New Roman" w:hAnsi="Times New Roman" w:cs="Times New Roman"/>
        </w:rPr>
      </w:pPr>
    </w:p>
    <w:p w:rsidR="00F65389" w:rsidRDefault="00F65389">
      <w:pPr>
        <w:spacing w:line="240" w:lineRule="auto"/>
        <w:jc w:val="both"/>
        <w:rPr>
          <w:rFonts w:ascii="Times New Roman" w:eastAsia="Times New Roman" w:hAnsi="Times New Roman" w:cs="Times New Roman"/>
        </w:rPr>
      </w:pPr>
    </w:p>
    <w:p w:rsidR="00F65389" w:rsidRDefault="00F65389">
      <w:pPr>
        <w:spacing w:line="240" w:lineRule="auto"/>
        <w:jc w:val="both"/>
        <w:rPr>
          <w:rFonts w:ascii="Times New Roman" w:eastAsia="Times New Roman" w:hAnsi="Times New Roman" w:cs="Times New Roman"/>
        </w:rPr>
      </w:pPr>
    </w:p>
    <w:p w:rsidR="00F65389" w:rsidRDefault="00F65389">
      <w:pPr>
        <w:spacing w:line="240" w:lineRule="auto"/>
        <w:jc w:val="both"/>
        <w:rPr>
          <w:rFonts w:ascii="Times New Roman" w:eastAsia="Times New Roman" w:hAnsi="Times New Roman" w:cs="Times New Roman"/>
        </w:rPr>
      </w:pPr>
    </w:p>
    <w:p w:rsidR="00F65389" w:rsidRDefault="00F65389">
      <w:pPr>
        <w:spacing w:line="240" w:lineRule="auto"/>
        <w:jc w:val="both"/>
        <w:rPr>
          <w:rFonts w:ascii="Times New Roman" w:eastAsia="Times New Roman" w:hAnsi="Times New Roman" w:cs="Times New Roman"/>
        </w:rPr>
      </w:pPr>
    </w:p>
    <w:p w:rsidR="00F65389" w:rsidRDefault="00F65389">
      <w:pPr>
        <w:spacing w:line="240" w:lineRule="auto"/>
        <w:jc w:val="both"/>
        <w:rPr>
          <w:rFonts w:ascii="Times New Roman" w:eastAsia="Times New Roman" w:hAnsi="Times New Roman" w:cs="Times New Roman"/>
        </w:rPr>
      </w:pPr>
    </w:p>
    <w:p w:rsidR="00F65389" w:rsidRDefault="00F65389">
      <w:pPr>
        <w:spacing w:line="240" w:lineRule="auto"/>
        <w:jc w:val="both"/>
        <w:rPr>
          <w:rFonts w:ascii="Times New Roman" w:eastAsia="Times New Roman" w:hAnsi="Times New Roman" w:cs="Times New Roman"/>
        </w:rPr>
      </w:pPr>
    </w:p>
    <w:p w:rsidR="00F65389" w:rsidRDefault="00F65389">
      <w:pPr>
        <w:spacing w:line="240" w:lineRule="auto"/>
        <w:jc w:val="both"/>
        <w:rPr>
          <w:rFonts w:ascii="Times New Roman" w:eastAsia="Times New Roman" w:hAnsi="Times New Roman" w:cs="Times New Roman"/>
        </w:rPr>
      </w:pPr>
    </w:p>
    <w:p w:rsidR="00F65389" w:rsidRDefault="00F65389">
      <w:pPr>
        <w:spacing w:line="240" w:lineRule="auto"/>
        <w:jc w:val="both"/>
        <w:rPr>
          <w:rFonts w:ascii="Times New Roman" w:eastAsia="Times New Roman" w:hAnsi="Times New Roman" w:cs="Times New Roman"/>
        </w:rPr>
      </w:pPr>
    </w:p>
    <w:p w:rsidR="00F65389" w:rsidRDefault="00F65389">
      <w:pPr>
        <w:spacing w:line="240" w:lineRule="auto"/>
        <w:jc w:val="both"/>
        <w:rPr>
          <w:rFonts w:ascii="Times New Roman" w:eastAsia="Times New Roman" w:hAnsi="Times New Roman" w:cs="Times New Roman"/>
        </w:rPr>
      </w:pPr>
    </w:p>
    <w:p w:rsidR="00F65389" w:rsidRDefault="00F65389">
      <w:pPr>
        <w:spacing w:line="240" w:lineRule="auto"/>
        <w:jc w:val="both"/>
        <w:rPr>
          <w:rFonts w:ascii="Times New Roman" w:eastAsia="Times New Roman" w:hAnsi="Times New Roman" w:cs="Times New Roman"/>
        </w:rPr>
      </w:pPr>
    </w:p>
    <w:p w:rsidR="00F65389" w:rsidRDefault="00F65389">
      <w:pPr>
        <w:spacing w:line="240" w:lineRule="auto"/>
        <w:jc w:val="both"/>
        <w:rPr>
          <w:rFonts w:ascii="Times New Roman" w:eastAsia="Times New Roman" w:hAnsi="Times New Roman" w:cs="Times New Roman"/>
        </w:rPr>
      </w:pPr>
    </w:p>
    <w:p w:rsidR="00F65389" w:rsidRDefault="00F65389">
      <w:pPr>
        <w:spacing w:line="240" w:lineRule="auto"/>
        <w:jc w:val="both"/>
        <w:rPr>
          <w:rFonts w:ascii="Times New Roman" w:eastAsia="Times New Roman" w:hAnsi="Times New Roman" w:cs="Times New Roman"/>
        </w:rPr>
      </w:pPr>
    </w:p>
    <w:p w:rsidR="00F65389" w:rsidRDefault="00601CBA">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LIST OF TABLES</w:t>
      </w:r>
    </w:p>
    <w:p w:rsidR="00F65389" w:rsidRDefault="00601CBA">
      <w:pPr>
        <w:spacing w:line="276" w:lineRule="auto"/>
        <w:jc w:val="both"/>
        <w:rPr>
          <w:rFonts w:ascii="Times New Roman" w:eastAsia="Times New Roman" w:hAnsi="Times New Roman" w:cs="Times New Roman"/>
          <w:b/>
        </w:rPr>
      </w:pPr>
      <w:r>
        <w:rPr>
          <w:rFonts w:ascii="Times New Roman" w:eastAsia="Times New Roman" w:hAnsi="Times New Roman" w:cs="Times New Roman"/>
          <w:b/>
        </w:rPr>
        <w:t xml:space="preserve">Table 1: A </w:t>
      </w:r>
      <w:r>
        <w:rPr>
          <w:rFonts w:ascii="Times New Roman" w:eastAsia="Times New Roman" w:hAnsi="Times New Roman" w:cs="Times New Roman"/>
        </w:rPr>
        <w:t>Priori Expectations</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sidR="0066584F">
        <w:rPr>
          <w:rFonts w:ascii="Times New Roman" w:eastAsia="Times New Roman" w:hAnsi="Times New Roman" w:cs="Times New Roman"/>
        </w:rPr>
        <w:t>49</w:t>
      </w:r>
    </w:p>
    <w:p w:rsidR="00F65389" w:rsidRDefault="00601CBA">
      <w:pPr>
        <w:spacing w:line="240" w:lineRule="auto"/>
        <w:jc w:val="both"/>
        <w:rPr>
          <w:rFonts w:ascii="Times New Roman" w:eastAsia="Times New Roman" w:hAnsi="Times New Roman" w:cs="Times New Roman"/>
        </w:rPr>
      </w:pPr>
      <w:r>
        <w:rPr>
          <w:rFonts w:ascii="Times New Roman" w:eastAsia="Times New Roman" w:hAnsi="Times New Roman" w:cs="Times New Roman"/>
          <w:b/>
        </w:rPr>
        <w:t xml:space="preserve">Table 2: </w:t>
      </w:r>
      <w:r>
        <w:rPr>
          <w:rFonts w:ascii="Times New Roman" w:eastAsia="Times New Roman" w:hAnsi="Times New Roman" w:cs="Times New Roman"/>
        </w:rPr>
        <w:t>Annual Trends in Return on Assets (ROA), Debt-to-Asset Ratio (DAR), Debt-to-Equity Ratio (DER), Interest Coverage Ratio (ICR), Times Interest Earned Ratio (TIER) of Nestle Nigeria PLC from 2012 to 2023</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sidR="0066584F">
        <w:rPr>
          <w:rFonts w:ascii="Times New Roman" w:eastAsia="Times New Roman" w:hAnsi="Times New Roman" w:cs="Times New Roman"/>
        </w:rPr>
        <w:t>51</w:t>
      </w:r>
    </w:p>
    <w:p w:rsidR="00F65389" w:rsidRDefault="00601CBA">
      <w:pPr>
        <w:spacing w:line="240" w:lineRule="auto"/>
        <w:jc w:val="both"/>
        <w:rPr>
          <w:rFonts w:ascii="Times New Roman" w:eastAsia="Times New Roman" w:hAnsi="Times New Roman" w:cs="Times New Roman"/>
        </w:rPr>
      </w:pPr>
      <w:r>
        <w:rPr>
          <w:rFonts w:ascii="Times New Roman" w:eastAsia="Times New Roman" w:hAnsi="Times New Roman" w:cs="Times New Roman"/>
          <w:b/>
        </w:rPr>
        <w:t xml:space="preserve">Table 3: </w:t>
      </w:r>
      <w:r>
        <w:rPr>
          <w:rFonts w:ascii="Times New Roman" w:eastAsia="Times New Roman" w:hAnsi="Times New Roman" w:cs="Times New Roman"/>
        </w:rPr>
        <w:t>Descriptive statistics result for time series data on Return on Assets (ROA), Debt-to-Asset Ratio (DAR), Debt-to-Equity Ratio (DER), Interest Coverage Ratio (ICR), and Times Interest Earned Ratio (TIER) of Nestle Ni</w:t>
      </w:r>
      <w:r w:rsidR="0066584F">
        <w:rPr>
          <w:rFonts w:ascii="Times New Roman" w:eastAsia="Times New Roman" w:hAnsi="Times New Roman" w:cs="Times New Roman"/>
        </w:rPr>
        <w:t>geria PLC from 2012 to 2023</w:t>
      </w:r>
      <w:r w:rsidR="0066584F">
        <w:rPr>
          <w:rFonts w:ascii="Times New Roman" w:eastAsia="Times New Roman" w:hAnsi="Times New Roman" w:cs="Times New Roman"/>
        </w:rPr>
        <w:tab/>
      </w:r>
      <w:r w:rsidR="0066584F">
        <w:rPr>
          <w:rFonts w:ascii="Times New Roman" w:eastAsia="Times New Roman" w:hAnsi="Times New Roman" w:cs="Times New Roman"/>
        </w:rPr>
        <w:tab/>
      </w:r>
      <w:r w:rsidR="0066584F">
        <w:rPr>
          <w:rFonts w:ascii="Times New Roman" w:eastAsia="Times New Roman" w:hAnsi="Times New Roman" w:cs="Times New Roman"/>
        </w:rPr>
        <w:tab/>
        <w:t>51</w:t>
      </w:r>
    </w:p>
    <w:p w:rsidR="00F65389" w:rsidRDefault="00601CBA">
      <w:pPr>
        <w:spacing w:line="240" w:lineRule="auto"/>
        <w:jc w:val="both"/>
        <w:rPr>
          <w:rFonts w:ascii="Times New Roman" w:eastAsia="Times New Roman" w:hAnsi="Times New Roman" w:cs="Times New Roman"/>
        </w:rPr>
      </w:pPr>
      <w:r>
        <w:rPr>
          <w:rFonts w:ascii="Times New Roman" w:eastAsia="Times New Roman" w:hAnsi="Times New Roman" w:cs="Times New Roman"/>
          <w:b/>
        </w:rPr>
        <w:t xml:space="preserve">Table 4: </w:t>
      </w:r>
      <w:r>
        <w:rPr>
          <w:rFonts w:ascii="Times New Roman" w:eastAsia="Times New Roman" w:hAnsi="Times New Roman" w:cs="Times New Roman"/>
        </w:rPr>
        <w:t>Pearson Correlation Coefficients</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sidR="0066584F">
        <w:rPr>
          <w:rFonts w:ascii="Times New Roman" w:eastAsia="Times New Roman" w:hAnsi="Times New Roman" w:cs="Times New Roman"/>
        </w:rPr>
        <w:t>55</w:t>
      </w:r>
    </w:p>
    <w:p w:rsidR="00F65389" w:rsidRDefault="00601CBA">
      <w:pPr>
        <w:spacing w:line="240" w:lineRule="auto"/>
        <w:jc w:val="both"/>
        <w:rPr>
          <w:rFonts w:ascii="Times New Roman" w:eastAsia="Times New Roman" w:hAnsi="Times New Roman" w:cs="Times New Roman"/>
        </w:rPr>
      </w:pPr>
      <w:r>
        <w:rPr>
          <w:rFonts w:ascii="Times New Roman" w:eastAsia="Times New Roman" w:hAnsi="Times New Roman" w:cs="Times New Roman"/>
          <w:b/>
        </w:rPr>
        <w:t xml:space="preserve">Table 5: </w:t>
      </w:r>
      <w:r>
        <w:rPr>
          <w:rFonts w:ascii="Times New Roman" w:eastAsia="Times New Roman" w:hAnsi="Times New Roman" w:cs="Times New Roman"/>
        </w:rPr>
        <w:t>Unit Root test results for time series data on Return on Assets (ROA), Debt-to-Asset Ratio (DAR), Debt-to-Equity Ratio (DER), Interest Coverage Ratio (ICR), and Times Interest Earned Ratio (TIER) of Nestle Nigeria PLC from 2012 to 2023</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sidR="0066584F">
        <w:rPr>
          <w:rFonts w:ascii="Times New Roman" w:eastAsia="Times New Roman" w:hAnsi="Times New Roman" w:cs="Times New Roman"/>
        </w:rPr>
        <w:t>56</w:t>
      </w:r>
    </w:p>
    <w:p w:rsidR="00F65389" w:rsidRDefault="00601CBA">
      <w:pPr>
        <w:spacing w:line="240" w:lineRule="auto"/>
        <w:jc w:val="both"/>
        <w:rPr>
          <w:rFonts w:ascii="Times New Roman" w:eastAsia="Times New Roman" w:hAnsi="Times New Roman" w:cs="Times New Roman"/>
        </w:rPr>
      </w:pPr>
      <w:r>
        <w:rPr>
          <w:rFonts w:ascii="Times New Roman" w:eastAsia="Times New Roman" w:hAnsi="Times New Roman" w:cs="Times New Roman"/>
          <w:b/>
        </w:rPr>
        <w:t xml:space="preserve">Table 6: </w:t>
      </w:r>
      <w:r>
        <w:rPr>
          <w:rFonts w:ascii="Times New Roman" w:eastAsia="Times New Roman" w:hAnsi="Times New Roman" w:cs="Times New Roman"/>
        </w:rPr>
        <w:t>Diagnostic Tests for OLS Regression Model</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sidR="0066584F">
        <w:rPr>
          <w:rFonts w:ascii="Times New Roman" w:eastAsia="Times New Roman" w:hAnsi="Times New Roman" w:cs="Times New Roman"/>
        </w:rPr>
        <w:t>58</w:t>
      </w:r>
    </w:p>
    <w:p w:rsidR="00F65389" w:rsidRDefault="00601CBA">
      <w:pPr>
        <w:spacing w:line="240" w:lineRule="auto"/>
        <w:jc w:val="both"/>
        <w:rPr>
          <w:rFonts w:ascii="Times New Roman" w:eastAsia="Times New Roman" w:hAnsi="Times New Roman" w:cs="Times New Roman"/>
        </w:rPr>
      </w:pPr>
      <w:r>
        <w:rPr>
          <w:rFonts w:ascii="Times New Roman" w:eastAsia="Times New Roman" w:hAnsi="Times New Roman" w:cs="Times New Roman"/>
          <w:b/>
        </w:rPr>
        <w:t xml:space="preserve">Table 7: </w:t>
      </w:r>
      <w:r>
        <w:rPr>
          <w:rFonts w:ascii="Times New Roman" w:eastAsia="Times New Roman" w:hAnsi="Times New Roman" w:cs="Times New Roman"/>
        </w:rPr>
        <w:t xml:space="preserve">OLS Regression Results with Return on Assets (ROA) as Dependent </w:t>
      </w:r>
    </w:p>
    <w:p w:rsidR="00F65389" w:rsidRDefault="00601CBA">
      <w:pPr>
        <w:spacing w:line="240" w:lineRule="auto"/>
        <w:jc w:val="both"/>
        <w:rPr>
          <w:rFonts w:ascii="Times New Roman" w:eastAsia="Times New Roman" w:hAnsi="Times New Roman" w:cs="Times New Roman"/>
        </w:rPr>
      </w:pPr>
      <w:r>
        <w:rPr>
          <w:rFonts w:ascii="Times New Roman" w:eastAsia="Times New Roman" w:hAnsi="Times New Roman" w:cs="Times New Roman"/>
        </w:rPr>
        <w:t>Variable</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65</w:t>
      </w:r>
    </w:p>
    <w:p w:rsidR="00F65389" w:rsidRDefault="00F65389">
      <w:pPr>
        <w:spacing w:line="240" w:lineRule="auto"/>
        <w:jc w:val="center"/>
        <w:rPr>
          <w:rFonts w:ascii="Times New Roman" w:eastAsia="Times New Roman" w:hAnsi="Times New Roman" w:cs="Times New Roman"/>
          <w:b/>
        </w:rPr>
      </w:pPr>
    </w:p>
    <w:p w:rsidR="00F65389" w:rsidRDefault="00F65389">
      <w:pPr>
        <w:spacing w:line="240" w:lineRule="auto"/>
        <w:jc w:val="center"/>
        <w:rPr>
          <w:rFonts w:ascii="Times New Roman" w:eastAsia="Times New Roman" w:hAnsi="Times New Roman" w:cs="Times New Roman"/>
          <w:b/>
        </w:rPr>
      </w:pPr>
    </w:p>
    <w:p w:rsidR="00F65389" w:rsidRDefault="00F65389">
      <w:pPr>
        <w:spacing w:line="240" w:lineRule="auto"/>
        <w:jc w:val="center"/>
        <w:rPr>
          <w:rFonts w:ascii="Times New Roman" w:eastAsia="Times New Roman" w:hAnsi="Times New Roman" w:cs="Times New Roman"/>
        </w:rPr>
      </w:pPr>
    </w:p>
    <w:p w:rsidR="00F65389" w:rsidRDefault="00F65389">
      <w:pPr>
        <w:spacing w:line="240" w:lineRule="auto"/>
        <w:jc w:val="center"/>
        <w:rPr>
          <w:rFonts w:ascii="Times New Roman" w:eastAsia="Times New Roman" w:hAnsi="Times New Roman" w:cs="Times New Roman"/>
        </w:rPr>
      </w:pPr>
    </w:p>
    <w:p w:rsidR="00F65389" w:rsidRDefault="00F65389">
      <w:pPr>
        <w:spacing w:line="240" w:lineRule="auto"/>
        <w:jc w:val="center"/>
        <w:rPr>
          <w:rFonts w:ascii="Times New Roman" w:eastAsia="Times New Roman" w:hAnsi="Times New Roman" w:cs="Times New Roman"/>
        </w:rPr>
      </w:pPr>
    </w:p>
    <w:p w:rsidR="00F65389" w:rsidRDefault="00F65389">
      <w:pPr>
        <w:spacing w:line="240" w:lineRule="auto"/>
        <w:jc w:val="center"/>
        <w:rPr>
          <w:rFonts w:ascii="Times New Roman" w:eastAsia="Times New Roman" w:hAnsi="Times New Roman" w:cs="Times New Roman"/>
        </w:rPr>
      </w:pPr>
    </w:p>
    <w:p w:rsidR="00F65389" w:rsidRDefault="00F65389">
      <w:pPr>
        <w:spacing w:line="240" w:lineRule="auto"/>
        <w:jc w:val="center"/>
        <w:rPr>
          <w:rFonts w:ascii="Times New Roman" w:eastAsia="Times New Roman" w:hAnsi="Times New Roman" w:cs="Times New Roman"/>
        </w:rPr>
      </w:pPr>
    </w:p>
    <w:p w:rsidR="00F65389" w:rsidRDefault="00F65389">
      <w:pPr>
        <w:spacing w:line="240" w:lineRule="auto"/>
        <w:jc w:val="center"/>
        <w:rPr>
          <w:rFonts w:ascii="Times New Roman" w:eastAsia="Times New Roman" w:hAnsi="Times New Roman" w:cs="Times New Roman"/>
        </w:rPr>
      </w:pPr>
    </w:p>
    <w:p w:rsidR="00F65389" w:rsidRDefault="00F65389">
      <w:pPr>
        <w:spacing w:line="240" w:lineRule="auto"/>
        <w:jc w:val="center"/>
        <w:rPr>
          <w:rFonts w:ascii="Times New Roman" w:eastAsia="Times New Roman" w:hAnsi="Times New Roman" w:cs="Times New Roman"/>
        </w:rPr>
      </w:pPr>
    </w:p>
    <w:p w:rsidR="00F65389" w:rsidRDefault="00F65389">
      <w:pPr>
        <w:spacing w:line="240" w:lineRule="auto"/>
        <w:jc w:val="center"/>
        <w:rPr>
          <w:rFonts w:ascii="Times New Roman" w:eastAsia="Times New Roman" w:hAnsi="Times New Roman" w:cs="Times New Roman"/>
        </w:rPr>
      </w:pPr>
    </w:p>
    <w:p w:rsidR="00F65389" w:rsidRDefault="00F65389">
      <w:pPr>
        <w:spacing w:line="240" w:lineRule="auto"/>
        <w:jc w:val="center"/>
        <w:rPr>
          <w:rFonts w:ascii="Times New Roman" w:eastAsia="Times New Roman" w:hAnsi="Times New Roman" w:cs="Times New Roman"/>
        </w:rPr>
      </w:pPr>
    </w:p>
    <w:p w:rsidR="00F65389" w:rsidRDefault="00F65389">
      <w:pPr>
        <w:spacing w:line="240" w:lineRule="auto"/>
        <w:jc w:val="center"/>
        <w:rPr>
          <w:rFonts w:ascii="Times New Roman" w:eastAsia="Times New Roman" w:hAnsi="Times New Roman" w:cs="Times New Roman"/>
        </w:rPr>
      </w:pPr>
    </w:p>
    <w:p w:rsidR="00F65389" w:rsidRDefault="00F65389">
      <w:pPr>
        <w:spacing w:line="240" w:lineRule="auto"/>
        <w:jc w:val="center"/>
        <w:rPr>
          <w:rFonts w:ascii="Times New Roman" w:eastAsia="Times New Roman" w:hAnsi="Times New Roman" w:cs="Times New Roman"/>
        </w:rPr>
      </w:pPr>
    </w:p>
    <w:p w:rsidR="00F65389" w:rsidRDefault="00F65389">
      <w:pPr>
        <w:spacing w:line="240" w:lineRule="auto"/>
        <w:jc w:val="center"/>
        <w:rPr>
          <w:rFonts w:ascii="Times New Roman" w:eastAsia="Times New Roman" w:hAnsi="Times New Roman" w:cs="Times New Roman"/>
        </w:rPr>
      </w:pPr>
    </w:p>
    <w:p w:rsidR="00F65389" w:rsidRDefault="00F65389">
      <w:pPr>
        <w:spacing w:line="240" w:lineRule="auto"/>
        <w:jc w:val="center"/>
        <w:rPr>
          <w:rFonts w:ascii="Times New Roman" w:eastAsia="Times New Roman" w:hAnsi="Times New Roman" w:cs="Times New Roman"/>
        </w:rPr>
      </w:pPr>
    </w:p>
    <w:p w:rsidR="00F65389" w:rsidRDefault="00F65389">
      <w:pPr>
        <w:spacing w:line="240" w:lineRule="auto"/>
        <w:jc w:val="center"/>
        <w:rPr>
          <w:rFonts w:ascii="Times New Roman" w:eastAsia="Times New Roman" w:hAnsi="Times New Roman" w:cs="Times New Roman"/>
        </w:rPr>
      </w:pPr>
    </w:p>
    <w:p w:rsidR="00F65389" w:rsidRDefault="00F65389">
      <w:pPr>
        <w:spacing w:line="240" w:lineRule="auto"/>
        <w:jc w:val="center"/>
        <w:rPr>
          <w:rFonts w:ascii="Times New Roman" w:eastAsia="Times New Roman" w:hAnsi="Times New Roman" w:cs="Times New Roman"/>
        </w:rPr>
      </w:pPr>
    </w:p>
    <w:p w:rsidR="00F65389" w:rsidRDefault="00601CBA">
      <w:pPr>
        <w:pStyle w:val="Heading1"/>
        <w:spacing w:before="0" w:after="0" w:line="480" w:lineRule="auto"/>
        <w:jc w:val="center"/>
        <w:rPr>
          <w:rFonts w:ascii="Times New Roman" w:eastAsia="Times New Roman" w:hAnsi="Times New Roman" w:cs="Times New Roman"/>
          <w:b/>
          <w:color w:val="000000"/>
          <w:sz w:val="24"/>
          <w:szCs w:val="24"/>
        </w:rPr>
      </w:pPr>
      <w:bookmarkStart w:id="1" w:name="_1u9jkatgv0i" w:colFirst="0" w:colLast="0"/>
      <w:bookmarkEnd w:id="1"/>
      <w:r>
        <w:rPr>
          <w:rFonts w:ascii="Times New Roman" w:eastAsia="Times New Roman" w:hAnsi="Times New Roman" w:cs="Times New Roman"/>
          <w:b/>
          <w:color w:val="000000"/>
          <w:sz w:val="24"/>
          <w:szCs w:val="24"/>
        </w:rPr>
        <w:lastRenderedPageBreak/>
        <w:t>LIST OF FIGURE</w:t>
      </w:r>
    </w:p>
    <w:p w:rsidR="00F65389" w:rsidRDefault="00601CBA">
      <w:pPr>
        <w:spacing w:after="0" w:line="240" w:lineRule="auto"/>
        <w:jc w:val="both"/>
        <w:rPr>
          <w:rFonts w:ascii="Times New Roman" w:eastAsia="Times New Roman" w:hAnsi="Times New Roman" w:cs="Times New Roman"/>
        </w:rPr>
      </w:pPr>
      <w:r>
        <w:rPr>
          <w:rFonts w:ascii="Times New Roman" w:eastAsia="Times New Roman" w:hAnsi="Times New Roman" w:cs="Times New Roman"/>
          <w:b/>
        </w:rPr>
        <w:t xml:space="preserve">Figure 1: </w:t>
      </w:r>
      <w:r>
        <w:rPr>
          <w:rFonts w:ascii="Times New Roman" w:eastAsia="Times New Roman" w:hAnsi="Times New Roman" w:cs="Times New Roman"/>
        </w:rPr>
        <w:t>Graphical analysis results time series data on Return on Assets (ROA), Debt-to-Asset Ratio (DAR), Debt-to-Equity Ratio (DER), Interest Coverage Ratio (ICR), and Times Interest Earned Ratio (TIER) of Nestle Nigeria PLC from 2012 to 2023</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sidR="0066584F">
        <w:rPr>
          <w:rFonts w:ascii="Times New Roman" w:eastAsia="Times New Roman" w:hAnsi="Times New Roman" w:cs="Times New Roman"/>
        </w:rPr>
        <w:t>53</w:t>
      </w:r>
    </w:p>
    <w:p w:rsidR="00F65389" w:rsidRDefault="00F65389"/>
    <w:p w:rsidR="00F65389" w:rsidRDefault="00F65389"/>
    <w:p w:rsidR="00F65389" w:rsidRDefault="00F65389"/>
    <w:p w:rsidR="00F65389" w:rsidRDefault="00F65389"/>
    <w:p w:rsidR="00F65389" w:rsidRDefault="00F65389"/>
    <w:p w:rsidR="00F65389" w:rsidRDefault="00F65389"/>
    <w:p w:rsidR="00F65389" w:rsidRDefault="00F65389"/>
    <w:p w:rsidR="00F65389" w:rsidRDefault="00F65389"/>
    <w:p w:rsidR="00F65389" w:rsidRDefault="00F65389"/>
    <w:p w:rsidR="00F65389" w:rsidRDefault="00F65389"/>
    <w:p w:rsidR="00F65389" w:rsidRDefault="00F65389"/>
    <w:p w:rsidR="00F65389" w:rsidRDefault="00F65389"/>
    <w:p w:rsidR="00F65389" w:rsidRDefault="00F65389"/>
    <w:p w:rsidR="00F65389" w:rsidRDefault="00F65389"/>
    <w:p w:rsidR="00F65389" w:rsidRDefault="00F65389"/>
    <w:p w:rsidR="00F65389" w:rsidRDefault="00F65389"/>
    <w:p w:rsidR="00F65389" w:rsidRDefault="00F65389"/>
    <w:p w:rsidR="00F65389" w:rsidRDefault="00F65389"/>
    <w:p w:rsidR="00F65389" w:rsidRDefault="00F65389"/>
    <w:p w:rsidR="00F65389" w:rsidRDefault="00F65389"/>
    <w:p w:rsidR="00F65389" w:rsidRDefault="00F65389"/>
    <w:p w:rsidR="00F65389" w:rsidRDefault="00F65389"/>
    <w:p w:rsidR="00F65389" w:rsidRDefault="00F65389"/>
    <w:p w:rsidR="00F65389" w:rsidRDefault="00601CBA">
      <w:pPr>
        <w:pStyle w:val="Heading1"/>
        <w:spacing w:before="0" w:after="0" w:line="48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ABSTRACT</w:t>
      </w:r>
    </w:p>
    <w:p w:rsidR="00F65389" w:rsidRDefault="00601CBA" w:rsidP="00601CBA">
      <w:pPr>
        <w:spacing w:line="240" w:lineRule="auto"/>
        <w:jc w:val="both"/>
        <w:rPr>
          <w:rFonts w:ascii="Times New Roman" w:eastAsia="Times New Roman" w:hAnsi="Times New Roman" w:cs="Times New Roman"/>
          <w:i/>
        </w:rPr>
      </w:pPr>
      <w:r>
        <w:rPr>
          <w:rFonts w:ascii="Times New Roman" w:eastAsia="Times New Roman" w:hAnsi="Times New Roman" w:cs="Times New Roman"/>
          <w:i/>
        </w:rPr>
        <w:t>This work studied how solvency patterns shaped Nestlé Nigeria PLC’s financial performance. The key aim stayed on tracking how selected solvency figures touched profitability. Specifically, it looked at how the debt-to-asset ratio, debt-to-equity ratio, interest coverage ratio, and times interest earned ratio each related to return on assets. Twelve years of yearly data were extracted, stretching from 2012 to 2023. The dependent point was return on assets (ROA), while the four solvency ratios were kept as independents. The study ran with an ex post facto strategy and fed on secondary numbers from Nestlé Nigeria’s annual reports. Analysis came through Ordinary Least Squares (OLS) regression, layered with logarithmic tweaks for some variables. Results showed the debt-to-equity ratio pushed ROA up in a significant way, standing against popular leverage-thinking in finance. Interest coverage ratio also had a firm positive link with ROA, highlighting the weight of debt service strength. The other two ratios, debt-to-asset and times interest earned, carried no serious impact on ROA. Conclusion sat on the line that firm solvency shapes Nestlé Nigeria’s financial outcomes, but not suggested by traditional financi</w:t>
      </w:r>
      <w:r w:rsidR="009B6535">
        <w:rPr>
          <w:rFonts w:ascii="Times New Roman" w:eastAsia="Times New Roman" w:hAnsi="Times New Roman" w:cs="Times New Roman"/>
          <w:i/>
        </w:rPr>
        <w:t>al theory.</w:t>
      </w:r>
      <w:r>
        <w:rPr>
          <w:rFonts w:ascii="Times New Roman" w:eastAsia="Times New Roman" w:hAnsi="Times New Roman" w:cs="Times New Roman"/>
          <w:i/>
        </w:rPr>
        <w:t xml:space="preserve"> It suggested the firm should hold sharp leverage routines, raise debt payment capacity, widen funding options, and tighten currency risk control for better performance.</w:t>
      </w:r>
    </w:p>
    <w:p w:rsidR="00F65389" w:rsidRDefault="00F65389">
      <w:pPr>
        <w:spacing w:line="240" w:lineRule="auto"/>
        <w:jc w:val="both"/>
        <w:rPr>
          <w:rFonts w:ascii="Times New Roman" w:eastAsia="Times New Roman" w:hAnsi="Times New Roman" w:cs="Times New Roman"/>
          <w:b/>
          <w:i/>
        </w:rPr>
      </w:pPr>
    </w:p>
    <w:p w:rsidR="009B6535" w:rsidRDefault="009B6535">
      <w:pPr>
        <w:spacing w:line="240" w:lineRule="auto"/>
        <w:jc w:val="both"/>
        <w:rPr>
          <w:rFonts w:ascii="Times New Roman" w:eastAsia="Times New Roman" w:hAnsi="Times New Roman" w:cs="Times New Roman"/>
          <w:i/>
        </w:rPr>
      </w:pPr>
    </w:p>
    <w:p w:rsidR="00F65389" w:rsidRDefault="00F65389">
      <w:pPr>
        <w:spacing w:line="240" w:lineRule="auto"/>
        <w:jc w:val="both"/>
        <w:rPr>
          <w:rFonts w:ascii="Times New Roman" w:eastAsia="Times New Roman" w:hAnsi="Times New Roman" w:cs="Times New Roman"/>
        </w:rPr>
      </w:pPr>
    </w:p>
    <w:p w:rsidR="00F65389" w:rsidRDefault="00F65389">
      <w:pPr>
        <w:spacing w:line="240" w:lineRule="auto"/>
        <w:jc w:val="both"/>
        <w:rPr>
          <w:rFonts w:ascii="Times New Roman" w:eastAsia="Times New Roman" w:hAnsi="Times New Roman" w:cs="Times New Roman"/>
        </w:rPr>
      </w:pPr>
    </w:p>
    <w:p w:rsidR="00F65389" w:rsidRDefault="00F65389">
      <w:pPr>
        <w:spacing w:line="240" w:lineRule="auto"/>
        <w:jc w:val="both"/>
        <w:rPr>
          <w:rFonts w:ascii="Times New Roman" w:eastAsia="Times New Roman" w:hAnsi="Times New Roman" w:cs="Times New Roman"/>
        </w:rPr>
      </w:pPr>
    </w:p>
    <w:p w:rsidR="00F65389" w:rsidRDefault="00F65389">
      <w:pPr>
        <w:spacing w:line="240" w:lineRule="auto"/>
        <w:jc w:val="both"/>
        <w:rPr>
          <w:rFonts w:ascii="Times New Roman" w:eastAsia="Times New Roman" w:hAnsi="Times New Roman" w:cs="Times New Roman"/>
        </w:rPr>
      </w:pPr>
    </w:p>
    <w:p w:rsidR="00F65389" w:rsidRDefault="00F65389">
      <w:pPr>
        <w:spacing w:line="240" w:lineRule="auto"/>
        <w:jc w:val="both"/>
        <w:rPr>
          <w:rFonts w:ascii="Times New Roman" w:eastAsia="Times New Roman" w:hAnsi="Times New Roman" w:cs="Times New Roman"/>
        </w:rPr>
      </w:pPr>
    </w:p>
    <w:p w:rsidR="00F65389" w:rsidRDefault="00F65389">
      <w:pPr>
        <w:spacing w:line="240" w:lineRule="auto"/>
        <w:jc w:val="both"/>
        <w:rPr>
          <w:rFonts w:ascii="Times New Roman" w:eastAsia="Times New Roman" w:hAnsi="Times New Roman" w:cs="Times New Roman"/>
        </w:rPr>
      </w:pPr>
    </w:p>
    <w:p w:rsidR="00F65389" w:rsidRDefault="00F65389">
      <w:pPr>
        <w:spacing w:line="240" w:lineRule="auto"/>
        <w:jc w:val="both"/>
        <w:rPr>
          <w:rFonts w:ascii="Times New Roman" w:eastAsia="Times New Roman" w:hAnsi="Times New Roman" w:cs="Times New Roman"/>
        </w:rPr>
      </w:pPr>
    </w:p>
    <w:p w:rsidR="00F65389" w:rsidRDefault="00F65389">
      <w:pPr>
        <w:spacing w:line="240" w:lineRule="auto"/>
        <w:jc w:val="both"/>
        <w:rPr>
          <w:rFonts w:ascii="Times New Roman" w:eastAsia="Times New Roman" w:hAnsi="Times New Roman" w:cs="Times New Roman"/>
        </w:rPr>
      </w:pPr>
    </w:p>
    <w:p w:rsidR="00F65389" w:rsidRDefault="00F65389">
      <w:pPr>
        <w:spacing w:line="240" w:lineRule="auto"/>
        <w:jc w:val="both"/>
        <w:rPr>
          <w:rFonts w:ascii="Times New Roman" w:eastAsia="Times New Roman" w:hAnsi="Times New Roman" w:cs="Times New Roman"/>
        </w:rPr>
      </w:pPr>
    </w:p>
    <w:p w:rsidR="00F65389" w:rsidRDefault="00F65389">
      <w:pPr>
        <w:spacing w:line="240" w:lineRule="auto"/>
        <w:jc w:val="both"/>
        <w:rPr>
          <w:rFonts w:ascii="Times New Roman" w:eastAsia="Times New Roman" w:hAnsi="Times New Roman" w:cs="Times New Roman"/>
        </w:rPr>
      </w:pPr>
    </w:p>
    <w:p w:rsidR="00F65389" w:rsidRDefault="00F65389">
      <w:pPr>
        <w:spacing w:line="240" w:lineRule="auto"/>
        <w:jc w:val="both"/>
        <w:rPr>
          <w:rFonts w:ascii="Times New Roman" w:eastAsia="Times New Roman" w:hAnsi="Times New Roman" w:cs="Times New Roman"/>
        </w:rPr>
      </w:pPr>
    </w:p>
    <w:p w:rsidR="00F65389" w:rsidRDefault="00F65389">
      <w:pPr>
        <w:spacing w:line="240" w:lineRule="auto"/>
        <w:jc w:val="both"/>
        <w:rPr>
          <w:rFonts w:ascii="Times New Roman" w:eastAsia="Times New Roman" w:hAnsi="Times New Roman" w:cs="Times New Roman"/>
        </w:rPr>
      </w:pPr>
    </w:p>
    <w:p w:rsidR="00F65389" w:rsidRDefault="00F65389">
      <w:pPr>
        <w:spacing w:line="240" w:lineRule="auto"/>
        <w:jc w:val="both"/>
        <w:rPr>
          <w:rFonts w:ascii="Times New Roman" w:eastAsia="Times New Roman" w:hAnsi="Times New Roman" w:cs="Times New Roman"/>
        </w:rPr>
      </w:pPr>
    </w:p>
    <w:p w:rsidR="00F65389" w:rsidRDefault="009B6535">
      <w:pPr>
        <w:spacing w:line="240" w:lineRule="auto"/>
        <w:jc w:val="both"/>
        <w:rPr>
          <w:rFonts w:ascii="Times New Roman" w:eastAsia="Times New Roman" w:hAnsi="Times New Roman" w:cs="Times New Roman"/>
        </w:rPr>
      </w:pPr>
      <w:r>
        <w:rPr>
          <w:rFonts w:ascii="Times New Roman" w:eastAsia="Times New Roman" w:hAnsi="Times New Roman" w:cs="Times New Roman"/>
          <w:noProof/>
          <w:lang w:val="en-US"/>
        </w:rPr>
        <mc:AlternateContent>
          <mc:Choice Requires="wps">
            <w:drawing>
              <wp:anchor distT="0" distB="0" distL="114300" distR="114300" simplePos="0" relativeHeight="251659264" behindDoc="0" locked="0" layoutInCell="1" allowOverlap="1">
                <wp:simplePos x="0" y="0"/>
                <wp:positionH relativeFrom="column">
                  <wp:posOffset>4448175</wp:posOffset>
                </wp:positionH>
                <wp:positionV relativeFrom="paragraph">
                  <wp:posOffset>243840</wp:posOffset>
                </wp:positionV>
                <wp:extent cx="3019425" cy="1638300"/>
                <wp:effectExtent l="0" t="0" r="0" b="0"/>
                <wp:wrapNone/>
                <wp:docPr id="2" name="Text Box 2"/>
                <wp:cNvGraphicFramePr/>
                <a:graphic xmlns:a="http://schemas.openxmlformats.org/drawingml/2006/main">
                  <a:graphicData uri="http://schemas.microsoft.com/office/word/2010/wordprocessingShape">
                    <wps:wsp>
                      <wps:cNvSpPr txBox="1"/>
                      <wps:spPr>
                        <a:xfrm>
                          <a:off x="0" y="0"/>
                          <a:ext cx="3019425" cy="16383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B6535" w:rsidRDefault="009B6535">
                            <w:r w:rsidRPr="009B6535">
                              <w:rPr>
                                <w:noProof/>
                                <w:lang w:val="en-US"/>
                              </w:rPr>
                              <w:drawing>
                                <wp:inline distT="0" distB="0" distL="0" distR="0">
                                  <wp:extent cx="2296200" cy="1620097"/>
                                  <wp:effectExtent l="0" t="0" r="8890" b="0"/>
                                  <wp:docPr id="3" name="Picture 3" descr="C:\Users\User1\Desktop\dac32daf-a466-4fcc-b7db-d0b7a58cbd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1\Desktop\dac32daf-a466-4fcc-b7db-d0b7a58cbdde.jpg"/>
                                          <pic:cNvPicPr>
                                            <a:picLocks noChangeAspect="1" noChangeArrowheads="1"/>
                                          </pic:cNvPicPr>
                                        </pic:nvPicPr>
                                        <pic:blipFill>
                                          <a:blip r:embed="rId9">
                                            <a:extLst>
                                              <a:ext uri="{BEBA8EAE-BF5A-486C-A8C5-ECC9F3942E4B}">
                                                <a14:imgProps xmlns:a14="http://schemas.microsoft.com/office/drawing/2010/main">
                                                  <a14:imgLayer r:embed="rId10">
                                                    <a14:imgEffect>
                                                      <a14:sharpenSoften amount="50000"/>
                                                    </a14:imgEffect>
                                                    <a14:imgEffect>
                                                      <a14:brightnessContrast bright="4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2302651" cy="162464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50.25pt;margin-top:19.2pt;width:237.75pt;height:129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XK7gAIAAGMFAAAOAAAAZHJzL2Uyb0RvYy54bWysVEtv2zAMvg/YfxB0X+081wZxiqxFhgFB&#10;W6wdelZkqTEmiZqkxM5+fSnZToNslw672BL5kSI/PubXjVZkL5yvwBR0cJFTIgyHsjIvBf3xtPp0&#10;SYkPzJRMgREFPQhPrxcfP8xrOxND2IIqhSPoxPhZbQu6DcHOsszzrdDMX4AVBpUSnGYBr+4lKx2r&#10;0btW2TDPp1kNrrQOuPAepbetki6SfykFD/dSehGIKijGFtLXpe8mfrPFnM1eHLPbindhsH+IQrPK&#10;4KNHV7csMLJz1R+udMUdeJDhgoPOQMqKi5QDZjPIz7J53DIrUi5IjrdHmvz/c8vv9g+OVGVBh5QY&#10;prFET6IJ5As0ZBjZqa2fIejRIiw0KMYq93KPwph0I52Of0yHoB55Phy5jc44Ckf54Go8nFDCUTeY&#10;ji5HeWI/ezO3zoevAjSJh4I6LF7ilO3XPmAoCO0h8TUDq0qpVEBlSF3Q6WiSJ4OjBi2UiViRWqFz&#10;E1NqQ0+ncFAiYpT5LiRSkTKIgtSE4kY5smfYPoxzYUJKPvlFdERJDOI9hh3+Lar3GLd59C+DCUdj&#10;XRlwKfuzsMuffciyxSORJ3nHY2g2TVfqDZQHrLSDdlK85asKq7FmPjwwh6OBxcVxD/f4kQqQdehO&#10;lGzB/f6bPOKxY1FLSY2jVlD/a8ecoER9M9jLV4PxOM5muownn4d4caeazanG7PQNYDkGuFgsT8eI&#10;D6o/Sgf6GbfCMr6KKmY4vl3Q0B9vQrsAcKtwsVwmEE6jZWFtHi2PrmN1Yq89Nc/M2a4hA/byHfRD&#10;yWZnfdlio6WB5S6ArFLTRoJbVjvicZJTL3dbJ66K03tCve3GxSsAAAD//wMAUEsDBBQABgAIAAAA&#10;IQDnNJdI4wAAAAsBAAAPAAAAZHJzL2Rvd25yZXYueG1sTI/BbsIwEETvlfoP1lbqrdikEELIBqFI&#10;qFJVDlAuvTnxkkSN7TQ2kPbra07tcbVPM2+y9ag7dqHBtdYgTCcCGJnKqtbUCMf37VMCzHlplOys&#10;IYRvcrDO7+8ymSp7NXu6HHzNQohxqURovO9Tzl3VkJZuYnsy4Xeyg5Y+nEPN1SCvIVx3PBIi5lq2&#10;JjQ0sqeioerzcNYIr8V2J/dlpJOfrnh5O236r+PHHPHxYdysgHka/R8MN/2gDnlwKu3ZKMc6hIUQ&#10;84AiPCczYDdguojDuhIhWsYz4HnG/2/IfwEAAP//AwBQSwECLQAUAAYACAAAACEAtoM4kv4AAADh&#10;AQAAEwAAAAAAAAAAAAAAAAAAAAAAW0NvbnRlbnRfVHlwZXNdLnhtbFBLAQItABQABgAIAAAAIQA4&#10;/SH/1gAAAJQBAAALAAAAAAAAAAAAAAAAAC8BAABfcmVscy8ucmVsc1BLAQItABQABgAIAAAAIQBB&#10;rXK7gAIAAGMFAAAOAAAAAAAAAAAAAAAAAC4CAABkcnMvZTJvRG9jLnhtbFBLAQItABQABgAIAAAA&#10;IQDnNJdI4wAAAAsBAAAPAAAAAAAAAAAAAAAAANoEAABkcnMvZG93bnJldi54bWxQSwUGAAAAAAQA&#10;BADzAAAA6gUAAAAA&#10;" filled="f" stroked="f" strokeweight=".5pt">
                <v:textbox>
                  <w:txbxContent>
                    <w:p w:rsidR="009B6535" w:rsidRDefault="009B6535">
                      <w:r w:rsidRPr="009B6535">
                        <w:rPr>
                          <w:noProof/>
                          <w:lang w:val="en-US"/>
                        </w:rPr>
                        <w:drawing>
                          <wp:inline distT="0" distB="0" distL="0" distR="0">
                            <wp:extent cx="2296200" cy="1620097"/>
                            <wp:effectExtent l="0" t="0" r="8890" b="0"/>
                            <wp:docPr id="3" name="Picture 3" descr="C:\Users\User1\Desktop\dac32daf-a466-4fcc-b7db-d0b7a58cbd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1\Desktop\dac32daf-a466-4fcc-b7db-d0b7a58cbdde.jpg"/>
                                    <pic:cNvPicPr>
                                      <a:picLocks noChangeAspect="1" noChangeArrowheads="1"/>
                                    </pic:cNvPicPr>
                                  </pic:nvPicPr>
                                  <pic:blipFill>
                                    <a:blip r:embed="rId11">
                                      <a:extLst>
                                        <a:ext uri="{BEBA8EAE-BF5A-486C-A8C5-ECC9F3942E4B}">
                                          <a14:imgProps xmlns:a14="http://schemas.microsoft.com/office/drawing/2010/main">
                                            <a14:imgLayer r:embed="rId12">
                                              <a14:imgEffect>
                                                <a14:sharpenSoften amount="50000"/>
                                              </a14:imgEffect>
                                              <a14:imgEffect>
                                                <a14:brightnessContrast bright="4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2302651" cy="1624649"/>
                                    </a:xfrm>
                                    <a:prstGeom prst="rect">
                                      <a:avLst/>
                                    </a:prstGeom>
                                    <a:noFill/>
                                    <a:ln>
                                      <a:noFill/>
                                    </a:ln>
                                  </pic:spPr>
                                </pic:pic>
                              </a:graphicData>
                            </a:graphic>
                          </wp:inline>
                        </w:drawing>
                      </w:r>
                    </w:p>
                  </w:txbxContent>
                </v:textbox>
              </v:shape>
            </w:pict>
          </mc:Fallback>
        </mc:AlternateContent>
      </w:r>
    </w:p>
    <w:p w:rsidR="00F65389" w:rsidRDefault="00F65389">
      <w:pPr>
        <w:rPr>
          <w:rFonts w:ascii="Times New Roman" w:eastAsia="Times New Roman" w:hAnsi="Times New Roman" w:cs="Times New Roman"/>
        </w:rPr>
      </w:pPr>
    </w:p>
    <w:p w:rsidR="00F65389" w:rsidRDefault="00601CBA">
      <w:pPr>
        <w:spacing w:after="0" w:line="480" w:lineRule="auto"/>
        <w:ind w:left="10" w:right="-15"/>
        <w:jc w:val="center"/>
        <w:rPr>
          <w:rFonts w:ascii="Times New Roman" w:eastAsia="Times New Roman" w:hAnsi="Times New Roman" w:cs="Times New Roman"/>
          <w:b/>
        </w:rPr>
      </w:pPr>
      <w:r>
        <w:br w:type="page"/>
      </w:r>
    </w:p>
    <w:p w:rsidR="00F65389" w:rsidRDefault="00601CBA">
      <w:pPr>
        <w:spacing w:after="0" w:line="480" w:lineRule="auto"/>
        <w:ind w:left="10" w:right="-15"/>
        <w:jc w:val="center"/>
        <w:rPr>
          <w:rFonts w:ascii="Times New Roman" w:eastAsia="Times New Roman" w:hAnsi="Times New Roman" w:cs="Times New Roman"/>
        </w:rPr>
      </w:pPr>
      <w:r>
        <w:rPr>
          <w:rFonts w:ascii="Times New Roman" w:eastAsia="Times New Roman" w:hAnsi="Times New Roman" w:cs="Times New Roman"/>
          <w:b/>
        </w:rPr>
        <w:lastRenderedPageBreak/>
        <w:t>CHAPTER ONE</w:t>
      </w:r>
    </w:p>
    <w:p w:rsidR="00F65389" w:rsidRDefault="00601CBA">
      <w:pPr>
        <w:spacing w:after="0" w:line="480" w:lineRule="auto"/>
        <w:ind w:left="10" w:right="-15"/>
        <w:jc w:val="center"/>
        <w:rPr>
          <w:rFonts w:ascii="Times New Roman" w:eastAsia="Times New Roman" w:hAnsi="Times New Roman" w:cs="Times New Roman"/>
        </w:rPr>
      </w:pPr>
      <w:r>
        <w:rPr>
          <w:rFonts w:ascii="Times New Roman" w:eastAsia="Times New Roman" w:hAnsi="Times New Roman" w:cs="Times New Roman"/>
          <w:b/>
        </w:rPr>
        <w:t>INTRODUCTION</w:t>
      </w:r>
    </w:p>
    <w:p w:rsidR="00F65389" w:rsidRDefault="00601CBA">
      <w:pPr>
        <w:pStyle w:val="Heading1"/>
        <w:spacing w:after="0" w:line="48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1.1 Background to the Study </w:t>
      </w:r>
    </w:p>
    <w:p w:rsidR="00F65389" w:rsidRDefault="00601CBA">
      <w:pPr>
        <w:spacing w:after="0" w:line="480" w:lineRule="auto"/>
        <w:jc w:val="both"/>
        <w:rPr>
          <w:rFonts w:ascii="Times New Roman" w:eastAsia="Times New Roman" w:hAnsi="Times New Roman" w:cs="Times New Roman"/>
        </w:rPr>
      </w:pPr>
      <w:r>
        <w:rPr>
          <w:rFonts w:ascii="Times New Roman" w:eastAsia="Times New Roman" w:hAnsi="Times New Roman" w:cs="Times New Roman"/>
        </w:rPr>
        <w:t xml:space="preserve">The Nigerian economy spins through multiple gear-lines powered by key industries like agriculture, oil and gas, telecommunications, and the fast-moving consumer goods chain. Within these tracks, the FMCG axis grips tightly to both employment size and Gross Domestic Product shares. This segment feeds the day-to-day household patterns and carries real reflections of economic shifts across time (Ihenyen </w:t>
      </w:r>
      <w:r w:rsidRPr="00601CBA">
        <w:rPr>
          <w:rFonts w:ascii="Times New Roman" w:eastAsia="Times New Roman" w:hAnsi="Times New Roman" w:cs="Times New Roman"/>
          <w:i/>
        </w:rPr>
        <w:t>et al</w:t>
      </w:r>
      <w:r>
        <w:rPr>
          <w:rFonts w:ascii="Times New Roman" w:eastAsia="Times New Roman" w:hAnsi="Times New Roman" w:cs="Times New Roman"/>
        </w:rPr>
        <w:t xml:space="preserve"> 2024). In the account of Aminu and Adesanya (2024), FMCG fuels Nigeria’s travel from high-consumption tendencies to base-heavy industrial shifts. By watching key firms like Nestle Nigeria, we gain entry points into how this transition is shaping through real figures, daily cost models, and structure-based financial reactions.</w:t>
      </w:r>
    </w:p>
    <w:p w:rsidR="00F65389" w:rsidRDefault="00601CBA">
      <w:pPr>
        <w:spacing w:after="0" w:line="480" w:lineRule="auto"/>
        <w:jc w:val="both"/>
        <w:rPr>
          <w:rFonts w:ascii="Times New Roman" w:eastAsia="Times New Roman" w:hAnsi="Times New Roman" w:cs="Times New Roman"/>
        </w:rPr>
      </w:pPr>
      <w:r>
        <w:rPr>
          <w:rFonts w:ascii="Times New Roman" w:eastAsia="Times New Roman" w:hAnsi="Times New Roman" w:cs="Times New Roman"/>
        </w:rPr>
        <w:t xml:space="preserve">Nestle Nigeria functions from inside this FMCG core, standing firm as part of the global Nestlé S A system. Its baskets of products ranging from baby nutrition units to dairy picks, beverage lines, and culinary mixes push major traction in consumer purchase flow and retail pace. Edeh </w:t>
      </w:r>
      <w:r w:rsidRPr="00601CBA">
        <w:rPr>
          <w:rFonts w:ascii="Times New Roman" w:eastAsia="Times New Roman" w:hAnsi="Times New Roman" w:cs="Times New Roman"/>
          <w:i/>
        </w:rPr>
        <w:t>et al</w:t>
      </w:r>
      <w:r>
        <w:rPr>
          <w:rFonts w:ascii="Times New Roman" w:eastAsia="Times New Roman" w:hAnsi="Times New Roman" w:cs="Times New Roman"/>
        </w:rPr>
        <w:t xml:space="preserve"> (2024) point to Nestle Nigeria’s strategic footprint as a trigger on GDP expansion and market movement signals. Alalade (2024) tags the company as a mirror through which solvency metrics and performance signals can be tracked. The firm becomes a measurable example of how inner financial tools can shape outer market impact. It forms a clean setting for probing the link between solvency control and business results in Nigeria’s FMCG terrain.</w:t>
      </w:r>
    </w:p>
    <w:p w:rsidR="00F65389" w:rsidRDefault="00601CBA">
      <w:pPr>
        <w:spacing w:after="0" w:line="480" w:lineRule="auto"/>
        <w:jc w:val="both"/>
        <w:rPr>
          <w:rFonts w:ascii="Times New Roman" w:eastAsia="Times New Roman" w:hAnsi="Times New Roman" w:cs="Times New Roman"/>
        </w:rPr>
      </w:pPr>
      <w:r>
        <w:rPr>
          <w:rFonts w:ascii="Times New Roman" w:eastAsia="Times New Roman" w:hAnsi="Times New Roman" w:cs="Times New Roman"/>
        </w:rPr>
        <w:t xml:space="preserve">Meanwhile, the overall playbook of FMCG numbers doesn’t just track firm outcomes but also tells layered stories of economic waves and shock intervals. The sector rides on the back of Nigeria’s massive consumer demand, yet it also navigates hazards like price surges, unstable regulation tones, and shaky input costs (Kongkuah </w:t>
      </w:r>
      <w:r w:rsidRPr="00601CBA">
        <w:rPr>
          <w:rFonts w:ascii="Times New Roman" w:eastAsia="Times New Roman" w:hAnsi="Times New Roman" w:cs="Times New Roman"/>
          <w:i/>
        </w:rPr>
        <w:t>et al</w:t>
      </w:r>
      <w:r>
        <w:rPr>
          <w:rFonts w:ascii="Times New Roman" w:eastAsia="Times New Roman" w:hAnsi="Times New Roman" w:cs="Times New Roman"/>
        </w:rPr>
        <w:t xml:space="preserve"> 2022). This keeps the terrain tense. Abdulhadi and </w:t>
      </w:r>
      <w:r>
        <w:rPr>
          <w:rFonts w:ascii="Times New Roman" w:eastAsia="Times New Roman" w:hAnsi="Times New Roman" w:cs="Times New Roman"/>
        </w:rPr>
        <w:lastRenderedPageBreak/>
        <w:t>Dashtbayaz (2022) set solvency as a lever that firms like Nestle Nigeria need to hold tightly if they wish to stay financially agile under such shifting burdens. Solvency works as a kind of guard rail when external strains turn up across quarters.</w:t>
      </w:r>
    </w:p>
    <w:p w:rsidR="00F65389" w:rsidRDefault="00601CBA">
      <w:pPr>
        <w:spacing w:after="0" w:line="480" w:lineRule="auto"/>
        <w:jc w:val="both"/>
        <w:rPr>
          <w:rFonts w:ascii="Times New Roman" w:eastAsia="Times New Roman" w:hAnsi="Times New Roman" w:cs="Times New Roman"/>
        </w:rPr>
      </w:pPr>
      <w:r>
        <w:rPr>
          <w:rFonts w:ascii="Times New Roman" w:eastAsia="Times New Roman" w:hAnsi="Times New Roman" w:cs="Times New Roman"/>
        </w:rPr>
        <w:t>Solvency as a financial idea cuts beyond short-term bills. It checks if the firm is able to hold its weight against long-term financial demands. Liquidity looks at what can be paid now. Solvency looks at what will be owed for years (Amaechi and Victor 2024). In Ik-Ugwoezuonu’s (2024) framing, solvency is the structure that helps the firm build resilience and send right messages to investors and creditors. In tough seasons, smart solvency design acts as a buffer that shields growth lines and keeps the company standing.</w:t>
      </w:r>
    </w:p>
    <w:p w:rsidR="00F65389" w:rsidRDefault="00601CBA">
      <w:pPr>
        <w:spacing w:after="0" w:line="480" w:lineRule="auto"/>
        <w:jc w:val="both"/>
        <w:rPr>
          <w:rFonts w:ascii="Times New Roman" w:eastAsia="Times New Roman" w:hAnsi="Times New Roman" w:cs="Times New Roman"/>
        </w:rPr>
      </w:pPr>
      <w:r>
        <w:rPr>
          <w:rFonts w:ascii="Times New Roman" w:eastAsia="Times New Roman" w:hAnsi="Times New Roman" w:cs="Times New Roman"/>
        </w:rPr>
        <w:t>Solvency checks are usually done through certain standard figures like the debt-to-asset ratio, debt-to-equity ratio, and interest coverage ratio (Amaechi and Victor 2024). On the other table, performance is measured using indicators such as return on assets, return on equity, and net margin spreads. Ndu and Ifurueze (2024) mention that the real art lies in maintaining a balanced grip on both solvency and liquidity. When this balance is set right, long-term performance gains are not only possible but likely. Firms need to manage this crossroad well, making sure asset movements and liability setups stay in optimal zones.</w:t>
      </w:r>
    </w:p>
    <w:p w:rsidR="00F65389" w:rsidRDefault="00601CBA">
      <w:pPr>
        <w:spacing w:after="0" w:line="480" w:lineRule="auto"/>
        <w:jc w:val="both"/>
        <w:rPr>
          <w:rFonts w:ascii="Times New Roman" w:eastAsia="Times New Roman" w:hAnsi="Times New Roman" w:cs="Times New Roman"/>
        </w:rPr>
      </w:pPr>
      <w:r>
        <w:rPr>
          <w:rFonts w:ascii="Times New Roman" w:eastAsia="Times New Roman" w:hAnsi="Times New Roman" w:cs="Times New Roman"/>
        </w:rPr>
        <w:t>On the theory pad, there are anchors that help to interpret how solvency and financial outcomes may relate. The pecking order theory explains that firms usually lean on internal savings first, then consider debts, and only fall to equity when all else gets too tight (Amaechi and Victor 2024). The trade-off theory stretches that thinking by proposing that firms try to grab tax gains from debt while also watching not to step into distress zones. Onwaeze and Osuji (2024) bring in agency theory to explain how managers’ interests sometimes break from shareholders' goals. These theories give roadmaps for tracking why and how companies pick certain financial paths.</w:t>
      </w:r>
    </w:p>
    <w:p w:rsidR="00F65389" w:rsidRDefault="00601CBA">
      <w:pPr>
        <w:spacing w:after="0" w:line="480" w:lineRule="auto"/>
        <w:jc w:val="both"/>
        <w:rPr>
          <w:rFonts w:ascii="Times New Roman" w:eastAsia="Times New Roman" w:hAnsi="Times New Roman" w:cs="Times New Roman"/>
        </w:rPr>
      </w:pPr>
      <w:r>
        <w:rPr>
          <w:rFonts w:ascii="Times New Roman" w:eastAsia="Times New Roman" w:hAnsi="Times New Roman" w:cs="Times New Roman"/>
        </w:rPr>
        <w:lastRenderedPageBreak/>
        <w:t xml:space="preserve">Still, actual studies exploring these ideas don’t all land on the same square. For example, Yenni </w:t>
      </w:r>
      <w:r w:rsidRPr="00601CBA">
        <w:rPr>
          <w:rFonts w:ascii="Times New Roman" w:eastAsia="Times New Roman" w:hAnsi="Times New Roman" w:cs="Times New Roman"/>
          <w:i/>
        </w:rPr>
        <w:t>et al</w:t>
      </w:r>
      <w:r>
        <w:rPr>
          <w:rFonts w:ascii="Times New Roman" w:eastAsia="Times New Roman" w:hAnsi="Times New Roman" w:cs="Times New Roman"/>
        </w:rPr>
        <w:t xml:space="preserve"> (2022) concluded that solvency does shape profits. But Meliani </w:t>
      </w:r>
      <w:r w:rsidRPr="00601CBA">
        <w:rPr>
          <w:rFonts w:ascii="Times New Roman" w:eastAsia="Times New Roman" w:hAnsi="Times New Roman" w:cs="Times New Roman"/>
          <w:i/>
        </w:rPr>
        <w:t>et al</w:t>
      </w:r>
      <w:r>
        <w:rPr>
          <w:rFonts w:ascii="Times New Roman" w:eastAsia="Times New Roman" w:hAnsi="Times New Roman" w:cs="Times New Roman"/>
        </w:rPr>
        <w:t xml:space="preserve"> (2021) reported almost no effect on ROE within food and drink firms. Kyule (2015) saw a negative tilt between solvency and profitability, while Aprilyani </w:t>
      </w:r>
      <w:r w:rsidRPr="00601CBA">
        <w:rPr>
          <w:rFonts w:ascii="Times New Roman" w:eastAsia="Times New Roman" w:hAnsi="Times New Roman" w:cs="Times New Roman"/>
          <w:i/>
        </w:rPr>
        <w:t>et al</w:t>
      </w:r>
      <w:r>
        <w:rPr>
          <w:rFonts w:ascii="Times New Roman" w:eastAsia="Times New Roman" w:hAnsi="Times New Roman" w:cs="Times New Roman"/>
        </w:rPr>
        <w:t xml:space="preserve"> (2024) marked a positive one. Yameen and Pervez (2016) suggest the outcome you get depends on the sector you look at. For FMCG, this fluidity makes context matter even more. Gaps still show. Oguntuase, Oyeneye, and Olabisi (2024) flagged how hard it is for FMCG firms to jointly manage solvency and liquidity. Chiekezie and Anetoh (2024) noticed that most solvency studies fail to link with failure risk tools like bankruptcy models. These cracks show that deeper work is needed. This current study steps into that gap by focusing directly on how solvency positions affect financial output in Nestle Nigeria under Nigeria’s FMCG environment. </w:t>
      </w:r>
    </w:p>
    <w:p w:rsidR="00F65389" w:rsidRDefault="00601CBA">
      <w:pPr>
        <w:pStyle w:val="Heading1"/>
        <w:spacing w:after="0" w:line="48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1.2 Statement of the Problem </w:t>
      </w:r>
    </w:p>
    <w:p w:rsidR="00F65389" w:rsidRDefault="00601CBA">
      <w:pPr>
        <w:spacing w:after="0" w:line="480" w:lineRule="auto"/>
        <w:ind w:left="-5" w:hanging="10"/>
        <w:jc w:val="both"/>
        <w:rPr>
          <w:rFonts w:ascii="Times New Roman" w:eastAsia="Times New Roman" w:hAnsi="Times New Roman" w:cs="Times New Roman"/>
        </w:rPr>
      </w:pPr>
      <w:r>
        <w:rPr>
          <w:rFonts w:ascii="Times New Roman" w:eastAsia="Times New Roman" w:hAnsi="Times New Roman" w:cs="Times New Roman"/>
        </w:rPr>
        <w:t>Nestlé Nigeria’s current financial shape shows two direct frictions affecting its operation zone. The first line of trouble is foreign exchange movement. The company’s solvency and general financial stability got bruised by currency shocks. In 2023, it posted a clear net loss of ₦79 billion, majorly caused by ₦195 billion in unrealized forex losses (Nestlé Nigeria 2024). The devalued Naira also dragged down net asset value, flipping shareholders’ funds to a negative ₦78 billion by year-end (Nairametrics, 2024). The firm tried cost control and asset revaluation as cushioning steps. Still, forex fluctuation and existing debt pressure kept squeezing the profit line. Q1 2024 further exposed this with a recorded net loss of ₦142.7 billion (Nestlé Nigeria 2024). Most academic probes miss this type of targeted forex-solvency link in emerging FMCG markets like Nigeria (Oguntuase Oyeneye and Olabisi, 2024), leaving a fresh space for deeper insight.</w:t>
      </w:r>
    </w:p>
    <w:p w:rsidR="00F65389" w:rsidRDefault="00601CBA">
      <w:pPr>
        <w:spacing w:after="0" w:line="480" w:lineRule="auto"/>
        <w:ind w:left="-5" w:hanging="10"/>
        <w:jc w:val="both"/>
        <w:rPr>
          <w:rFonts w:ascii="Times New Roman" w:eastAsia="Times New Roman" w:hAnsi="Times New Roman" w:cs="Times New Roman"/>
        </w:rPr>
      </w:pPr>
      <w:r>
        <w:rPr>
          <w:rFonts w:ascii="Times New Roman" w:eastAsia="Times New Roman" w:hAnsi="Times New Roman" w:cs="Times New Roman"/>
        </w:rPr>
        <w:lastRenderedPageBreak/>
        <w:t xml:space="preserve">The second layer of concern stands on rising cost edges and profit shrink. In Q1 2024, gross profit came down to ₦49 billion from ₦51.6 billion the previous year, even though revenue jumped by 43 percent (Nestlé Nigeria 2024). That gap shows cost hikes are silently stretching the firm’s spend-to-earn ratio. Marketing and admin costs keep pulling down earnings. Nestlé Nigeria has added some efficiency plans and modern tech moves to ease the load, but the margin space still feels tight. Also, net finance cost hit ₦217 billion in Q1 2024, revealing how capital strain keeps burning through profits (Nestlé Nigeria 2024). Existing work mostly skips this particular cost-versus-solvency pressure faced in Nigeria’s FMCG stretch (Chiekezie and Anetoh, 2024). This signals a critical area for closer probe. This study builds on that ground to map how solvency holds or breaks Nestlé Nigeria’s financial rhythm. </w:t>
      </w:r>
    </w:p>
    <w:p w:rsidR="00F65389" w:rsidRDefault="00601CBA">
      <w:pPr>
        <w:pStyle w:val="Heading1"/>
        <w:spacing w:after="0" w:line="48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1.3 Objectives of the Study </w:t>
      </w:r>
    </w:p>
    <w:p w:rsidR="00F65389" w:rsidRDefault="00601CBA">
      <w:pPr>
        <w:spacing w:after="0" w:line="480" w:lineRule="auto"/>
        <w:jc w:val="both"/>
        <w:rPr>
          <w:rFonts w:ascii="Times New Roman" w:eastAsia="Times New Roman" w:hAnsi="Times New Roman" w:cs="Times New Roman"/>
        </w:rPr>
      </w:pPr>
      <w:r>
        <w:rPr>
          <w:rFonts w:ascii="Times New Roman" w:eastAsia="Times New Roman" w:hAnsi="Times New Roman" w:cs="Times New Roman"/>
        </w:rPr>
        <w:t xml:space="preserve">The main aim of this study is to determine the effect of firm solvency on the financial performance of Nestlé Nigeria from 2012 to 2023. The specific objectives are: </w:t>
      </w:r>
    </w:p>
    <w:p w:rsidR="00F65389" w:rsidRDefault="00601CBA">
      <w:pPr>
        <w:numPr>
          <w:ilvl w:val="0"/>
          <w:numId w:val="1"/>
        </w:numPr>
        <w:spacing w:after="0" w:line="480" w:lineRule="auto"/>
        <w:ind w:hanging="360"/>
        <w:jc w:val="both"/>
      </w:pPr>
      <w:r>
        <w:rPr>
          <w:rFonts w:ascii="Times New Roman" w:eastAsia="Times New Roman" w:hAnsi="Times New Roman" w:cs="Times New Roman"/>
        </w:rPr>
        <w:t xml:space="preserve">To examine the effect of debt-to-asset ratio on return on assets (ROA) of Nestlé Nigeria PLC. </w:t>
      </w:r>
    </w:p>
    <w:p w:rsidR="00F65389" w:rsidRDefault="00601CBA">
      <w:pPr>
        <w:numPr>
          <w:ilvl w:val="0"/>
          <w:numId w:val="1"/>
        </w:numPr>
        <w:spacing w:after="0" w:line="480" w:lineRule="auto"/>
        <w:ind w:hanging="360"/>
        <w:jc w:val="both"/>
      </w:pPr>
      <w:r>
        <w:rPr>
          <w:rFonts w:ascii="Times New Roman" w:eastAsia="Times New Roman" w:hAnsi="Times New Roman" w:cs="Times New Roman"/>
        </w:rPr>
        <w:t xml:space="preserve">To investigate the effect of debt-to-equity ratio on the return on assets (ROA) of Nestlé </w:t>
      </w:r>
    </w:p>
    <w:p w:rsidR="00F65389" w:rsidRDefault="00601CBA">
      <w:pPr>
        <w:spacing w:after="0" w:line="480" w:lineRule="auto"/>
        <w:ind w:left="730"/>
        <w:jc w:val="both"/>
        <w:rPr>
          <w:rFonts w:ascii="Times New Roman" w:eastAsia="Times New Roman" w:hAnsi="Times New Roman" w:cs="Times New Roman"/>
        </w:rPr>
      </w:pPr>
      <w:r>
        <w:rPr>
          <w:rFonts w:ascii="Times New Roman" w:eastAsia="Times New Roman" w:hAnsi="Times New Roman" w:cs="Times New Roman"/>
        </w:rPr>
        <w:t xml:space="preserve">Nigeria PLC. </w:t>
      </w:r>
    </w:p>
    <w:p w:rsidR="00F65389" w:rsidRDefault="00601CBA">
      <w:pPr>
        <w:numPr>
          <w:ilvl w:val="0"/>
          <w:numId w:val="1"/>
        </w:numPr>
        <w:spacing w:after="0" w:line="480" w:lineRule="auto"/>
        <w:ind w:hanging="360"/>
        <w:jc w:val="both"/>
      </w:pPr>
      <w:r>
        <w:rPr>
          <w:rFonts w:ascii="Times New Roman" w:eastAsia="Times New Roman" w:hAnsi="Times New Roman" w:cs="Times New Roman"/>
        </w:rPr>
        <w:t xml:space="preserve">To assess the effect of interest coverage ratio on the return on assets (ROA) of Nestlé </w:t>
      </w:r>
    </w:p>
    <w:p w:rsidR="00F65389" w:rsidRDefault="00601CBA">
      <w:pPr>
        <w:spacing w:after="0" w:line="480" w:lineRule="auto"/>
        <w:ind w:left="730"/>
        <w:jc w:val="both"/>
        <w:rPr>
          <w:rFonts w:ascii="Times New Roman" w:eastAsia="Times New Roman" w:hAnsi="Times New Roman" w:cs="Times New Roman"/>
        </w:rPr>
      </w:pPr>
      <w:r>
        <w:rPr>
          <w:rFonts w:ascii="Times New Roman" w:eastAsia="Times New Roman" w:hAnsi="Times New Roman" w:cs="Times New Roman"/>
        </w:rPr>
        <w:t xml:space="preserve">Nigeria PLC. </w:t>
      </w:r>
    </w:p>
    <w:p w:rsidR="00F65389" w:rsidRDefault="00601CBA">
      <w:pPr>
        <w:numPr>
          <w:ilvl w:val="0"/>
          <w:numId w:val="1"/>
        </w:numPr>
        <w:spacing w:after="0" w:line="480" w:lineRule="auto"/>
        <w:ind w:hanging="360"/>
        <w:jc w:val="both"/>
      </w:pPr>
      <w:r>
        <w:rPr>
          <w:rFonts w:ascii="Times New Roman" w:eastAsia="Times New Roman" w:hAnsi="Times New Roman" w:cs="Times New Roman"/>
        </w:rPr>
        <w:t xml:space="preserve">To examine the effect of times interest earned ratio on the return on assets (ROA) of </w:t>
      </w:r>
    </w:p>
    <w:p w:rsidR="00F65389" w:rsidRDefault="00601CBA">
      <w:pPr>
        <w:spacing w:after="0" w:line="480" w:lineRule="auto"/>
        <w:ind w:left="730"/>
        <w:jc w:val="both"/>
        <w:rPr>
          <w:rFonts w:ascii="Times New Roman" w:eastAsia="Times New Roman" w:hAnsi="Times New Roman" w:cs="Times New Roman"/>
        </w:rPr>
      </w:pPr>
      <w:r>
        <w:rPr>
          <w:rFonts w:ascii="Times New Roman" w:eastAsia="Times New Roman" w:hAnsi="Times New Roman" w:cs="Times New Roman"/>
        </w:rPr>
        <w:t xml:space="preserve">Nestlé Nigeria PLC. </w:t>
      </w:r>
    </w:p>
    <w:p w:rsidR="00601CBA" w:rsidRDefault="00601CBA">
      <w:pPr>
        <w:spacing w:after="0" w:line="480" w:lineRule="auto"/>
        <w:ind w:left="730"/>
        <w:jc w:val="both"/>
        <w:rPr>
          <w:rFonts w:ascii="Times New Roman" w:eastAsia="Times New Roman" w:hAnsi="Times New Roman" w:cs="Times New Roman"/>
        </w:rPr>
      </w:pPr>
    </w:p>
    <w:p w:rsidR="00601CBA" w:rsidRDefault="00601CBA">
      <w:pPr>
        <w:spacing w:after="0" w:line="480" w:lineRule="auto"/>
        <w:ind w:left="730"/>
        <w:jc w:val="both"/>
        <w:rPr>
          <w:rFonts w:ascii="Times New Roman" w:eastAsia="Times New Roman" w:hAnsi="Times New Roman" w:cs="Times New Roman"/>
        </w:rPr>
      </w:pPr>
    </w:p>
    <w:p w:rsidR="00F65389" w:rsidRDefault="00601CBA">
      <w:pPr>
        <w:pStyle w:val="Heading1"/>
        <w:spacing w:before="0" w:after="0" w:line="48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 xml:space="preserve">1.4 Research Questions </w:t>
      </w:r>
    </w:p>
    <w:p w:rsidR="00F65389" w:rsidRDefault="00601CBA">
      <w:pPr>
        <w:spacing w:after="0" w:line="480" w:lineRule="auto"/>
        <w:jc w:val="both"/>
        <w:rPr>
          <w:rFonts w:ascii="Times New Roman" w:eastAsia="Times New Roman" w:hAnsi="Times New Roman" w:cs="Times New Roman"/>
        </w:rPr>
      </w:pPr>
      <w:r>
        <w:rPr>
          <w:rFonts w:ascii="Times New Roman" w:eastAsia="Times New Roman" w:hAnsi="Times New Roman" w:cs="Times New Roman"/>
        </w:rPr>
        <w:t>The research questions guiding this study are as follows:</w:t>
      </w:r>
      <w:r>
        <w:rPr>
          <w:rFonts w:ascii="Times New Roman" w:eastAsia="Times New Roman" w:hAnsi="Times New Roman" w:cs="Times New Roman"/>
          <w:b/>
        </w:rPr>
        <w:t xml:space="preserve"> </w:t>
      </w:r>
    </w:p>
    <w:p w:rsidR="00F65389" w:rsidRDefault="00601CBA">
      <w:pPr>
        <w:numPr>
          <w:ilvl w:val="0"/>
          <w:numId w:val="2"/>
        </w:numPr>
        <w:spacing w:after="0" w:line="480" w:lineRule="auto"/>
        <w:ind w:hanging="360"/>
        <w:jc w:val="both"/>
      </w:pPr>
      <w:r>
        <w:rPr>
          <w:rFonts w:ascii="Times New Roman" w:eastAsia="Times New Roman" w:hAnsi="Times New Roman" w:cs="Times New Roman"/>
        </w:rPr>
        <w:t xml:space="preserve">What is the effect of debt-to-asset ratio on the return on assets (ROA) of Nestlé Nigeria PLC? </w:t>
      </w:r>
    </w:p>
    <w:p w:rsidR="00F65389" w:rsidRDefault="00601CBA">
      <w:pPr>
        <w:numPr>
          <w:ilvl w:val="0"/>
          <w:numId w:val="2"/>
        </w:numPr>
        <w:spacing w:after="0" w:line="480" w:lineRule="auto"/>
        <w:ind w:hanging="360"/>
        <w:jc w:val="both"/>
      </w:pPr>
      <w:r>
        <w:rPr>
          <w:rFonts w:ascii="Times New Roman" w:eastAsia="Times New Roman" w:hAnsi="Times New Roman" w:cs="Times New Roman"/>
        </w:rPr>
        <w:t xml:space="preserve">What is the effect of debt-to-equity ratio on the return on assets (ROA) of Nestlé Nigeria PLC? </w:t>
      </w:r>
    </w:p>
    <w:p w:rsidR="00F65389" w:rsidRDefault="00601CBA">
      <w:pPr>
        <w:numPr>
          <w:ilvl w:val="0"/>
          <w:numId w:val="2"/>
        </w:numPr>
        <w:spacing w:after="0" w:line="480" w:lineRule="auto"/>
        <w:ind w:hanging="360"/>
        <w:jc w:val="both"/>
      </w:pPr>
      <w:r>
        <w:rPr>
          <w:rFonts w:ascii="Times New Roman" w:eastAsia="Times New Roman" w:hAnsi="Times New Roman" w:cs="Times New Roman"/>
        </w:rPr>
        <w:t xml:space="preserve">What is the effect of interest coverage ratio on the return on assets (ROA) of Nestlé </w:t>
      </w:r>
    </w:p>
    <w:p w:rsidR="00F65389" w:rsidRDefault="00601CBA">
      <w:pPr>
        <w:spacing w:after="0" w:line="480" w:lineRule="auto"/>
        <w:ind w:left="730"/>
        <w:jc w:val="both"/>
        <w:rPr>
          <w:rFonts w:ascii="Times New Roman" w:eastAsia="Times New Roman" w:hAnsi="Times New Roman" w:cs="Times New Roman"/>
        </w:rPr>
      </w:pPr>
      <w:r>
        <w:rPr>
          <w:rFonts w:ascii="Times New Roman" w:eastAsia="Times New Roman" w:hAnsi="Times New Roman" w:cs="Times New Roman"/>
        </w:rPr>
        <w:t xml:space="preserve">Nigeria PLC? </w:t>
      </w:r>
    </w:p>
    <w:p w:rsidR="00F65389" w:rsidRDefault="00601CBA">
      <w:pPr>
        <w:numPr>
          <w:ilvl w:val="0"/>
          <w:numId w:val="2"/>
        </w:numPr>
        <w:spacing w:after="0" w:line="480" w:lineRule="auto"/>
        <w:ind w:hanging="360"/>
        <w:jc w:val="both"/>
      </w:pPr>
      <w:r>
        <w:rPr>
          <w:rFonts w:ascii="Times New Roman" w:eastAsia="Times New Roman" w:hAnsi="Times New Roman" w:cs="Times New Roman"/>
        </w:rPr>
        <w:t xml:space="preserve">What is the effect of time interest earned ratio on the return on assets (ROA) of Nestlé </w:t>
      </w:r>
    </w:p>
    <w:p w:rsidR="00F65389" w:rsidRDefault="00601CBA">
      <w:pPr>
        <w:spacing w:after="0" w:line="480" w:lineRule="auto"/>
        <w:ind w:left="730"/>
        <w:jc w:val="both"/>
        <w:rPr>
          <w:rFonts w:ascii="Times New Roman" w:eastAsia="Times New Roman" w:hAnsi="Times New Roman" w:cs="Times New Roman"/>
        </w:rPr>
      </w:pPr>
      <w:r>
        <w:rPr>
          <w:rFonts w:ascii="Times New Roman" w:eastAsia="Times New Roman" w:hAnsi="Times New Roman" w:cs="Times New Roman"/>
        </w:rPr>
        <w:t xml:space="preserve">Nigeria PLC? </w:t>
      </w:r>
    </w:p>
    <w:p w:rsidR="00F65389" w:rsidRDefault="00601CBA">
      <w:pPr>
        <w:pStyle w:val="Heading1"/>
        <w:spacing w:after="0" w:line="48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1.5 Research Hypotheses </w:t>
      </w:r>
    </w:p>
    <w:p w:rsidR="00F65389" w:rsidRDefault="00601CBA">
      <w:pPr>
        <w:spacing w:after="0" w:line="480" w:lineRule="auto"/>
        <w:jc w:val="both"/>
        <w:rPr>
          <w:rFonts w:ascii="Times New Roman" w:eastAsia="Times New Roman" w:hAnsi="Times New Roman" w:cs="Times New Roman"/>
        </w:rPr>
      </w:pPr>
      <w:r>
        <w:rPr>
          <w:rFonts w:ascii="Times New Roman" w:eastAsia="Times New Roman" w:hAnsi="Times New Roman" w:cs="Times New Roman"/>
        </w:rPr>
        <w:t>Based on the research questions, the following hypotheses are formulated:</w:t>
      </w:r>
      <w:r>
        <w:rPr>
          <w:rFonts w:ascii="Times New Roman" w:eastAsia="Times New Roman" w:hAnsi="Times New Roman" w:cs="Times New Roman"/>
          <w:b/>
        </w:rPr>
        <w:t xml:space="preserve"> </w:t>
      </w:r>
    </w:p>
    <w:p w:rsidR="00F65389" w:rsidRDefault="00601CBA" w:rsidP="00601CBA">
      <w:pPr>
        <w:numPr>
          <w:ilvl w:val="0"/>
          <w:numId w:val="8"/>
        </w:numPr>
        <w:spacing w:after="0" w:line="480" w:lineRule="auto"/>
        <w:ind w:left="540"/>
        <w:jc w:val="both"/>
      </w:pPr>
      <w:r>
        <w:rPr>
          <w:rFonts w:ascii="Times New Roman" w:eastAsia="Times New Roman" w:hAnsi="Times New Roman" w:cs="Times New Roman"/>
        </w:rPr>
        <w:t>H0</w:t>
      </w:r>
      <w:r>
        <w:rPr>
          <w:rFonts w:ascii="Times New Roman" w:eastAsia="Times New Roman" w:hAnsi="Times New Roman" w:cs="Times New Roman"/>
          <w:vertAlign w:val="subscript"/>
        </w:rPr>
        <w:t>1</w:t>
      </w:r>
      <w:r>
        <w:rPr>
          <w:rFonts w:ascii="Times New Roman" w:eastAsia="Times New Roman" w:hAnsi="Times New Roman" w:cs="Times New Roman"/>
        </w:rPr>
        <w:t>: There is no significant effect of debt-to-asset ratio on the return on assets (ROA) of</w:t>
      </w:r>
    </w:p>
    <w:p w:rsidR="00F65389" w:rsidRPr="00601CBA" w:rsidRDefault="00601CBA" w:rsidP="00601CBA">
      <w:pPr>
        <w:pStyle w:val="ListParagraph"/>
        <w:spacing w:after="0" w:line="480" w:lineRule="auto"/>
        <w:ind w:left="540"/>
        <w:jc w:val="both"/>
        <w:rPr>
          <w:rFonts w:ascii="Times New Roman" w:eastAsia="Times New Roman" w:hAnsi="Times New Roman" w:cs="Times New Roman"/>
        </w:rPr>
      </w:pPr>
      <w:r w:rsidRPr="00601CBA">
        <w:rPr>
          <w:rFonts w:ascii="Times New Roman" w:eastAsia="Times New Roman" w:hAnsi="Times New Roman" w:cs="Times New Roman"/>
        </w:rPr>
        <w:t xml:space="preserve">Nestlé Nigeria PLC. </w:t>
      </w:r>
    </w:p>
    <w:p w:rsidR="00F65389" w:rsidRDefault="00601CBA" w:rsidP="00601CBA">
      <w:pPr>
        <w:numPr>
          <w:ilvl w:val="0"/>
          <w:numId w:val="8"/>
        </w:numPr>
        <w:spacing w:after="0" w:line="480" w:lineRule="auto"/>
        <w:ind w:left="540"/>
        <w:jc w:val="both"/>
      </w:pPr>
      <w:r>
        <w:rPr>
          <w:rFonts w:ascii="Times New Roman" w:eastAsia="Times New Roman" w:hAnsi="Times New Roman" w:cs="Times New Roman"/>
        </w:rPr>
        <w:t>H0</w:t>
      </w:r>
      <w:r>
        <w:rPr>
          <w:rFonts w:ascii="Times New Roman" w:eastAsia="Times New Roman" w:hAnsi="Times New Roman" w:cs="Times New Roman"/>
          <w:vertAlign w:val="subscript"/>
        </w:rPr>
        <w:t>2</w:t>
      </w:r>
      <w:r>
        <w:rPr>
          <w:rFonts w:ascii="Times New Roman" w:eastAsia="Times New Roman" w:hAnsi="Times New Roman" w:cs="Times New Roman"/>
        </w:rPr>
        <w:t xml:space="preserve">: There is no significant effect of debt-to-equity ratio on the return on assets (ROA) of </w:t>
      </w:r>
    </w:p>
    <w:p w:rsidR="00F65389" w:rsidRPr="00601CBA" w:rsidRDefault="00601CBA" w:rsidP="00601CBA">
      <w:pPr>
        <w:pStyle w:val="ListParagraph"/>
        <w:spacing w:after="0" w:line="480" w:lineRule="auto"/>
        <w:ind w:left="540"/>
        <w:jc w:val="both"/>
        <w:rPr>
          <w:rFonts w:ascii="Times New Roman" w:eastAsia="Times New Roman" w:hAnsi="Times New Roman" w:cs="Times New Roman"/>
        </w:rPr>
      </w:pPr>
      <w:r w:rsidRPr="00601CBA">
        <w:rPr>
          <w:rFonts w:ascii="Times New Roman" w:eastAsia="Times New Roman" w:hAnsi="Times New Roman" w:cs="Times New Roman"/>
        </w:rPr>
        <w:t xml:space="preserve">Nestlé Nigeria PLC. </w:t>
      </w:r>
    </w:p>
    <w:p w:rsidR="00F65389" w:rsidRDefault="00601CBA" w:rsidP="00601CBA">
      <w:pPr>
        <w:numPr>
          <w:ilvl w:val="0"/>
          <w:numId w:val="8"/>
        </w:numPr>
        <w:spacing w:after="0" w:line="480" w:lineRule="auto"/>
        <w:ind w:left="540"/>
        <w:jc w:val="both"/>
      </w:pPr>
      <w:r>
        <w:rPr>
          <w:rFonts w:ascii="Times New Roman" w:eastAsia="Times New Roman" w:hAnsi="Times New Roman" w:cs="Times New Roman"/>
        </w:rPr>
        <w:t>H0</w:t>
      </w:r>
      <w:r>
        <w:rPr>
          <w:rFonts w:ascii="Times New Roman" w:eastAsia="Times New Roman" w:hAnsi="Times New Roman" w:cs="Times New Roman"/>
          <w:vertAlign w:val="subscript"/>
        </w:rPr>
        <w:t>3</w:t>
      </w:r>
      <w:r>
        <w:rPr>
          <w:rFonts w:ascii="Times New Roman" w:eastAsia="Times New Roman" w:hAnsi="Times New Roman" w:cs="Times New Roman"/>
        </w:rPr>
        <w:t xml:space="preserve">: There is no significant effect of interest coverage ratio on the return on assets (ROA) of Nestlé Nigeria PLC. </w:t>
      </w:r>
    </w:p>
    <w:p w:rsidR="00F65389" w:rsidRDefault="00601CBA" w:rsidP="00601CBA">
      <w:pPr>
        <w:numPr>
          <w:ilvl w:val="0"/>
          <w:numId w:val="8"/>
        </w:numPr>
        <w:spacing w:after="0" w:line="480" w:lineRule="auto"/>
        <w:ind w:left="540"/>
        <w:jc w:val="both"/>
      </w:pPr>
      <w:r>
        <w:rPr>
          <w:rFonts w:ascii="Times New Roman" w:eastAsia="Times New Roman" w:hAnsi="Times New Roman" w:cs="Times New Roman"/>
        </w:rPr>
        <w:t>H0</w:t>
      </w:r>
      <w:r>
        <w:rPr>
          <w:rFonts w:ascii="Times New Roman" w:eastAsia="Times New Roman" w:hAnsi="Times New Roman" w:cs="Times New Roman"/>
          <w:vertAlign w:val="subscript"/>
        </w:rPr>
        <w:t>4</w:t>
      </w:r>
      <w:r>
        <w:rPr>
          <w:rFonts w:ascii="Times New Roman" w:eastAsia="Times New Roman" w:hAnsi="Times New Roman" w:cs="Times New Roman"/>
        </w:rPr>
        <w:t xml:space="preserve">: There is no significant effect of time interest earned ratio on the return on assets </w:t>
      </w:r>
    </w:p>
    <w:p w:rsidR="00F65389" w:rsidRPr="00601CBA" w:rsidRDefault="00601CBA" w:rsidP="00601CBA">
      <w:pPr>
        <w:pStyle w:val="ListParagraph"/>
        <w:spacing w:after="0" w:line="480" w:lineRule="auto"/>
        <w:ind w:left="540"/>
        <w:jc w:val="both"/>
        <w:rPr>
          <w:rFonts w:ascii="Times New Roman" w:eastAsia="Times New Roman" w:hAnsi="Times New Roman" w:cs="Times New Roman"/>
        </w:rPr>
      </w:pPr>
      <w:r w:rsidRPr="00601CBA">
        <w:rPr>
          <w:rFonts w:ascii="Times New Roman" w:eastAsia="Times New Roman" w:hAnsi="Times New Roman" w:cs="Times New Roman"/>
        </w:rPr>
        <w:t xml:space="preserve">(ROA) of Nestlé Nigeria PLC. </w:t>
      </w:r>
    </w:p>
    <w:p w:rsidR="00F65389" w:rsidRDefault="00601CBA">
      <w:pPr>
        <w:pStyle w:val="Heading1"/>
        <w:spacing w:after="0" w:line="48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 xml:space="preserve">1.6 Significance of the Study </w:t>
      </w:r>
    </w:p>
    <w:p w:rsidR="00F65389" w:rsidRDefault="00601CBA">
      <w:pPr>
        <w:spacing w:after="0" w:line="480" w:lineRule="auto"/>
        <w:jc w:val="both"/>
        <w:rPr>
          <w:rFonts w:ascii="Times New Roman" w:eastAsia="Times New Roman" w:hAnsi="Times New Roman" w:cs="Times New Roman"/>
        </w:rPr>
      </w:pPr>
      <w:r>
        <w:rPr>
          <w:rFonts w:ascii="Times New Roman" w:eastAsia="Times New Roman" w:hAnsi="Times New Roman" w:cs="Times New Roman"/>
        </w:rPr>
        <w:t>This study feeds useful signals into different user groups. For scholars, it builds on corporate finance work by throwing in live data on how solvency and performance mix under Nigerian settings. That matters because few studies have touched this corner in emerging spaces. Researchers can now stretch the findings further and shape clearer thinking around how solvency tweaks reflect in firm outcomes under similar financial terrains. Theoretical depth gets more grounded when local data speak. Outside theory, the study drops real use cases too. Nestlé Nigeria’s own management can take these results and rethink capital rules and risk control setups. If they know which solvency level tilts performance forward, they can sharpen funding decisions, weigh debt use better, and reset capital plans for stronger financial staying power.</w:t>
      </w:r>
    </w:p>
    <w:p w:rsidR="00F65389" w:rsidRDefault="00601CBA">
      <w:pPr>
        <w:spacing w:after="0" w:line="480" w:lineRule="auto"/>
        <w:jc w:val="both"/>
        <w:rPr>
          <w:rFonts w:ascii="Times New Roman" w:eastAsia="Times New Roman" w:hAnsi="Times New Roman" w:cs="Times New Roman"/>
        </w:rPr>
      </w:pPr>
      <w:r>
        <w:rPr>
          <w:rFonts w:ascii="Times New Roman" w:eastAsia="Times New Roman" w:hAnsi="Times New Roman" w:cs="Times New Roman"/>
        </w:rPr>
        <w:t>Investors stand to gain from this read as well. They can lean on the solvency numbers and how each one ties back to Nestlé Nigeria’s profit rhythm. This kind of metric-backed view lets them judge firm strength long term. That shapes smarter calls on where and how deep to place their funds. Their portfolio maps and risk gates align better when backed by such solvency-performance links. Policy actors also enter the circle. They can tap into what this study shows to understand which financial bones hold company structure in Nigeria. That view helps frame better market policies. The output supports tools that boost financial steadiness, real sector trust, and investor calm across the board.</w:t>
      </w:r>
    </w:p>
    <w:p w:rsidR="00F65389" w:rsidRDefault="00601CBA">
      <w:pPr>
        <w:pStyle w:val="Heading1"/>
        <w:spacing w:after="0" w:line="48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1.7 Scope of the Study </w:t>
      </w:r>
    </w:p>
    <w:p w:rsidR="00F65389" w:rsidRDefault="00601CBA">
      <w:pPr>
        <w:spacing w:after="0" w:line="480" w:lineRule="auto"/>
        <w:jc w:val="both"/>
        <w:rPr>
          <w:rFonts w:ascii="Times New Roman" w:eastAsia="Times New Roman" w:hAnsi="Times New Roman" w:cs="Times New Roman"/>
        </w:rPr>
      </w:pPr>
      <w:r>
        <w:rPr>
          <w:rFonts w:ascii="Times New Roman" w:eastAsia="Times New Roman" w:hAnsi="Times New Roman" w:cs="Times New Roman"/>
        </w:rPr>
        <w:t xml:space="preserve">This study targets the link between solvency levels and financial performance at Nestlé Nigeria, with return on assets standing as the key tracking line. The review sticks to data from 2012 to 2023, watching how the numbers rise, shift or drop across years. Focus stays locked on Nestlé Nigeria alone, narrowing the lens to one firm inside the broader FMCG field in Nigeria. All figures </w:t>
      </w:r>
      <w:r>
        <w:rPr>
          <w:rFonts w:ascii="Times New Roman" w:eastAsia="Times New Roman" w:hAnsi="Times New Roman" w:cs="Times New Roman"/>
        </w:rPr>
        <w:lastRenderedPageBreak/>
        <w:t>pulled come from secondary sources, mostly financial statements and public records tied to the company. The study follows an ex post facto route, running with numbers that already exist. Methods used fall under quantitative checks, staying away from assumptions or field-driven tests. The research stays within the space of what has been disclosed by Nestlé Nigeria and other dependable outlets, and the way results are read flows strictly from the earlier theories and past data-backed findings.</w:t>
      </w:r>
    </w:p>
    <w:p w:rsidR="00F65389" w:rsidRDefault="00601CBA">
      <w:pPr>
        <w:spacing w:after="0" w:line="480" w:lineRule="auto"/>
        <w:jc w:val="both"/>
        <w:rPr>
          <w:rFonts w:ascii="Times New Roman" w:eastAsia="Times New Roman" w:hAnsi="Times New Roman" w:cs="Times New Roman"/>
          <w:b/>
        </w:rPr>
      </w:pPr>
      <w:r>
        <w:rPr>
          <w:rFonts w:ascii="Times New Roman" w:eastAsia="Times New Roman" w:hAnsi="Times New Roman" w:cs="Times New Roman"/>
          <w:b/>
        </w:rPr>
        <w:t>1.8 Definitions of Terms</w:t>
      </w:r>
    </w:p>
    <w:p w:rsidR="00F65389" w:rsidRDefault="00601CBA">
      <w:pPr>
        <w:spacing w:after="0" w:line="480" w:lineRule="auto"/>
        <w:jc w:val="both"/>
        <w:rPr>
          <w:rFonts w:ascii="Times New Roman" w:eastAsia="Times New Roman" w:hAnsi="Times New Roman" w:cs="Times New Roman"/>
        </w:rPr>
      </w:pPr>
      <w:r>
        <w:rPr>
          <w:rFonts w:ascii="Times New Roman" w:eastAsia="Times New Roman" w:hAnsi="Times New Roman" w:cs="Times New Roman"/>
        </w:rPr>
        <w:t>Firm Solvency: Here, firm solvency points to how well Nestlé Nigeria PLC can carry its long-term debt weight across the 2012 to 2023 stretch. It is tracked using four markers pulled from the firm’s financials: debt-to-asset ratio, debt-to-equity ratio, interest coverage ratio, and times interest earned ratio. These figures frame the company’s strength in covering long-term dues.</w:t>
      </w:r>
    </w:p>
    <w:p w:rsidR="00F65389" w:rsidRDefault="00601CBA">
      <w:pPr>
        <w:spacing w:after="0" w:line="480" w:lineRule="auto"/>
        <w:jc w:val="both"/>
        <w:rPr>
          <w:rFonts w:ascii="Times New Roman" w:eastAsia="Times New Roman" w:hAnsi="Times New Roman" w:cs="Times New Roman"/>
        </w:rPr>
      </w:pPr>
      <w:r>
        <w:rPr>
          <w:rFonts w:ascii="Times New Roman" w:eastAsia="Times New Roman" w:hAnsi="Times New Roman" w:cs="Times New Roman"/>
        </w:rPr>
        <w:t>Financial Performance: In this frame, financial performance means how much profit Nestlé Nigeria PLC brings in when lined up against its asset size. This study reads it strictly through return on assets for the 2012 to 2023 window, with figures drawn from annual report data and official statements.</w:t>
      </w:r>
    </w:p>
    <w:p w:rsidR="00F65389" w:rsidRDefault="00601CBA">
      <w:pPr>
        <w:spacing w:after="0" w:line="480" w:lineRule="auto"/>
        <w:jc w:val="both"/>
        <w:rPr>
          <w:rFonts w:ascii="Times New Roman" w:eastAsia="Times New Roman" w:hAnsi="Times New Roman" w:cs="Times New Roman"/>
        </w:rPr>
      </w:pPr>
      <w:r>
        <w:rPr>
          <w:rFonts w:ascii="Times New Roman" w:eastAsia="Times New Roman" w:hAnsi="Times New Roman" w:cs="Times New Roman"/>
        </w:rPr>
        <w:t>Debt-to-Asset Ratio: This shows what slice of Nestlé Nigeria PLC’s asset base sits on borrowed funds yearly between 2012 and 2023. It hints at the size of the firm’s reliance on credit lines to power its assets.</w:t>
      </w:r>
    </w:p>
    <w:p w:rsidR="00F65389" w:rsidRDefault="00601CBA">
      <w:pPr>
        <w:spacing w:after="0" w:line="480" w:lineRule="auto"/>
        <w:jc w:val="both"/>
        <w:rPr>
          <w:rFonts w:ascii="Times New Roman" w:eastAsia="Times New Roman" w:hAnsi="Times New Roman" w:cs="Times New Roman"/>
        </w:rPr>
      </w:pPr>
      <w:r>
        <w:rPr>
          <w:rFonts w:ascii="Times New Roman" w:eastAsia="Times New Roman" w:hAnsi="Times New Roman" w:cs="Times New Roman"/>
        </w:rPr>
        <w:t>Debt-to-Equity Ratio: This gives the share of total financing sourced from debt compared to equity across each study year. Higher values mean Nestlé Nigeria PLC leaned more on borrowings than internal capital during the period.</w:t>
      </w:r>
    </w:p>
    <w:p w:rsidR="00F65389" w:rsidRDefault="00601CBA">
      <w:pPr>
        <w:spacing w:after="0" w:line="480" w:lineRule="auto"/>
        <w:jc w:val="both"/>
        <w:rPr>
          <w:rFonts w:ascii="Times New Roman" w:eastAsia="Times New Roman" w:hAnsi="Times New Roman" w:cs="Times New Roman"/>
        </w:rPr>
      </w:pPr>
      <w:r>
        <w:rPr>
          <w:rFonts w:ascii="Times New Roman" w:eastAsia="Times New Roman" w:hAnsi="Times New Roman" w:cs="Times New Roman"/>
        </w:rPr>
        <w:lastRenderedPageBreak/>
        <w:t>Interest Coverage Ratio: This checks how far Nestlé Nigeria PLC’s EBIT goes in clearing interest charges on debts, tracked yearly. The bigger the value, the stronger the company stands in meeting interest demands without extra stress.</w:t>
      </w:r>
    </w:p>
    <w:p w:rsidR="00F65389" w:rsidRDefault="00601CBA">
      <w:pPr>
        <w:spacing w:after="0" w:line="480" w:lineRule="auto"/>
        <w:jc w:val="both"/>
        <w:rPr>
          <w:rFonts w:ascii="Times New Roman" w:eastAsia="Times New Roman" w:hAnsi="Times New Roman" w:cs="Times New Roman"/>
        </w:rPr>
      </w:pPr>
      <w:r>
        <w:rPr>
          <w:rFonts w:ascii="Times New Roman" w:eastAsia="Times New Roman" w:hAnsi="Times New Roman" w:cs="Times New Roman"/>
        </w:rPr>
        <w:t>Times Interest Earned Ratio: This number captures how many times the firm’s earnings before interest and tax can take care of its yearly interest expenses. It runs from 2012 to 2023 and works as a test of solvency based on operating income strength.</w:t>
      </w:r>
    </w:p>
    <w:p w:rsidR="00F65389" w:rsidRDefault="00601CBA">
      <w:pPr>
        <w:spacing w:after="0" w:line="480" w:lineRule="auto"/>
        <w:jc w:val="both"/>
        <w:rPr>
          <w:rFonts w:ascii="Times New Roman" w:eastAsia="Times New Roman" w:hAnsi="Times New Roman" w:cs="Times New Roman"/>
        </w:rPr>
      </w:pPr>
      <w:r>
        <w:rPr>
          <w:rFonts w:ascii="Times New Roman" w:eastAsia="Times New Roman" w:hAnsi="Times New Roman" w:cs="Times New Roman"/>
        </w:rPr>
        <w:t>Return on Assets (ROA): This shows how well Nestlé Nigeria PLC pulls in profit from what it owns. Measured yearly, it links net income to total assets and reflects how sharp or dull the firm’s asset-use strategy is over time.</w:t>
      </w:r>
    </w:p>
    <w:p w:rsidR="00F65389" w:rsidRDefault="00F65389">
      <w:pPr>
        <w:spacing w:after="0" w:line="480" w:lineRule="auto"/>
        <w:ind w:left="2325"/>
        <w:jc w:val="both"/>
        <w:rPr>
          <w:rFonts w:ascii="Times New Roman" w:eastAsia="Times New Roman" w:hAnsi="Times New Roman" w:cs="Times New Roman"/>
        </w:rPr>
      </w:pPr>
    </w:p>
    <w:p w:rsidR="00F65389" w:rsidRDefault="00F65389">
      <w:pPr>
        <w:spacing w:after="0" w:line="480" w:lineRule="auto"/>
        <w:ind w:left="2325"/>
        <w:jc w:val="both"/>
        <w:rPr>
          <w:rFonts w:ascii="Times New Roman" w:eastAsia="Times New Roman" w:hAnsi="Times New Roman" w:cs="Times New Roman"/>
        </w:rPr>
      </w:pPr>
    </w:p>
    <w:p w:rsidR="00F65389" w:rsidRDefault="00F65389">
      <w:pPr>
        <w:spacing w:after="0" w:line="480" w:lineRule="auto"/>
        <w:ind w:left="2325"/>
        <w:jc w:val="both"/>
        <w:rPr>
          <w:rFonts w:ascii="Times New Roman" w:eastAsia="Times New Roman" w:hAnsi="Times New Roman" w:cs="Times New Roman"/>
        </w:rPr>
      </w:pPr>
    </w:p>
    <w:p w:rsidR="00F65389" w:rsidRDefault="00F65389">
      <w:pPr>
        <w:spacing w:after="0" w:line="480" w:lineRule="auto"/>
        <w:ind w:left="2325"/>
        <w:jc w:val="both"/>
        <w:rPr>
          <w:rFonts w:ascii="Times New Roman" w:eastAsia="Times New Roman" w:hAnsi="Times New Roman" w:cs="Times New Roman"/>
        </w:rPr>
      </w:pPr>
    </w:p>
    <w:p w:rsidR="00F65389" w:rsidRDefault="00F65389">
      <w:pPr>
        <w:spacing w:after="0" w:line="480" w:lineRule="auto"/>
        <w:ind w:left="2325"/>
        <w:jc w:val="both"/>
        <w:rPr>
          <w:rFonts w:ascii="Times New Roman" w:eastAsia="Times New Roman" w:hAnsi="Times New Roman" w:cs="Times New Roman"/>
        </w:rPr>
      </w:pPr>
    </w:p>
    <w:p w:rsidR="00F65389" w:rsidRDefault="00F65389">
      <w:pPr>
        <w:spacing w:after="0" w:line="480" w:lineRule="auto"/>
        <w:ind w:left="2325"/>
        <w:jc w:val="both"/>
        <w:rPr>
          <w:rFonts w:ascii="Times New Roman" w:eastAsia="Times New Roman" w:hAnsi="Times New Roman" w:cs="Times New Roman"/>
        </w:rPr>
      </w:pPr>
    </w:p>
    <w:p w:rsidR="00F65389" w:rsidRDefault="00F65389">
      <w:pPr>
        <w:spacing w:after="0" w:line="480" w:lineRule="auto"/>
        <w:ind w:left="2325"/>
        <w:jc w:val="both"/>
        <w:rPr>
          <w:rFonts w:ascii="Times New Roman" w:eastAsia="Times New Roman" w:hAnsi="Times New Roman" w:cs="Times New Roman"/>
        </w:rPr>
      </w:pPr>
    </w:p>
    <w:p w:rsidR="00F65389" w:rsidRDefault="00F65389">
      <w:pPr>
        <w:spacing w:after="0" w:line="480" w:lineRule="auto"/>
        <w:ind w:left="2325"/>
        <w:jc w:val="both"/>
        <w:rPr>
          <w:rFonts w:ascii="Times New Roman" w:eastAsia="Times New Roman" w:hAnsi="Times New Roman" w:cs="Times New Roman"/>
        </w:rPr>
      </w:pPr>
    </w:p>
    <w:p w:rsidR="00F65389" w:rsidRDefault="00F65389">
      <w:pPr>
        <w:spacing w:after="0" w:line="480" w:lineRule="auto"/>
        <w:ind w:left="2325"/>
        <w:jc w:val="both"/>
        <w:rPr>
          <w:rFonts w:ascii="Times New Roman" w:eastAsia="Times New Roman" w:hAnsi="Times New Roman" w:cs="Times New Roman"/>
        </w:rPr>
      </w:pPr>
    </w:p>
    <w:p w:rsidR="00F65389" w:rsidRDefault="00F65389">
      <w:pPr>
        <w:spacing w:after="0" w:line="480" w:lineRule="auto"/>
        <w:ind w:left="2325"/>
        <w:jc w:val="both"/>
        <w:rPr>
          <w:rFonts w:ascii="Times New Roman" w:eastAsia="Times New Roman" w:hAnsi="Times New Roman" w:cs="Times New Roman"/>
        </w:rPr>
      </w:pPr>
    </w:p>
    <w:p w:rsidR="00F65389" w:rsidRDefault="00F65389">
      <w:pPr>
        <w:spacing w:after="0" w:line="480" w:lineRule="auto"/>
        <w:ind w:left="2325"/>
        <w:jc w:val="both"/>
        <w:rPr>
          <w:rFonts w:ascii="Times New Roman" w:eastAsia="Times New Roman" w:hAnsi="Times New Roman" w:cs="Times New Roman"/>
        </w:rPr>
      </w:pPr>
    </w:p>
    <w:p w:rsidR="00F65389" w:rsidRDefault="00F65389">
      <w:pPr>
        <w:spacing w:after="0" w:line="480" w:lineRule="auto"/>
        <w:ind w:left="2325"/>
        <w:jc w:val="both"/>
        <w:rPr>
          <w:rFonts w:ascii="Times New Roman" w:eastAsia="Times New Roman" w:hAnsi="Times New Roman" w:cs="Times New Roman"/>
        </w:rPr>
      </w:pPr>
    </w:p>
    <w:p w:rsidR="00F65389" w:rsidRDefault="00F65389">
      <w:pPr>
        <w:spacing w:after="0" w:line="480" w:lineRule="auto"/>
        <w:ind w:left="2325"/>
        <w:jc w:val="both"/>
        <w:rPr>
          <w:rFonts w:ascii="Times New Roman" w:eastAsia="Times New Roman" w:hAnsi="Times New Roman" w:cs="Times New Roman"/>
        </w:rPr>
      </w:pPr>
    </w:p>
    <w:p w:rsidR="00F65389" w:rsidRDefault="00F65389">
      <w:pPr>
        <w:spacing w:after="0" w:line="480" w:lineRule="auto"/>
        <w:ind w:left="2325"/>
        <w:jc w:val="both"/>
        <w:rPr>
          <w:rFonts w:ascii="Times New Roman" w:eastAsia="Times New Roman" w:hAnsi="Times New Roman" w:cs="Times New Roman"/>
        </w:rPr>
      </w:pPr>
    </w:p>
    <w:p w:rsidR="00F65389" w:rsidRDefault="00601CBA">
      <w:pPr>
        <w:spacing w:line="480" w:lineRule="auto"/>
        <w:jc w:val="center"/>
        <w:rPr>
          <w:rFonts w:ascii="Times New Roman" w:eastAsia="Times New Roman" w:hAnsi="Times New Roman" w:cs="Times New Roman"/>
          <w:b/>
        </w:rPr>
      </w:pPr>
      <w:r>
        <w:rPr>
          <w:rFonts w:ascii="Times New Roman" w:eastAsia="Times New Roman" w:hAnsi="Times New Roman" w:cs="Times New Roman"/>
          <w:b/>
        </w:rPr>
        <w:t xml:space="preserve">CHAPTER TWO </w:t>
      </w:r>
    </w:p>
    <w:p w:rsidR="00F65389" w:rsidRDefault="00601CBA">
      <w:pPr>
        <w:spacing w:line="480" w:lineRule="auto"/>
        <w:jc w:val="center"/>
        <w:rPr>
          <w:rFonts w:ascii="Times New Roman" w:eastAsia="Times New Roman" w:hAnsi="Times New Roman" w:cs="Times New Roman"/>
          <w:b/>
        </w:rPr>
      </w:pPr>
      <w:r>
        <w:rPr>
          <w:rFonts w:ascii="Times New Roman" w:eastAsia="Times New Roman" w:hAnsi="Times New Roman" w:cs="Times New Roman"/>
          <w:b/>
        </w:rPr>
        <w:t xml:space="preserve">REVIEW OF RELATED LITERATURE </w:t>
      </w:r>
    </w:p>
    <w:p w:rsidR="00F65389" w:rsidRDefault="00601CBA">
      <w:pPr>
        <w:spacing w:line="480" w:lineRule="auto"/>
        <w:jc w:val="both"/>
        <w:rPr>
          <w:rFonts w:ascii="Times New Roman" w:eastAsia="Times New Roman" w:hAnsi="Times New Roman" w:cs="Times New Roman"/>
          <w:b/>
        </w:rPr>
      </w:pPr>
      <w:r>
        <w:rPr>
          <w:rFonts w:ascii="Times New Roman" w:eastAsia="Times New Roman" w:hAnsi="Times New Roman" w:cs="Times New Roman"/>
          <w:b/>
        </w:rPr>
        <w:t>2.1 Conceptual Framework</w:t>
      </w:r>
    </w:p>
    <w:p w:rsidR="00F65389" w:rsidRDefault="00601CBA">
      <w:pPr>
        <w:spacing w:line="480" w:lineRule="auto"/>
        <w:jc w:val="both"/>
        <w:rPr>
          <w:rFonts w:ascii="Times New Roman" w:eastAsia="Times New Roman" w:hAnsi="Times New Roman" w:cs="Times New Roman"/>
        </w:rPr>
      </w:pPr>
      <w:r>
        <w:rPr>
          <w:rFonts w:ascii="Times New Roman" w:eastAsia="Times New Roman" w:hAnsi="Times New Roman" w:cs="Times New Roman"/>
        </w:rPr>
        <w:t>This section establishes the theoretical foundation for understanding firm solvency and financial performance. It examines key concepts, their interrelationships, and measurement approaches that guide the empirical analysis of Nestlé Nigeria's financial dynamics.</w:t>
      </w:r>
    </w:p>
    <w:p w:rsidR="00F65389" w:rsidRDefault="00601CBA">
      <w:pPr>
        <w:spacing w:line="480" w:lineRule="auto"/>
        <w:jc w:val="both"/>
        <w:rPr>
          <w:rFonts w:ascii="Times New Roman" w:eastAsia="Times New Roman" w:hAnsi="Times New Roman" w:cs="Times New Roman"/>
          <w:b/>
        </w:rPr>
      </w:pPr>
      <w:r>
        <w:rPr>
          <w:rFonts w:ascii="Times New Roman" w:eastAsia="Times New Roman" w:hAnsi="Times New Roman" w:cs="Times New Roman"/>
          <w:b/>
        </w:rPr>
        <w:t>2.1.1 Firm Solvency</w:t>
      </w:r>
    </w:p>
    <w:p w:rsidR="00F65389" w:rsidRDefault="00601CBA">
      <w:pPr>
        <w:spacing w:line="480" w:lineRule="auto"/>
        <w:jc w:val="both"/>
        <w:rPr>
          <w:rFonts w:ascii="Times New Roman" w:eastAsia="Times New Roman" w:hAnsi="Times New Roman" w:cs="Times New Roman"/>
        </w:rPr>
      </w:pPr>
      <w:r>
        <w:rPr>
          <w:rFonts w:ascii="Times New Roman" w:eastAsia="Times New Roman" w:hAnsi="Times New Roman" w:cs="Times New Roman"/>
        </w:rPr>
        <w:t>Firm solvency reflects how a company handles its long-haul financial load. It looks past near-term bills and checks if the firm can keep up with scheduled operations, settle interest dues, and repay long-range debts (Khidmat and Rehman 2014). Solvency stretches the financial view wide and picks up the company’s power to stay alive through market shakes or downturns. A solvent setup holds the line even when market terms bend. That sense of strength helps send stable signals to lenders and shareholders. Firms that stay solvent show they can adjust to rough patches without tipping over.</w:t>
      </w:r>
    </w:p>
    <w:p w:rsidR="00F65389" w:rsidRDefault="00601CBA">
      <w:pPr>
        <w:spacing w:line="480" w:lineRule="auto"/>
        <w:jc w:val="both"/>
        <w:rPr>
          <w:rFonts w:ascii="Times New Roman" w:eastAsia="Times New Roman" w:hAnsi="Times New Roman" w:cs="Times New Roman"/>
        </w:rPr>
      </w:pPr>
      <w:r>
        <w:rPr>
          <w:rFonts w:ascii="Times New Roman" w:eastAsia="Times New Roman" w:hAnsi="Times New Roman" w:cs="Times New Roman"/>
        </w:rPr>
        <w:t>This solvency line becomes a key lever when firms map long-view goals or capital deployments. It lets them stay open to fresh funding, push expansions, or start new product tracks without hitting money walls. A firm in a solvent state can secure credit, pull investor backing, and spread its budget across core plans like research and operations (Aliyu 2019). Holding a clear solvency space builds a cushion that blocks financial slip and reduces the chance of court-level collapse. It also adds quiet trust from the outside world that the company will last.</w:t>
      </w:r>
    </w:p>
    <w:p w:rsidR="00601CBA" w:rsidRDefault="00601CBA">
      <w:pPr>
        <w:spacing w:line="480" w:lineRule="auto"/>
        <w:jc w:val="both"/>
        <w:rPr>
          <w:rFonts w:ascii="Times New Roman" w:eastAsia="Times New Roman" w:hAnsi="Times New Roman" w:cs="Times New Roman"/>
        </w:rPr>
      </w:pPr>
    </w:p>
    <w:p w:rsidR="00F65389" w:rsidRDefault="00601CBA">
      <w:pPr>
        <w:spacing w:line="480" w:lineRule="auto"/>
        <w:jc w:val="both"/>
        <w:rPr>
          <w:rFonts w:ascii="Times New Roman" w:eastAsia="Times New Roman" w:hAnsi="Times New Roman" w:cs="Times New Roman"/>
          <w:b/>
        </w:rPr>
      </w:pPr>
      <w:r>
        <w:rPr>
          <w:rFonts w:ascii="Times New Roman" w:eastAsia="Times New Roman" w:hAnsi="Times New Roman" w:cs="Times New Roman"/>
          <w:b/>
        </w:rPr>
        <w:t>2.1.1.1 Importance of Firm Solvency in Financial Health</w:t>
      </w:r>
    </w:p>
    <w:p w:rsidR="00F65389" w:rsidRDefault="00601CBA">
      <w:pPr>
        <w:spacing w:line="480" w:lineRule="auto"/>
        <w:jc w:val="both"/>
        <w:rPr>
          <w:rFonts w:ascii="Times New Roman" w:eastAsia="Times New Roman" w:hAnsi="Times New Roman" w:cs="Times New Roman"/>
        </w:rPr>
      </w:pPr>
      <w:r>
        <w:rPr>
          <w:rFonts w:ascii="Times New Roman" w:eastAsia="Times New Roman" w:hAnsi="Times New Roman" w:cs="Times New Roman"/>
        </w:rPr>
        <w:t>Solvency sits close to the base of how strong or weak a company stands in its money shell. It is more than just not going bankrupt. It speaks to the company’s pace in making steady earnings while keeping debts in check. Strong solvency allows firms to walk into capital markets with decent terms. This makes it easier to stretch for fresh projects and create value paths for owners (Aliyu 2019). High solvency also clears up the company’s image in the eyes of banks and investors. That feedback loop draws more trust, which circles back into access and steady growth.</w:t>
      </w:r>
    </w:p>
    <w:p w:rsidR="00F65389" w:rsidRDefault="00601CBA">
      <w:pPr>
        <w:spacing w:line="480" w:lineRule="auto"/>
        <w:jc w:val="both"/>
        <w:rPr>
          <w:rFonts w:ascii="Times New Roman" w:eastAsia="Times New Roman" w:hAnsi="Times New Roman" w:cs="Times New Roman"/>
        </w:rPr>
      </w:pPr>
      <w:r>
        <w:rPr>
          <w:rFonts w:ascii="Times New Roman" w:eastAsia="Times New Roman" w:hAnsi="Times New Roman" w:cs="Times New Roman"/>
        </w:rPr>
        <w:t>Having a stable solvency line gives firms space to float when broader economic stress hits. The extra cover acts like a soft landing when markets turn cold or when internal costs jump. Firms that keep solvency in check avoid sudden collapses or reaction-based cutbacks. Instead, they ride waves better and rebuild trust with partners. That steady image grows their reputation and forms deeper links with staff, banks, and the general market. The result is a firmer grip on long-term relevance.</w:t>
      </w:r>
    </w:p>
    <w:p w:rsidR="00F65389" w:rsidRDefault="00601CBA">
      <w:pPr>
        <w:spacing w:line="480" w:lineRule="auto"/>
        <w:jc w:val="both"/>
        <w:rPr>
          <w:rFonts w:ascii="Times New Roman" w:eastAsia="Times New Roman" w:hAnsi="Times New Roman" w:cs="Times New Roman"/>
          <w:b/>
        </w:rPr>
      </w:pPr>
      <w:r>
        <w:rPr>
          <w:rFonts w:ascii="Times New Roman" w:eastAsia="Times New Roman" w:hAnsi="Times New Roman" w:cs="Times New Roman"/>
          <w:b/>
        </w:rPr>
        <w:t>2.1.1.2 Measurement and Ratios of Firm Solvency</w:t>
      </w:r>
    </w:p>
    <w:p w:rsidR="00F65389" w:rsidRDefault="00601CBA">
      <w:pPr>
        <w:spacing w:line="480" w:lineRule="auto"/>
        <w:jc w:val="both"/>
        <w:rPr>
          <w:rFonts w:ascii="Times New Roman" w:eastAsia="Times New Roman" w:hAnsi="Times New Roman" w:cs="Times New Roman"/>
        </w:rPr>
      </w:pPr>
      <w:r>
        <w:rPr>
          <w:rFonts w:ascii="Times New Roman" w:eastAsia="Times New Roman" w:hAnsi="Times New Roman" w:cs="Times New Roman"/>
        </w:rPr>
        <w:t xml:space="preserve">To gauge solvency in numbers, firms use direct ratios from core financial reports. This study works with four of them: debt-to-asset ratio, debt-to-equity ratio, interest coverage ratio, and times interest earned ratio (Salih </w:t>
      </w:r>
      <w:r w:rsidRPr="00601CBA">
        <w:rPr>
          <w:rFonts w:ascii="Times New Roman" w:eastAsia="Times New Roman" w:hAnsi="Times New Roman" w:cs="Times New Roman"/>
          <w:i/>
        </w:rPr>
        <w:t>et al</w:t>
      </w:r>
      <w:r>
        <w:rPr>
          <w:rFonts w:ascii="Times New Roman" w:eastAsia="Times New Roman" w:hAnsi="Times New Roman" w:cs="Times New Roman"/>
        </w:rPr>
        <w:t xml:space="preserve"> 2023). Debt-to-asset ratio checks what percent of all company assets came from loans. Debt-to-equity tells how the borrowed part stacks up against the owners’ stake. Both ratios help spot how stretched or grounded a firm’s capital shell is.</w:t>
      </w:r>
    </w:p>
    <w:p w:rsidR="00F65389" w:rsidRDefault="00601CBA">
      <w:pPr>
        <w:spacing w:line="480" w:lineRule="auto"/>
        <w:jc w:val="both"/>
        <w:rPr>
          <w:rFonts w:ascii="Times New Roman" w:eastAsia="Times New Roman" w:hAnsi="Times New Roman" w:cs="Times New Roman"/>
        </w:rPr>
      </w:pPr>
      <w:r>
        <w:rPr>
          <w:rFonts w:ascii="Times New Roman" w:eastAsia="Times New Roman" w:hAnsi="Times New Roman" w:cs="Times New Roman"/>
        </w:rPr>
        <w:t>Interest coverage ratio shows how much earnings are left after paying interest. Times interest earned also checks debt payment capacity using earnings. Together, these tools show if the company can pay its dues or if cracks are forming. Each ratio gives one side of the solvency frame. Lenders and owners read these numbers to judge if the firm can handle debt size without freezing up on payments.</w:t>
      </w:r>
    </w:p>
    <w:p w:rsidR="00F65389" w:rsidRDefault="00601CBA">
      <w:pPr>
        <w:spacing w:line="480" w:lineRule="auto"/>
        <w:jc w:val="both"/>
        <w:rPr>
          <w:rFonts w:ascii="Times New Roman" w:eastAsia="Times New Roman" w:hAnsi="Times New Roman" w:cs="Times New Roman"/>
          <w:b/>
        </w:rPr>
      </w:pPr>
      <w:r>
        <w:rPr>
          <w:rFonts w:ascii="Times New Roman" w:eastAsia="Times New Roman" w:hAnsi="Times New Roman" w:cs="Times New Roman"/>
          <w:b/>
        </w:rPr>
        <w:t>2.1.1.3 Factors Affecting Solvency</w:t>
      </w:r>
    </w:p>
    <w:p w:rsidR="00F65389" w:rsidRDefault="00601CBA">
      <w:pPr>
        <w:spacing w:line="480" w:lineRule="auto"/>
        <w:jc w:val="both"/>
        <w:rPr>
          <w:rFonts w:ascii="Times New Roman" w:eastAsia="Times New Roman" w:hAnsi="Times New Roman" w:cs="Times New Roman"/>
        </w:rPr>
      </w:pPr>
      <w:r>
        <w:rPr>
          <w:rFonts w:ascii="Times New Roman" w:eastAsia="Times New Roman" w:hAnsi="Times New Roman" w:cs="Times New Roman"/>
        </w:rPr>
        <w:t xml:space="preserve">Solvency levels don’t just shift on their own. They rise and fall based on both inside calls and outside hits. Internally, how a firm sets up its capital base, how fast it wants to grow, and how it treats profit payouts can swing solvency lines (Kumar </w:t>
      </w:r>
      <w:r w:rsidRPr="00601CBA">
        <w:rPr>
          <w:rFonts w:ascii="Times New Roman" w:eastAsia="Times New Roman" w:hAnsi="Times New Roman" w:cs="Times New Roman"/>
          <w:i/>
        </w:rPr>
        <w:t>et al</w:t>
      </w:r>
      <w:r>
        <w:rPr>
          <w:rFonts w:ascii="Times New Roman" w:eastAsia="Times New Roman" w:hAnsi="Times New Roman" w:cs="Times New Roman"/>
        </w:rPr>
        <w:t xml:space="preserve"> 2024). If growth depends too much on loans, the firm might take on more risk than it can carry. If it sticks to equity or slower moves, stability may improve but expansion could stall. Profit levels also count. Firms that make clean and steady earnings hold more solvency room over time.</w:t>
      </w:r>
    </w:p>
    <w:p w:rsidR="00F65389" w:rsidRDefault="00601CBA">
      <w:pPr>
        <w:spacing w:line="480" w:lineRule="auto"/>
        <w:jc w:val="both"/>
        <w:rPr>
          <w:rFonts w:ascii="Times New Roman" w:eastAsia="Times New Roman" w:hAnsi="Times New Roman" w:cs="Times New Roman"/>
        </w:rPr>
      </w:pPr>
      <w:r>
        <w:rPr>
          <w:rFonts w:ascii="Times New Roman" w:eastAsia="Times New Roman" w:hAnsi="Times New Roman" w:cs="Times New Roman"/>
        </w:rPr>
        <w:t>Outside forces add another layer. Things like sudden inflation jumps, interest rate hikes, or a slowdown in spending can shake a firm’s ability to earn and repay. Rules may change. Tech shifts may raise costs or cancel old income routes. Competitor pressure can also chip away at margins. Each of these feeds into solvency levels by adjusting how strong revenue lines are or how fast expenses pile up.</w:t>
      </w:r>
    </w:p>
    <w:p w:rsidR="00F65389" w:rsidRDefault="00601CBA">
      <w:pPr>
        <w:spacing w:line="480" w:lineRule="auto"/>
        <w:jc w:val="both"/>
        <w:rPr>
          <w:rFonts w:ascii="Times New Roman" w:eastAsia="Times New Roman" w:hAnsi="Times New Roman" w:cs="Times New Roman"/>
          <w:b/>
        </w:rPr>
      </w:pPr>
      <w:r>
        <w:rPr>
          <w:rFonts w:ascii="Times New Roman" w:eastAsia="Times New Roman" w:hAnsi="Times New Roman" w:cs="Times New Roman"/>
          <w:b/>
        </w:rPr>
        <w:t>2.1.1.4 Firm Solvency Management Practices</w:t>
      </w:r>
    </w:p>
    <w:p w:rsidR="00F65389" w:rsidRDefault="00601CBA">
      <w:pPr>
        <w:spacing w:line="480" w:lineRule="auto"/>
        <w:jc w:val="both"/>
        <w:rPr>
          <w:rFonts w:ascii="Times New Roman" w:eastAsia="Times New Roman" w:hAnsi="Times New Roman" w:cs="Times New Roman"/>
        </w:rPr>
      </w:pPr>
      <w:r>
        <w:rPr>
          <w:rFonts w:ascii="Times New Roman" w:eastAsia="Times New Roman" w:hAnsi="Times New Roman" w:cs="Times New Roman"/>
        </w:rPr>
        <w:t>Keeping solvency on a safe path takes hands-on moves and strategy checks. Firms need to draw a line between using debt to grow and avoiding a collapse trigger. Alsubaihi (2022) states that watching solvency markers often is a basic part of staying financially stable. This step-by-step check helps firms see when limits are close and change course before cracks widen. It also means setting policies that spread out risks and block sudden cost spikes.</w:t>
      </w:r>
    </w:p>
    <w:p w:rsidR="00F65389" w:rsidRDefault="00601CBA">
      <w:pPr>
        <w:spacing w:line="480" w:lineRule="auto"/>
        <w:jc w:val="both"/>
        <w:rPr>
          <w:rFonts w:ascii="Times New Roman" w:eastAsia="Times New Roman" w:hAnsi="Times New Roman" w:cs="Times New Roman"/>
        </w:rPr>
      </w:pPr>
      <w:r>
        <w:rPr>
          <w:rFonts w:ascii="Times New Roman" w:eastAsia="Times New Roman" w:hAnsi="Times New Roman" w:cs="Times New Roman"/>
        </w:rPr>
        <w:t>A main part of managing solvency is choosing the right debt-equity shape. This mix should not just cut financing costs but also keep the company flexible. If the debt share is too high, stress builds. If equity takes over too much, growth may slow. Steady profits and cost control are the engine. The company needs to keep cash lines open and avoid random spending that tips debt above safety. When these parts work in sync, the company builds solvency from within.</w:t>
      </w:r>
    </w:p>
    <w:p w:rsidR="00F65389" w:rsidRDefault="00601CBA">
      <w:pPr>
        <w:spacing w:line="480" w:lineRule="auto"/>
        <w:jc w:val="both"/>
        <w:rPr>
          <w:rFonts w:ascii="Times New Roman" w:eastAsia="Times New Roman" w:hAnsi="Times New Roman" w:cs="Times New Roman"/>
          <w:b/>
        </w:rPr>
      </w:pPr>
      <w:r>
        <w:rPr>
          <w:rFonts w:ascii="Times New Roman" w:eastAsia="Times New Roman" w:hAnsi="Times New Roman" w:cs="Times New Roman"/>
          <w:b/>
        </w:rPr>
        <w:t>2.1.2 Financial Performance</w:t>
      </w:r>
    </w:p>
    <w:p w:rsidR="00F65389" w:rsidRDefault="00601CBA">
      <w:pPr>
        <w:spacing w:line="480" w:lineRule="auto"/>
        <w:jc w:val="both"/>
        <w:rPr>
          <w:rFonts w:ascii="Times New Roman" w:eastAsia="Times New Roman" w:hAnsi="Times New Roman" w:cs="Times New Roman"/>
        </w:rPr>
      </w:pPr>
      <w:r>
        <w:rPr>
          <w:rFonts w:ascii="Times New Roman" w:eastAsia="Times New Roman" w:hAnsi="Times New Roman" w:cs="Times New Roman"/>
        </w:rPr>
        <w:t>Financial performance covers multiple zones including how a firm earns profit, handles liquidity, runs its operations, and stays valued in markets. Among these, profit-making stands top as it signals value creation to every stakeholder. Oke and Fadaka (2021) tested how capital structures affect performance in Nigeria’s consumer goods firms and tied finance choices directly to profitability. This study stays with return on assets as the lead yardstick for profit tracking, since it checks how assets are used to produce gains. ROA gives a cleaner view of core activity strength without letting funding structure cloud the reading.</w:t>
      </w:r>
    </w:p>
    <w:p w:rsidR="00F65389" w:rsidRDefault="00601CBA">
      <w:pPr>
        <w:spacing w:line="480" w:lineRule="auto"/>
        <w:jc w:val="both"/>
        <w:rPr>
          <w:rFonts w:ascii="Times New Roman" w:eastAsia="Times New Roman" w:hAnsi="Times New Roman" w:cs="Times New Roman"/>
        </w:rPr>
      </w:pPr>
      <w:r>
        <w:rPr>
          <w:rFonts w:ascii="Times New Roman" w:eastAsia="Times New Roman" w:hAnsi="Times New Roman" w:cs="Times New Roman"/>
        </w:rPr>
        <w:t>Also, using ROA gives this study a single-lens view into how solvency touches actual operations. Unlike ROE, which mixes returns with capital form, ROA stays focused on outcomes per asset use. This way, solvency’s effect on firm output stays clear, without being blurred by financing tweaks. The ROA path fits the study’s focus because it draws a straight line between what the firm owns and what it earns from it.</w:t>
      </w:r>
    </w:p>
    <w:p w:rsidR="00F65389" w:rsidRDefault="00601CBA">
      <w:pPr>
        <w:spacing w:line="480" w:lineRule="auto"/>
        <w:jc w:val="both"/>
        <w:rPr>
          <w:rFonts w:ascii="Times New Roman" w:eastAsia="Times New Roman" w:hAnsi="Times New Roman" w:cs="Times New Roman"/>
          <w:b/>
        </w:rPr>
      </w:pPr>
      <w:r>
        <w:rPr>
          <w:rFonts w:ascii="Times New Roman" w:eastAsia="Times New Roman" w:hAnsi="Times New Roman" w:cs="Times New Roman"/>
          <w:b/>
        </w:rPr>
        <w:t>2.1.2.1 Importance of Financial Performance to Stakeholders</w:t>
      </w:r>
    </w:p>
    <w:p w:rsidR="00F65389" w:rsidRDefault="00601CBA">
      <w:pPr>
        <w:spacing w:line="480" w:lineRule="auto"/>
        <w:jc w:val="both"/>
        <w:rPr>
          <w:rFonts w:ascii="Times New Roman" w:eastAsia="Times New Roman" w:hAnsi="Times New Roman" w:cs="Times New Roman"/>
        </w:rPr>
      </w:pPr>
      <w:r>
        <w:rPr>
          <w:rFonts w:ascii="Times New Roman" w:eastAsia="Times New Roman" w:hAnsi="Times New Roman" w:cs="Times New Roman"/>
        </w:rPr>
        <w:t>Financial performance acts as a report card that every stakeholder reads differently but seriously. Hutabarat and Devina (2015) studied this in Indonesian consumer goods firms and found stock values linking back to profit, liquidity, and solvency indicators. Investors lean on these figures to weigh return chances and risk size. Lenders scan the same numbers to set credit lines and repayment terms. Managers use the performance data to judge how efficient the business is and where it leaks or scales.</w:t>
      </w:r>
    </w:p>
    <w:p w:rsidR="00F65389" w:rsidRDefault="00601CBA">
      <w:pPr>
        <w:spacing w:line="480" w:lineRule="auto"/>
        <w:jc w:val="both"/>
        <w:rPr>
          <w:rFonts w:ascii="Times New Roman" w:eastAsia="Times New Roman" w:hAnsi="Times New Roman" w:cs="Times New Roman"/>
        </w:rPr>
      </w:pPr>
      <w:r>
        <w:rPr>
          <w:rFonts w:ascii="Times New Roman" w:eastAsia="Times New Roman" w:hAnsi="Times New Roman" w:cs="Times New Roman"/>
        </w:rPr>
        <w:t>Policy teams and regulators also step in with this data to keep market stability in check. They watch for system risks and firm-level failures, while making sure money laws get followed. When all parties read the numbers right, it sharpens decisions and resource spread. This also builds room for better control, leaner waste, and smarter planning across the board.</w:t>
      </w:r>
    </w:p>
    <w:p w:rsidR="00F65389" w:rsidRDefault="00601CBA">
      <w:pPr>
        <w:spacing w:line="480" w:lineRule="auto"/>
        <w:jc w:val="both"/>
        <w:rPr>
          <w:rFonts w:ascii="Times New Roman" w:eastAsia="Times New Roman" w:hAnsi="Times New Roman" w:cs="Times New Roman"/>
          <w:b/>
        </w:rPr>
      </w:pPr>
      <w:r>
        <w:rPr>
          <w:rFonts w:ascii="Times New Roman" w:eastAsia="Times New Roman" w:hAnsi="Times New Roman" w:cs="Times New Roman"/>
          <w:b/>
        </w:rPr>
        <w:t>2.1.2.2 Measurement and Indicators for Financial Performance</w:t>
      </w:r>
    </w:p>
    <w:p w:rsidR="00F65389" w:rsidRDefault="00601CBA">
      <w:pPr>
        <w:spacing w:line="480" w:lineRule="auto"/>
        <w:jc w:val="both"/>
        <w:rPr>
          <w:rFonts w:ascii="Times New Roman" w:eastAsia="Times New Roman" w:hAnsi="Times New Roman" w:cs="Times New Roman"/>
        </w:rPr>
      </w:pPr>
      <w:r>
        <w:rPr>
          <w:rFonts w:ascii="Times New Roman" w:eastAsia="Times New Roman" w:hAnsi="Times New Roman" w:cs="Times New Roman"/>
        </w:rPr>
        <w:t>Many financial tools exist to measure how a company performs. But this study keeps focus only on return on assets. Sahni and Sharma (2017) linked capital mix and profit flow in Indian FMCG firms and backed tighter alignment between structure and outcomes. ROA is drawn from net income divided by total assets. It checks how much gain the company pulled out of what it owns.</w:t>
      </w:r>
    </w:p>
    <w:p w:rsidR="00F65389" w:rsidRDefault="00601CBA">
      <w:pPr>
        <w:spacing w:line="480" w:lineRule="auto"/>
        <w:jc w:val="both"/>
        <w:rPr>
          <w:rFonts w:ascii="Times New Roman" w:eastAsia="Times New Roman" w:hAnsi="Times New Roman" w:cs="Times New Roman"/>
        </w:rPr>
      </w:pPr>
      <w:r>
        <w:rPr>
          <w:rFonts w:ascii="Times New Roman" w:eastAsia="Times New Roman" w:hAnsi="Times New Roman" w:cs="Times New Roman"/>
        </w:rPr>
        <w:t>Higher ROA signals better resource use and sharper profit levels. This study places ROA alone at the centre so the solvency link can stay isolated. It blocks side noise and draws the effect line straight from debt capacity to operating strength. That way, each movement in solvency gives a traceable shift in ROA.</w:t>
      </w:r>
    </w:p>
    <w:p w:rsidR="00F65389" w:rsidRDefault="00601CBA">
      <w:pPr>
        <w:spacing w:line="480" w:lineRule="auto"/>
        <w:jc w:val="both"/>
        <w:rPr>
          <w:rFonts w:ascii="Times New Roman" w:eastAsia="Times New Roman" w:hAnsi="Times New Roman" w:cs="Times New Roman"/>
          <w:b/>
        </w:rPr>
      </w:pPr>
      <w:r>
        <w:rPr>
          <w:rFonts w:ascii="Times New Roman" w:eastAsia="Times New Roman" w:hAnsi="Times New Roman" w:cs="Times New Roman"/>
          <w:b/>
        </w:rPr>
        <w:t>2.1.2.3 Factors Influencing Performance</w:t>
      </w:r>
    </w:p>
    <w:p w:rsidR="00F65389" w:rsidRDefault="00601CBA">
      <w:pPr>
        <w:spacing w:line="480" w:lineRule="auto"/>
        <w:jc w:val="both"/>
        <w:rPr>
          <w:rFonts w:ascii="Times New Roman" w:eastAsia="Times New Roman" w:hAnsi="Times New Roman" w:cs="Times New Roman"/>
        </w:rPr>
      </w:pPr>
      <w:r>
        <w:rPr>
          <w:rFonts w:ascii="Times New Roman" w:eastAsia="Times New Roman" w:hAnsi="Times New Roman" w:cs="Times New Roman"/>
        </w:rPr>
        <w:t>Financial performance is shaped by moving parts from inside and outside the firm. Bhatnagar (2016) found that capital choice shifts often affect profit outcomes in FMCG companies. Internally, how well operations are run, how cost is trimmed, how prices are set, and how products evolve all influence results. Better process flow and low waste raise profit. Pricing decisions tuned to buyer patterns push revenue. Outside, the demand wave, how tight the competition is, policy shifts, and general market mood all set limits or open leeway. A hot demand spike can lift returns. Tough rivals may drive prices down. Law changes may bring fresh fees or block old paths. Each of these reshapes the income map and alters firm performance.</w:t>
      </w:r>
    </w:p>
    <w:p w:rsidR="00F65389" w:rsidRDefault="00601CBA">
      <w:pPr>
        <w:spacing w:line="480" w:lineRule="auto"/>
        <w:jc w:val="both"/>
        <w:rPr>
          <w:rFonts w:ascii="Times New Roman" w:eastAsia="Times New Roman" w:hAnsi="Times New Roman" w:cs="Times New Roman"/>
          <w:b/>
        </w:rPr>
      </w:pPr>
      <w:r>
        <w:rPr>
          <w:rFonts w:ascii="Times New Roman" w:eastAsia="Times New Roman" w:hAnsi="Times New Roman" w:cs="Times New Roman"/>
          <w:b/>
        </w:rPr>
        <w:t>2.1.2.4 Strategies for Performance Improvement</w:t>
      </w:r>
    </w:p>
    <w:p w:rsidR="00F65389" w:rsidRDefault="00601CBA">
      <w:pPr>
        <w:spacing w:line="480" w:lineRule="auto"/>
        <w:jc w:val="both"/>
        <w:rPr>
          <w:rFonts w:ascii="Times New Roman" w:eastAsia="Times New Roman" w:hAnsi="Times New Roman" w:cs="Times New Roman"/>
        </w:rPr>
      </w:pPr>
      <w:r>
        <w:rPr>
          <w:rFonts w:ascii="Times New Roman" w:eastAsia="Times New Roman" w:hAnsi="Times New Roman" w:cs="Times New Roman"/>
        </w:rPr>
        <w:t>To lift financial performance, firms must pick and mix the right internal moves. Tarihoran and Endri (2021) showed how external triggers matter but internal controls still push profits. Cost cutting can help firms trim fat by fixing operations, shaping supply routes, or handling stock better. Sales lifts come from product upgrades, new markets, or sharper ads. These raise the top line.</w:t>
      </w:r>
    </w:p>
    <w:p w:rsidR="00F65389" w:rsidRDefault="00601CBA">
      <w:pPr>
        <w:spacing w:line="480" w:lineRule="auto"/>
        <w:jc w:val="both"/>
        <w:rPr>
          <w:rFonts w:ascii="Times New Roman" w:eastAsia="Times New Roman" w:hAnsi="Times New Roman" w:cs="Times New Roman"/>
        </w:rPr>
      </w:pPr>
      <w:r>
        <w:rPr>
          <w:rFonts w:ascii="Times New Roman" w:eastAsia="Times New Roman" w:hAnsi="Times New Roman" w:cs="Times New Roman"/>
        </w:rPr>
        <w:t>Using assets smarter also plays a big part. That may mean moving goods faster, collecting cash quicker, or making better use of tools and buildings. It reduces dead space and raises profit margins. Lastly, placing funds in research and development grows long-term output. R and D brings new products, cleaner systems, and tighter workflows. This not only widens revenue nets but also keeps the company ready for future turns.</w:t>
      </w:r>
    </w:p>
    <w:p w:rsidR="00F65389" w:rsidRDefault="00601CBA">
      <w:pPr>
        <w:spacing w:line="480" w:lineRule="auto"/>
        <w:jc w:val="both"/>
        <w:rPr>
          <w:rFonts w:ascii="Times New Roman" w:eastAsia="Times New Roman" w:hAnsi="Times New Roman" w:cs="Times New Roman"/>
          <w:b/>
        </w:rPr>
      </w:pPr>
      <w:r>
        <w:rPr>
          <w:rFonts w:ascii="Times New Roman" w:eastAsia="Times New Roman" w:hAnsi="Times New Roman" w:cs="Times New Roman"/>
          <w:b/>
        </w:rPr>
        <w:t>2.1.3 Debt-to-Asset Ratio</w:t>
      </w:r>
    </w:p>
    <w:p w:rsidR="00F65389" w:rsidRDefault="00601CBA">
      <w:pPr>
        <w:spacing w:line="480" w:lineRule="auto"/>
        <w:jc w:val="both"/>
        <w:rPr>
          <w:rFonts w:ascii="Times New Roman" w:eastAsia="Times New Roman" w:hAnsi="Times New Roman" w:cs="Times New Roman"/>
        </w:rPr>
      </w:pPr>
      <w:r>
        <w:rPr>
          <w:rFonts w:ascii="Times New Roman" w:eastAsia="Times New Roman" w:hAnsi="Times New Roman" w:cs="Times New Roman"/>
        </w:rPr>
        <w:t>Debt-to-asset ratio runs as a base solvency check, drawn by dividing total debt by total assets. Suhendry Toni and Simorangkir (2021) frame it as a way to see what chunk of company assets are stacked on borrowed money. A high figure shows heavy loan usage while a low one hints at more equity backing. This ratio acts like a scan; it tells how much the firm leans on outside funding to power its asset field. It is one of the main flags for spotting leverage size and risk spread.</w:t>
      </w:r>
    </w:p>
    <w:p w:rsidR="00F65389" w:rsidRDefault="00601CBA">
      <w:pPr>
        <w:spacing w:line="480" w:lineRule="auto"/>
        <w:jc w:val="both"/>
        <w:rPr>
          <w:rFonts w:ascii="Times New Roman" w:eastAsia="Times New Roman" w:hAnsi="Times New Roman" w:cs="Times New Roman"/>
        </w:rPr>
      </w:pPr>
      <w:r>
        <w:rPr>
          <w:rFonts w:ascii="Times New Roman" w:eastAsia="Times New Roman" w:hAnsi="Times New Roman" w:cs="Times New Roman"/>
        </w:rPr>
        <w:t>On another note, the debt-to-asset ratio helps paint a clear view of how stable or stretched the firm’s base is. Investors and lenders use it to judge if the company can hold up over time without tripping on debt loads. It brings short-snap clarity on the firm’s long-run funding posture and shapes both credit talks and funding appetite.</w:t>
      </w:r>
    </w:p>
    <w:p w:rsidR="00F65389" w:rsidRDefault="00601CBA">
      <w:pPr>
        <w:spacing w:line="480" w:lineRule="auto"/>
        <w:jc w:val="both"/>
        <w:rPr>
          <w:rFonts w:ascii="Times New Roman" w:eastAsia="Times New Roman" w:hAnsi="Times New Roman" w:cs="Times New Roman"/>
          <w:b/>
        </w:rPr>
      </w:pPr>
      <w:r>
        <w:rPr>
          <w:rFonts w:ascii="Times New Roman" w:eastAsia="Times New Roman" w:hAnsi="Times New Roman" w:cs="Times New Roman"/>
          <w:b/>
        </w:rPr>
        <w:t>2.1.3.1 Interpretation and Implications of Debt-to-Asset Ratio</w:t>
      </w:r>
    </w:p>
    <w:p w:rsidR="00F65389" w:rsidRDefault="00601CBA">
      <w:pPr>
        <w:spacing w:line="480" w:lineRule="auto"/>
        <w:jc w:val="both"/>
        <w:rPr>
          <w:rFonts w:ascii="Times New Roman" w:eastAsia="Times New Roman" w:hAnsi="Times New Roman" w:cs="Times New Roman"/>
        </w:rPr>
      </w:pPr>
      <w:r>
        <w:rPr>
          <w:rFonts w:ascii="Times New Roman" w:eastAsia="Times New Roman" w:hAnsi="Times New Roman" w:cs="Times New Roman"/>
        </w:rPr>
        <w:t>The meaning behind the debt-to-asset ratio lies in what it says about risk and return. Echekoba and Ananwude (2016) found in Nigerian goods firms that capital setup plays a strong role in profit shifts. A rising ratio points to deeper use of loans, which could work in the firm’s favour if borrowed funds bring returns above their cost. In such a case, profits rise faster and investors gain more. But that higher ratio also pulls in more risk exposure and increases chances of debt tension.</w:t>
      </w:r>
    </w:p>
    <w:p w:rsidR="00F65389" w:rsidRDefault="00601CBA">
      <w:pPr>
        <w:spacing w:line="480" w:lineRule="auto"/>
        <w:jc w:val="both"/>
        <w:rPr>
          <w:rFonts w:ascii="Times New Roman" w:eastAsia="Times New Roman" w:hAnsi="Times New Roman" w:cs="Times New Roman"/>
        </w:rPr>
      </w:pPr>
      <w:r>
        <w:rPr>
          <w:rFonts w:ascii="Times New Roman" w:eastAsia="Times New Roman" w:hAnsi="Times New Roman" w:cs="Times New Roman"/>
        </w:rPr>
        <w:t>A falling ratio reflects a more careful setup. It tones down risk but might also shrink growth speed. Firms running low debt might seem too careful, which could limit bold expansion or delay strategic plays. The right figure for this ratio changes per industry and depends on things like how much the firm earns, how fast it wants to grow, and how the wider economy behaves.</w:t>
      </w:r>
    </w:p>
    <w:p w:rsidR="00F65389" w:rsidRDefault="00601CBA">
      <w:pPr>
        <w:spacing w:line="480" w:lineRule="auto"/>
        <w:jc w:val="both"/>
        <w:rPr>
          <w:rFonts w:ascii="Times New Roman" w:eastAsia="Times New Roman" w:hAnsi="Times New Roman" w:cs="Times New Roman"/>
          <w:b/>
        </w:rPr>
      </w:pPr>
      <w:r>
        <w:rPr>
          <w:rFonts w:ascii="Times New Roman" w:eastAsia="Times New Roman" w:hAnsi="Times New Roman" w:cs="Times New Roman"/>
          <w:b/>
        </w:rPr>
        <w:t>2.1.3.2 Industry Benchmarks and Comparisons</w:t>
      </w:r>
    </w:p>
    <w:p w:rsidR="00F65389" w:rsidRDefault="00601CBA">
      <w:pPr>
        <w:spacing w:line="480" w:lineRule="auto"/>
        <w:jc w:val="both"/>
        <w:rPr>
          <w:rFonts w:ascii="Times New Roman" w:eastAsia="Times New Roman" w:hAnsi="Times New Roman" w:cs="Times New Roman"/>
        </w:rPr>
      </w:pPr>
      <w:r>
        <w:rPr>
          <w:rFonts w:ascii="Times New Roman" w:eastAsia="Times New Roman" w:hAnsi="Times New Roman" w:cs="Times New Roman"/>
        </w:rPr>
        <w:t>Looking at a company’s ratio alone without context gives a half-story. Sector averages and peer stats bring more depth. Rudianto (2014) linked debt-to-asset to stock reactions in consumer firms and showed that investors actually track such numbers when picking stocks. Benchmarks tell what normal debt use in that business type is. That makes it easier to judge whether a firm is balanced or off-track.</w:t>
      </w:r>
    </w:p>
    <w:p w:rsidR="00F65389" w:rsidRDefault="00601CBA">
      <w:pPr>
        <w:spacing w:line="480" w:lineRule="auto"/>
        <w:jc w:val="both"/>
        <w:rPr>
          <w:rFonts w:ascii="Times New Roman" w:eastAsia="Times New Roman" w:hAnsi="Times New Roman" w:cs="Times New Roman"/>
        </w:rPr>
      </w:pPr>
      <w:r>
        <w:rPr>
          <w:rFonts w:ascii="Times New Roman" w:eastAsia="Times New Roman" w:hAnsi="Times New Roman" w:cs="Times New Roman"/>
        </w:rPr>
        <w:t>Peer comparisons expose where the firm sits in its group whether it’s risk-heavy or playing it safe. This opens up insight into how the company handles debt pressure and frames decisions against rivals. It also helps spot red flags early if a firm drifts far from usual figures seen in the sector.</w:t>
      </w:r>
    </w:p>
    <w:p w:rsidR="00601CBA" w:rsidRDefault="00601CBA">
      <w:pPr>
        <w:spacing w:line="480" w:lineRule="auto"/>
        <w:jc w:val="both"/>
        <w:rPr>
          <w:rFonts w:ascii="Times New Roman" w:eastAsia="Times New Roman" w:hAnsi="Times New Roman" w:cs="Times New Roman"/>
        </w:rPr>
      </w:pPr>
    </w:p>
    <w:p w:rsidR="00601CBA" w:rsidRDefault="00601CBA">
      <w:pPr>
        <w:spacing w:line="480" w:lineRule="auto"/>
        <w:jc w:val="both"/>
        <w:rPr>
          <w:rFonts w:ascii="Times New Roman" w:eastAsia="Times New Roman" w:hAnsi="Times New Roman" w:cs="Times New Roman"/>
        </w:rPr>
      </w:pPr>
    </w:p>
    <w:p w:rsidR="00F65389" w:rsidRDefault="00601CBA">
      <w:pPr>
        <w:spacing w:line="480" w:lineRule="auto"/>
        <w:jc w:val="both"/>
        <w:rPr>
          <w:rFonts w:ascii="Times New Roman" w:eastAsia="Times New Roman" w:hAnsi="Times New Roman" w:cs="Times New Roman"/>
          <w:b/>
        </w:rPr>
      </w:pPr>
      <w:r>
        <w:rPr>
          <w:rFonts w:ascii="Times New Roman" w:eastAsia="Times New Roman" w:hAnsi="Times New Roman" w:cs="Times New Roman"/>
          <w:b/>
        </w:rPr>
        <w:t>2.1.3.3 Trends and Analysis of Debt-to-Asset Ratio</w:t>
      </w:r>
    </w:p>
    <w:p w:rsidR="00F65389" w:rsidRDefault="00601CBA">
      <w:pPr>
        <w:spacing w:line="480" w:lineRule="auto"/>
        <w:jc w:val="both"/>
        <w:rPr>
          <w:rFonts w:ascii="Times New Roman" w:eastAsia="Times New Roman" w:hAnsi="Times New Roman" w:cs="Times New Roman"/>
        </w:rPr>
      </w:pPr>
      <w:r>
        <w:rPr>
          <w:rFonts w:ascii="Times New Roman" w:eastAsia="Times New Roman" w:hAnsi="Times New Roman" w:cs="Times New Roman"/>
        </w:rPr>
        <w:t>Watching how this ratio moves over time helps explain shifts in a firm’s funding playbook. Khoiriah (2022) studied this effect and tied it to changes in firm profitability. If the ratio goes up steadily, it may mean the company is adding more debt to grow or it could be under strain. A downward slope might mean it’s cutting debt, boosting equity, or asset value is sliding.</w:t>
      </w:r>
    </w:p>
    <w:p w:rsidR="00F65389" w:rsidRDefault="00601CBA">
      <w:pPr>
        <w:spacing w:line="480" w:lineRule="auto"/>
        <w:jc w:val="both"/>
        <w:rPr>
          <w:rFonts w:ascii="Times New Roman" w:eastAsia="Times New Roman" w:hAnsi="Times New Roman" w:cs="Times New Roman"/>
        </w:rPr>
      </w:pPr>
      <w:r>
        <w:rPr>
          <w:rFonts w:ascii="Times New Roman" w:eastAsia="Times New Roman" w:hAnsi="Times New Roman" w:cs="Times New Roman"/>
        </w:rPr>
        <w:t>These pattern shifts often tie into big firm actions like takeovers, exits, or capital boosts. Broader waves like rising interest rates or market cooling also show up in ratio trends. Keeping an eye on the line across years offers smart clues about where the company is headed and how its financial shape is evolving.</w:t>
      </w:r>
    </w:p>
    <w:p w:rsidR="00F65389" w:rsidRDefault="00601CBA">
      <w:pPr>
        <w:spacing w:line="480" w:lineRule="auto"/>
        <w:jc w:val="both"/>
        <w:rPr>
          <w:rFonts w:ascii="Times New Roman" w:eastAsia="Times New Roman" w:hAnsi="Times New Roman" w:cs="Times New Roman"/>
          <w:b/>
        </w:rPr>
      </w:pPr>
      <w:r>
        <w:rPr>
          <w:rFonts w:ascii="Times New Roman" w:eastAsia="Times New Roman" w:hAnsi="Times New Roman" w:cs="Times New Roman"/>
          <w:b/>
        </w:rPr>
        <w:t>2.1.3.4 Impact of Debt-to-Asset Ratio on return on assets (ROA)</w:t>
      </w:r>
    </w:p>
    <w:p w:rsidR="00F65389" w:rsidRDefault="00601CBA">
      <w:pPr>
        <w:spacing w:line="480" w:lineRule="auto"/>
        <w:jc w:val="both"/>
        <w:rPr>
          <w:rFonts w:ascii="Times New Roman" w:eastAsia="Times New Roman" w:hAnsi="Times New Roman" w:cs="Times New Roman"/>
        </w:rPr>
      </w:pPr>
      <w:r>
        <w:rPr>
          <w:rFonts w:ascii="Times New Roman" w:eastAsia="Times New Roman" w:hAnsi="Times New Roman" w:cs="Times New Roman"/>
        </w:rPr>
        <w:t>Debt-to-asset and ROA form a tricky pair. Ina Octavia and Fauziah (2024) used both to assess firm strength at Unilever Indonesia. The pattern they found showed that when borrowed funds push high-return projects, ROA can rise. But if the cost of debt outruns the gains from investment, interest piles up and eats into profit, dragging ROA down.</w:t>
      </w:r>
    </w:p>
    <w:p w:rsidR="00F65389" w:rsidRDefault="00601CBA">
      <w:pPr>
        <w:spacing w:line="480" w:lineRule="auto"/>
        <w:jc w:val="both"/>
        <w:rPr>
          <w:rFonts w:ascii="Times New Roman" w:eastAsia="Times New Roman" w:hAnsi="Times New Roman" w:cs="Times New Roman"/>
        </w:rPr>
      </w:pPr>
      <w:r>
        <w:rPr>
          <w:rFonts w:ascii="Times New Roman" w:eastAsia="Times New Roman" w:hAnsi="Times New Roman" w:cs="Times New Roman"/>
        </w:rPr>
        <w:t>This means leverage must be timed and scaled right. When done with care, it sharpens ROA. If pushed too far, it sinks earnings. So the sweet spot for debt-to-asset use is found in the middle zone, where returns are strong enough to carry the loan load without tipping into distress. That balance line becomes the key to whether the firm wins or slides on its solvency path.</w:t>
      </w:r>
    </w:p>
    <w:p w:rsidR="00F65389" w:rsidRDefault="00601CBA">
      <w:pPr>
        <w:spacing w:line="480" w:lineRule="auto"/>
        <w:jc w:val="both"/>
        <w:rPr>
          <w:rFonts w:ascii="Times New Roman" w:eastAsia="Times New Roman" w:hAnsi="Times New Roman" w:cs="Times New Roman"/>
          <w:b/>
        </w:rPr>
      </w:pPr>
      <w:r>
        <w:rPr>
          <w:rFonts w:ascii="Times New Roman" w:eastAsia="Times New Roman" w:hAnsi="Times New Roman" w:cs="Times New Roman"/>
          <w:b/>
        </w:rPr>
        <w:t>2.1.4 Debt-to-Equity Ratio</w:t>
      </w:r>
    </w:p>
    <w:p w:rsidR="00F65389" w:rsidRDefault="00601CBA">
      <w:pPr>
        <w:spacing w:line="480" w:lineRule="auto"/>
        <w:jc w:val="both"/>
        <w:rPr>
          <w:rFonts w:ascii="Times New Roman" w:eastAsia="Times New Roman" w:hAnsi="Times New Roman" w:cs="Times New Roman"/>
        </w:rPr>
      </w:pPr>
      <w:r>
        <w:rPr>
          <w:rFonts w:ascii="Times New Roman" w:eastAsia="Times New Roman" w:hAnsi="Times New Roman" w:cs="Times New Roman"/>
        </w:rPr>
        <w:t>Debt-to-equity ratio stands as a core pointer in the solvency toolkit, used to check how a company balances its capital between external lenders and internal shareholders. The figure comes from dividing the total debt by total equity. Gallani and Shah (2019) looked into FMCG firms in India and found that leverage patterns linked directly to profit behavior. This ratio draws a clear line between what the firm borrows and what it owns internally. A higher ratio says the firm places more weight on borrowed money, while a lower one means the equity path takes up more of the load. It acts like a window into how the capital base is stacked and whether the firm’s fuel comes mostly from outside or inside.</w:t>
      </w:r>
    </w:p>
    <w:p w:rsidR="00F65389" w:rsidRDefault="00601CBA">
      <w:pPr>
        <w:spacing w:line="480" w:lineRule="auto"/>
        <w:jc w:val="both"/>
        <w:rPr>
          <w:rFonts w:ascii="Times New Roman" w:eastAsia="Times New Roman" w:hAnsi="Times New Roman" w:cs="Times New Roman"/>
        </w:rPr>
      </w:pPr>
      <w:r>
        <w:rPr>
          <w:rFonts w:ascii="Times New Roman" w:eastAsia="Times New Roman" w:hAnsi="Times New Roman" w:cs="Times New Roman"/>
        </w:rPr>
        <w:t>In deeper terms, this ratio speaks about risk exposure. It reflects how much the firm relies on debt to function or grow. If debt dominates, the company may face sharper swings in results since fixed payments kick in no matter how revenue performs. But if equity leads, risk drops and control stays in-house. This balance touches not only how big or small profits become but also how the firm holds itself up during economic stress. The long-term outlook for any company is shaped partly by how this capital mix is managed over time.</w:t>
      </w:r>
    </w:p>
    <w:p w:rsidR="00F65389" w:rsidRDefault="00601CBA">
      <w:pPr>
        <w:spacing w:line="480" w:lineRule="auto"/>
        <w:jc w:val="both"/>
        <w:rPr>
          <w:rFonts w:ascii="Times New Roman" w:eastAsia="Times New Roman" w:hAnsi="Times New Roman" w:cs="Times New Roman"/>
          <w:b/>
        </w:rPr>
      </w:pPr>
      <w:r>
        <w:rPr>
          <w:rFonts w:ascii="Times New Roman" w:eastAsia="Times New Roman" w:hAnsi="Times New Roman" w:cs="Times New Roman"/>
          <w:b/>
        </w:rPr>
        <w:t>2.1.4.1 Interpretation and Implications of Debt-to-Equity Ratio</w:t>
      </w:r>
    </w:p>
    <w:p w:rsidR="00F65389" w:rsidRDefault="00601CBA">
      <w:pPr>
        <w:spacing w:line="480" w:lineRule="auto"/>
        <w:jc w:val="both"/>
        <w:rPr>
          <w:rFonts w:ascii="Times New Roman" w:eastAsia="Times New Roman" w:hAnsi="Times New Roman" w:cs="Times New Roman"/>
        </w:rPr>
      </w:pPr>
      <w:r>
        <w:rPr>
          <w:rFonts w:ascii="Times New Roman" w:eastAsia="Times New Roman" w:hAnsi="Times New Roman" w:cs="Times New Roman"/>
        </w:rPr>
        <w:t>This figure acts like a pressure gauge on the firm’s financial engine. Peswani (2021) noted that leverage increases both upside and downside outcomes in company performance. When debt is cheap and profits flow in strongly, shareholders gain the most since costs stay fixed and the rest flows to equity. In that mode, the debt-to-equity ratio fuels profit amplification. But when the business hits slower returns or market uncertainty, interest costs become harder to bear, and the same ratio starts to cut into net earnings.</w:t>
      </w:r>
    </w:p>
    <w:p w:rsidR="00F65389" w:rsidRDefault="00601CBA">
      <w:pPr>
        <w:spacing w:line="480" w:lineRule="auto"/>
        <w:jc w:val="both"/>
        <w:rPr>
          <w:rFonts w:ascii="Times New Roman" w:eastAsia="Times New Roman" w:hAnsi="Times New Roman" w:cs="Times New Roman"/>
        </w:rPr>
      </w:pPr>
      <w:r>
        <w:rPr>
          <w:rFonts w:ascii="Times New Roman" w:eastAsia="Times New Roman" w:hAnsi="Times New Roman" w:cs="Times New Roman"/>
        </w:rPr>
        <w:t>Firms with high ratios tend to move fast but face steeper drops if revenue weakens. These firms take more financial strain when things turn. On the other side, companies that stay with low ratios play safer. Their profits grow slower, but they also avoid sudden debt stress. The key lies in finding a working balance neither too stretched nor too locked in equity. That midpoint differs by industry, cash stability, project type, and how well the firm controls operational efficiency under debt load.</w:t>
      </w:r>
    </w:p>
    <w:p w:rsidR="00F65389" w:rsidRDefault="00601CBA">
      <w:pPr>
        <w:spacing w:line="480" w:lineRule="auto"/>
        <w:jc w:val="both"/>
        <w:rPr>
          <w:rFonts w:ascii="Times New Roman" w:eastAsia="Times New Roman" w:hAnsi="Times New Roman" w:cs="Times New Roman"/>
          <w:b/>
        </w:rPr>
      </w:pPr>
      <w:r>
        <w:rPr>
          <w:rFonts w:ascii="Times New Roman" w:eastAsia="Times New Roman" w:hAnsi="Times New Roman" w:cs="Times New Roman"/>
          <w:b/>
        </w:rPr>
        <w:t>2.1.4.2 Industry Benchmarks and Comparisons</w:t>
      </w:r>
    </w:p>
    <w:p w:rsidR="00F65389" w:rsidRDefault="00601CBA">
      <w:pPr>
        <w:spacing w:line="480" w:lineRule="auto"/>
        <w:jc w:val="both"/>
        <w:rPr>
          <w:rFonts w:ascii="Times New Roman" w:eastAsia="Times New Roman" w:hAnsi="Times New Roman" w:cs="Times New Roman"/>
        </w:rPr>
      </w:pPr>
      <w:r>
        <w:rPr>
          <w:rFonts w:ascii="Times New Roman" w:eastAsia="Times New Roman" w:hAnsi="Times New Roman" w:cs="Times New Roman"/>
        </w:rPr>
        <w:t>Debt-to-equity data without a reference point gives little insight. Aderemi (2024) tracked Nigerian consumer goods firms and found that aligning leverage with sector norms helps firms stay grounded. Different industries carry different risk loads and debt tolerance levels, so a figure that’s safe in one space might mean danger in another. Comparing a firm’s ratio against its peers shows whether its financing pattern follows expected standards or signals a tilt.</w:t>
      </w:r>
    </w:p>
    <w:p w:rsidR="00F65389" w:rsidRDefault="00601CBA">
      <w:pPr>
        <w:spacing w:line="480" w:lineRule="auto"/>
        <w:jc w:val="both"/>
        <w:rPr>
          <w:rFonts w:ascii="Times New Roman" w:eastAsia="Times New Roman" w:hAnsi="Times New Roman" w:cs="Times New Roman"/>
        </w:rPr>
      </w:pPr>
      <w:r>
        <w:rPr>
          <w:rFonts w:ascii="Times New Roman" w:eastAsia="Times New Roman" w:hAnsi="Times New Roman" w:cs="Times New Roman"/>
        </w:rPr>
        <w:t>This benchmarking adds value by making it easier to track firm posture within its space. It also gives early warnings when the ratio slips too far outside range. A company may be seen as overconfident with debt or overly rigid with equity, depending on how it stands beside competitors. Peer reviews of this ratio sharpen how market analysts, lenders, and investors assess the firm’s strategic tilt and whether its capital play matches its size and revenue strength.</w:t>
      </w:r>
    </w:p>
    <w:p w:rsidR="00F65389" w:rsidRDefault="00601CBA">
      <w:pPr>
        <w:spacing w:line="480" w:lineRule="auto"/>
        <w:jc w:val="both"/>
        <w:rPr>
          <w:rFonts w:ascii="Times New Roman" w:eastAsia="Times New Roman" w:hAnsi="Times New Roman" w:cs="Times New Roman"/>
          <w:b/>
        </w:rPr>
      </w:pPr>
      <w:r>
        <w:rPr>
          <w:rFonts w:ascii="Times New Roman" w:eastAsia="Times New Roman" w:hAnsi="Times New Roman" w:cs="Times New Roman"/>
          <w:b/>
        </w:rPr>
        <w:t>2.1.4.3 Trends and Analysis of Debt-to-Equity Ratio</w:t>
      </w:r>
    </w:p>
    <w:p w:rsidR="00F65389" w:rsidRDefault="00601CBA">
      <w:pPr>
        <w:spacing w:line="480" w:lineRule="auto"/>
        <w:jc w:val="both"/>
        <w:rPr>
          <w:rFonts w:ascii="Times New Roman" w:eastAsia="Times New Roman" w:hAnsi="Times New Roman" w:cs="Times New Roman"/>
        </w:rPr>
      </w:pPr>
      <w:r>
        <w:rPr>
          <w:rFonts w:ascii="Times New Roman" w:eastAsia="Times New Roman" w:hAnsi="Times New Roman" w:cs="Times New Roman"/>
        </w:rPr>
        <w:t>Tracking how the ratio shifts across periods brings out key parts of a firm’s funding behavior. Patra (2023) used time-linked ratio changes to study how profit models adjust in Indian FMCG firms. A rising trend often means debt levels are climbing, possibly to chase new projects, cover shortfalls, or take advantage of low rates. But too steep a climb can show hidden stress or income gaps being papered over with borrowed funds.</w:t>
      </w:r>
    </w:p>
    <w:p w:rsidR="00F65389" w:rsidRDefault="00601CBA">
      <w:pPr>
        <w:spacing w:line="480" w:lineRule="auto"/>
        <w:jc w:val="both"/>
        <w:rPr>
          <w:rFonts w:ascii="Times New Roman" w:eastAsia="Times New Roman" w:hAnsi="Times New Roman" w:cs="Times New Roman"/>
        </w:rPr>
      </w:pPr>
      <w:r>
        <w:rPr>
          <w:rFonts w:ascii="Times New Roman" w:eastAsia="Times New Roman" w:hAnsi="Times New Roman" w:cs="Times New Roman"/>
        </w:rPr>
        <w:t>A falling ratio, by contrast, may indicate that the firm is paying off debt, issuing more shares, or switching to slower but safer growth. These movement paths mark how risk positions shift and how much buffer remains if markets flip. Patterns across years help frame long-run strategy and act as clues for forecasting. When these trends are paired with earnings quality and asset returns, stakeholders get a sharper edge for choosing whether to invest, lend, or reprice capital costs.</w:t>
      </w:r>
    </w:p>
    <w:p w:rsidR="00F65389" w:rsidRDefault="00601CBA">
      <w:pPr>
        <w:spacing w:line="480" w:lineRule="auto"/>
        <w:jc w:val="both"/>
        <w:rPr>
          <w:rFonts w:ascii="Times New Roman" w:eastAsia="Times New Roman" w:hAnsi="Times New Roman" w:cs="Times New Roman"/>
          <w:b/>
        </w:rPr>
      </w:pPr>
      <w:r>
        <w:rPr>
          <w:rFonts w:ascii="Times New Roman" w:eastAsia="Times New Roman" w:hAnsi="Times New Roman" w:cs="Times New Roman"/>
          <w:b/>
        </w:rPr>
        <w:t>2.1.4.4 Impact of Debt-to-Equity Ratio on return on assets (ROA)</w:t>
      </w:r>
    </w:p>
    <w:p w:rsidR="00F65389" w:rsidRDefault="00601CBA">
      <w:pPr>
        <w:spacing w:line="480" w:lineRule="auto"/>
        <w:jc w:val="both"/>
        <w:rPr>
          <w:rFonts w:ascii="Times New Roman" w:eastAsia="Times New Roman" w:hAnsi="Times New Roman" w:cs="Times New Roman"/>
        </w:rPr>
      </w:pPr>
      <w:r>
        <w:rPr>
          <w:rFonts w:ascii="Times New Roman" w:eastAsia="Times New Roman" w:hAnsi="Times New Roman" w:cs="Times New Roman"/>
        </w:rPr>
        <w:t>The connection between this ratio and ROA works through how debt load either energizes or restricts asset profit use. Toni and Simorangkir (2021) explored this and showed that well-managed leverage can push ROA upward by using borrowed money to grow returns beyond cost levels. When interest rates stay below earnings margins, every extra borrowed unit turns into a gain for the firm, lifting its asset-use score.</w:t>
      </w:r>
    </w:p>
    <w:p w:rsidR="00F65389" w:rsidRDefault="00601CBA">
      <w:pPr>
        <w:spacing w:line="480" w:lineRule="auto"/>
        <w:jc w:val="both"/>
        <w:rPr>
          <w:rFonts w:ascii="Times New Roman" w:eastAsia="Times New Roman" w:hAnsi="Times New Roman" w:cs="Times New Roman"/>
        </w:rPr>
      </w:pPr>
      <w:r>
        <w:rPr>
          <w:rFonts w:ascii="Times New Roman" w:eastAsia="Times New Roman" w:hAnsi="Times New Roman" w:cs="Times New Roman"/>
        </w:rPr>
        <w:t>But the line thins quickly. If interest rates rise or profit margins thin out, debt repayment eats into net income, dragging ROA down. High ratios also bring less flexibility. Companies lose room to adjust or delay payments, limiting their power to shift strategy fast. On the other end, very low debt keeps pressure light but can slow asset turnover and underuse potential. The right ratio zone helps the firm hold steady ROA levels without overloading its structure. That balance allows growth, maintains trust, and avoids slipping into solvency alarms.</w:t>
      </w:r>
    </w:p>
    <w:p w:rsidR="00F65389" w:rsidRDefault="00601CBA">
      <w:pPr>
        <w:spacing w:line="480" w:lineRule="auto"/>
        <w:jc w:val="both"/>
        <w:rPr>
          <w:rFonts w:ascii="Times New Roman" w:eastAsia="Times New Roman" w:hAnsi="Times New Roman" w:cs="Times New Roman"/>
          <w:b/>
        </w:rPr>
      </w:pPr>
      <w:r>
        <w:rPr>
          <w:rFonts w:ascii="Times New Roman" w:eastAsia="Times New Roman" w:hAnsi="Times New Roman" w:cs="Times New Roman"/>
          <w:b/>
        </w:rPr>
        <w:t>2.1.5 Interest Coverage Ratio</w:t>
      </w:r>
    </w:p>
    <w:p w:rsidR="00F65389" w:rsidRDefault="00601CBA">
      <w:pPr>
        <w:spacing w:line="480" w:lineRule="auto"/>
        <w:jc w:val="both"/>
        <w:rPr>
          <w:rFonts w:ascii="Times New Roman" w:eastAsia="Times New Roman" w:hAnsi="Times New Roman" w:cs="Times New Roman"/>
        </w:rPr>
      </w:pPr>
      <w:r>
        <w:rPr>
          <w:rFonts w:ascii="Times New Roman" w:eastAsia="Times New Roman" w:hAnsi="Times New Roman" w:cs="Times New Roman"/>
        </w:rPr>
        <w:t>Interest coverage ratio stands as a working tool that shows how well a company can meet its interest charges using its day-to-day earnings. Patel Singhai and Dwivedi (2018) used this ratio in FMCG firms in India to gauge their financial grip. It is built by dividing EBIT earnings before interest and tax by interest expense. EBIT tells the actual earning strength before outside cost and tax layers kick in. This ratio answers how many times the firm can pay off its interest bills with what it earns from running its core business. A high number gives comfort. It shows the firm has enough breathing space and can handle shocks without skipping payments.</w:t>
      </w:r>
    </w:p>
    <w:p w:rsidR="00F65389" w:rsidRDefault="00601CBA">
      <w:pPr>
        <w:spacing w:line="480" w:lineRule="auto"/>
        <w:jc w:val="both"/>
        <w:rPr>
          <w:rFonts w:ascii="Times New Roman" w:eastAsia="Times New Roman" w:hAnsi="Times New Roman" w:cs="Times New Roman"/>
        </w:rPr>
      </w:pPr>
      <w:r>
        <w:rPr>
          <w:rFonts w:ascii="Times New Roman" w:eastAsia="Times New Roman" w:hAnsi="Times New Roman" w:cs="Times New Roman"/>
        </w:rPr>
        <w:t>To build this ratio, EBIT and interest cost are pulled straight from the income statement. When EBIT gets divided by interest expense, the ratio result can be studied over years to see if the firm’s comfort zone is expanding or shrinking. This ongoing check helps track how debt size and earning power shift and how they affect the firm’s ability to stay stable while using borrowed funds.</w:t>
      </w:r>
    </w:p>
    <w:p w:rsidR="00F65389" w:rsidRDefault="00601CBA">
      <w:pPr>
        <w:spacing w:line="480" w:lineRule="auto"/>
        <w:jc w:val="both"/>
        <w:rPr>
          <w:rFonts w:ascii="Times New Roman" w:eastAsia="Times New Roman" w:hAnsi="Times New Roman" w:cs="Times New Roman"/>
          <w:b/>
        </w:rPr>
      </w:pPr>
      <w:r>
        <w:rPr>
          <w:rFonts w:ascii="Times New Roman" w:eastAsia="Times New Roman" w:hAnsi="Times New Roman" w:cs="Times New Roman"/>
          <w:b/>
        </w:rPr>
        <w:t>2.1.5.1 Interpretation and Implications of Interest Coverage Ratio</w:t>
      </w:r>
    </w:p>
    <w:p w:rsidR="00F65389" w:rsidRDefault="00601CBA">
      <w:pPr>
        <w:spacing w:line="480" w:lineRule="auto"/>
        <w:jc w:val="both"/>
        <w:rPr>
          <w:rFonts w:ascii="Times New Roman" w:eastAsia="Times New Roman" w:hAnsi="Times New Roman" w:cs="Times New Roman"/>
        </w:rPr>
      </w:pPr>
      <w:r>
        <w:rPr>
          <w:rFonts w:ascii="Times New Roman" w:eastAsia="Times New Roman" w:hAnsi="Times New Roman" w:cs="Times New Roman"/>
        </w:rPr>
        <w:t>This ratio opens a clear view into financial tension or relief within the firm. Bansal (2020), who compared FMCG companies, noted that those with higher ratios tend to be more shielded from breakdown risks. A wide coverage margin tells that earnings from the core business can cover interest costs with room to spare. This relaxes lenders and makes investors feel safer. The firm’s risk profile drops, and its cost of future funding often improves.</w:t>
      </w:r>
    </w:p>
    <w:p w:rsidR="00F65389" w:rsidRDefault="00601CBA">
      <w:pPr>
        <w:spacing w:line="480" w:lineRule="auto"/>
        <w:jc w:val="both"/>
        <w:rPr>
          <w:rFonts w:ascii="Times New Roman" w:eastAsia="Times New Roman" w:hAnsi="Times New Roman" w:cs="Times New Roman"/>
        </w:rPr>
      </w:pPr>
      <w:r>
        <w:rPr>
          <w:rFonts w:ascii="Times New Roman" w:eastAsia="Times New Roman" w:hAnsi="Times New Roman" w:cs="Times New Roman"/>
        </w:rPr>
        <w:t>On the flip side, low interest coverage means the firm is barely clearing its debt charges. This leaves it exposed to small profit slips or rate jumps. A very low number may flag financial strain. It can drag credit scores, shake investor trust, or even lock out fresh funds. Firms in this state often must adjust structure or cut cost zones quickly to avoid falling behind on obligations.</w:t>
      </w:r>
    </w:p>
    <w:p w:rsidR="00F65389" w:rsidRDefault="00601CBA">
      <w:pPr>
        <w:spacing w:line="480" w:lineRule="auto"/>
        <w:jc w:val="both"/>
        <w:rPr>
          <w:rFonts w:ascii="Times New Roman" w:eastAsia="Times New Roman" w:hAnsi="Times New Roman" w:cs="Times New Roman"/>
          <w:b/>
        </w:rPr>
      </w:pPr>
      <w:r>
        <w:rPr>
          <w:rFonts w:ascii="Times New Roman" w:eastAsia="Times New Roman" w:hAnsi="Times New Roman" w:cs="Times New Roman"/>
          <w:b/>
        </w:rPr>
        <w:t>2.1.5.2 Industry Benchmarks and Comparisons</w:t>
      </w:r>
    </w:p>
    <w:p w:rsidR="00F65389" w:rsidRDefault="00601CBA">
      <w:pPr>
        <w:spacing w:line="480" w:lineRule="auto"/>
        <w:jc w:val="both"/>
        <w:rPr>
          <w:rFonts w:ascii="Times New Roman" w:eastAsia="Times New Roman" w:hAnsi="Times New Roman" w:cs="Times New Roman"/>
        </w:rPr>
      </w:pPr>
      <w:r>
        <w:rPr>
          <w:rFonts w:ascii="Times New Roman" w:eastAsia="Times New Roman" w:hAnsi="Times New Roman" w:cs="Times New Roman"/>
        </w:rPr>
        <w:t>Looking at the ratio in a vacuum can mislead. Baby and Eshwari (2023) argued that each sector has its own normal levels for interest coverage, shaped by growth style and return models. Comparing firm data to sector averages brings clarity. It shows whether a company’s debt pressure is light, standard, or unusually heavy.</w:t>
      </w:r>
    </w:p>
    <w:p w:rsidR="00F65389" w:rsidRDefault="00601CBA">
      <w:pPr>
        <w:spacing w:line="480" w:lineRule="auto"/>
        <w:jc w:val="both"/>
        <w:rPr>
          <w:rFonts w:ascii="Times New Roman" w:eastAsia="Times New Roman" w:hAnsi="Times New Roman" w:cs="Times New Roman"/>
        </w:rPr>
      </w:pPr>
      <w:r>
        <w:rPr>
          <w:rFonts w:ascii="Times New Roman" w:eastAsia="Times New Roman" w:hAnsi="Times New Roman" w:cs="Times New Roman"/>
        </w:rPr>
        <w:t>This kind of side-by-side check with rivals adds more value. It tells how well the firm manages debt cost compared to others with similar sales models and market scope. If the firm runs lower coverage than peers, it may signal weak planning or rising costs. A stronger ratio suggests better cash use and smarter cost filtering. Stakeholders use these points to judge if the firm’s debt path fits or breaks away from normal control patterns in the field.</w:t>
      </w:r>
    </w:p>
    <w:p w:rsidR="00F65389" w:rsidRDefault="00601CBA">
      <w:pPr>
        <w:spacing w:line="480" w:lineRule="auto"/>
        <w:jc w:val="both"/>
        <w:rPr>
          <w:rFonts w:ascii="Times New Roman" w:eastAsia="Times New Roman" w:hAnsi="Times New Roman" w:cs="Times New Roman"/>
          <w:b/>
        </w:rPr>
      </w:pPr>
      <w:r>
        <w:rPr>
          <w:rFonts w:ascii="Times New Roman" w:eastAsia="Times New Roman" w:hAnsi="Times New Roman" w:cs="Times New Roman"/>
          <w:b/>
        </w:rPr>
        <w:t>2.1.5.3 Trends and Analysis for Interest Coverage Ratio</w:t>
      </w:r>
    </w:p>
    <w:p w:rsidR="00F65389" w:rsidRDefault="00601CBA">
      <w:pPr>
        <w:spacing w:line="480" w:lineRule="auto"/>
        <w:jc w:val="both"/>
        <w:rPr>
          <w:rFonts w:ascii="Times New Roman" w:eastAsia="Times New Roman" w:hAnsi="Times New Roman" w:cs="Times New Roman"/>
        </w:rPr>
      </w:pPr>
      <w:r>
        <w:rPr>
          <w:rFonts w:ascii="Times New Roman" w:eastAsia="Times New Roman" w:hAnsi="Times New Roman" w:cs="Times New Roman"/>
        </w:rPr>
        <w:t>Studying this ratio over time gives strong clues about changes in financial grip. Manurung and Atmoko (2021) found links between firm leverage and profit shifts in consumer goods. A rising interest coverage ratio suggests that core earnings are growing while debt load stays manageable. It can reflect better margin control, price strategy gains, or cost trimming. This forward climb shows that the firm has room to stretch, take on projects, or absorb hits without threat of default.</w:t>
      </w:r>
    </w:p>
    <w:p w:rsidR="00F65389" w:rsidRDefault="00601CBA">
      <w:pPr>
        <w:spacing w:line="480" w:lineRule="auto"/>
        <w:jc w:val="both"/>
        <w:rPr>
          <w:rFonts w:ascii="Times New Roman" w:eastAsia="Times New Roman" w:hAnsi="Times New Roman" w:cs="Times New Roman"/>
        </w:rPr>
      </w:pPr>
      <w:r>
        <w:rPr>
          <w:rFonts w:ascii="Times New Roman" w:eastAsia="Times New Roman" w:hAnsi="Times New Roman" w:cs="Times New Roman"/>
        </w:rPr>
        <w:t>If the ratio drops, it may point to slipping profits, growing interest bills, or both. This kind of trend needs deeper review. It might come from expansion funded by debt, or sales falls not matched by expense cuts. When matched with data like EBIT trend, asset growth, and cost buildup, the ratio trend becomes a live indicator of firm direction and risk thickness.</w:t>
      </w:r>
    </w:p>
    <w:p w:rsidR="00F65389" w:rsidRDefault="00601CBA">
      <w:pPr>
        <w:spacing w:line="480" w:lineRule="auto"/>
        <w:jc w:val="both"/>
        <w:rPr>
          <w:rFonts w:ascii="Times New Roman" w:eastAsia="Times New Roman" w:hAnsi="Times New Roman" w:cs="Times New Roman"/>
          <w:b/>
        </w:rPr>
      </w:pPr>
      <w:r>
        <w:rPr>
          <w:rFonts w:ascii="Times New Roman" w:eastAsia="Times New Roman" w:hAnsi="Times New Roman" w:cs="Times New Roman"/>
          <w:b/>
        </w:rPr>
        <w:t>2.1.5.4 Impact of Interest Coverage Ratio on Return on Assets (ROA)</w:t>
      </w:r>
    </w:p>
    <w:p w:rsidR="00F65389" w:rsidRDefault="00601CBA">
      <w:pPr>
        <w:spacing w:line="480" w:lineRule="auto"/>
        <w:jc w:val="both"/>
        <w:rPr>
          <w:rFonts w:ascii="Times New Roman" w:eastAsia="Times New Roman" w:hAnsi="Times New Roman" w:cs="Times New Roman"/>
        </w:rPr>
      </w:pPr>
      <w:r>
        <w:rPr>
          <w:rFonts w:ascii="Times New Roman" w:eastAsia="Times New Roman" w:hAnsi="Times New Roman" w:cs="Times New Roman"/>
        </w:rPr>
        <w:t>This ratio links to ROA because interest charges reduce what remains as profit, which ROA uses as its top figure. Ryanto and Tarigan (2024) traced how funding moves and asset growth affect performance in goods companies. A higher interest coverage ratio means less of EBIT is eaten by interest, so more drops to the bottom line. That raises net income and boosts ROA since assets are producing more after covering finance charges. When interest coverage shrinks, more earnings are diverted to pay lenders, leaving less to push profit. This cuts into ROA. The firm’s ability to turn assets into profit slips, not because assets fail, but because cost drag increases. Balancing debt use with income strength is key. Too much debt kills return. Too little may stall growth. Managing this ratio with care is one way firms keep their asset returns steady and upward.</w:t>
      </w:r>
    </w:p>
    <w:p w:rsidR="00F65389" w:rsidRDefault="00601CBA">
      <w:pPr>
        <w:spacing w:line="480" w:lineRule="auto"/>
        <w:jc w:val="both"/>
        <w:rPr>
          <w:rFonts w:ascii="Times New Roman" w:eastAsia="Times New Roman" w:hAnsi="Times New Roman" w:cs="Times New Roman"/>
          <w:b/>
        </w:rPr>
      </w:pPr>
      <w:r>
        <w:rPr>
          <w:rFonts w:ascii="Times New Roman" w:eastAsia="Times New Roman" w:hAnsi="Times New Roman" w:cs="Times New Roman"/>
          <w:b/>
        </w:rPr>
        <w:t>2.1.6 Times Interest Earned Ratio</w:t>
      </w:r>
    </w:p>
    <w:p w:rsidR="00F65389" w:rsidRDefault="00601CBA">
      <w:pPr>
        <w:spacing w:line="480" w:lineRule="auto"/>
        <w:jc w:val="both"/>
        <w:rPr>
          <w:rFonts w:ascii="Times New Roman" w:eastAsia="Times New Roman" w:hAnsi="Times New Roman" w:cs="Times New Roman"/>
        </w:rPr>
      </w:pPr>
      <w:r>
        <w:rPr>
          <w:rFonts w:ascii="Times New Roman" w:eastAsia="Times New Roman" w:hAnsi="Times New Roman" w:cs="Times New Roman"/>
        </w:rPr>
        <w:t>Times interest earned (TIE) ratio serves as a straight test of how often a company can handle its interest costs using the profits it makes before interest and taxes. Sharma and Gupta (2023) tested this ratio to see how it flags financial stress before it hits. TIE is drawn by dividing EBIT by interest expense. EBIT stands for the earnings the firm gets from its main work before tax and borrowing charges are added. When EBIT is divided by interest costs, the result shows how many rounds of interest the firm can pay with what it earns from day-to-day work.</w:t>
      </w:r>
    </w:p>
    <w:p w:rsidR="00F65389" w:rsidRDefault="00601CBA">
      <w:pPr>
        <w:spacing w:line="480" w:lineRule="auto"/>
        <w:jc w:val="both"/>
        <w:rPr>
          <w:rFonts w:ascii="Times New Roman" w:eastAsia="Times New Roman" w:hAnsi="Times New Roman" w:cs="Times New Roman"/>
        </w:rPr>
      </w:pPr>
      <w:r>
        <w:rPr>
          <w:rFonts w:ascii="Times New Roman" w:eastAsia="Times New Roman" w:hAnsi="Times New Roman" w:cs="Times New Roman"/>
        </w:rPr>
        <w:t>This metric lines up with solvency strength. A high TIE figure means the company can take on its interest bills with room left, even if revenue shakes a bit. It shows control and headroom. A low TIE figure, on the other hand, brings warning. It means operating cash is barely enough to cover debt charges. The ratio gives a quick snapshot of whether income flow is strong enough to match debt duties without squeezing profit zones too tight.</w:t>
      </w:r>
    </w:p>
    <w:p w:rsidR="00F65389" w:rsidRDefault="00601CBA">
      <w:pPr>
        <w:spacing w:line="480" w:lineRule="auto"/>
        <w:jc w:val="both"/>
        <w:rPr>
          <w:rFonts w:ascii="Times New Roman" w:eastAsia="Times New Roman" w:hAnsi="Times New Roman" w:cs="Times New Roman"/>
          <w:b/>
        </w:rPr>
      </w:pPr>
      <w:r>
        <w:rPr>
          <w:rFonts w:ascii="Times New Roman" w:eastAsia="Times New Roman" w:hAnsi="Times New Roman" w:cs="Times New Roman"/>
          <w:b/>
        </w:rPr>
        <w:t>2.1.6.1 Interpretation and Implications of Times Interest Earned Ratio</w:t>
      </w:r>
    </w:p>
    <w:p w:rsidR="00F65389" w:rsidRDefault="00601CBA">
      <w:pPr>
        <w:spacing w:line="480" w:lineRule="auto"/>
        <w:jc w:val="both"/>
        <w:rPr>
          <w:rFonts w:ascii="Times New Roman" w:eastAsia="Times New Roman" w:hAnsi="Times New Roman" w:cs="Times New Roman"/>
        </w:rPr>
      </w:pPr>
      <w:r>
        <w:rPr>
          <w:rFonts w:ascii="Times New Roman" w:eastAsia="Times New Roman" w:hAnsi="Times New Roman" w:cs="Times New Roman"/>
        </w:rPr>
        <w:t>The TIE ratio helps put a spotlight on whether a firm’s cash engine can carry the load of debt interest. Martinez-Sola and García-Teruel (2022) tied strong TIE numbers to reduced risk in company health. The higher the ratio, the safer the company stands. It also means the firm can take on temporary earnings drops without failing on interest dues. This lowers the chances of default, and lenders view this as a sign of credit strength.</w:t>
      </w:r>
    </w:p>
    <w:p w:rsidR="00F65389" w:rsidRDefault="00601CBA">
      <w:pPr>
        <w:spacing w:line="480" w:lineRule="auto"/>
        <w:jc w:val="both"/>
        <w:rPr>
          <w:rFonts w:ascii="Times New Roman" w:eastAsia="Times New Roman" w:hAnsi="Times New Roman" w:cs="Times New Roman"/>
        </w:rPr>
      </w:pPr>
      <w:r>
        <w:rPr>
          <w:rFonts w:ascii="Times New Roman" w:eastAsia="Times New Roman" w:hAnsi="Times New Roman" w:cs="Times New Roman"/>
        </w:rPr>
        <w:t>Investors also read high TIE as a safety zone. It signals that earnings from operations are steady and that the firm is not overreaching with borrowed funds. A very low TIE, however, can be a red flag. It may point to trouble ahead either from slipping profits, rising interest, or both. In such setups, the margin for error is narrow. The firm could struggle if earnings dip just slightly.</w:t>
      </w:r>
    </w:p>
    <w:p w:rsidR="00F65389" w:rsidRDefault="00601CBA">
      <w:pPr>
        <w:spacing w:line="480" w:lineRule="auto"/>
        <w:jc w:val="both"/>
        <w:rPr>
          <w:rFonts w:ascii="Times New Roman" w:eastAsia="Times New Roman" w:hAnsi="Times New Roman" w:cs="Times New Roman"/>
          <w:b/>
        </w:rPr>
      </w:pPr>
      <w:r>
        <w:rPr>
          <w:rFonts w:ascii="Times New Roman" w:eastAsia="Times New Roman" w:hAnsi="Times New Roman" w:cs="Times New Roman"/>
          <w:b/>
        </w:rPr>
        <w:t>2.1.6.2 Industry Benchmarks and Comparisons for Times Interest Earned Ratio</w:t>
      </w:r>
    </w:p>
    <w:p w:rsidR="00F65389" w:rsidRDefault="00601CBA">
      <w:pPr>
        <w:spacing w:line="480" w:lineRule="auto"/>
        <w:jc w:val="both"/>
        <w:rPr>
          <w:rFonts w:ascii="Times New Roman" w:eastAsia="Times New Roman" w:hAnsi="Times New Roman" w:cs="Times New Roman"/>
        </w:rPr>
      </w:pPr>
      <w:r>
        <w:rPr>
          <w:rFonts w:ascii="Times New Roman" w:eastAsia="Times New Roman" w:hAnsi="Times New Roman" w:cs="Times New Roman"/>
        </w:rPr>
        <w:t>The value of the TIE ratio comes into sharper view when seen beside peer data. Wong and Liu (2021) found that interest coverage shapes how firms in growing economies decide on debt use. Each sector has its own pattern of what normal, risky, or strong TIE levels look like. These sector averages help set a base for judging one firm’s ratio.</w:t>
      </w:r>
    </w:p>
    <w:p w:rsidR="00F65389" w:rsidRDefault="00601CBA">
      <w:pPr>
        <w:spacing w:line="480" w:lineRule="auto"/>
        <w:jc w:val="both"/>
        <w:rPr>
          <w:rFonts w:ascii="Times New Roman" w:eastAsia="Times New Roman" w:hAnsi="Times New Roman" w:cs="Times New Roman"/>
        </w:rPr>
      </w:pPr>
      <w:r>
        <w:rPr>
          <w:rFonts w:ascii="Times New Roman" w:eastAsia="Times New Roman" w:hAnsi="Times New Roman" w:cs="Times New Roman"/>
        </w:rPr>
        <w:t>If a company holds a TIE much higher than its sector norm, it may mean it uses debt carefully and runs with solid operating income. If the number is far below the peer line, it may suggest high risk, poor control, or income weakness. These differences call for deeper checks into how the company plans debt, handles expenses, and whether its growth pace fits the debt burden it carries.</w:t>
      </w:r>
    </w:p>
    <w:p w:rsidR="00F65389" w:rsidRDefault="00601CBA">
      <w:pPr>
        <w:spacing w:line="480" w:lineRule="auto"/>
        <w:jc w:val="both"/>
        <w:rPr>
          <w:rFonts w:ascii="Times New Roman" w:eastAsia="Times New Roman" w:hAnsi="Times New Roman" w:cs="Times New Roman"/>
          <w:b/>
        </w:rPr>
      </w:pPr>
      <w:r>
        <w:rPr>
          <w:rFonts w:ascii="Times New Roman" w:eastAsia="Times New Roman" w:hAnsi="Times New Roman" w:cs="Times New Roman"/>
          <w:b/>
        </w:rPr>
        <w:t>2.1.6.3 Trends and Analysis for Times Interest Earned Ratio</w:t>
      </w:r>
    </w:p>
    <w:p w:rsidR="00F65389" w:rsidRDefault="00601CBA">
      <w:pPr>
        <w:spacing w:line="480" w:lineRule="auto"/>
        <w:jc w:val="both"/>
        <w:rPr>
          <w:rFonts w:ascii="Times New Roman" w:eastAsia="Times New Roman" w:hAnsi="Times New Roman" w:cs="Times New Roman"/>
        </w:rPr>
      </w:pPr>
      <w:r>
        <w:rPr>
          <w:rFonts w:ascii="Times New Roman" w:eastAsia="Times New Roman" w:hAnsi="Times New Roman" w:cs="Times New Roman"/>
        </w:rPr>
        <w:t>Following how the TIE ratio moves over time gives early signs of change in financial strength. Altman and Iwanicz-Drozdowska (2020) used this ratio to build models that spot bankruptcy risks early. When the TIE goes up, it shows that earnings are growing faster than interest costs. This could be from better sales, trimmed expenses, or lower borrowing levels. That kind of rise tells stakeholders the firm is tightening control and gaining room to grow safely.</w:t>
      </w:r>
    </w:p>
    <w:p w:rsidR="00F65389" w:rsidRDefault="00601CBA">
      <w:pPr>
        <w:spacing w:line="480" w:lineRule="auto"/>
        <w:jc w:val="both"/>
        <w:rPr>
          <w:rFonts w:ascii="Times New Roman" w:eastAsia="Times New Roman" w:hAnsi="Times New Roman" w:cs="Times New Roman"/>
        </w:rPr>
      </w:pPr>
      <w:r>
        <w:rPr>
          <w:rFonts w:ascii="Times New Roman" w:eastAsia="Times New Roman" w:hAnsi="Times New Roman" w:cs="Times New Roman"/>
        </w:rPr>
        <w:t>But when the ratio drops, it might mean that debt costs are rising or earnings are losing pace. Either way, it means the company’s financial cushion is shrinking. Trends like this push firms to either cut costs, change funding routes, or slow down on new projects. TIE trend data, when read with other ratios like ROA or debt-to-equity, forms a map for judging where the company is heading and what moves might be needed.</w:t>
      </w:r>
    </w:p>
    <w:p w:rsidR="00601CBA" w:rsidRDefault="00601CBA">
      <w:pPr>
        <w:spacing w:line="480" w:lineRule="auto"/>
        <w:jc w:val="both"/>
        <w:rPr>
          <w:rFonts w:ascii="Times New Roman" w:eastAsia="Times New Roman" w:hAnsi="Times New Roman" w:cs="Times New Roman"/>
        </w:rPr>
      </w:pPr>
    </w:p>
    <w:p w:rsidR="00F65389" w:rsidRDefault="00601CBA">
      <w:pPr>
        <w:spacing w:line="480" w:lineRule="auto"/>
        <w:jc w:val="both"/>
        <w:rPr>
          <w:rFonts w:ascii="Times New Roman" w:eastAsia="Times New Roman" w:hAnsi="Times New Roman" w:cs="Times New Roman"/>
          <w:b/>
        </w:rPr>
      </w:pPr>
      <w:r>
        <w:rPr>
          <w:rFonts w:ascii="Times New Roman" w:eastAsia="Times New Roman" w:hAnsi="Times New Roman" w:cs="Times New Roman"/>
          <w:b/>
        </w:rPr>
        <w:t>2.1.6.4 Impact of Times Interest Earned Ratio on Return on Assets (ROA)</w:t>
      </w:r>
    </w:p>
    <w:p w:rsidR="00F65389" w:rsidRDefault="00601CBA">
      <w:pPr>
        <w:spacing w:line="480" w:lineRule="auto"/>
        <w:jc w:val="both"/>
        <w:rPr>
          <w:rFonts w:ascii="Times New Roman" w:eastAsia="Times New Roman" w:hAnsi="Times New Roman" w:cs="Times New Roman"/>
        </w:rPr>
      </w:pPr>
      <w:r>
        <w:rPr>
          <w:rFonts w:ascii="Times New Roman" w:eastAsia="Times New Roman" w:hAnsi="Times New Roman" w:cs="Times New Roman"/>
        </w:rPr>
        <w:t>TIE and ROA link through the profit line. Interest costs reduce net income, and net income sits at the top of ROA’s formula. Hassan and Rhee (2019) looked into how TIE shapes ROA in emerging market firms and found that better TIE scores lead to higher ROA. That’s because when interest charges are small compared to EBIT, more earnings stay in the pot and lift ROA.</w:t>
      </w:r>
    </w:p>
    <w:p w:rsidR="00F65389" w:rsidRDefault="00601CBA">
      <w:pPr>
        <w:spacing w:line="480" w:lineRule="auto"/>
        <w:jc w:val="both"/>
        <w:rPr>
          <w:rFonts w:ascii="Times New Roman" w:eastAsia="Times New Roman" w:hAnsi="Times New Roman" w:cs="Times New Roman"/>
        </w:rPr>
      </w:pPr>
      <w:r>
        <w:rPr>
          <w:rFonts w:ascii="Times New Roman" w:eastAsia="Times New Roman" w:hAnsi="Times New Roman" w:cs="Times New Roman"/>
        </w:rPr>
        <w:t>If TIE drops, more of the firm’s profit is lost to interest, cutting into the amount left to reflect asset use. This pulls ROA down. Managing the right TIE range becomes key. It lets the firm use debt for growth but still keep earnings strong enough to avoid eroding asset returns. In simple terms, a healthy TIE boosts net profit and keeps asset output numbers high. A weak TIE drags everything. The firm’s job is to find and hold the line that lets both measures stay strong without pulling each other down.</w:t>
      </w:r>
    </w:p>
    <w:p w:rsidR="00F65389" w:rsidRDefault="00601CBA">
      <w:pPr>
        <w:spacing w:line="480" w:lineRule="auto"/>
        <w:jc w:val="both"/>
        <w:rPr>
          <w:rFonts w:ascii="Times New Roman" w:eastAsia="Times New Roman" w:hAnsi="Times New Roman" w:cs="Times New Roman"/>
          <w:b/>
        </w:rPr>
      </w:pPr>
      <w:r>
        <w:rPr>
          <w:rFonts w:ascii="Times New Roman" w:eastAsia="Times New Roman" w:hAnsi="Times New Roman" w:cs="Times New Roman"/>
          <w:b/>
        </w:rPr>
        <w:t>2.1.7 Return on Assets (ROA)</w:t>
      </w:r>
    </w:p>
    <w:p w:rsidR="00F65389" w:rsidRDefault="00601CBA">
      <w:pPr>
        <w:spacing w:line="480" w:lineRule="auto"/>
        <w:jc w:val="both"/>
        <w:rPr>
          <w:rFonts w:ascii="Times New Roman" w:eastAsia="Times New Roman" w:hAnsi="Times New Roman" w:cs="Times New Roman"/>
        </w:rPr>
      </w:pPr>
      <w:r>
        <w:rPr>
          <w:rFonts w:ascii="Times New Roman" w:eastAsia="Times New Roman" w:hAnsi="Times New Roman" w:cs="Times New Roman"/>
        </w:rPr>
        <w:t>Return on assets (ROA) is a tight-line figure that tells how well a company uses everything it owns to earn income. It slices straight into the question of how resource-heavy operations turn into financial gains. Asiri and Hameed (2024) studied this in developing economies, flagging ROA as a frontline ratio for testing profit strength tied to asset use. ROA comes from dividing net income after taxes and all expense cuts by total assets. These assets stretch across cash piles, unpaid invoices (receivables), inventories, equipment, structures, land, and more. What comes out is a simple number showing how much the company earns back for each unit of total resources invested.</w:t>
      </w:r>
    </w:p>
    <w:p w:rsidR="00F65389" w:rsidRDefault="00601CBA">
      <w:pPr>
        <w:spacing w:line="480" w:lineRule="auto"/>
        <w:jc w:val="both"/>
        <w:rPr>
          <w:rFonts w:ascii="Times New Roman" w:eastAsia="Times New Roman" w:hAnsi="Times New Roman" w:cs="Times New Roman"/>
        </w:rPr>
      </w:pPr>
      <w:r>
        <w:rPr>
          <w:rFonts w:ascii="Times New Roman" w:eastAsia="Times New Roman" w:hAnsi="Times New Roman" w:cs="Times New Roman"/>
        </w:rPr>
        <w:t>This ratio helps strip the business down to function. It is not bloated by size, market reach, or share value. It stands as a flat signal of whether the firm knows how to move what it has into real earnings. ROA gives a way to read internal grip across companies, even when size, brand, or strategy differ. It drops everything into one lane where earnings meet ownership, and it does so without fluff. For stakeholders investors, lenders, analysts it’s a quick but deep glance into how a company performs at the root.</w:t>
      </w:r>
    </w:p>
    <w:p w:rsidR="00F65389" w:rsidRDefault="00601CBA">
      <w:pPr>
        <w:spacing w:line="480" w:lineRule="auto"/>
        <w:jc w:val="both"/>
        <w:rPr>
          <w:rFonts w:ascii="Times New Roman" w:eastAsia="Times New Roman" w:hAnsi="Times New Roman" w:cs="Times New Roman"/>
          <w:b/>
        </w:rPr>
      </w:pPr>
      <w:r>
        <w:rPr>
          <w:rFonts w:ascii="Times New Roman" w:eastAsia="Times New Roman" w:hAnsi="Times New Roman" w:cs="Times New Roman"/>
          <w:b/>
        </w:rPr>
        <w:t>2.1.7.1 Significance as a Performance Metric</w:t>
      </w:r>
    </w:p>
    <w:p w:rsidR="00F65389" w:rsidRDefault="00601CBA">
      <w:pPr>
        <w:spacing w:line="480" w:lineRule="auto"/>
        <w:jc w:val="both"/>
        <w:rPr>
          <w:rFonts w:ascii="Times New Roman" w:eastAsia="Times New Roman" w:hAnsi="Times New Roman" w:cs="Times New Roman"/>
        </w:rPr>
      </w:pPr>
      <w:r>
        <w:rPr>
          <w:rFonts w:ascii="Times New Roman" w:eastAsia="Times New Roman" w:hAnsi="Times New Roman" w:cs="Times New Roman"/>
        </w:rPr>
        <w:t>What gives ROA its strong grip is that it shows if resources are being worked, not just held. Zhang and Liu (2023) explained that it moves past the noise of expansion and size and gets into whether those expansions actually produce profit. When ROA climbs, it means management is getting more from each naira or dollar it deploys. That reflects tight planning, refined cost tracking, and lean decision-making at the operations level.</w:t>
      </w:r>
    </w:p>
    <w:p w:rsidR="00F65389" w:rsidRDefault="00601CBA">
      <w:pPr>
        <w:spacing w:line="480" w:lineRule="auto"/>
        <w:jc w:val="both"/>
        <w:rPr>
          <w:rFonts w:ascii="Times New Roman" w:eastAsia="Times New Roman" w:hAnsi="Times New Roman" w:cs="Times New Roman"/>
        </w:rPr>
      </w:pPr>
      <w:r>
        <w:rPr>
          <w:rFonts w:ascii="Times New Roman" w:eastAsia="Times New Roman" w:hAnsi="Times New Roman" w:cs="Times New Roman"/>
        </w:rPr>
        <w:t>Also, ROA stands as a leveling yardstick. It works for giants and mid-size players. It does not rely on how big a company looks, but how sharp it runs its base. That makes ROA a solid pick when comparing firms across sectors or regions. Financial experts use it to see beyond public hype or high revenue claims. When firms start to slip, ROA is often the first metric to show it months before bottom lines crash.</w:t>
      </w:r>
    </w:p>
    <w:p w:rsidR="00F65389" w:rsidRDefault="00601CBA">
      <w:pPr>
        <w:spacing w:line="480" w:lineRule="auto"/>
        <w:jc w:val="both"/>
        <w:rPr>
          <w:rFonts w:ascii="Times New Roman" w:eastAsia="Times New Roman" w:hAnsi="Times New Roman" w:cs="Times New Roman"/>
          <w:b/>
        </w:rPr>
      </w:pPr>
      <w:r>
        <w:rPr>
          <w:rFonts w:ascii="Times New Roman" w:eastAsia="Times New Roman" w:hAnsi="Times New Roman" w:cs="Times New Roman"/>
          <w:b/>
        </w:rPr>
        <w:t>2.1.7.2 Relationship of Return on Assets (ROA) to Solvency</w:t>
      </w:r>
    </w:p>
    <w:p w:rsidR="00F65389" w:rsidRDefault="00601CBA">
      <w:pPr>
        <w:spacing w:line="480" w:lineRule="auto"/>
        <w:jc w:val="both"/>
        <w:rPr>
          <w:rFonts w:ascii="Times New Roman" w:eastAsia="Times New Roman" w:hAnsi="Times New Roman" w:cs="Times New Roman"/>
        </w:rPr>
      </w:pPr>
      <w:r>
        <w:rPr>
          <w:rFonts w:ascii="Times New Roman" w:eastAsia="Times New Roman" w:hAnsi="Times New Roman" w:cs="Times New Roman"/>
        </w:rPr>
        <w:t>Solvency and ROA push and pull each other. Kumar and Sharma (2022) found that firms with sound solvency measures where long-term debt is kept in check often post better ROA. This is because moderate debt allows expansion without overloading the expense sheet. When debt remains light and is used on income-generating projects, it pushes net income up. ROA responds positively.</w:t>
      </w:r>
    </w:p>
    <w:p w:rsidR="00F65389" w:rsidRDefault="00601CBA">
      <w:pPr>
        <w:spacing w:line="480" w:lineRule="auto"/>
        <w:jc w:val="both"/>
        <w:rPr>
          <w:rFonts w:ascii="Times New Roman" w:eastAsia="Times New Roman" w:hAnsi="Times New Roman" w:cs="Times New Roman"/>
        </w:rPr>
      </w:pPr>
      <w:r>
        <w:rPr>
          <w:rFonts w:ascii="Times New Roman" w:eastAsia="Times New Roman" w:hAnsi="Times New Roman" w:cs="Times New Roman"/>
        </w:rPr>
        <w:t>But when debt load goes too far, interest charges shrink what’s left of earnings. That bleeds ROA even if revenue stays stable. So, solvency has a sweet spot. Too little debt may slow down returns. Too much cuts into the same profits it’s supposed to lift. Access to finance also plays in. A firm with clean books borrows cheaply, takes growth paths quickly, and builds ROA. One with poor solvency hits walls, high borrowing costs, tight credit windows, and stalled plans all of which drag ROA numbers down fast.</w:t>
      </w:r>
    </w:p>
    <w:p w:rsidR="00F65389" w:rsidRDefault="00601CBA">
      <w:pPr>
        <w:spacing w:line="480" w:lineRule="auto"/>
        <w:jc w:val="both"/>
        <w:rPr>
          <w:rFonts w:ascii="Times New Roman" w:eastAsia="Times New Roman" w:hAnsi="Times New Roman" w:cs="Times New Roman"/>
          <w:b/>
        </w:rPr>
      </w:pPr>
      <w:r>
        <w:rPr>
          <w:rFonts w:ascii="Times New Roman" w:eastAsia="Times New Roman" w:hAnsi="Times New Roman" w:cs="Times New Roman"/>
          <w:b/>
        </w:rPr>
        <w:t>2.1.7.3 Industry and Competitor Analysis</w:t>
      </w:r>
    </w:p>
    <w:p w:rsidR="00F65389" w:rsidRDefault="00601CBA">
      <w:pPr>
        <w:spacing w:line="480" w:lineRule="auto"/>
        <w:jc w:val="both"/>
        <w:rPr>
          <w:rFonts w:ascii="Times New Roman" w:eastAsia="Times New Roman" w:hAnsi="Times New Roman" w:cs="Times New Roman"/>
        </w:rPr>
      </w:pPr>
      <w:r>
        <w:rPr>
          <w:rFonts w:ascii="Times New Roman" w:eastAsia="Times New Roman" w:hAnsi="Times New Roman" w:cs="Times New Roman"/>
        </w:rPr>
        <w:t>ROA's strength multiplies when set beside the right context. Rodriguez-Fernandez and Gaspar-González (2021) made clear that ROA can signal more than just profit; it can show sustainability shifts, strategy wins, or resource waste. But that only happens when ROA is compared with what is common or expected in a firm’s line of work. Every industry has its own ROA rhythm. What looks weak in one space could be excellent in another.</w:t>
      </w:r>
    </w:p>
    <w:p w:rsidR="00F65389" w:rsidRDefault="00601CBA">
      <w:pPr>
        <w:spacing w:line="480" w:lineRule="auto"/>
        <w:jc w:val="both"/>
        <w:rPr>
          <w:rFonts w:ascii="Times New Roman" w:eastAsia="Times New Roman" w:hAnsi="Times New Roman" w:cs="Times New Roman"/>
        </w:rPr>
      </w:pPr>
      <w:r>
        <w:rPr>
          <w:rFonts w:ascii="Times New Roman" w:eastAsia="Times New Roman" w:hAnsi="Times New Roman" w:cs="Times New Roman"/>
        </w:rPr>
        <w:t>The value climbs when the comparison goes beyond sectors and into firm-to-firm reads. A high ROA among peers means the firm has tight resource use, fewer idle assets, or a smart profit model. A low ROA against competitors could mean bloated assets, bad turnover, or missed gains. The number may look harmless on its own, but when surrounded by the right figures, it becomes a signal of either competitive edge or hidden flaws.</w:t>
      </w:r>
    </w:p>
    <w:p w:rsidR="00F65389" w:rsidRDefault="00601CBA">
      <w:pPr>
        <w:spacing w:line="480" w:lineRule="auto"/>
        <w:jc w:val="both"/>
        <w:rPr>
          <w:rFonts w:ascii="Times New Roman" w:eastAsia="Times New Roman" w:hAnsi="Times New Roman" w:cs="Times New Roman"/>
          <w:b/>
        </w:rPr>
      </w:pPr>
      <w:r>
        <w:rPr>
          <w:rFonts w:ascii="Times New Roman" w:eastAsia="Times New Roman" w:hAnsi="Times New Roman" w:cs="Times New Roman"/>
          <w:b/>
        </w:rPr>
        <w:t>2.1.7.4 Impact of External Factors</w:t>
      </w:r>
    </w:p>
    <w:p w:rsidR="00F65389" w:rsidRDefault="00601CBA">
      <w:pPr>
        <w:spacing w:line="480" w:lineRule="auto"/>
        <w:jc w:val="both"/>
        <w:rPr>
          <w:rFonts w:ascii="Times New Roman" w:eastAsia="Times New Roman" w:hAnsi="Times New Roman" w:cs="Times New Roman"/>
        </w:rPr>
      </w:pPr>
      <w:r>
        <w:rPr>
          <w:rFonts w:ascii="Times New Roman" w:eastAsia="Times New Roman" w:hAnsi="Times New Roman" w:cs="Times New Roman"/>
        </w:rPr>
        <w:t>ROA bends under external weight. Lee and Park (2020) showed that ROA reacts quickly to bigger shocks in the market. When consumer spending slows, sales slide and assets factories, goods, and staff stay put. The mismatch drops ROA. The same happens when inflation eats margins or when the economy puts pressure on firms to hold unsold inventory.</w:t>
      </w:r>
    </w:p>
    <w:p w:rsidR="00F65389" w:rsidRDefault="00601CBA">
      <w:pPr>
        <w:spacing w:line="480" w:lineRule="auto"/>
        <w:jc w:val="both"/>
        <w:rPr>
          <w:rFonts w:ascii="Times New Roman" w:eastAsia="Times New Roman" w:hAnsi="Times New Roman" w:cs="Times New Roman"/>
          <w:b/>
        </w:rPr>
      </w:pPr>
      <w:r>
        <w:rPr>
          <w:rFonts w:ascii="Times New Roman" w:eastAsia="Times New Roman" w:hAnsi="Times New Roman" w:cs="Times New Roman"/>
        </w:rPr>
        <w:t>Rates also matter. If central banks hike interest, debt costs rise, net income thins, and ROA takes a direct hit. Regulation is another blade. New laws may demand costly compliance or change how certain assets are valued, reshaping the ratio. The market itself can be a trigger. A tight race pushes companies to spend more on keeping clients ads, promos, discounts. All those costs shrink net income and pull ROA down. These outside hits don’t show up alone, but over time, they press the ratio down, marking not just internal choices, but the mood and weight of the business world around the firm.</w:t>
      </w:r>
    </w:p>
    <w:p w:rsidR="00F65389" w:rsidRDefault="00601CBA">
      <w:pPr>
        <w:spacing w:line="480" w:lineRule="auto"/>
        <w:jc w:val="both"/>
        <w:rPr>
          <w:rFonts w:ascii="Times New Roman" w:eastAsia="Times New Roman" w:hAnsi="Times New Roman" w:cs="Times New Roman"/>
          <w:b/>
        </w:rPr>
      </w:pPr>
      <w:r>
        <w:rPr>
          <w:rFonts w:ascii="Times New Roman" w:eastAsia="Times New Roman" w:hAnsi="Times New Roman" w:cs="Times New Roman"/>
          <w:b/>
        </w:rPr>
        <w:t>2.2 Theoretical Framework</w:t>
      </w:r>
    </w:p>
    <w:p w:rsidR="00F65389" w:rsidRDefault="00601CBA">
      <w:pPr>
        <w:spacing w:line="480" w:lineRule="auto"/>
        <w:jc w:val="both"/>
        <w:rPr>
          <w:rFonts w:ascii="Times New Roman" w:eastAsia="Times New Roman" w:hAnsi="Times New Roman" w:cs="Times New Roman"/>
          <w:b/>
        </w:rPr>
      </w:pPr>
      <w:r>
        <w:rPr>
          <w:rFonts w:ascii="Times New Roman" w:eastAsia="Times New Roman" w:hAnsi="Times New Roman" w:cs="Times New Roman"/>
          <w:b/>
        </w:rPr>
        <w:t>2.2.1 Trade-Off Theory</w:t>
      </w:r>
    </w:p>
    <w:p w:rsidR="00F65389" w:rsidRDefault="00601CBA">
      <w:pPr>
        <w:spacing w:line="480" w:lineRule="auto"/>
        <w:jc w:val="both"/>
        <w:rPr>
          <w:rFonts w:ascii="Times New Roman" w:eastAsia="Times New Roman" w:hAnsi="Times New Roman" w:cs="Times New Roman"/>
        </w:rPr>
      </w:pPr>
      <w:r>
        <w:rPr>
          <w:rFonts w:ascii="Times New Roman" w:eastAsia="Times New Roman" w:hAnsi="Times New Roman" w:cs="Times New Roman"/>
        </w:rPr>
        <w:t>The trade-off theory, first shaped by Modigliani and Miller in 1963, lays down a structured argument for how companies navigate their debt levels. It draws a line between benefit and burden. The core idea is that debt brings a tax shield because interest payments are tax-deductible, but borrowing also piles up the risk of financial distress. Firms, therefore, are expected to aim for a sweet spot where the value gained from the tax shield is balanced by the rising cost of potential financial trouble. Wang and Chen (2023), in their review of firms across Asian markets, noted how this model still stands in theory but depends heavily on a firm’s context, size, and exposure to risk.</w:t>
      </w:r>
    </w:p>
    <w:p w:rsidR="00F65389" w:rsidRDefault="00601CBA">
      <w:pPr>
        <w:spacing w:line="480" w:lineRule="auto"/>
        <w:jc w:val="both"/>
        <w:rPr>
          <w:rFonts w:ascii="Times New Roman" w:eastAsia="Times New Roman" w:hAnsi="Times New Roman" w:cs="Times New Roman"/>
        </w:rPr>
      </w:pPr>
      <w:r>
        <w:rPr>
          <w:rFonts w:ascii="Times New Roman" w:eastAsia="Times New Roman" w:hAnsi="Times New Roman" w:cs="Times New Roman"/>
        </w:rPr>
        <w:t>That balance is tricky. Debt helps lower taxes but can lead to default pressure, bankruptcy expenses, reputation damage, or asset seizures if pushed too far. The theory implies that there is an optimal debt load that maximizes firm value, not a push toward all-debt or all-equity setups. This midpoint changes based on sector volatility, credit strength, and macroeconomic conditions. But despite its logic, the theory has been punched by critics. Real-world firms, they argue, cannot always predict the cost of distress clearly. It may come in legal fights, supply disruption, or credit downgrade all hard to price.</w:t>
      </w:r>
    </w:p>
    <w:p w:rsidR="00F65389" w:rsidRDefault="00601CBA">
      <w:pPr>
        <w:spacing w:line="480" w:lineRule="auto"/>
        <w:jc w:val="both"/>
        <w:rPr>
          <w:rFonts w:ascii="Times New Roman" w:eastAsia="Times New Roman" w:hAnsi="Times New Roman" w:cs="Times New Roman"/>
        </w:rPr>
      </w:pPr>
      <w:r>
        <w:rPr>
          <w:rFonts w:ascii="Times New Roman" w:eastAsia="Times New Roman" w:hAnsi="Times New Roman" w:cs="Times New Roman"/>
        </w:rPr>
        <w:t>Later writers modified the model. Agency cost theory was added to account for conflicts between owners and managers when debt enters the picture. Others added the idea of reserve flexibility keeping borrowing room free for future shocks. Ahmed and Richardson (2020), exploring African firms, stressed that in unpredictable markets, firms often choose lower debt just to stay maneuverable. Kim and Lee (2021) documented how during COVID-19, even healthy firms cut debt to avoid being caught in sharp downturns. Thompson and Wilson (2019), in a wide-scope review, showed that the trade-off theory still runs as a background model, though often mixed with newer factors.</w:t>
      </w:r>
    </w:p>
    <w:p w:rsidR="00F65389" w:rsidRDefault="00601CBA">
      <w:pPr>
        <w:spacing w:line="480" w:lineRule="auto"/>
        <w:jc w:val="both"/>
        <w:rPr>
          <w:rFonts w:ascii="Times New Roman" w:eastAsia="Times New Roman" w:hAnsi="Times New Roman" w:cs="Times New Roman"/>
        </w:rPr>
      </w:pPr>
      <w:r>
        <w:rPr>
          <w:rFonts w:ascii="Times New Roman" w:eastAsia="Times New Roman" w:hAnsi="Times New Roman" w:cs="Times New Roman"/>
        </w:rPr>
        <w:t>In this work, the trade-off theory is used as a lens to examine how Nestlé Nigeria PLC handles its debt decisions. The study traces whether its solvency levels measured by debt-to-asset, debt-to-equity, and interest coverage ratios fit within a trade-off mindset. The goal is to find whether the company stays close to the ideal middle, reaping the benefit of debt without tipping into costly risk. In this way, the theory guides the reading of how Nestlé Nigeria aligns or departs from textbook capital structure behavior.</w:t>
      </w:r>
    </w:p>
    <w:p w:rsidR="00F65389" w:rsidRDefault="00601CBA">
      <w:pPr>
        <w:spacing w:line="480" w:lineRule="auto"/>
        <w:jc w:val="both"/>
        <w:rPr>
          <w:rFonts w:ascii="Times New Roman" w:eastAsia="Times New Roman" w:hAnsi="Times New Roman" w:cs="Times New Roman"/>
          <w:b/>
        </w:rPr>
      </w:pPr>
      <w:r>
        <w:rPr>
          <w:rFonts w:ascii="Times New Roman" w:eastAsia="Times New Roman" w:hAnsi="Times New Roman" w:cs="Times New Roman"/>
          <w:b/>
        </w:rPr>
        <w:t>2.2.2 Pecking Order Theory</w:t>
      </w:r>
    </w:p>
    <w:p w:rsidR="00F65389" w:rsidRDefault="00601CBA">
      <w:pPr>
        <w:spacing w:line="480" w:lineRule="auto"/>
        <w:jc w:val="both"/>
        <w:rPr>
          <w:rFonts w:ascii="Times New Roman" w:eastAsia="Times New Roman" w:hAnsi="Times New Roman" w:cs="Times New Roman"/>
        </w:rPr>
      </w:pPr>
      <w:r>
        <w:rPr>
          <w:rFonts w:ascii="Times New Roman" w:eastAsia="Times New Roman" w:hAnsi="Times New Roman" w:cs="Times New Roman"/>
        </w:rPr>
        <w:t>The pecking order theory, pushed forward by Myers and Majluf in 1984, flips the trade-off view by looking at financing order, not balance. The theory argues that firms do not first weigh the mix of debt and equity; instead, they follow a pecking line starting with internal funds, then debt, and turning to equity only when all else fails. This logic comes from the problem of asymmetric information. Li and Zhang (2024) revisited this view in present-day market setups and found that information gaps between insiders (managers) and outsiders (investors) still drive firms to avoid equity when possible.</w:t>
      </w:r>
    </w:p>
    <w:p w:rsidR="00F65389" w:rsidRDefault="00601CBA">
      <w:pPr>
        <w:spacing w:line="480" w:lineRule="auto"/>
        <w:jc w:val="both"/>
        <w:rPr>
          <w:rFonts w:ascii="Times New Roman" w:eastAsia="Times New Roman" w:hAnsi="Times New Roman" w:cs="Times New Roman"/>
        </w:rPr>
      </w:pPr>
      <w:r>
        <w:rPr>
          <w:rFonts w:ascii="Times New Roman" w:eastAsia="Times New Roman" w:hAnsi="Times New Roman" w:cs="Times New Roman"/>
        </w:rPr>
        <w:t>The reason is simple. Managers know more than investors. If they issue equity, investors may assume the stock is overpriced and react by selling off, dragging prices down. To avoid this misread, firms hold off on equity unless there's no choice. Debt is preferred because it signals less uncertainty and comes with predictable payback rules. But this clean theory doesn’t always hold in practice. Some firms issue equity despite having internal cash, especially during periods of high market valuation or major strategic shifts.</w:t>
      </w:r>
    </w:p>
    <w:p w:rsidR="00F65389" w:rsidRDefault="00601CBA">
      <w:pPr>
        <w:spacing w:line="480" w:lineRule="auto"/>
        <w:jc w:val="both"/>
        <w:rPr>
          <w:rFonts w:ascii="Times New Roman" w:eastAsia="Times New Roman" w:hAnsi="Times New Roman" w:cs="Times New Roman"/>
        </w:rPr>
      </w:pPr>
      <w:r>
        <w:rPr>
          <w:rFonts w:ascii="Times New Roman" w:eastAsia="Times New Roman" w:hAnsi="Times New Roman" w:cs="Times New Roman"/>
        </w:rPr>
        <w:t>To fix this gap, newer studies have stretched the theory. Martinez-Garcia and Lopez-Iturriaga (2021) tested how market timing plays into the pecking order. Their findings showed that in uncertain markets, even companies with less transparency use public signals to decide funding steps. Anderson and Taylor (2023) examined tech companies, where innovation speed and venture funds break the usual cash–debt–equity line. Patel and Johnson (2022) tracked firms across emerging zones, showing some break rank when they chase scale or image. Chen and Brown (2020) checked crisis periods, finding that during shocks like the global financial crisis, the pecking order tightens. Firms cling harder to internal funds and avoid equity till the last stretch.</w:t>
      </w:r>
    </w:p>
    <w:p w:rsidR="00F65389" w:rsidRDefault="00601CBA">
      <w:pPr>
        <w:spacing w:line="480" w:lineRule="auto"/>
        <w:jc w:val="both"/>
        <w:rPr>
          <w:rFonts w:ascii="Times New Roman" w:eastAsia="Times New Roman" w:hAnsi="Times New Roman" w:cs="Times New Roman"/>
        </w:rPr>
      </w:pPr>
      <w:r>
        <w:rPr>
          <w:rFonts w:ascii="Times New Roman" w:eastAsia="Times New Roman" w:hAnsi="Times New Roman" w:cs="Times New Roman"/>
        </w:rPr>
        <w:t>This study brings the pecking order model into play alongside the trade-off view to decode how Nestlé Nigeria makes capital calls. The sequence of internal cash, then short debt, then possibly equity is tested against its actual patterns. The theory helps trace not only how much debt is used but when and why. Paired with trade-off logic, this dual-theory frame allows a broader reading of how solvency ratios and performance metrics in Nestlé Nigeria behave under funding stress or choice. The two theories do not cancel each other but instead give parallel lanes to understand decision logic in real-time business flows.</w:t>
      </w:r>
    </w:p>
    <w:p w:rsidR="00F65389" w:rsidRDefault="00601CBA">
      <w:pPr>
        <w:spacing w:line="480" w:lineRule="auto"/>
        <w:jc w:val="both"/>
        <w:rPr>
          <w:rFonts w:ascii="Times New Roman" w:eastAsia="Times New Roman" w:hAnsi="Times New Roman" w:cs="Times New Roman"/>
        </w:rPr>
      </w:pPr>
      <w:r>
        <w:rPr>
          <w:rFonts w:ascii="Times New Roman" w:eastAsia="Times New Roman" w:hAnsi="Times New Roman" w:cs="Times New Roman"/>
          <w:b/>
        </w:rPr>
        <w:t>2.3 Empirical Reviews</w:t>
      </w:r>
      <w:r>
        <w:rPr>
          <w:rFonts w:ascii="Times New Roman" w:eastAsia="Times New Roman" w:hAnsi="Times New Roman" w:cs="Times New Roman"/>
        </w:rPr>
        <w:t xml:space="preserve"> </w:t>
      </w:r>
    </w:p>
    <w:p w:rsidR="00F65389" w:rsidRDefault="00601CBA">
      <w:pPr>
        <w:spacing w:line="480" w:lineRule="auto"/>
        <w:jc w:val="both"/>
        <w:rPr>
          <w:rFonts w:ascii="Times New Roman" w:eastAsia="Times New Roman" w:hAnsi="Times New Roman" w:cs="Times New Roman"/>
        </w:rPr>
      </w:pPr>
      <w:r>
        <w:rPr>
          <w:rFonts w:ascii="Times New Roman" w:eastAsia="Times New Roman" w:hAnsi="Times New Roman" w:cs="Times New Roman"/>
        </w:rPr>
        <w:t>Kyule (2015) ran a study on how liquidity and solvency shape financial outcomes for firms trading on the Nairobi Securities Exchange. It targeted how these two items, along with leverage, capital strength, running efficiency, and firm scale, affect financial performance. The stretch covered 2009 to 2013, sitting on theories like Liability Management, Shiftability, and Risk Management. Descriptive research framed the work. ROA was the dependent item, while liquidity, solvency, leverage, capital adequacy, efficiency, and firm size made up the inputs. The study drew from company reports and pushed the data through multiple regression, ANOVA, and correlation paths. Findings marked liquidity as weakly positive but not meaningful. Solvency too showed a weak but negative tilt, with no real weight. Leverage stayed negative and not strong. Capital adequacy leaned weakly positive but again didn’t count much. Only efficiency pulled a positive and useful sign, while firm size stood out as negative and significant. In the end, only efficiency and size truly shaped performance. The study advised firms to keep solvency and liquidity in check and urged investors to track these markers in decision rounds.</w:t>
      </w:r>
    </w:p>
    <w:p w:rsidR="00F65389" w:rsidRDefault="00601CBA">
      <w:pPr>
        <w:spacing w:line="480" w:lineRule="auto"/>
        <w:jc w:val="both"/>
        <w:rPr>
          <w:rFonts w:ascii="Times New Roman" w:eastAsia="Times New Roman" w:hAnsi="Times New Roman" w:cs="Times New Roman"/>
        </w:rPr>
      </w:pPr>
      <w:r>
        <w:rPr>
          <w:rFonts w:ascii="Times New Roman" w:eastAsia="Times New Roman" w:hAnsi="Times New Roman" w:cs="Times New Roman"/>
        </w:rPr>
        <w:t>Umenzekwe, Okonewa, and Uche (2022) looked into how solvency hits financial results for ICT firms listed on the Nigerian Exchange Group. The goal was to test how debt ratio drives ROA, ROE, and EPS. The scope is fixed on seven listed ICT firms over 2015 to 2020. Trade-off theory gave the study a base. The design followed an ex-post facto path. ROA, ROE, and EPS were the results tracked. Solvency, read through debt-to-asset and debt-to-equity ratios, was the input. The authors pulled figures from financials and annual reports. Analysis ran through OLS regression. What stood out was that solvency had no serious effect on ROA or ROE. But it did leave a strong print on EPS. Debt-to-equity gave a positive lift to EPS, while debt-to-asset pushed down, though not with enough force to count. The study wrapped up saying solvency matters but moves differently across performance angles. The key note: ICT firms need a balanced debt load to stay healthy and sharp.</w:t>
      </w:r>
    </w:p>
    <w:p w:rsidR="00F65389" w:rsidRDefault="00601CBA">
      <w:pPr>
        <w:spacing w:line="480" w:lineRule="auto"/>
        <w:jc w:val="both"/>
        <w:rPr>
          <w:rFonts w:ascii="Times New Roman" w:eastAsia="Times New Roman" w:hAnsi="Times New Roman" w:cs="Times New Roman"/>
        </w:rPr>
      </w:pPr>
      <w:r>
        <w:rPr>
          <w:rFonts w:ascii="Times New Roman" w:eastAsia="Times New Roman" w:hAnsi="Times New Roman" w:cs="Times New Roman"/>
        </w:rPr>
        <w:t>Umenzekwe, Okonewa, and Uche (2022) also reviewed solvency in listed ICT firms, tracking how far debt ratios shape ROA, ROE, and EPS. With seven firms in focus from 2015 to 2020, the work stood on trade-off theory. The setup ran ex-post facto. The targets ROA, ROE, and EPS formed the dependent lines. Solvency, shaped by debt-to-equity and debt-to-asset, played the input role. The data came from firm financials. OLS regression worked as the tool. The takeaway: solvency didn’t tip ROA or ROE but did move EPS. Debt-to-equity boosted EPS while debt-to-asset dragged it down slightly. The call made was for ICT players to tune their debt profile to prevent stress and stay on track.</w:t>
      </w:r>
    </w:p>
    <w:p w:rsidR="00F65389" w:rsidRDefault="00601CBA">
      <w:pPr>
        <w:spacing w:line="480" w:lineRule="auto"/>
        <w:jc w:val="both"/>
        <w:rPr>
          <w:rFonts w:ascii="Times New Roman" w:eastAsia="Times New Roman" w:hAnsi="Times New Roman" w:cs="Times New Roman"/>
        </w:rPr>
      </w:pPr>
      <w:r>
        <w:rPr>
          <w:rFonts w:ascii="Times New Roman" w:eastAsia="Times New Roman" w:hAnsi="Times New Roman" w:cs="Times New Roman"/>
        </w:rPr>
        <w:t>Aprilyani, Hidayat, and Kusworo (2024) explored how solvency and profit ratios steer financial performance in PT Charoen Pokphand Indonesia Tbk. They targeted links to net profit margin, ROA, and ROE. The slice covered 2021 to 2023. Agency theory backed the review. They took a descriptive qualitative route. Performance was set as the result variable, marked by net margin, ROA, and ROE. Solvency (by debt-to-equity) and profitability (by net margin) worked as inputs. Data came from balance sheets and income records. Analysis leaned on descriptive stats, KS test, multi-linear regression, and t and F-tests. Results showed that both solvency and profit metrics played a positive and strong role in financial outcome. The firm showed good numbers through the period, handling assets and debt well. The authors urged continuous asset tracking, investment into higher-yield units, and solid long-term money plans.</w:t>
      </w:r>
    </w:p>
    <w:p w:rsidR="00F65389" w:rsidRDefault="00601CBA">
      <w:pPr>
        <w:spacing w:line="480" w:lineRule="auto"/>
        <w:jc w:val="both"/>
        <w:rPr>
          <w:rFonts w:ascii="Times New Roman" w:eastAsia="Times New Roman" w:hAnsi="Times New Roman" w:cs="Times New Roman"/>
        </w:rPr>
      </w:pPr>
      <w:r>
        <w:rPr>
          <w:rFonts w:ascii="Times New Roman" w:eastAsia="Times New Roman" w:hAnsi="Times New Roman" w:cs="Times New Roman"/>
        </w:rPr>
        <w:t>Yameen and Pervez (2016) tackled how liquidity, solvency, and efficiency touch profits in SAIL, India. They wanted to read the firm’s money shape and suggest how to boost it. Ten years (2005–2014) sat under the lens. The study used analytical methods and leaned on ratio checks. Profitability via ROA and return on capital employed was the dependent side. Liquidity (current ratio), solvency (debt-to-equity), and efficiency (inventory turnover) formed the input side. Data came from company reports and state files. They used OLS regression, correlation, and ratio tools. The outcome showed a fade in SAIL’s money strength. Profits and efficiency dropped. Solvency and liquidity flagged as pressure points. The authors suggested tuning liquidity flows, easing long-term debt, fixing idle assets, improving cost lines, and balancing stock levels to lift the firm’s game.</w:t>
      </w:r>
    </w:p>
    <w:p w:rsidR="00F65389" w:rsidRDefault="00601CBA" w:rsidP="00601CBA">
      <w:pPr>
        <w:spacing w:line="480" w:lineRule="auto"/>
        <w:jc w:val="both"/>
        <w:rPr>
          <w:rFonts w:ascii="Times New Roman" w:eastAsia="Times New Roman" w:hAnsi="Times New Roman" w:cs="Times New Roman"/>
        </w:rPr>
      </w:pPr>
      <w:r>
        <w:rPr>
          <w:rFonts w:ascii="Times New Roman" w:eastAsia="Times New Roman" w:hAnsi="Times New Roman" w:cs="Times New Roman"/>
        </w:rPr>
        <w:t>Meliani, Harnaen, Saputra, Mareta, and Paulina (2021) explored how liquidity, solvency, and activity ratios touch financial outcomes, mainly return on equity (ROE), in food and drink factories listed under Indonesia’s stock board. Their goal was to test if these ratios influence ROE in any strong way. They sampled 18 food firms between 2017 and 2019 and built their work on financial ratio principles. The study ran a full quantitative route. ROE stood as the effect variable. Liquidity, solvency, and activity ratios were cause variables. Figures came from annual reports hosted on IDX’s public site. The tools used were descriptive stats, multi-line regression, assumption checks (for things like pattern break, variable collision, and randomness), and t-tests. Final results showed that none of these ratios had real power over ROE in this group. They wrapped it up by suggesting broader samples for future tests and pointed out that their results could still serve finance learners and real-time investors in shaping expectations.</w:t>
      </w:r>
    </w:p>
    <w:p w:rsidR="00F65389" w:rsidRDefault="00601CBA" w:rsidP="00601CBA">
      <w:pPr>
        <w:spacing w:line="480" w:lineRule="auto"/>
        <w:jc w:val="both"/>
        <w:rPr>
          <w:rFonts w:ascii="Times New Roman" w:eastAsia="Times New Roman" w:hAnsi="Times New Roman" w:cs="Times New Roman"/>
        </w:rPr>
      </w:pPr>
      <w:r>
        <w:rPr>
          <w:rFonts w:ascii="Times New Roman" w:eastAsia="Times New Roman" w:hAnsi="Times New Roman" w:cs="Times New Roman"/>
        </w:rPr>
        <w:t>Yenni, Arifin, Gunawan, Pakpahan, and Siregar (2022) zoomed into solvency and working capital and their pull on profit for CV Masindo Electric Medan, a parts dealer. The work targeted the 2012–2016 window. They followed known money-handling theories about working capital and debt weight. A basic descriptive layout was chosen. ROA was the main watchpoint, while solvency (via debt-to-equity ratio) and working capital (via current ratio) stood as triggers. They gathered raw numbers from internal firm books. The study broke the data down using ratio views, pair-link tests, variation checks, regression math, and fit checks. They saw that both solvency and working capital influenced profit on their own and when combined. They also noted falling capital strength and rising debt levels across the years, matching a slide in returns. Their conclusion: tight capital and smart debt use drive profits. Their call to action: the firm should watch its stocks better, avoid random borrowing, and build sales tools that grow returns over time.</w:t>
      </w:r>
    </w:p>
    <w:p w:rsidR="00F65389" w:rsidRDefault="00601CBA" w:rsidP="00601CBA">
      <w:pPr>
        <w:spacing w:line="480" w:lineRule="auto"/>
        <w:jc w:val="both"/>
        <w:rPr>
          <w:rFonts w:ascii="Times New Roman" w:eastAsia="Times New Roman" w:hAnsi="Times New Roman" w:cs="Times New Roman"/>
        </w:rPr>
      </w:pPr>
      <w:r>
        <w:rPr>
          <w:rFonts w:ascii="Times New Roman" w:eastAsia="Times New Roman" w:hAnsi="Times New Roman" w:cs="Times New Roman"/>
        </w:rPr>
        <w:t>Effendie, Manafe, and Man (2022) didn’t run a fresh test but cleaned up what others already wrote on how liquidity, solvency, and use-efficiency relate to financial outcomes. Their center was ROE, and they dissected links from past tests that examined how ratios like current ratio (CR), debt-to-equity (DER), inventory move rate (InvTO), and asset use rate (TATO) impact ROE. The study built itself on old and trusted finance control systems and ratio logic. No new survey or number pulling was done. It was all stitched from older works. ROE was the result they cared about, and CR, DER, InvTO, and TATO were the test blocks. The method used was synthesis: cross-match ideas, filter the patterns, and write findings. Their final read showed that all four ratios linked to ROE alone and in bulk. They closed by calling on new studies to widen scope, test deeper, and bring more firm types into the net.</w:t>
      </w:r>
    </w:p>
    <w:p w:rsidR="00F65389" w:rsidRDefault="00601CBA" w:rsidP="00601CBA">
      <w:pPr>
        <w:spacing w:line="480" w:lineRule="auto"/>
        <w:jc w:val="both"/>
        <w:rPr>
          <w:rFonts w:ascii="Times New Roman" w:eastAsia="Times New Roman" w:hAnsi="Times New Roman" w:cs="Times New Roman"/>
        </w:rPr>
      </w:pPr>
      <w:r>
        <w:rPr>
          <w:rFonts w:ascii="Times New Roman" w:eastAsia="Times New Roman" w:hAnsi="Times New Roman" w:cs="Times New Roman"/>
        </w:rPr>
        <w:t>Prasetiyo (2022) worked on Indonesian public firms in the IDX20 to see how size, profit, and solvency matter in shaping company value. His lens was in the years 2018–2021. He leaned on agency logic, which says firm managers act on behalf of investors. He chose the hard numbers route. Value was tracked by Tobin's Q, with size (logged asset total), ROE, and solvency (via debt to total assets) as inputs. Data was lifted from vetted statements and reports. He filtered the data through SPSS tools, running checks for data noise and running tests to see which link holds. Results showed that firm size had a real and strong push on value. Solvency had a strong pull-down. ROE didn’t show any force on value. He wrapped up by saying size and solvency shape firm value in public firms more than ROE does. He urged other researchers to cast wider nets, try new tools, and stretch the scope across regions.</w:t>
      </w:r>
    </w:p>
    <w:p w:rsidR="00F65389" w:rsidRDefault="00601CBA" w:rsidP="00601CBA">
      <w:pPr>
        <w:spacing w:line="480" w:lineRule="auto"/>
        <w:jc w:val="both"/>
        <w:rPr>
          <w:rFonts w:ascii="Times New Roman" w:eastAsia="Times New Roman" w:hAnsi="Times New Roman" w:cs="Times New Roman"/>
        </w:rPr>
      </w:pPr>
      <w:r>
        <w:rPr>
          <w:rFonts w:ascii="Times New Roman" w:eastAsia="Times New Roman" w:hAnsi="Times New Roman" w:cs="Times New Roman"/>
          <w:b/>
        </w:rPr>
        <w:t>2.4 Summary of Literature and Gap</w:t>
      </w:r>
    </w:p>
    <w:p w:rsidR="00F65389" w:rsidRDefault="00601CBA" w:rsidP="00601CBA">
      <w:pPr>
        <w:spacing w:line="480" w:lineRule="auto"/>
        <w:jc w:val="both"/>
        <w:rPr>
          <w:rFonts w:ascii="Times New Roman" w:eastAsia="Times New Roman" w:hAnsi="Times New Roman" w:cs="Times New Roman"/>
        </w:rPr>
      </w:pPr>
      <w:r>
        <w:rPr>
          <w:rFonts w:ascii="Times New Roman" w:eastAsia="Times New Roman" w:hAnsi="Times New Roman" w:cs="Times New Roman"/>
        </w:rPr>
        <w:t xml:space="preserve">What we know from past works shows that how solvency and firm performance move together is not fixed. Studies have broken solvency into meaning, purpose, how to measure (Salih </w:t>
      </w:r>
      <w:r w:rsidRPr="00601CBA">
        <w:rPr>
          <w:rFonts w:ascii="Times New Roman" w:eastAsia="Times New Roman" w:hAnsi="Times New Roman" w:cs="Times New Roman"/>
          <w:i/>
        </w:rPr>
        <w:t>et al</w:t>
      </w:r>
      <w:r>
        <w:rPr>
          <w:rFonts w:ascii="Times New Roman" w:eastAsia="Times New Roman" w:hAnsi="Times New Roman" w:cs="Times New Roman"/>
        </w:rPr>
        <w:t xml:space="preserve"> 2023), what shapes it (Kumar </w:t>
      </w:r>
      <w:r w:rsidRPr="00601CBA">
        <w:rPr>
          <w:rFonts w:ascii="Times New Roman" w:eastAsia="Times New Roman" w:hAnsi="Times New Roman" w:cs="Times New Roman"/>
          <w:i/>
        </w:rPr>
        <w:t>et al</w:t>
      </w:r>
      <w:r>
        <w:rPr>
          <w:rFonts w:ascii="Times New Roman" w:eastAsia="Times New Roman" w:hAnsi="Times New Roman" w:cs="Times New Roman"/>
        </w:rPr>
        <w:t xml:space="preserve"> 2024), and how firms manage it (Alsubaihi 2022). For performance, the works span across meaning, stakeholder impact (Hutabarat and Devina 2015), how to track it through numbers like ROA (Sahni and Sharma 2017), what drives it (Bhatnagar 2016), and how firms can push it up (Tarihoran and Endri 2021). The theories like trade-off (Wang and Chen 2023) and pecking order (Li and Zhang 2024) give a base to think through firm finance moves, though they don’t always cover all real-world bends. Empirical tests by Kyule (2015), Umenzekwe </w:t>
      </w:r>
      <w:r w:rsidRPr="00601CBA">
        <w:rPr>
          <w:rFonts w:ascii="Times New Roman" w:eastAsia="Times New Roman" w:hAnsi="Times New Roman" w:cs="Times New Roman"/>
          <w:i/>
        </w:rPr>
        <w:t>et al</w:t>
      </w:r>
      <w:r>
        <w:rPr>
          <w:rFonts w:ascii="Times New Roman" w:eastAsia="Times New Roman" w:hAnsi="Times New Roman" w:cs="Times New Roman"/>
        </w:rPr>
        <w:t xml:space="preserve"> (2022), Aprilyani </w:t>
      </w:r>
      <w:r w:rsidRPr="00601CBA">
        <w:rPr>
          <w:rFonts w:ascii="Times New Roman" w:eastAsia="Times New Roman" w:hAnsi="Times New Roman" w:cs="Times New Roman"/>
          <w:i/>
        </w:rPr>
        <w:t>et al</w:t>
      </w:r>
      <w:r>
        <w:rPr>
          <w:rFonts w:ascii="Times New Roman" w:eastAsia="Times New Roman" w:hAnsi="Times New Roman" w:cs="Times New Roman"/>
        </w:rPr>
        <w:t xml:space="preserve"> (2024), and Yameen and Pervez (2016) all gave different verdicts on the solvency-profit link. That tells us that what works in one setting may not in another. This is why the link between solvency and financial outcome, especially for Nigerian fast goods firms, still needs checking. This study now steps into that space using Nestlé Nigeria PLC as its case. The goal is to draw clear links. Also, studies like Lee and Park (2020) that test external shock impact on ROA, and Sharma and Gupta (2023) on how solvency signals distress, show that solvency is more than a side stat; it might hold weight during tough turns. That makes the Nigerian FMCG space worth testing deeper.</w:t>
      </w:r>
    </w:p>
    <w:p w:rsidR="00F65389" w:rsidRDefault="00601CBA">
      <w:pPr>
        <w:spacing w:before="240" w:line="240" w:lineRule="auto"/>
        <w:ind w:left="360" w:hanging="720"/>
        <w:jc w:val="both"/>
        <w:rPr>
          <w:rFonts w:ascii="Times New Roman" w:eastAsia="Times New Roman" w:hAnsi="Times New Roman" w:cs="Times New Roman"/>
        </w:rPr>
      </w:pPr>
      <w:r>
        <w:br w:type="page"/>
      </w:r>
    </w:p>
    <w:p w:rsidR="00F65389" w:rsidRDefault="00601CBA">
      <w:pPr>
        <w:spacing w:line="480" w:lineRule="auto"/>
        <w:jc w:val="center"/>
        <w:rPr>
          <w:rFonts w:ascii="Times New Roman" w:eastAsia="Times New Roman" w:hAnsi="Times New Roman" w:cs="Times New Roman"/>
          <w:b/>
        </w:rPr>
      </w:pPr>
      <w:r>
        <w:rPr>
          <w:rFonts w:ascii="Times New Roman" w:eastAsia="Times New Roman" w:hAnsi="Times New Roman" w:cs="Times New Roman"/>
          <w:b/>
        </w:rPr>
        <w:t>CHAPTER THREE</w:t>
      </w:r>
    </w:p>
    <w:p w:rsidR="00F65389" w:rsidRDefault="00601CBA">
      <w:pPr>
        <w:spacing w:line="480" w:lineRule="auto"/>
        <w:jc w:val="center"/>
        <w:rPr>
          <w:rFonts w:ascii="Times New Roman" w:eastAsia="Times New Roman" w:hAnsi="Times New Roman" w:cs="Times New Roman"/>
          <w:b/>
        </w:rPr>
      </w:pPr>
      <w:r>
        <w:rPr>
          <w:rFonts w:ascii="Times New Roman" w:eastAsia="Times New Roman" w:hAnsi="Times New Roman" w:cs="Times New Roman"/>
          <w:b/>
        </w:rPr>
        <w:t>METHODOLOGY</w:t>
      </w:r>
    </w:p>
    <w:p w:rsidR="00F65389" w:rsidRDefault="00601CBA">
      <w:pPr>
        <w:spacing w:line="480" w:lineRule="auto"/>
        <w:jc w:val="both"/>
        <w:rPr>
          <w:rFonts w:ascii="Times New Roman" w:eastAsia="Times New Roman" w:hAnsi="Times New Roman" w:cs="Times New Roman"/>
        </w:rPr>
      </w:pPr>
      <w:r>
        <w:rPr>
          <w:rFonts w:ascii="Times New Roman" w:eastAsia="Times New Roman" w:hAnsi="Times New Roman" w:cs="Times New Roman"/>
        </w:rPr>
        <w:t>This chapter lays out the route taken for testing, breaks down the model used, flags what results are expected, maps out the tools for reading the data, and sets the rules for what counts as meaning in the findings.</w:t>
      </w:r>
    </w:p>
    <w:p w:rsidR="00F65389" w:rsidRDefault="00601CBA">
      <w:pPr>
        <w:spacing w:line="480" w:lineRule="auto"/>
        <w:jc w:val="both"/>
        <w:rPr>
          <w:rFonts w:ascii="Times New Roman" w:eastAsia="Times New Roman" w:hAnsi="Times New Roman" w:cs="Times New Roman"/>
          <w:b/>
        </w:rPr>
      </w:pPr>
      <w:r>
        <w:rPr>
          <w:rFonts w:ascii="Times New Roman" w:eastAsia="Times New Roman" w:hAnsi="Times New Roman" w:cs="Times New Roman"/>
          <w:b/>
        </w:rPr>
        <w:t>3.1 Research Design</w:t>
      </w:r>
    </w:p>
    <w:p w:rsidR="00F65389" w:rsidRDefault="00601CBA">
      <w:pPr>
        <w:spacing w:line="480" w:lineRule="auto"/>
        <w:jc w:val="both"/>
        <w:rPr>
          <w:rFonts w:ascii="Times New Roman" w:eastAsia="Times New Roman" w:hAnsi="Times New Roman" w:cs="Times New Roman"/>
        </w:rPr>
      </w:pPr>
      <w:r>
        <w:rPr>
          <w:rFonts w:ascii="Times New Roman" w:eastAsia="Times New Roman" w:hAnsi="Times New Roman" w:cs="Times New Roman"/>
        </w:rPr>
        <w:t>The study follows an ex post facto layout. This setup fits cases where the core variable cannot be tweaked. In this case, firm solvency is already in play and can’t be reshaped. The method allows a look-back into old records to trace if solvency patterns link with financial outcomes. As seen in Yameen and Pervez (2016), this kind of design helps draw cause notes from past data without poking the variables directly. For this study, it fits the question: Does solvency affect Nestlé Nigeria’s financial returns?</w:t>
      </w:r>
    </w:p>
    <w:p w:rsidR="00F65389" w:rsidRDefault="00601CBA">
      <w:pPr>
        <w:spacing w:line="480" w:lineRule="auto"/>
        <w:jc w:val="both"/>
        <w:rPr>
          <w:rFonts w:ascii="Times New Roman" w:eastAsia="Times New Roman" w:hAnsi="Times New Roman" w:cs="Times New Roman"/>
          <w:b/>
        </w:rPr>
      </w:pPr>
      <w:r>
        <w:rPr>
          <w:rFonts w:ascii="Times New Roman" w:eastAsia="Times New Roman" w:hAnsi="Times New Roman" w:cs="Times New Roman"/>
          <w:b/>
        </w:rPr>
        <w:t>3.2 Area of Study</w:t>
      </w:r>
    </w:p>
    <w:p w:rsidR="00F65389" w:rsidRDefault="00601CBA">
      <w:pPr>
        <w:spacing w:line="480" w:lineRule="auto"/>
        <w:jc w:val="both"/>
        <w:rPr>
          <w:rFonts w:ascii="Times New Roman" w:eastAsia="Times New Roman" w:hAnsi="Times New Roman" w:cs="Times New Roman"/>
        </w:rPr>
      </w:pPr>
      <w:r>
        <w:rPr>
          <w:rFonts w:ascii="Times New Roman" w:eastAsia="Times New Roman" w:hAnsi="Times New Roman" w:cs="Times New Roman"/>
        </w:rPr>
        <w:t>The work circles around Nestlé Nigeria. The firm sits at the heart of Nigeria’s fast goods trade, based in Lagos, with plants set up in Agbara and Sagamu. Its products move across the six geo-zones of the country. Nigeria, known for its thick consumer base and shifting economy, offers the right soil for this kind of test. This study drills only into Nestlé Nigeria’s numbers and relies strictly on clean public records, mainly those filed with the Nigerian Exchange Group and other trusted outlets.</w:t>
      </w:r>
    </w:p>
    <w:p w:rsidR="00601CBA" w:rsidRDefault="00601CBA">
      <w:pPr>
        <w:spacing w:line="480" w:lineRule="auto"/>
        <w:jc w:val="both"/>
        <w:rPr>
          <w:rFonts w:ascii="Times New Roman" w:eastAsia="Times New Roman" w:hAnsi="Times New Roman" w:cs="Times New Roman"/>
        </w:rPr>
      </w:pPr>
    </w:p>
    <w:p w:rsidR="00601CBA" w:rsidRDefault="00601CBA">
      <w:pPr>
        <w:spacing w:line="480" w:lineRule="auto"/>
        <w:jc w:val="both"/>
        <w:rPr>
          <w:rFonts w:ascii="Times New Roman" w:eastAsia="Times New Roman" w:hAnsi="Times New Roman" w:cs="Times New Roman"/>
        </w:rPr>
      </w:pPr>
    </w:p>
    <w:p w:rsidR="00F65389" w:rsidRDefault="00601CBA">
      <w:pPr>
        <w:spacing w:line="480" w:lineRule="auto"/>
        <w:jc w:val="both"/>
        <w:rPr>
          <w:rFonts w:ascii="Times New Roman" w:eastAsia="Times New Roman" w:hAnsi="Times New Roman" w:cs="Times New Roman"/>
          <w:b/>
        </w:rPr>
      </w:pPr>
      <w:r>
        <w:rPr>
          <w:rFonts w:ascii="Times New Roman" w:eastAsia="Times New Roman" w:hAnsi="Times New Roman" w:cs="Times New Roman"/>
          <w:b/>
        </w:rPr>
        <w:t>3.3 Sources of Data</w:t>
      </w:r>
    </w:p>
    <w:p w:rsidR="00F65389" w:rsidRDefault="00601CBA">
      <w:pPr>
        <w:spacing w:line="480" w:lineRule="auto"/>
        <w:jc w:val="both"/>
        <w:rPr>
          <w:rFonts w:ascii="Times New Roman" w:eastAsia="Times New Roman" w:hAnsi="Times New Roman" w:cs="Times New Roman"/>
        </w:rPr>
      </w:pPr>
      <w:r>
        <w:rPr>
          <w:rFonts w:ascii="Times New Roman" w:eastAsia="Times New Roman" w:hAnsi="Times New Roman" w:cs="Times New Roman"/>
        </w:rPr>
        <w:t>Data used here are not fresh pulls but past records. The main well is Nestlé Nigeria’s annual filings and financials from 2012 to 2023. These will be lifted from the Nigerian Exchange Group portal and the firm’s investor board. Just like Prasetiyo (2022), this study leans on old records to spot trends and test the past. This tight link with the ex post facto frame means the study keeps in step with tested and repeatable academic rhythm.</w:t>
      </w:r>
    </w:p>
    <w:p w:rsidR="00F65389" w:rsidRDefault="00601CBA">
      <w:pPr>
        <w:spacing w:line="480" w:lineRule="auto"/>
        <w:jc w:val="both"/>
        <w:rPr>
          <w:rFonts w:ascii="Times New Roman" w:eastAsia="Times New Roman" w:hAnsi="Times New Roman" w:cs="Times New Roman"/>
          <w:b/>
        </w:rPr>
      </w:pPr>
      <w:r>
        <w:rPr>
          <w:rFonts w:ascii="Times New Roman" w:eastAsia="Times New Roman" w:hAnsi="Times New Roman" w:cs="Times New Roman"/>
          <w:b/>
        </w:rPr>
        <w:t>3.4 Model Specification</w:t>
      </w:r>
    </w:p>
    <w:p w:rsidR="00F65389" w:rsidRDefault="00601CBA">
      <w:pPr>
        <w:spacing w:line="480" w:lineRule="auto"/>
        <w:jc w:val="both"/>
        <w:rPr>
          <w:rFonts w:ascii="Times New Roman" w:eastAsia="Times New Roman" w:hAnsi="Times New Roman" w:cs="Times New Roman"/>
        </w:rPr>
      </w:pPr>
      <w:r>
        <w:rPr>
          <w:rFonts w:ascii="Times New Roman" w:eastAsia="Times New Roman" w:hAnsi="Times New Roman" w:cs="Times New Roman"/>
        </w:rPr>
        <w:t xml:space="preserve">The test model walks the same road used by Umenzekwe </w:t>
      </w:r>
      <w:r w:rsidRPr="00601CBA">
        <w:rPr>
          <w:rFonts w:ascii="Times New Roman" w:eastAsia="Times New Roman" w:hAnsi="Times New Roman" w:cs="Times New Roman"/>
          <w:i/>
        </w:rPr>
        <w:t>et al</w:t>
      </w:r>
      <w:r>
        <w:rPr>
          <w:rFonts w:ascii="Times New Roman" w:eastAsia="Times New Roman" w:hAnsi="Times New Roman" w:cs="Times New Roman"/>
        </w:rPr>
        <w:t xml:space="preserve"> (2022) and Aprilyani, Hidayat, and Kusworo (2024). The model used here is set to track how firm solvency rolls into ROA for Nestlé Nigeria. The plan is to run a regression setup that flags the push or pull from ratios like debt-to-asset, debt-to-equity, and times interest earned on ROA. ROA stays as the response factor. The solvency picks are the drivers. This basic yet sharp frame helps catch where solvency bites and where it misses.:</w:t>
      </w:r>
    </w:p>
    <w:p w:rsidR="00F65389" w:rsidRDefault="00601CBA">
      <w:pPr>
        <w:spacing w:line="480" w:lineRule="auto"/>
        <w:jc w:val="both"/>
        <w:rPr>
          <w:rFonts w:ascii="Times New Roman" w:eastAsia="Times New Roman" w:hAnsi="Times New Roman" w:cs="Times New Roman"/>
          <w:i/>
        </w:rPr>
      </w:pPr>
      <w:r>
        <w:rPr>
          <w:rFonts w:ascii="Times New Roman" w:eastAsia="Times New Roman" w:hAnsi="Times New Roman" w:cs="Times New Roman"/>
          <w:i/>
        </w:rPr>
        <w:t>ROA = β</w:t>
      </w:r>
      <w:r>
        <w:rPr>
          <w:rFonts w:ascii="Times New Roman" w:eastAsia="Times New Roman" w:hAnsi="Times New Roman" w:cs="Times New Roman"/>
          <w:i/>
          <w:vertAlign w:val="subscript"/>
        </w:rPr>
        <w:t>0</w:t>
      </w:r>
      <w:r>
        <w:rPr>
          <w:rFonts w:ascii="Times New Roman" w:eastAsia="Times New Roman" w:hAnsi="Times New Roman" w:cs="Times New Roman"/>
          <w:i/>
        </w:rPr>
        <w:t xml:space="preserve"> + β</w:t>
      </w:r>
      <w:r>
        <w:rPr>
          <w:rFonts w:ascii="Times New Roman" w:eastAsia="Times New Roman" w:hAnsi="Times New Roman" w:cs="Times New Roman"/>
          <w:i/>
          <w:vertAlign w:val="subscript"/>
        </w:rPr>
        <w:t>1</w:t>
      </w:r>
      <w:r>
        <w:rPr>
          <w:rFonts w:ascii="Times New Roman" w:eastAsia="Times New Roman" w:hAnsi="Times New Roman" w:cs="Times New Roman"/>
          <w:i/>
        </w:rPr>
        <w:t>(DAR)</w:t>
      </w:r>
      <w:r>
        <w:rPr>
          <w:rFonts w:ascii="Times New Roman" w:eastAsia="Times New Roman" w:hAnsi="Times New Roman" w:cs="Times New Roman"/>
          <w:i/>
          <w:vertAlign w:val="subscript"/>
        </w:rPr>
        <w:t>it</w:t>
      </w:r>
      <w:r>
        <w:rPr>
          <w:rFonts w:ascii="Times New Roman" w:eastAsia="Times New Roman" w:hAnsi="Times New Roman" w:cs="Times New Roman"/>
          <w:i/>
        </w:rPr>
        <w:t xml:space="preserve"> + β</w:t>
      </w:r>
      <w:r>
        <w:rPr>
          <w:rFonts w:ascii="Times New Roman" w:eastAsia="Times New Roman" w:hAnsi="Times New Roman" w:cs="Times New Roman"/>
          <w:i/>
          <w:vertAlign w:val="subscript"/>
        </w:rPr>
        <w:t>2</w:t>
      </w:r>
      <w:r>
        <w:rPr>
          <w:rFonts w:ascii="Times New Roman" w:eastAsia="Times New Roman" w:hAnsi="Times New Roman" w:cs="Times New Roman"/>
          <w:i/>
        </w:rPr>
        <w:t>(DER)</w:t>
      </w:r>
      <w:r>
        <w:rPr>
          <w:rFonts w:ascii="Times New Roman" w:eastAsia="Times New Roman" w:hAnsi="Times New Roman" w:cs="Times New Roman"/>
          <w:i/>
          <w:vertAlign w:val="subscript"/>
        </w:rPr>
        <w:t>it</w:t>
      </w:r>
      <w:r>
        <w:rPr>
          <w:rFonts w:ascii="Times New Roman" w:eastAsia="Times New Roman" w:hAnsi="Times New Roman" w:cs="Times New Roman"/>
          <w:i/>
        </w:rPr>
        <w:t xml:space="preserve"> + β</w:t>
      </w:r>
      <w:r>
        <w:rPr>
          <w:rFonts w:ascii="Times New Roman" w:eastAsia="Times New Roman" w:hAnsi="Times New Roman" w:cs="Times New Roman"/>
          <w:i/>
          <w:vertAlign w:val="subscript"/>
        </w:rPr>
        <w:t>3</w:t>
      </w:r>
      <w:r>
        <w:rPr>
          <w:rFonts w:ascii="Times New Roman" w:eastAsia="Times New Roman" w:hAnsi="Times New Roman" w:cs="Times New Roman"/>
          <w:i/>
        </w:rPr>
        <w:t>(ICR)</w:t>
      </w:r>
      <w:r>
        <w:rPr>
          <w:rFonts w:ascii="Times New Roman" w:eastAsia="Times New Roman" w:hAnsi="Times New Roman" w:cs="Times New Roman"/>
          <w:i/>
          <w:vertAlign w:val="subscript"/>
        </w:rPr>
        <w:t>it</w:t>
      </w:r>
      <w:r>
        <w:rPr>
          <w:rFonts w:ascii="Times New Roman" w:eastAsia="Times New Roman" w:hAnsi="Times New Roman" w:cs="Times New Roman"/>
          <w:i/>
        </w:rPr>
        <w:t xml:space="preserve"> + β</w:t>
      </w:r>
      <w:r>
        <w:rPr>
          <w:rFonts w:ascii="Times New Roman" w:eastAsia="Times New Roman" w:hAnsi="Times New Roman" w:cs="Times New Roman"/>
          <w:i/>
          <w:vertAlign w:val="subscript"/>
        </w:rPr>
        <w:t>4</w:t>
      </w:r>
      <w:r>
        <w:rPr>
          <w:rFonts w:ascii="Times New Roman" w:eastAsia="Times New Roman" w:hAnsi="Times New Roman" w:cs="Times New Roman"/>
          <w:i/>
        </w:rPr>
        <w:t>(TIER)</w:t>
      </w:r>
      <w:r>
        <w:rPr>
          <w:rFonts w:ascii="Times New Roman" w:eastAsia="Times New Roman" w:hAnsi="Times New Roman" w:cs="Times New Roman"/>
          <w:i/>
          <w:vertAlign w:val="subscript"/>
        </w:rPr>
        <w:t>it</w:t>
      </w:r>
      <w:r>
        <w:rPr>
          <w:rFonts w:ascii="Times New Roman" w:eastAsia="Times New Roman" w:hAnsi="Times New Roman" w:cs="Times New Roman"/>
          <w:i/>
        </w:rPr>
        <w:t xml:space="preserve"> + ε</w:t>
      </w:r>
    </w:p>
    <w:p w:rsidR="00F65389" w:rsidRDefault="00601CBA">
      <w:pPr>
        <w:spacing w:line="480" w:lineRule="auto"/>
        <w:jc w:val="both"/>
        <w:rPr>
          <w:rFonts w:ascii="Times New Roman" w:eastAsia="Times New Roman" w:hAnsi="Times New Roman" w:cs="Times New Roman"/>
        </w:rPr>
      </w:pPr>
      <w:r>
        <w:rPr>
          <w:rFonts w:ascii="Times New Roman" w:eastAsia="Times New Roman" w:hAnsi="Times New Roman" w:cs="Times New Roman"/>
        </w:rPr>
        <w:t>Where:</w:t>
      </w:r>
    </w:p>
    <w:p w:rsidR="00F65389" w:rsidRDefault="00601CBA">
      <w:pPr>
        <w:spacing w:line="480" w:lineRule="auto"/>
        <w:jc w:val="both"/>
        <w:rPr>
          <w:rFonts w:ascii="Times New Roman" w:eastAsia="Times New Roman" w:hAnsi="Times New Roman" w:cs="Times New Roman"/>
        </w:rPr>
      </w:pPr>
      <w:r>
        <w:rPr>
          <w:rFonts w:ascii="Times New Roman" w:eastAsia="Times New Roman" w:hAnsi="Times New Roman" w:cs="Times New Roman"/>
        </w:rPr>
        <w:t>ROA = Return on Assets</w:t>
      </w:r>
    </w:p>
    <w:p w:rsidR="00F65389" w:rsidRDefault="00601CBA">
      <w:pPr>
        <w:spacing w:line="480" w:lineRule="auto"/>
        <w:jc w:val="both"/>
        <w:rPr>
          <w:rFonts w:ascii="Times New Roman" w:eastAsia="Times New Roman" w:hAnsi="Times New Roman" w:cs="Times New Roman"/>
        </w:rPr>
      </w:pPr>
      <w:r>
        <w:rPr>
          <w:rFonts w:ascii="Times New Roman" w:eastAsia="Times New Roman" w:hAnsi="Times New Roman" w:cs="Times New Roman"/>
        </w:rPr>
        <w:t>DAR = Debt-to-Asset Ratio</w:t>
      </w:r>
    </w:p>
    <w:p w:rsidR="00F65389" w:rsidRDefault="00601CBA">
      <w:pPr>
        <w:spacing w:line="480" w:lineRule="auto"/>
        <w:jc w:val="both"/>
        <w:rPr>
          <w:rFonts w:ascii="Times New Roman" w:eastAsia="Times New Roman" w:hAnsi="Times New Roman" w:cs="Times New Roman"/>
        </w:rPr>
      </w:pPr>
      <w:r>
        <w:rPr>
          <w:rFonts w:ascii="Times New Roman" w:eastAsia="Times New Roman" w:hAnsi="Times New Roman" w:cs="Times New Roman"/>
        </w:rPr>
        <w:t>DER = Debt-to-Equity Ratio</w:t>
      </w:r>
    </w:p>
    <w:p w:rsidR="00F65389" w:rsidRDefault="00601CBA">
      <w:pPr>
        <w:spacing w:line="480" w:lineRule="auto"/>
        <w:jc w:val="both"/>
        <w:rPr>
          <w:rFonts w:ascii="Times New Roman" w:eastAsia="Times New Roman" w:hAnsi="Times New Roman" w:cs="Times New Roman"/>
        </w:rPr>
      </w:pPr>
      <w:r>
        <w:rPr>
          <w:rFonts w:ascii="Times New Roman" w:eastAsia="Times New Roman" w:hAnsi="Times New Roman" w:cs="Times New Roman"/>
        </w:rPr>
        <w:t>ICR = Interest Coverage Ratio</w:t>
      </w:r>
    </w:p>
    <w:p w:rsidR="00F65389" w:rsidRDefault="00601CBA">
      <w:pPr>
        <w:spacing w:line="480" w:lineRule="auto"/>
        <w:jc w:val="both"/>
        <w:rPr>
          <w:rFonts w:ascii="Times New Roman" w:eastAsia="Times New Roman" w:hAnsi="Times New Roman" w:cs="Times New Roman"/>
        </w:rPr>
      </w:pPr>
      <w:r>
        <w:rPr>
          <w:rFonts w:ascii="Times New Roman" w:eastAsia="Times New Roman" w:hAnsi="Times New Roman" w:cs="Times New Roman"/>
        </w:rPr>
        <w:t>TIER = Times Interest Earned Ratio</w:t>
      </w:r>
    </w:p>
    <w:p w:rsidR="00F65389" w:rsidRDefault="00601CBA">
      <w:pPr>
        <w:spacing w:line="480" w:lineRule="auto"/>
        <w:jc w:val="both"/>
        <w:rPr>
          <w:rFonts w:ascii="Times New Roman" w:eastAsia="Times New Roman" w:hAnsi="Times New Roman" w:cs="Times New Roman"/>
        </w:rPr>
      </w:pPr>
      <w:r>
        <w:rPr>
          <w:rFonts w:ascii="Times New Roman" w:eastAsia="Times New Roman" w:hAnsi="Times New Roman" w:cs="Times New Roman"/>
        </w:rPr>
        <w:t>β0 = Intercept</w:t>
      </w:r>
    </w:p>
    <w:p w:rsidR="00F65389" w:rsidRDefault="00601CBA">
      <w:pPr>
        <w:spacing w:line="480" w:lineRule="auto"/>
        <w:jc w:val="both"/>
        <w:rPr>
          <w:rFonts w:ascii="Times New Roman" w:eastAsia="Times New Roman" w:hAnsi="Times New Roman" w:cs="Times New Roman"/>
        </w:rPr>
      </w:pPr>
      <w:r>
        <w:rPr>
          <w:rFonts w:ascii="Times New Roman" w:eastAsia="Times New Roman" w:hAnsi="Times New Roman" w:cs="Times New Roman"/>
        </w:rPr>
        <w:t>β</w:t>
      </w:r>
      <w:r>
        <w:rPr>
          <w:rFonts w:ascii="Times New Roman" w:eastAsia="Times New Roman" w:hAnsi="Times New Roman" w:cs="Times New Roman"/>
          <w:vertAlign w:val="subscript"/>
        </w:rPr>
        <w:t>1</w:t>
      </w:r>
      <w:r>
        <w:rPr>
          <w:rFonts w:ascii="Times New Roman" w:eastAsia="Times New Roman" w:hAnsi="Times New Roman" w:cs="Times New Roman"/>
        </w:rPr>
        <w:t>, β</w:t>
      </w:r>
      <w:r>
        <w:rPr>
          <w:rFonts w:ascii="Times New Roman" w:eastAsia="Times New Roman" w:hAnsi="Times New Roman" w:cs="Times New Roman"/>
          <w:vertAlign w:val="subscript"/>
        </w:rPr>
        <w:t>2</w:t>
      </w:r>
      <w:r>
        <w:rPr>
          <w:rFonts w:ascii="Times New Roman" w:eastAsia="Times New Roman" w:hAnsi="Times New Roman" w:cs="Times New Roman"/>
        </w:rPr>
        <w:t>, β</w:t>
      </w:r>
      <w:r>
        <w:rPr>
          <w:rFonts w:ascii="Times New Roman" w:eastAsia="Times New Roman" w:hAnsi="Times New Roman" w:cs="Times New Roman"/>
          <w:vertAlign w:val="subscript"/>
        </w:rPr>
        <w:t>3</w:t>
      </w:r>
      <w:r>
        <w:rPr>
          <w:rFonts w:ascii="Times New Roman" w:eastAsia="Times New Roman" w:hAnsi="Times New Roman" w:cs="Times New Roman"/>
        </w:rPr>
        <w:t>, β</w:t>
      </w:r>
      <w:r>
        <w:rPr>
          <w:rFonts w:ascii="Times New Roman" w:eastAsia="Times New Roman" w:hAnsi="Times New Roman" w:cs="Times New Roman"/>
          <w:vertAlign w:val="subscript"/>
        </w:rPr>
        <w:t>4</w:t>
      </w:r>
      <w:r>
        <w:rPr>
          <w:rFonts w:ascii="Times New Roman" w:eastAsia="Times New Roman" w:hAnsi="Times New Roman" w:cs="Times New Roman"/>
        </w:rPr>
        <w:t xml:space="preserve"> = Coefficients representing the impact of each solvency ratio on ROA</w:t>
      </w:r>
    </w:p>
    <w:p w:rsidR="00F65389" w:rsidRDefault="00601CBA">
      <w:pPr>
        <w:spacing w:line="480" w:lineRule="auto"/>
        <w:jc w:val="both"/>
        <w:rPr>
          <w:rFonts w:ascii="Times New Roman" w:eastAsia="Times New Roman" w:hAnsi="Times New Roman" w:cs="Times New Roman"/>
        </w:rPr>
      </w:pPr>
      <w:r>
        <w:rPr>
          <w:rFonts w:ascii="Times New Roman" w:eastAsia="Times New Roman" w:hAnsi="Times New Roman" w:cs="Times New Roman"/>
        </w:rPr>
        <w:t>ε = Error term</w:t>
      </w:r>
    </w:p>
    <w:p w:rsidR="00F65389" w:rsidRDefault="00601CBA">
      <w:pPr>
        <w:spacing w:line="480" w:lineRule="auto"/>
        <w:jc w:val="both"/>
        <w:rPr>
          <w:rFonts w:ascii="Times New Roman" w:eastAsia="Times New Roman" w:hAnsi="Times New Roman" w:cs="Times New Roman"/>
          <w:b/>
        </w:rPr>
      </w:pPr>
      <w:r>
        <w:rPr>
          <w:rFonts w:ascii="Times New Roman" w:eastAsia="Times New Roman" w:hAnsi="Times New Roman" w:cs="Times New Roman"/>
        </w:rPr>
        <w:t>This setup checks how much each solvency piece pushes or pulls on Nestlé Nigeria’s profit line, close to how Kyule (2015) and Effendie, Manafe, and Man (2022) framed their own checks on firm health.</w:t>
      </w:r>
    </w:p>
    <w:p w:rsidR="00F65389" w:rsidRDefault="00601CBA">
      <w:pPr>
        <w:spacing w:line="480" w:lineRule="auto"/>
        <w:jc w:val="both"/>
        <w:rPr>
          <w:rFonts w:ascii="Times New Roman" w:eastAsia="Times New Roman" w:hAnsi="Times New Roman" w:cs="Times New Roman"/>
          <w:b/>
        </w:rPr>
      </w:pPr>
      <w:r>
        <w:rPr>
          <w:rFonts w:ascii="Times New Roman" w:eastAsia="Times New Roman" w:hAnsi="Times New Roman" w:cs="Times New Roman"/>
          <w:b/>
        </w:rPr>
        <w:t>3.5 Population of the Study</w:t>
      </w:r>
    </w:p>
    <w:p w:rsidR="00F65389" w:rsidRDefault="00601CBA">
      <w:pPr>
        <w:spacing w:line="480" w:lineRule="auto"/>
        <w:jc w:val="both"/>
        <w:rPr>
          <w:rFonts w:ascii="Times New Roman" w:eastAsia="Times New Roman" w:hAnsi="Times New Roman" w:cs="Times New Roman"/>
        </w:rPr>
      </w:pPr>
      <w:r>
        <w:rPr>
          <w:rFonts w:ascii="Times New Roman" w:eastAsia="Times New Roman" w:hAnsi="Times New Roman" w:cs="Times New Roman"/>
        </w:rPr>
        <w:t>This study pools from all 30 FMCG firms listed on the Nigerian Exchange between 2012 and 2023. The list includes big names like Nestlé Nigeria PLC, Unilever, Cadbury, Guinness, Nigerian Breweries, PZ Cussons, and other firms pushing products in food, home, and body care. These firms run under the same economic pressure points, government rules, and market rhythm in Nigeria. Nestlé Nigeria was picked out for deep dive because it stays top of class with clean yearly books, wide shelf reach, and strong standing in the sector.</w:t>
      </w:r>
    </w:p>
    <w:p w:rsidR="00F65389" w:rsidRDefault="00601CBA">
      <w:pPr>
        <w:spacing w:line="480" w:lineRule="auto"/>
        <w:jc w:val="both"/>
        <w:rPr>
          <w:rFonts w:ascii="Times New Roman" w:eastAsia="Times New Roman" w:hAnsi="Times New Roman" w:cs="Times New Roman"/>
        </w:rPr>
      </w:pPr>
      <w:r>
        <w:rPr>
          <w:rFonts w:ascii="Times New Roman" w:eastAsia="Times New Roman" w:hAnsi="Times New Roman" w:cs="Times New Roman"/>
        </w:rPr>
        <w:t>The population marks out the full set of players shaping Nigeria’s consumer goods trade, all moving within the same zone. Their operations reflect what firms face in the real market, with costs, policies, and customer waves hitting similar points. This gives the case study a sharp base while letting it mirror wider truths in the sector.</w:t>
      </w:r>
    </w:p>
    <w:p w:rsidR="00F65389" w:rsidRDefault="00601CBA">
      <w:pPr>
        <w:spacing w:line="480" w:lineRule="auto"/>
        <w:jc w:val="both"/>
        <w:rPr>
          <w:rFonts w:ascii="Times New Roman" w:eastAsia="Times New Roman" w:hAnsi="Times New Roman" w:cs="Times New Roman"/>
          <w:b/>
        </w:rPr>
      </w:pPr>
      <w:r>
        <w:rPr>
          <w:rFonts w:ascii="Times New Roman" w:eastAsia="Times New Roman" w:hAnsi="Times New Roman" w:cs="Times New Roman"/>
          <w:b/>
        </w:rPr>
        <w:t>3.6 Description of Variables</w:t>
      </w:r>
    </w:p>
    <w:p w:rsidR="00F65389" w:rsidRDefault="00601CBA">
      <w:pPr>
        <w:spacing w:line="480" w:lineRule="auto"/>
        <w:jc w:val="both"/>
        <w:rPr>
          <w:rFonts w:ascii="Times New Roman" w:eastAsia="Times New Roman" w:hAnsi="Times New Roman" w:cs="Times New Roman"/>
        </w:rPr>
      </w:pPr>
      <w:r>
        <w:rPr>
          <w:rFonts w:ascii="Times New Roman" w:eastAsia="Times New Roman" w:hAnsi="Times New Roman" w:cs="Times New Roman"/>
        </w:rPr>
        <w:t>Return on Assets (ROA): This sits as the dependent pointer in this work. It spells out how much Nestlé Nigeria makes for every unit it owns. The higher it goes, the more the firm gets out of what it holds. ROA checks efficiency and is pinned down using this setup:</w:t>
      </w:r>
    </w:p>
    <w:p w:rsidR="00F65389" w:rsidRDefault="00601CBA">
      <w:pPr>
        <w:spacing w:line="480" w:lineRule="auto"/>
        <w:jc w:val="both"/>
        <w:rPr>
          <w:rFonts w:ascii="Times New Roman" w:eastAsia="Times New Roman" w:hAnsi="Times New Roman" w:cs="Times New Roman"/>
        </w:rPr>
      </w:pPr>
      <w:r>
        <w:rPr>
          <w:rFonts w:ascii="Times New Roman" w:eastAsia="Times New Roman" w:hAnsi="Times New Roman" w:cs="Times New Roman"/>
        </w:rPr>
        <w:t>ROA = Net Income ÷ Total Assets</w:t>
      </w:r>
    </w:p>
    <w:p w:rsidR="00F65389" w:rsidRDefault="00601CBA">
      <w:pPr>
        <w:spacing w:line="480" w:lineRule="auto"/>
        <w:jc w:val="both"/>
        <w:rPr>
          <w:rFonts w:ascii="Times New Roman" w:eastAsia="Times New Roman" w:hAnsi="Times New Roman" w:cs="Times New Roman"/>
        </w:rPr>
      </w:pPr>
      <w:r>
        <w:rPr>
          <w:rFonts w:ascii="Times New Roman" w:eastAsia="Times New Roman" w:hAnsi="Times New Roman" w:cs="Times New Roman"/>
        </w:rPr>
        <w:t>Debt-to-Asset Ratio (DAR): This one shows how much of the firm’s body is carried by borrowed cash. It reads how deep debt runs in the firm’s frame. The higher the figure, the more risk climbs. This is the path:</w:t>
      </w:r>
    </w:p>
    <w:p w:rsidR="00F65389" w:rsidRDefault="00601CBA">
      <w:pPr>
        <w:spacing w:line="480" w:lineRule="auto"/>
        <w:jc w:val="both"/>
        <w:rPr>
          <w:rFonts w:ascii="Times New Roman" w:eastAsia="Times New Roman" w:hAnsi="Times New Roman" w:cs="Times New Roman"/>
        </w:rPr>
      </w:pPr>
      <w:r>
        <w:rPr>
          <w:rFonts w:ascii="Times New Roman" w:eastAsia="Times New Roman" w:hAnsi="Times New Roman" w:cs="Times New Roman"/>
        </w:rPr>
        <w:t>DAR = Total Debt ÷ Total Assets</w:t>
      </w:r>
    </w:p>
    <w:p w:rsidR="00F65389" w:rsidRDefault="00601CBA">
      <w:pPr>
        <w:spacing w:line="480" w:lineRule="auto"/>
        <w:jc w:val="both"/>
        <w:rPr>
          <w:rFonts w:ascii="Times New Roman" w:eastAsia="Times New Roman" w:hAnsi="Times New Roman" w:cs="Times New Roman"/>
        </w:rPr>
      </w:pPr>
      <w:r>
        <w:rPr>
          <w:rFonts w:ascii="Times New Roman" w:eastAsia="Times New Roman" w:hAnsi="Times New Roman" w:cs="Times New Roman"/>
        </w:rPr>
        <w:t>Debt-to-Equity Ratio (DER): This ratio lays debt side by side with equity. It checks if the firm leans more on lenders or owners. A high score here can lift or crush profit depending on how things roll. The setup reads:</w:t>
      </w:r>
    </w:p>
    <w:p w:rsidR="00F65389" w:rsidRDefault="00601CBA">
      <w:pPr>
        <w:spacing w:line="480" w:lineRule="auto"/>
        <w:jc w:val="both"/>
        <w:rPr>
          <w:rFonts w:ascii="Times New Roman" w:eastAsia="Times New Roman" w:hAnsi="Times New Roman" w:cs="Times New Roman"/>
        </w:rPr>
      </w:pPr>
      <w:r>
        <w:rPr>
          <w:rFonts w:ascii="Times New Roman" w:eastAsia="Times New Roman" w:hAnsi="Times New Roman" w:cs="Times New Roman"/>
        </w:rPr>
        <w:t>DER = Total Debt ÷ Total Equity</w:t>
      </w:r>
    </w:p>
    <w:p w:rsidR="00F65389" w:rsidRDefault="00601CBA">
      <w:pPr>
        <w:spacing w:line="480" w:lineRule="auto"/>
        <w:jc w:val="both"/>
        <w:rPr>
          <w:rFonts w:ascii="Times New Roman" w:eastAsia="Times New Roman" w:hAnsi="Times New Roman" w:cs="Times New Roman"/>
        </w:rPr>
      </w:pPr>
      <w:r>
        <w:rPr>
          <w:rFonts w:ascii="Times New Roman" w:eastAsia="Times New Roman" w:hAnsi="Times New Roman" w:cs="Times New Roman"/>
        </w:rPr>
        <w:t>Interest Coverage Ratio (ICR): This tests if the firm’s core cash work can clear its interest bills. A strong number here tells that the company won’t choke when interest comes knocking. It runs as:</w:t>
      </w:r>
    </w:p>
    <w:p w:rsidR="00F65389" w:rsidRDefault="00601CBA">
      <w:pPr>
        <w:spacing w:line="480" w:lineRule="auto"/>
        <w:jc w:val="both"/>
        <w:rPr>
          <w:rFonts w:ascii="Times New Roman" w:eastAsia="Times New Roman" w:hAnsi="Times New Roman" w:cs="Times New Roman"/>
        </w:rPr>
      </w:pPr>
      <w:r>
        <w:rPr>
          <w:rFonts w:ascii="Times New Roman" w:eastAsia="Times New Roman" w:hAnsi="Times New Roman" w:cs="Times New Roman"/>
        </w:rPr>
        <w:t>ICR = EBIT ÷ Interest Expense</w:t>
      </w:r>
    </w:p>
    <w:p w:rsidR="00F65389" w:rsidRDefault="00601CBA">
      <w:pPr>
        <w:spacing w:line="480" w:lineRule="auto"/>
        <w:jc w:val="both"/>
        <w:rPr>
          <w:rFonts w:ascii="Times New Roman" w:eastAsia="Times New Roman" w:hAnsi="Times New Roman" w:cs="Times New Roman"/>
        </w:rPr>
      </w:pPr>
      <w:r>
        <w:rPr>
          <w:rFonts w:ascii="Times New Roman" w:eastAsia="Times New Roman" w:hAnsi="Times New Roman" w:cs="Times New Roman"/>
        </w:rPr>
        <w:t>Times Interest Earned Ratio (TIER): Like ICR, but with a tweak. It uses earnings before tax. It checks if income plus interest covers the interest cost. A high mark means the firm stays steady under debt load. The math:</w:t>
      </w:r>
    </w:p>
    <w:p w:rsidR="00F65389" w:rsidRDefault="00601CBA">
      <w:pPr>
        <w:spacing w:line="480" w:lineRule="auto"/>
        <w:jc w:val="both"/>
        <w:rPr>
          <w:rFonts w:ascii="Times New Roman" w:eastAsia="Times New Roman" w:hAnsi="Times New Roman" w:cs="Times New Roman"/>
        </w:rPr>
      </w:pPr>
      <w:r>
        <w:rPr>
          <w:rFonts w:ascii="Times New Roman" w:eastAsia="Times New Roman" w:hAnsi="Times New Roman" w:cs="Times New Roman"/>
        </w:rPr>
        <w:t>TIER = (EBT + Interest Expense) ÷ Interest Expense</w:t>
      </w:r>
    </w:p>
    <w:p w:rsidR="00601CBA" w:rsidRDefault="00601CBA">
      <w:pPr>
        <w:spacing w:line="480" w:lineRule="auto"/>
        <w:jc w:val="both"/>
        <w:rPr>
          <w:rFonts w:ascii="Times New Roman" w:eastAsia="Times New Roman" w:hAnsi="Times New Roman" w:cs="Times New Roman"/>
        </w:rPr>
      </w:pPr>
    </w:p>
    <w:p w:rsidR="00601CBA" w:rsidRDefault="00601CBA">
      <w:pPr>
        <w:spacing w:line="480" w:lineRule="auto"/>
        <w:jc w:val="both"/>
        <w:rPr>
          <w:rFonts w:ascii="Times New Roman" w:eastAsia="Times New Roman" w:hAnsi="Times New Roman" w:cs="Times New Roman"/>
        </w:rPr>
      </w:pPr>
    </w:p>
    <w:p w:rsidR="00601CBA" w:rsidRDefault="00601CBA">
      <w:pPr>
        <w:spacing w:line="480" w:lineRule="auto"/>
        <w:jc w:val="both"/>
        <w:rPr>
          <w:rFonts w:ascii="Times New Roman" w:eastAsia="Times New Roman" w:hAnsi="Times New Roman" w:cs="Times New Roman"/>
        </w:rPr>
      </w:pPr>
    </w:p>
    <w:p w:rsidR="00601CBA" w:rsidRDefault="00601CBA">
      <w:pPr>
        <w:spacing w:line="480" w:lineRule="auto"/>
        <w:jc w:val="both"/>
        <w:rPr>
          <w:rFonts w:ascii="Times New Roman" w:eastAsia="Times New Roman" w:hAnsi="Times New Roman" w:cs="Times New Roman"/>
        </w:rPr>
      </w:pPr>
    </w:p>
    <w:p w:rsidR="00F65389" w:rsidRDefault="00601CBA">
      <w:pPr>
        <w:spacing w:line="480" w:lineRule="auto"/>
        <w:jc w:val="both"/>
        <w:rPr>
          <w:rFonts w:ascii="Times New Roman" w:eastAsia="Times New Roman" w:hAnsi="Times New Roman" w:cs="Times New Roman"/>
          <w:b/>
        </w:rPr>
      </w:pPr>
      <w:r>
        <w:rPr>
          <w:rFonts w:ascii="Times New Roman" w:eastAsia="Times New Roman" w:hAnsi="Times New Roman" w:cs="Times New Roman"/>
          <w:b/>
        </w:rPr>
        <w:t xml:space="preserve">Table 1: </w:t>
      </w:r>
      <w:r w:rsidRPr="00601CBA">
        <w:rPr>
          <w:rFonts w:ascii="Times New Roman" w:eastAsia="Times New Roman" w:hAnsi="Times New Roman" w:cs="Times New Roman"/>
        </w:rPr>
        <w:t xml:space="preserve">A </w:t>
      </w:r>
      <w:r>
        <w:rPr>
          <w:rFonts w:ascii="Times New Roman" w:eastAsia="Times New Roman" w:hAnsi="Times New Roman" w:cs="Times New Roman"/>
        </w:rPr>
        <w:t>Priori Expectations</w:t>
      </w:r>
    </w:p>
    <w:tbl>
      <w:tblPr>
        <w:tblStyle w:val="a"/>
        <w:tblW w:w="9895" w:type="dxa"/>
        <w:tblInd w:w="-115" w:type="dxa"/>
        <w:tblBorders>
          <w:top w:val="single" w:sz="4" w:space="0" w:color="000000"/>
          <w:bottom w:val="single" w:sz="4" w:space="0" w:color="000000"/>
        </w:tblBorders>
        <w:tblLayout w:type="fixed"/>
        <w:tblLook w:val="0600" w:firstRow="0" w:lastRow="0" w:firstColumn="0" w:lastColumn="0" w:noHBand="1" w:noVBand="1"/>
      </w:tblPr>
      <w:tblGrid>
        <w:gridCol w:w="2340"/>
        <w:gridCol w:w="1350"/>
        <w:gridCol w:w="1710"/>
        <w:gridCol w:w="4495"/>
      </w:tblGrid>
      <w:tr w:rsidR="00F65389">
        <w:tc>
          <w:tcPr>
            <w:tcW w:w="2340" w:type="dxa"/>
            <w:tcBorders>
              <w:top w:val="single" w:sz="4" w:space="0" w:color="000000"/>
              <w:bottom w:val="single" w:sz="4" w:space="0" w:color="000000"/>
            </w:tcBorders>
          </w:tcPr>
          <w:p w:rsidR="00F65389" w:rsidRDefault="00601CBA">
            <w:pPr>
              <w:spacing w:after="0"/>
              <w:jc w:val="both"/>
              <w:rPr>
                <w:rFonts w:ascii="Times New Roman" w:eastAsia="Times New Roman" w:hAnsi="Times New Roman" w:cs="Times New Roman"/>
                <w:b/>
              </w:rPr>
            </w:pPr>
            <w:r>
              <w:rPr>
                <w:rFonts w:ascii="Times New Roman" w:eastAsia="Times New Roman" w:hAnsi="Times New Roman" w:cs="Times New Roman"/>
                <w:b/>
              </w:rPr>
              <w:t>Variable</w:t>
            </w:r>
          </w:p>
        </w:tc>
        <w:tc>
          <w:tcPr>
            <w:tcW w:w="1350" w:type="dxa"/>
            <w:tcBorders>
              <w:top w:val="single" w:sz="4" w:space="0" w:color="000000"/>
              <w:bottom w:val="single" w:sz="4" w:space="0" w:color="000000"/>
            </w:tcBorders>
          </w:tcPr>
          <w:p w:rsidR="00F65389" w:rsidRDefault="00601CBA">
            <w:pPr>
              <w:spacing w:after="0"/>
              <w:jc w:val="both"/>
              <w:rPr>
                <w:rFonts w:ascii="Times New Roman" w:eastAsia="Times New Roman" w:hAnsi="Times New Roman" w:cs="Times New Roman"/>
                <w:b/>
              </w:rPr>
            </w:pPr>
            <w:r>
              <w:rPr>
                <w:rFonts w:ascii="Times New Roman" w:eastAsia="Times New Roman" w:hAnsi="Times New Roman" w:cs="Times New Roman"/>
                <w:b/>
              </w:rPr>
              <w:t>Coefficient</w:t>
            </w:r>
          </w:p>
        </w:tc>
        <w:tc>
          <w:tcPr>
            <w:tcW w:w="1710" w:type="dxa"/>
            <w:tcBorders>
              <w:top w:val="single" w:sz="4" w:space="0" w:color="000000"/>
              <w:bottom w:val="single" w:sz="4" w:space="0" w:color="000000"/>
            </w:tcBorders>
          </w:tcPr>
          <w:p w:rsidR="00F65389" w:rsidRDefault="00601CBA">
            <w:pPr>
              <w:spacing w:after="0"/>
              <w:jc w:val="both"/>
              <w:rPr>
                <w:rFonts w:ascii="Times New Roman" w:eastAsia="Times New Roman" w:hAnsi="Times New Roman" w:cs="Times New Roman"/>
                <w:b/>
              </w:rPr>
            </w:pPr>
            <w:r>
              <w:rPr>
                <w:rFonts w:ascii="Times New Roman" w:eastAsia="Times New Roman" w:hAnsi="Times New Roman" w:cs="Times New Roman"/>
                <w:b/>
              </w:rPr>
              <w:t>Expected Sign</w:t>
            </w:r>
          </w:p>
        </w:tc>
        <w:tc>
          <w:tcPr>
            <w:tcW w:w="4495" w:type="dxa"/>
            <w:tcBorders>
              <w:top w:val="single" w:sz="4" w:space="0" w:color="000000"/>
              <w:bottom w:val="single" w:sz="4" w:space="0" w:color="000000"/>
            </w:tcBorders>
          </w:tcPr>
          <w:p w:rsidR="00F65389" w:rsidRDefault="00601CBA">
            <w:pPr>
              <w:spacing w:after="0"/>
              <w:jc w:val="both"/>
              <w:rPr>
                <w:rFonts w:ascii="Times New Roman" w:eastAsia="Times New Roman" w:hAnsi="Times New Roman" w:cs="Times New Roman"/>
                <w:b/>
              </w:rPr>
            </w:pPr>
            <w:r>
              <w:rPr>
                <w:rFonts w:ascii="Times New Roman" w:eastAsia="Times New Roman" w:hAnsi="Times New Roman" w:cs="Times New Roman"/>
                <w:b/>
              </w:rPr>
              <w:t>Rationale</w:t>
            </w:r>
          </w:p>
        </w:tc>
      </w:tr>
      <w:tr w:rsidR="00F65389">
        <w:tc>
          <w:tcPr>
            <w:tcW w:w="2340" w:type="dxa"/>
            <w:tcBorders>
              <w:top w:val="single" w:sz="4" w:space="0" w:color="000000"/>
            </w:tcBorders>
          </w:tcPr>
          <w:p w:rsidR="00F65389" w:rsidRDefault="00601CBA">
            <w:pPr>
              <w:spacing w:after="0"/>
              <w:jc w:val="both"/>
              <w:rPr>
                <w:rFonts w:ascii="Times New Roman" w:eastAsia="Times New Roman" w:hAnsi="Times New Roman" w:cs="Times New Roman"/>
              </w:rPr>
            </w:pPr>
            <w:r>
              <w:rPr>
                <w:rFonts w:ascii="Times New Roman" w:eastAsia="Times New Roman" w:hAnsi="Times New Roman" w:cs="Times New Roman"/>
              </w:rPr>
              <w:t>Debt-to-Asset Ratio</w:t>
            </w:r>
          </w:p>
        </w:tc>
        <w:tc>
          <w:tcPr>
            <w:tcW w:w="1350" w:type="dxa"/>
            <w:tcBorders>
              <w:top w:val="single" w:sz="4" w:space="0" w:color="000000"/>
            </w:tcBorders>
          </w:tcPr>
          <w:p w:rsidR="00F65389" w:rsidRDefault="00601CBA">
            <w:pPr>
              <w:spacing w:after="0"/>
              <w:jc w:val="both"/>
              <w:rPr>
                <w:rFonts w:ascii="Times New Roman" w:eastAsia="Times New Roman" w:hAnsi="Times New Roman" w:cs="Times New Roman"/>
                <w:vertAlign w:val="subscript"/>
              </w:rPr>
            </w:pPr>
            <w:r>
              <w:rPr>
                <w:rFonts w:ascii="Times New Roman" w:eastAsia="Times New Roman" w:hAnsi="Times New Roman" w:cs="Times New Roman"/>
              </w:rPr>
              <w:t>β</w:t>
            </w:r>
            <w:r>
              <w:rPr>
                <w:rFonts w:ascii="Times New Roman" w:eastAsia="Times New Roman" w:hAnsi="Times New Roman" w:cs="Times New Roman"/>
                <w:vertAlign w:val="subscript"/>
              </w:rPr>
              <w:t>1</w:t>
            </w:r>
          </w:p>
        </w:tc>
        <w:tc>
          <w:tcPr>
            <w:tcW w:w="1710" w:type="dxa"/>
            <w:tcBorders>
              <w:top w:val="single" w:sz="4" w:space="0" w:color="000000"/>
            </w:tcBorders>
          </w:tcPr>
          <w:p w:rsidR="00F65389" w:rsidRDefault="00601CBA">
            <w:pPr>
              <w:spacing w:after="0"/>
              <w:jc w:val="both"/>
              <w:rPr>
                <w:rFonts w:ascii="Times New Roman" w:eastAsia="Times New Roman" w:hAnsi="Times New Roman" w:cs="Times New Roman"/>
              </w:rPr>
            </w:pPr>
            <w:r>
              <w:rPr>
                <w:rFonts w:ascii="Times New Roman" w:eastAsia="Times New Roman" w:hAnsi="Times New Roman" w:cs="Times New Roman"/>
              </w:rPr>
              <w:t>-</w:t>
            </w:r>
          </w:p>
        </w:tc>
        <w:tc>
          <w:tcPr>
            <w:tcW w:w="4495" w:type="dxa"/>
            <w:tcBorders>
              <w:top w:val="single" w:sz="4" w:space="0" w:color="000000"/>
            </w:tcBorders>
          </w:tcPr>
          <w:p w:rsidR="00F65389" w:rsidRDefault="00601CBA">
            <w:pPr>
              <w:spacing w:after="0"/>
              <w:jc w:val="both"/>
              <w:rPr>
                <w:rFonts w:ascii="Times New Roman" w:eastAsia="Times New Roman" w:hAnsi="Times New Roman" w:cs="Times New Roman"/>
              </w:rPr>
            </w:pPr>
            <w:r>
              <w:rPr>
                <w:rFonts w:ascii="Times New Roman" w:eastAsia="Times New Roman" w:hAnsi="Times New Roman" w:cs="Times New Roman"/>
              </w:rPr>
              <w:t xml:space="preserve">Higher debt levels may increase financial risk and interest expenses, potentially reducing profitability and ROA. (Ina, Octavia, &amp; Fauziah, 2024; Yenni </w:t>
            </w:r>
            <w:r w:rsidRPr="00601CBA">
              <w:rPr>
                <w:rFonts w:ascii="Times New Roman" w:eastAsia="Times New Roman" w:hAnsi="Times New Roman" w:cs="Times New Roman"/>
                <w:i/>
              </w:rPr>
              <w:t>et al</w:t>
            </w:r>
            <w:r>
              <w:rPr>
                <w:rFonts w:ascii="Times New Roman" w:eastAsia="Times New Roman" w:hAnsi="Times New Roman" w:cs="Times New Roman"/>
              </w:rPr>
              <w:t>., n.d.)</w:t>
            </w:r>
          </w:p>
        </w:tc>
      </w:tr>
      <w:tr w:rsidR="00F65389">
        <w:tc>
          <w:tcPr>
            <w:tcW w:w="2340" w:type="dxa"/>
          </w:tcPr>
          <w:p w:rsidR="00F65389" w:rsidRDefault="00601CBA">
            <w:pPr>
              <w:spacing w:after="0"/>
              <w:jc w:val="both"/>
              <w:rPr>
                <w:rFonts w:ascii="Times New Roman" w:eastAsia="Times New Roman" w:hAnsi="Times New Roman" w:cs="Times New Roman"/>
              </w:rPr>
            </w:pPr>
            <w:r>
              <w:rPr>
                <w:rFonts w:ascii="Times New Roman" w:eastAsia="Times New Roman" w:hAnsi="Times New Roman" w:cs="Times New Roman"/>
              </w:rPr>
              <w:t>Debt-to-Equity Ratio</w:t>
            </w:r>
          </w:p>
        </w:tc>
        <w:tc>
          <w:tcPr>
            <w:tcW w:w="1350" w:type="dxa"/>
          </w:tcPr>
          <w:p w:rsidR="00F65389" w:rsidRDefault="00601CBA">
            <w:pPr>
              <w:spacing w:after="0"/>
              <w:jc w:val="both"/>
              <w:rPr>
                <w:rFonts w:ascii="Times New Roman" w:eastAsia="Times New Roman" w:hAnsi="Times New Roman" w:cs="Times New Roman"/>
                <w:vertAlign w:val="subscript"/>
              </w:rPr>
            </w:pPr>
            <w:r>
              <w:rPr>
                <w:rFonts w:ascii="Times New Roman" w:eastAsia="Times New Roman" w:hAnsi="Times New Roman" w:cs="Times New Roman"/>
              </w:rPr>
              <w:t>β</w:t>
            </w:r>
            <w:r>
              <w:rPr>
                <w:rFonts w:ascii="Times New Roman" w:eastAsia="Times New Roman" w:hAnsi="Times New Roman" w:cs="Times New Roman"/>
                <w:vertAlign w:val="subscript"/>
              </w:rPr>
              <w:t>2</w:t>
            </w:r>
          </w:p>
        </w:tc>
        <w:tc>
          <w:tcPr>
            <w:tcW w:w="1710" w:type="dxa"/>
          </w:tcPr>
          <w:p w:rsidR="00F65389" w:rsidRDefault="00601CBA">
            <w:pPr>
              <w:spacing w:after="0"/>
              <w:jc w:val="both"/>
              <w:rPr>
                <w:rFonts w:ascii="Times New Roman" w:eastAsia="Times New Roman" w:hAnsi="Times New Roman" w:cs="Times New Roman"/>
              </w:rPr>
            </w:pPr>
            <w:r>
              <w:rPr>
                <w:rFonts w:ascii="Times New Roman" w:eastAsia="Times New Roman" w:hAnsi="Times New Roman" w:cs="Times New Roman"/>
              </w:rPr>
              <w:t>+/-</w:t>
            </w:r>
          </w:p>
        </w:tc>
        <w:tc>
          <w:tcPr>
            <w:tcW w:w="4495" w:type="dxa"/>
          </w:tcPr>
          <w:p w:rsidR="00F65389" w:rsidRDefault="00601CBA">
            <w:pPr>
              <w:spacing w:after="0"/>
              <w:jc w:val="both"/>
              <w:rPr>
                <w:rFonts w:ascii="Times New Roman" w:eastAsia="Times New Roman" w:hAnsi="Times New Roman" w:cs="Times New Roman"/>
              </w:rPr>
            </w:pPr>
            <w:r>
              <w:rPr>
                <w:rFonts w:ascii="Times New Roman" w:eastAsia="Times New Roman" w:hAnsi="Times New Roman" w:cs="Times New Roman"/>
              </w:rPr>
              <w:t>While moderate debt can leverage returns and increase ROA, excessive debt can lead to financial distress and lower profitability. The effect on ROA depends on the company's ability to generate returns exceeding the cost of debt. (Toni &amp; Simorangkir, 2021)</w:t>
            </w:r>
          </w:p>
        </w:tc>
      </w:tr>
      <w:tr w:rsidR="00F65389">
        <w:tc>
          <w:tcPr>
            <w:tcW w:w="2340" w:type="dxa"/>
          </w:tcPr>
          <w:p w:rsidR="00F65389" w:rsidRDefault="00601CBA">
            <w:pPr>
              <w:spacing w:after="0"/>
              <w:jc w:val="both"/>
              <w:rPr>
                <w:rFonts w:ascii="Times New Roman" w:eastAsia="Times New Roman" w:hAnsi="Times New Roman" w:cs="Times New Roman"/>
              </w:rPr>
            </w:pPr>
            <w:r>
              <w:rPr>
                <w:rFonts w:ascii="Times New Roman" w:eastAsia="Times New Roman" w:hAnsi="Times New Roman" w:cs="Times New Roman"/>
              </w:rPr>
              <w:t>Interest Coverage Ratio</w:t>
            </w:r>
          </w:p>
        </w:tc>
        <w:tc>
          <w:tcPr>
            <w:tcW w:w="1350" w:type="dxa"/>
          </w:tcPr>
          <w:p w:rsidR="00F65389" w:rsidRDefault="00601CBA">
            <w:pPr>
              <w:spacing w:after="0"/>
              <w:jc w:val="both"/>
              <w:rPr>
                <w:rFonts w:ascii="Times New Roman" w:eastAsia="Times New Roman" w:hAnsi="Times New Roman" w:cs="Times New Roman"/>
                <w:vertAlign w:val="subscript"/>
              </w:rPr>
            </w:pPr>
            <w:r>
              <w:rPr>
                <w:rFonts w:ascii="Times New Roman" w:eastAsia="Times New Roman" w:hAnsi="Times New Roman" w:cs="Times New Roman"/>
              </w:rPr>
              <w:t>β</w:t>
            </w:r>
            <w:r>
              <w:rPr>
                <w:rFonts w:ascii="Times New Roman" w:eastAsia="Times New Roman" w:hAnsi="Times New Roman" w:cs="Times New Roman"/>
                <w:vertAlign w:val="subscript"/>
              </w:rPr>
              <w:t>3</w:t>
            </w:r>
          </w:p>
        </w:tc>
        <w:tc>
          <w:tcPr>
            <w:tcW w:w="1710" w:type="dxa"/>
          </w:tcPr>
          <w:p w:rsidR="00F65389" w:rsidRDefault="00601CBA">
            <w:pPr>
              <w:spacing w:after="0"/>
              <w:jc w:val="both"/>
              <w:rPr>
                <w:rFonts w:ascii="Times New Roman" w:eastAsia="Times New Roman" w:hAnsi="Times New Roman" w:cs="Times New Roman"/>
              </w:rPr>
            </w:pPr>
            <w:r>
              <w:rPr>
                <w:rFonts w:ascii="Times New Roman" w:eastAsia="Times New Roman" w:hAnsi="Times New Roman" w:cs="Times New Roman"/>
              </w:rPr>
              <w:t>+</w:t>
            </w:r>
          </w:p>
        </w:tc>
        <w:tc>
          <w:tcPr>
            <w:tcW w:w="4495" w:type="dxa"/>
          </w:tcPr>
          <w:p w:rsidR="00F65389" w:rsidRDefault="00601CBA">
            <w:pPr>
              <w:spacing w:after="0"/>
              <w:jc w:val="both"/>
              <w:rPr>
                <w:rFonts w:ascii="Times New Roman" w:eastAsia="Times New Roman" w:hAnsi="Times New Roman" w:cs="Times New Roman"/>
              </w:rPr>
            </w:pPr>
            <w:r>
              <w:rPr>
                <w:rFonts w:ascii="Times New Roman" w:eastAsia="Times New Roman" w:hAnsi="Times New Roman" w:cs="Times New Roman"/>
              </w:rPr>
              <w:t>A higher ICR indicates a stronger ability to cover interest payments, suggesting a lower proportion of earnings is consumed by interest expenses, thus potentially leading to higher net income and ROA. (Ryanto &amp; Tarigan, 2024)</w:t>
            </w:r>
          </w:p>
        </w:tc>
      </w:tr>
      <w:tr w:rsidR="00F65389">
        <w:tc>
          <w:tcPr>
            <w:tcW w:w="2340" w:type="dxa"/>
          </w:tcPr>
          <w:p w:rsidR="00F65389" w:rsidRDefault="00601CBA">
            <w:pPr>
              <w:spacing w:after="0"/>
              <w:jc w:val="both"/>
              <w:rPr>
                <w:rFonts w:ascii="Times New Roman" w:eastAsia="Times New Roman" w:hAnsi="Times New Roman" w:cs="Times New Roman"/>
              </w:rPr>
            </w:pPr>
            <w:r>
              <w:rPr>
                <w:rFonts w:ascii="Times New Roman" w:eastAsia="Times New Roman" w:hAnsi="Times New Roman" w:cs="Times New Roman"/>
              </w:rPr>
              <w:t>Times Interest Earned Ratio</w:t>
            </w:r>
          </w:p>
        </w:tc>
        <w:tc>
          <w:tcPr>
            <w:tcW w:w="1350" w:type="dxa"/>
          </w:tcPr>
          <w:p w:rsidR="00F65389" w:rsidRDefault="00601CBA">
            <w:pPr>
              <w:spacing w:after="0"/>
              <w:jc w:val="both"/>
              <w:rPr>
                <w:rFonts w:ascii="Times New Roman" w:eastAsia="Times New Roman" w:hAnsi="Times New Roman" w:cs="Times New Roman"/>
                <w:vertAlign w:val="subscript"/>
              </w:rPr>
            </w:pPr>
            <w:r>
              <w:rPr>
                <w:rFonts w:ascii="Times New Roman" w:eastAsia="Times New Roman" w:hAnsi="Times New Roman" w:cs="Times New Roman"/>
              </w:rPr>
              <w:t>β</w:t>
            </w:r>
            <w:r>
              <w:rPr>
                <w:rFonts w:ascii="Times New Roman" w:eastAsia="Times New Roman" w:hAnsi="Times New Roman" w:cs="Times New Roman"/>
                <w:vertAlign w:val="subscript"/>
              </w:rPr>
              <w:t>4</w:t>
            </w:r>
          </w:p>
        </w:tc>
        <w:tc>
          <w:tcPr>
            <w:tcW w:w="1710" w:type="dxa"/>
          </w:tcPr>
          <w:p w:rsidR="00F65389" w:rsidRDefault="00601CBA">
            <w:pPr>
              <w:spacing w:after="0"/>
              <w:jc w:val="both"/>
              <w:rPr>
                <w:rFonts w:ascii="Times New Roman" w:eastAsia="Times New Roman" w:hAnsi="Times New Roman" w:cs="Times New Roman"/>
              </w:rPr>
            </w:pPr>
            <w:r>
              <w:rPr>
                <w:rFonts w:ascii="Times New Roman" w:eastAsia="Times New Roman" w:hAnsi="Times New Roman" w:cs="Times New Roman"/>
              </w:rPr>
              <w:t>+</w:t>
            </w:r>
          </w:p>
        </w:tc>
        <w:tc>
          <w:tcPr>
            <w:tcW w:w="4495" w:type="dxa"/>
          </w:tcPr>
          <w:p w:rsidR="00F65389" w:rsidRDefault="00601CBA">
            <w:pPr>
              <w:spacing w:after="0"/>
              <w:jc w:val="both"/>
              <w:rPr>
                <w:rFonts w:ascii="Times New Roman" w:eastAsia="Times New Roman" w:hAnsi="Times New Roman" w:cs="Times New Roman"/>
              </w:rPr>
            </w:pPr>
            <w:r>
              <w:rPr>
                <w:rFonts w:ascii="Times New Roman" w:eastAsia="Times New Roman" w:hAnsi="Times New Roman" w:cs="Times New Roman"/>
              </w:rPr>
              <w:t>Similar to ICR, a higher TIER generally indicates stronger financial health and a greater ability to service debt, which could lead to a higher ROA due to lower financial risk and potentially increased investment capacity. (Hassan &amp; Rhee, 2019)</w:t>
            </w:r>
          </w:p>
        </w:tc>
      </w:tr>
    </w:tbl>
    <w:p w:rsidR="00F65389" w:rsidRDefault="00F65389">
      <w:pPr>
        <w:spacing w:line="480" w:lineRule="auto"/>
        <w:jc w:val="both"/>
        <w:rPr>
          <w:rFonts w:ascii="Times New Roman" w:eastAsia="Times New Roman" w:hAnsi="Times New Roman" w:cs="Times New Roman"/>
        </w:rPr>
      </w:pPr>
    </w:p>
    <w:p w:rsidR="00F65389" w:rsidRDefault="00601CBA">
      <w:pPr>
        <w:spacing w:line="480" w:lineRule="auto"/>
        <w:jc w:val="both"/>
        <w:rPr>
          <w:rFonts w:ascii="Times New Roman" w:eastAsia="Times New Roman" w:hAnsi="Times New Roman" w:cs="Times New Roman"/>
        </w:rPr>
      </w:pPr>
      <w:r>
        <w:rPr>
          <w:rFonts w:ascii="Times New Roman" w:eastAsia="Times New Roman" w:hAnsi="Times New Roman" w:cs="Times New Roman"/>
        </w:rPr>
        <w:t>This table outlines the a priori expectations for the relationships between the independent variables (solvency ratios) and the dependent variable (ROA). These expectations lean on past financial theories and tested studies. A plus sign hints at a positive tie, a minus sign shows a likely negative pull, and the plus-or-minus sign means it can go either way depending on what surrounds it. These signs guide what the analysis looks out for. They help shape how the results will be read when the figures land.</w:t>
      </w:r>
    </w:p>
    <w:p w:rsidR="00601CBA" w:rsidRDefault="00601CBA">
      <w:pPr>
        <w:spacing w:line="480" w:lineRule="auto"/>
        <w:jc w:val="both"/>
        <w:rPr>
          <w:rFonts w:ascii="Times New Roman" w:eastAsia="Times New Roman" w:hAnsi="Times New Roman" w:cs="Times New Roman"/>
        </w:rPr>
      </w:pPr>
    </w:p>
    <w:p w:rsidR="00F65389" w:rsidRDefault="00601CBA">
      <w:pPr>
        <w:spacing w:line="480" w:lineRule="auto"/>
        <w:jc w:val="both"/>
        <w:rPr>
          <w:rFonts w:ascii="Times New Roman" w:eastAsia="Times New Roman" w:hAnsi="Times New Roman" w:cs="Times New Roman"/>
          <w:b/>
        </w:rPr>
      </w:pPr>
      <w:r>
        <w:rPr>
          <w:rFonts w:ascii="Times New Roman" w:eastAsia="Times New Roman" w:hAnsi="Times New Roman" w:cs="Times New Roman"/>
          <w:b/>
        </w:rPr>
        <w:t>3.7 Data Analysis Techniques</w:t>
      </w:r>
    </w:p>
    <w:p w:rsidR="00F65389" w:rsidRDefault="00601CBA">
      <w:pPr>
        <w:spacing w:line="480" w:lineRule="auto"/>
        <w:jc w:val="both"/>
        <w:rPr>
          <w:rFonts w:ascii="Times New Roman" w:eastAsia="Times New Roman" w:hAnsi="Times New Roman" w:cs="Times New Roman"/>
        </w:rPr>
      </w:pPr>
      <w:r>
        <w:rPr>
          <w:rFonts w:ascii="Times New Roman" w:eastAsia="Times New Roman" w:hAnsi="Times New Roman" w:cs="Times New Roman"/>
        </w:rPr>
        <w:t xml:space="preserve">This study leans on descriptive stats to break the surface of the data. It checks the spread, center, and general rhythm mean, median, standard deviation, and range all help paint that base picture. Then it moves deeper with multiple linear regression. This model connects ROA with four solvency inputs DAR, DER, ICR, and TIER. The aim is to find which ones really nudge ROA and how strong that nudge is. Everything is judged against a 0.05 cut-off point, the usual mark for significance, as seen in earlier works by Yenni </w:t>
      </w:r>
      <w:r w:rsidRPr="00601CBA">
        <w:rPr>
          <w:rFonts w:ascii="Times New Roman" w:eastAsia="Times New Roman" w:hAnsi="Times New Roman" w:cs="Times New Roman"/>
          <w:i/>
        </w:rPr>
        <w:t>et al</w:t>
      </w:r>
      <w:r>
        <w:rPr>
          <w:rFonts w:ascii="Times New Roman" w:eastAsia="Times New Roman" w:hAnsi="Times New Roman" w:cs="Times New Roman"/>
        </w:rPr>
        <w:t xml:space="preserve">. (n.d.) and Meliani </w:t>
      </w:r>
      <w:r w:rsidRPr="00601CBA">
        <w:rPr>
          <w:rFonts w:ascii="Times New Roman" w:eastAsia="Times New Roman" w:hAnsi="Times New Roman" w:cs="Times New Roman"/>
          <w:i/>
        </w:rPr>
        <w:t>et al</w:t>
      </w:r>
      <w:r>
        <w:rPr>
          <w:rFonts w:ascii="Times New Roman" w:eastAsia="Times New Roman" w:hAnsi="Times New Roman" w:cs="Times New Roman"/>
        </w:rPr>
        <w:t>. (2021). To avoid blind spots, the study checks for noise in the model multicollinearity to catch overlapping inputs, autocorrelation to see if error terms speak to each other, and heteroscedasticity to confirm if spread stays level. These back-end checks, guided by Ghozali (2018), keep the numbers clean and the findings sturdy.</w:t>
      </w:r>
    </w:p>
    <w:p w:rsidR="00F65389" w:rsidRDefault="00601CBA">
      <w:pPr>
        <w:spacing w:line="480" w:lineRule="auto"/>
        <w:jc w:val="both"/>
        <w:rPr>
          <w:rFonts w:ascii="Times New Roman" w:eastAsia="Times New Roman" w:hAnsi="Times New Roman" w:cs="Times New Roman"/>
          <w:b/>
        </w:rPr>
      </w:pPr>
      <w:r>
        <w:rPr>
          <w:rFonts w:ascii="Times New Roman" w:eastAsia="Times New Roman" w:hAnsi="Times New Roman" w:cs="Times New Roman"/>
          <w:b/>
        </w:rPr>
        <w:t>3.8 Limitations of the Study</w:t>
      </w:r>
    </w:p>
    <w:p w:rsidR="00F65389" w:rsidRDefault="00601CBA">
      <w:pPr>
        <w:spacing w:line="480" w:lineRule="auto"/>
        <w:jc w:val="both"/>
        <w:rPr>
          <w:rFonts w:ascii="Times New Roman" w:eastAsia="Times New Roman" w:hAnsi="Times New Roman" w:cs="Times New Roman"/>
        </w:rPr>
      </w:pPr>
      <w:r>
        <w:rPr>
          <w:rFonts w:ascii="Times New Roman" w:eastAsia="Times New Roman" w:hAnsi="Times New Roman" w:cs="Times New Roman"/>
        </w:rPr>
        <w:t xml:space="preserve">Some walls stand. The work uses only secondary data, which saves time but may carry dents from source gaps. That risk was trimmed by drawing strictly from high-quality, publicly verified sources. Also, only Nestlé Nigeria goes under the lens. That narrows the field and may not stretch well to other firms. Still, it lets this study dig deep in one strong player and pull lessons that speak louder within the sector. The period under review, 2012 to 2023, while long, might not catch the full weight of solvency’s drag or boost over many decades. But it covers a key stretch in Nigeria’s consumer market path. As Ihenyen </w:t>
      </w:r>
      <w:r w:rsidRPr="00601CBA">
        <w:rPr>
          <w:rFonts w:ascii="Times New Roman" w:eastAsia="Times New Roman" w:hAnsi="Times New Roman" w:cs="Times New Roman"/>
          <w:i/>
        </w:rPr>
        <w:t>et al</w:t>
      </w:r>
      <w:r>
        <w:rPr>
          <w:rFonts w:ascii="Times New Roman" w:eastAsia="Times New Roman" w:hAnsi="Times New Roman" w:cs="Times New Roman"/>
        </w:rPr>
        <w:t>. (2024) noted, this timeframe carries weight for FMCG checks. Lastly, the study stays in the world of numbers. It skips softer variables like leadership changes or supply chain shocks that don’t show up in financials. This gap is admitted in the findings, with a prompt that future works should bring in those missing angles through qualitative tracking.</w:t>
      </w:r>
    </w:p>
    <w:p w:rsidR="00F65389" w:rsidRDefault="00601CBA">
      <w:pPr>
        <w:pStyle w:val="Heading1"/>
        <w:spacing w:before="0" w:after="0" w:line="480" w:lineRule="auto"/>
        <w:jc w:val="center"/>
        <w:rPr>
          <w:rFonts w:ascii="Times New Roman" w:eastAsia="Times New Roman" w:hAnsi="Times New Roman" w:cs="Times New Roman"/>
          <w:b/>
          <w:color w:val="000000"/>
          <w:sz w:val="24"/>
          <w:szCs w:val="24"/>
        </w:rPr>
      </w:pPr>
      <w:bookmarkStart w:id="2" w:name="_kssbgwfljjyj" w:colFirst="0" w:colLast="0"/>
      <w:bookmarkEnd w:id="2"/>
      <w:r>
        <w:rPr>
          <w:rFonts w:ascii="Times New Roman" w:eastAsia="Times New Roman" w:hAnsi="Times New Roman" w:cs="Times New Roman"/>
          <w:b/>
          <w:color w:val="000000"/>
          <w:sz w:val="24"/>
          <w:szCs w:val="24"/>
        </w:rPr>
        <w:t>CHAPTER FOUR</w:t>
      </w:r>
    </w:p>
    <w:p w:rsidR="00F65389" w:rsidRDefault="00601CBA">
      <w:pPr>
        <w:pStyle w:val="Heading1"/>
        <w:spacing w:before="0" w:after="0" w:line="480" w:lineRule="auto"/>
        <w:jc w:val="center"/>
        <w:rPr>
          <w:rFonts w:ascii="Times New Roman" w:eastAsia="Times New Roman" w:hAnsi="Times New Roman" w:cs="Times New Roman"/>
          <w:b/>
          <w:color w:val="000000"/>
          <w:sz w:val="24"/>
          <w:szCs w:val="24"/>
        </w:rPr>
      </w:pPr>
      <w:bookmarkStart w:id="3" w:name="_5u1i7l3vvbo8" w:colFirst="0" w:colLast="0"/>
      <w:bookmarkEnd w:id="3"/>
      <w:r>
        <w:rPr>
          <w:rFonts w:ascii="Times New Roman" w:eastAsia="Times New Roman" w:hAnsi="Times New Roman" w:cs="Times New Roman"/>
          <w:b/>
          <w:color w:val="000000"/>
          <w:sz w:val="24"/>
          <w:szCs w:val="24"/>
        </w:rPr>
        <w:t>DATA PRESENTATION, ANALYSIS, INTERPRETATION OF RESULTS, AND DISCUSSION OF FINDINGS</w:t>
      </w:r>
    </w:p>
    <w:p w:rsidR="00F65389" w:rsidRDefault="00601CBA">
      <w:pPr>
        <w:pStyle w:val="Heading2"/>
        <w:spacing w:before="0" w:after="0" w:line="480" w:lineRule="auto"/>
        <w:jc w:val="both"/>
        <w:rPr>
          <w:rFonts w:ascii="Times New Roman" w:eastAsia="Times New Roman" w:hAnsi="Times New Roman" w:cs="Times New Roman"/>
          <w:b/>
          <w:color w:val="000000"/>
          <w:sz w:val="24"/>
          <w:szCs w:val="24"/>
        </w:rPr>
      </w:pPr>
      <w:bookmarkStart w:id="4" w:name="_1ptr6o84rlzy" w:colFirst="0" w:colLast="0"/>
      <w:bookmarkEnd w:id="4"/>
      <w:r>
        <w:rPr>
          <w:rFonts w:ascii="Times New Roman" w:eastAsia="Times New Roman" w:hAnsi="Times New Roman" w:cs="Times New Roman"/>
          <w:b/>
          <w:color w:val="000000"/>
          <w:sz w:val="24"/>
          <w:szCs w:val="24"/>
        </w:rPr>
        <w:t>4.1 Data presentation</w:t>
      </w:r>
    </w:p>
    <w:p w:rsidR="00F65389" w:rsidRDefault="00601CBA">
      <w:pPr>
        <w:spacing w:line="240" w:lineRule="auto"/>
        <w:jc w:val="both"/>
        <w:rPr>
          <w:rFonts w:ascii="Times New Roman" w:eastAsia="Times New Roman" w:hAnsi="Times New Roman" w:cs="Times New Roman"/>
        </w:rPr>
      </w:pPr>
      <w:r>
        <w:rPr>
          <w:rFonts w:ascii="Times New Roman" w:eastAsia="Times New Roman" w:hAnsi="Times New Roman" w:cs="Times New Roman"/>
          <w:b/>
        </w:rPr>
        <w:t xml:space="preserve">Table 2: </w:t>
      </w:r>
      <w:r>
        <w:rPr>
          <w:rFonts w:ascii="Times New Roman" w:eastAsia="Times New Roman" w:hAnsi="Times New Roman" w:cs="Times New Roman"/>
        </w:rPr>
        <w:t>Annual Trends in Return on Assets (ROA), Debt-to-Asset Ratio (DAR), Debt-to-Equity Ratio (DER), Interest Coverage Ratio (ICR), Times Interest Earned Ratio (TIER) of Nestle Nigeria PLC from 2012 to 2023</w:t>
      </w:r>
    </w:p>
    <w:tbl>
      <w:tblPr>
        <w:tblStyle w:val="TableGrid"/>
        <w:tblW w:w="9360" w:type="dxa"/>
        <w:tblBorders>
          <w:left w:val="none" w:sz="0" w:space="0" w:color="auto"/>
          <w:right w:val="none" w:sz="0" w:space="0" w:color="auto"/>
          <w:insideH w:val="none" w:sz="0" w:space="0" w:color="auto"/>
          <w:insideV w:val="none" w:sz="0" w:space="0" w:color="auto"/>
        </w:tblBorders>
        <w:tblLayout w:type="fixed"/>
        <w:tblLook w:val="0600" w:firstRow="0" w:lastRow="0" w:firstColumn="0" w:lastColumn="0" w:noHBand="1" w:noVBand="1"/>
      </w:tblPr>
      <w:tblGrid>
        <w:gridCol w:w="1560"/>
        <w:gridCol w:w="1560"/>
        <w:gridCol w:w="1560"/>
        <w:gridCol w:w="1560"/>
        <w:gridCol w:w="1560"/>
        <w:gridCol w:w="1560"/>
      </w:tblGrid>
      <w:tr w:rsidR="00F65389" w:rsidTr="00601CBA">
        <w:tc>
          <w:tcPr>
            <w:tcW w:w="1560" w:type="dxa"/>
            <w:tcBorders>
              <w:top w:val="single" w:sz="4" w:space="0" w:color="auto"/>
              <w:bottom w:val="single" w:sz="4" w:space="0" w:color="auto"/>
            </w:tcBorders>
          </w:tcPr>
          <w:p w:rsidR="00F65389" w:rsidRDefault="00601CBA">
            <w:pPr>
              <w:jc w:val="both"/>
              <w:rPr>
                <w:rFonts w:ascii="Times New Roman" w:eastAsia="Times New Roman" w:hAnsi="Times New Roman" w:cs="Times New Roman"/>
                <w:b/>
              </w:rPr>
            </w:pPr>
            <w:r>
              <w:rPr>
                <w:rFonts w:ascii="Times New Roman" w:eastAsia="Times New Roman" w:hAnsi="Times New Roman" w:cs="Times New Roman"/>
                <w:b/>
              </w:rPr>
              <w:t>YEARS</w:t>
            </w:r>
          </w:p>
        </w:tc>
        <w:tc>
          <w:tcPr>
            <w:tcW w:w="1560" w:type="dxa"/>
            <w:tcBorders>
              <w:top w:val="single" w:sz="4" w:space="0" w:color="auto"/>
              <w:bottom w:val="single" w:sz="4" w:space="0" w:color="auto"/>
            </w:tcBorders>
          </w:tcPr>
          <w:p w:rsidR="00F65389" w:rsidRDefault="00601CBA">
            <w:pPr>
              <w:jc w:val="both"/>
              <w:rPr>
                <w:rFonts w:ascii="Times New Roman" w:eastAsia="Times New Roman" w:hAnsi="Times New Roman" w:cs="Times New Roman"/>
                <w:b/>
              </w:rPr>
            </w:pPr>
            <w:r>
              <w:rPr>
                <w:rFonts w:ascii="Times New Roman" w:eastAsia="Times New Roman" w:hAnsi="Times New Roman" w:cs="Times New Roman"/>
                <w:b/>
              </w:rPr>
              <w:t>ROA</w:t>
            </w:r>
          </w:p>
        </w:tc>
        <w:tc>
          <w:tcPr>
            <w:tcW w:w="1560" w:type="dxa"/>
            <w:tcBorders>
              <w:top w:val="single" w:sz="4" w:space="0" w:color="auto"/>
              <w:bottom w:val="single" w:sz="4" w:space="0" w:color="auto"/>
            </w:tcBorders>
          </w:tcPr>
          <w:p w:rsidR="00F65389" w:rsidRDefault="00601CBA">
            <w:pPr>
              <w:jc w:val="both"/>
              <w:rPr>
                <w:rFonts w:ascii="Times New Roman" w:eastAsia="Times New Roman" w:hAnsi="Times New Roman" w:cs="Times New Roman"/>
                <w:b/>
              </w:rPr>
            </w:pPr>
            <w:r>
              <w:rPr>
                <w:rFonts w:ascii="Times New Roman" w:eastAsia="Times New Roman" w:hAnsi="Times New Roman" w:cs="Times New Roman"/>
                <w:b/>
              </w:rPr>
              <w:t>DAR</w:t>
            </w:r>
          </w:p>
        </w:tc>
        <w:tc>
          <w:tcPr>
            <w:tcW w:w="1560" w:type="dxa"/>
            <w:tcBorders>
              <w:top w:val="single" w:sz="4" w:space="0" w:color="auto"/>
              <w:bottom w:val="single" w:sz="4" w:space="0" w:color="auto"/>
            </w:tcBorders>
          </w:tcPr>
          <w:p w:rsidR="00F65389" w:rsidRDefault="00601CBA">
            <w:pPr>
              <w:jc w:val="both"/>
              <w:rPr>
                <w:rFonts w:ascii="Times New Roman" w:eastAsia="Times New Roman" w:hAnsi="Times New Roman" w:cs="Times New Roman"/>
                <w:b/>
              </w:rPr>
            </w:pPr>
            <w:r>
              <w:rPr>
                <w:rFonts w:ascii="Times New Roman" w:eastAsia="Times New Roman" w:hAnsi="Times New Roman" w:cs="Times New Roman"/>
                <w:b/>
              </w:rPr>
              <w:t>DER</w:t>
            </w:r>
          </w:p>
        </w:tc>
        <w:tc>
          <w:tcPr>
            <w:tcW w:w="1560" w:type="dxa"/>
            <w:tcBorders>
              <w:top w:val="single" w:sz="4" w:space="0" w:color="auto"/>
              <w:bottom w:val="single" w:sz="4" w:space="0" w:color="auto"/>
            </w:tcBorders>
          </w:tcPr>
          <w:p w:rsidR="00F65389" w:rsidRDefault="00601CBA">
            <w:pPr>
              <w:jc w:val="both"/>
              <w:rPr>
                <w:rFonts w:ascii="Times New Roman" w:eastAsia="Times New Roman" w:hAnsi="Times New Roman" w:cs="Times New Roman"/>
                <w:b/>
              </w:rPr>
            </w:pPr>
            <w:r>
              <w:rPr>
                <w:rFonts w:ascii="Times New Roman" w:eastAsia="Times New Roman" w:hAnsi="Times New Roman" w:cs="Times New Roman"/>
                <w:b/>
              </w:rPr>
              <w:t>ICR</w:t>
            </w:r>
          </w:p>
        </w:tc>
        <w:tc>
          <w:tcPr>
            <w:tcW w:w="1560" w:type="dxa"/>
            <w:tcBorders>
              <w:top w:val="single" w:sz="4" w:space="0" w:color="auto"/>
              <w:bottom w:val="single" w:sz="4" w:space="0" w:color="auto"/>
            </w:tcBorders>
          </w:tcPr>
          <w:p w:rsidR="00F65389" w:rsidRDefault="00601CBA">
            <w:pPr>
              <w:jc w:val="both"/>
              <w:rPr>
                <w:rFonts w:ascii="Times New Roman" w:eastAsia="Times New Roman" w:hAnsi="Times New Roman" w:cs="Times New Roman"/>
                <w:b/>
              </w:rPr>
            </w:pPr>
            <w:r>
              <w:rPr>
                <w:rFonts w:ascii="Times New Roman" w:eastAsia="Times New Roman" w:hAnsi="Times New Roman" w:cs="Times New Roman"/>
                <w:b/>
              </w:rPr>
              <w:t>TIER</w:t>
            </w:r>
          </w:p>
        </w:tc>
      </w:tr>
      <w:tr w:rsidR="00F65389" w:rsidTr="00601CBA">
        <w:tc>
          <w:tcPr>
            <w:tcW w:w="1560" w:type="dxa"/>
            <w:tcBorders>
              <w:top w:val="single" w:sz="4" w:space="0" w:color="auto"/>
            </w:tcBorders>
          </w:tcPr>
          <w:p w:rsidR="00F65389" w:rsidRDefault="00601CBA">
            <w:pPr>
              <w:jc w:val="both"/>
              <w:rPr>
                <w:rFonts w:ascii="Times New Roman" w:eastAsia="Times New Roman" w:hAnsi="Times New Roman" w:cs="Times New Roman"/>
              </w:rPr>
            </w:pPr>
            <w:r>
              <w:rPr>
                <w:rFonts w:ascii="Times New Roman" w:eastAsia="Times New Roman" w:hAnsi="Times New Roman" w:cs="Times New Roman"/>
              </w:rPr>
              <w:t>2012</w:t>
            </w:r>
          </w:p>
        </w:tc>
        <w:tc>
          <w:tcPr>
            <w:tcW w:w="1560" w:type="dxa"/>
            <w:tcBorders>
              <w:top w:val="single" w:sz="4" w:space="0" w:color="auto"/>
            </w:tcBorders>
          </w:tcPr>
          <w:p w:rsidR="00F65389" w:rsidRDefault="00601CBA">
            <w:pPr>
              <w:jc w:val="both"/>
              <w:rPr>
                <w:rFonts w:ascii="Times New Roman" w:eastAsia="Times New Roman" w:hAnsi="Times New Roman" w:cs="Times New Roman"/>
              </w:rPr>
            </w:pPr>
            <w:r>
              <w:rPr>
                <w:rFonts w:ascii="Times New Roman" w:eastAsia="Times New Roman" w:hAnsi="Times New Roman" w:cs="Times New Roman"/>
              </w:rPr>
              <w:t>0.247</w:t>
            </w:r>
          </w:p>
        </w:tc>
        <w:tc>
          <w:tcPr>
            <w:tcW w:w="1560" w:type="dxa"/>
            <w:tcBorders>
              <w:top w:val="single" w:sz="4" w:space="0" w:color="auto"/>
            </w:tcBorders>
          </w:tcPr>
          <w:p w:rsidR="00F65389" w:rsidRDefault="00601CBA">
            <w:pPr>
              <w:jc w:val="both"/>
              <w:rPr>
                <w:rFonts w:ascii="Times New Roman" w:eastAsia="Times New Roman" w:hAnsi="Times New Roman" w:cs="Times New Roman"/>
              </w:rPr>
            </w:pPr>
            <w:r>
              <w:rPr>
                <w:rFonts w:ascii="Times New Roman" w:eastAsia="Times New Roman" w:hAnsi="Times New Roman" w:cs="Times New Roman"/>
              </w:rPr>
              <w:t>0.527</w:t>
            </w:r>
          </w:p>
        </w:tc>
        <w:tc>
          <w:tcPr>
            <w:tcW w:w="1560" w:type="dxa"/>
            <w:tcBorders>
              <w:top w:val="single" w:sz="4" w:space="0" w:color="auto"/>
            </w:tcBorders>
          </w:tcPr>
          <w:p w:rsidR="00F65389" w:rsidRDefault="00601CBA">
            <w:pPr>
              <w:jc w:val="both"/>
              <w:rPr>
                <w:rFonts w:ascii="Times New Roman" w:eastAsia="Times New Roman" w:hAnsi="Times New Roman" w:cs="Times New Roman"/>
              </w:rPr>
            </w:pPr>
            <w:r>
              <w:rPr>
                <w:rFonts w:ascii="Times New Roman" w:eastAsia="Times New Roman" w:hAnsi="Times New Roman" w:cs="Times New Roman"/>
              </w:rPr>
              <w:t>1.116</w:t>
            </w:r>
          </w:p>
        </w:tc>
        <w:tc>
          <w:tcPr>
            <w:tcW w:w="1560" w:type="dxa"/>
            <w:tcBorders>
              <w:top w:val="single" w:sz="4" w:space="0" w:color="auto"/>
            </w:tcBorders>
          </w:tcPr>
          <w:p w:rsidR="00F65389" w:rsidRDefault="00601CBA">
            <w:pPr>
              <w:jc w:val="both"/>
              <w:rPr>
                <w:rFonts w:ascii="Times New Roman" w:eastAsia="Times New Roman" w:hAnsi="Times New Roman" w:cs="Times New Roman"/>
              </w:rPr>
            </w:pPr>
            <w:r>
              <w:rPr>
                <w:rFonts w:ascii="Times New Roman" w:eastAsia="Times New Roman" w:hAnsi="Times New Roman" w:cs="Times New Roman"/>
              </w:rPr>
              <w:t>12.952</w:t>
            </w:r>
          </w:p>
        </w:tc>
        <w:tc>
          <w:tcPr>
            <w:tcW w:w="1560" w:type="dxa"/>
            <w:tcBorders>
              <w:top w:val="single" w:sz="4" w:space="0" w:color="auto"/>
            </w:tcBorders>
          </w:tcPr>
          <w:p w:rsidR="00F65389" w:rsidRDefault="00601CBA">
            <w:pPr>
              <w:jc w:val="both"/>
              <w:rPr>
                <w:rFonts w:ascii="Times New Roman" w:eastAsia="Times New Roman" w:hAnsi="Times New Roman" w:cs="Times New Roman"/>
              </w:rPr>
            </w:pPr>
            <w:r>
              <w:rPr>
                <w:rFonts w:ascii="Times New Roman" w:eastAsia="Times New Roman" w:hAnsi="Times New Roman" w:cs="Times New Roman"/>
              </w:rPr>
              <w:t>13.932</w:t>
            </w:r>
          </w:p>
        </w:tc>
      </w:tr>
      <w:tr w:rsidR="00F65389" w:rsidTr="00601CBA">
        <w:tc>
          <w:tcPr>
            <w:tcW w:w="1560" w:type="dxa"/>
          </w:tcPr>
          <w:p w:rsidR="00F65389" w:rsidRDefault="00601CBA">
            <w:pPr>
              <w:jc w:val="both"/>
              <w:rPr>
                <w:rFonts w:ascii="Times New Roman" w:eastAsia="Times New Roman" w:hAnsi="Times New Roman" w:cs="Times New Roman"/>
              </w:rPr>
            </w:pPr>
            <w:r>
              <w:rPr>
                <w:rFonts w:ascii="Times New Roman" w:eastAsia="Times New Roman" w:hAnsi="Times New Roman" w:cs="Times New Roman"/>
              </w:rPr>
              <w:t>2013</w:t>
            </w:r>
          </w:p>
        </w:tc>
        <w:tc>
          <w:tcPr>
            <w:tcW w:w="1560" w:type="dxa"/>
          </w:tcPr>
          <w:p w:rsidR="00F65389" w:rsidRDefault="00601CBA">
            <w:pPr>
              <w:jc w:val="both"/>
              <w:rPr>
                <w:rFonts w:ascii="Times New Roman" w:eastAsia="Times New Roman" w:hAnsi="Times New Roman" w:cs="Times New Roman"/>
              </w:rPr>
            </w:pPr>
            <w:r>
              <w:rPr>
                <w:rFonts w:ascii="Times New Roman" w:eastAsia="Times New Roman" w:hAnsi="Times New Roman" w:cs="Times New Roman"/>
              </w:rPr>
              <w:t>0.218</w:t>
            </w:r>
          </w:p>
        </w:tc>
        <w:tc>
          <w:tcPr>
            <w:tcW w:w="1560" w:type="dxa"/>
          </w:tcPr>
          <w:p w:rsidR="00F65389" w:rsidRDefault="00601CBA">
            <w:pPr>
              <w:jc w:val="both"/>
              <w:rPr>
                <w:rFonts w:ascii="Times New Roman" w:eastAsia="Times New Roman" w:hAnsi="Times New Roman" w:cs="Times New Roman"/>
              </w:rPr>
            </w:pPr>
            <w:r>
              <w:rPr>
                <w:rFonts w:ascii="Times New Roman" w:eastAsia="Times New Roman" w:hAnsi="Times New Roman" w:cs="Times New Roman"/>
              </w:rPr>
              <w:t>0.520</w:t>
            </w:r>
          </w:p>
        </w:tc>
        <w:tc>
          <w:tcPr>
            <w:tcW w:w="1560" w:type="dxa"/>
          </w:tcPr>
          <w:p w:rsidR="00F65389" w:rsidRDefault="00601CBA">
            <w:pPr>
              <w:jc w:val="both"/>
              <w:rPr>
                <w:rFonts w:ascii="Times New Roman" w:eastAsia="Times New Roman" w:hAnsi="Times New Roman" w:cs="Times New Roman"/>
              </w:rPr>
            </w:pPr>
            <w:r>
              <w:rPr>
                <w:rFonts w:ascii="Times New Roman" w:eastAsia="Times New Roman" w:hAnsi="Times New Roman" w:cs="Times New Roman"/>
              </w:rPr>
              <w:t>1.083</w:t>
            </w:r>
          </w:p>
        </w:tc>
        <w:tc>
          <w:tcPr>
            <w:tcW w:w="1560" w:type="dxa"/>
          </w:tcPr>
          <w:p w:rsidR="00F65389" w:rsidRDefault="00601CBA">
            <w:pPr>
              <w:jc w:val="both"/>
              <w:rPr>
                <w:rFonts w:ascii="Times New Roman" w:eastAsia="Times New Roman" w:hAnsi="Times New Roman" w:cs="Times New Roman"/>
              </w:rPr>
            </w:pPr>
            <w:r>
              <w:rPr>
                <w:rFonts w:ascii="Times New Roman" w:eastAsia="Times New Roman" w:hAnsi="Times New Roman" w:cs="Times New Roman"/>
              </w:rPr>
              <w:t>11.200</w:t>
            </w:r>
          </w:p>
        </w:tc>
        <w:tc>
          <w:tcPr>
            <w:tcW w:w="1560" w:type="dxa"/>
          </w:tcPr>
          <w:p w:rsidR="00F65389" w:rsidRDefault="00601CBA">
            <w:pPr>
              <w:jc w:val="both"/>
              <w:rPr>
                <w:rFonts w:ascii="Times New Roman" w:eastAsia="Times New Roman" w:hAnsi="Times New Roman" w:cs="Times New Roman"/>
              </w:rPr>
            </w:pPr>
            <w:r>
              <w:rPr>
                <w:rFonts w:ascii="Times New Roman" w:eastAsia="Times New Roman" w:hAnsi="Times New Roman" w:cs="Times New Roman"/>
              </w:rPr>
              <w:t>12.180</w:t>
            </w:r>
          </w:p>
        </w:tc>
      </w:tr>
      <w:tr w:rsidR="00F65389" w:rsidTr="00601CBA">
        <w:tc>
          <w:tcPr>
            <w:tcW w:w="1560" w:type="dxa"/>
          </w:tcPr>
          <w:p w:rsidR="00F65389" w:rsidRDefault="00601CBA">
            <w:pPr>
              <w:jc w:val="both"/>
              <w:rPr>
                <w:rFonts w:ascii="Times New Roman" w:eastAsia="Times New Roman" w:hAnsi="Times New Roman" w:cs="Times New Roman"/>
              </w:rPr>
            </w:pPr>
            <w:r>
              <w:rPr>
                <w:rFonts w:ascii="Times New Roman" w:eastAsia="Times New Roman" w:hAnsi="Times New Roman" w:cs="Times New Roman"/>
              </w:rPr>
              <w:t>2014</w:t>
            </w:r>
          </w:p>
        </w:tc>
        <w:tc>
          <w:tcPr>
            <w:tcW w:w="1560" w:type="dxa"/>
          </w:tcPr>
          <w:p w:rsidR="00F65389" w:rsidRDefault="00601CBA">
            <w:pPr>
              <w:jc w:val="both"/>
              <w:rPr>
                <w:rFonts w:ascii="Times New Roman" w:eastAsia="Times New Roman" w:hAnsi="Times New Roman" w:cs="Times New Roman"/>
              </w:rPr>
            </w:pPr>
            <w:r>
              <w:rPr>
                <w:rFonts w:ascii="Times New Roman" w:eastAsia="Times New Roman" w:hAnsi="Times New Roman" w:cs="Times New Roman"/>
              </w:rPr>
              <w:t>0.193</w:t>
            </w:r>
          </w:p>
        </w:tc>
        <w:tc>
          <w:tcPr>
            <w:tcW w:w="1560" w:type="dxa"/>
          </w:tcPr>
          <w:p w:rsidR="00F65389" w:rsidRDefault="00601CBA">
            <w:pPr>
              <w:jc w:val="both"/>
              <w:rPr>
                <w:rFonts w:ascii="Times New Roman" w:eastAsia="Times New Roman" w:hAnsi="Times New Roman" w:cs="Times New Roman"/>
              </w:rPr>
            </w:pPr>
            <w:r>
              <w:rPr>
                <w:rFonts w:ascii="Times New Roman" w:eastAsia="Times New Roman" w:hAnsi="Times New Roman" w:cs="Times New Roman"/>
              </w:rPr>
              <w:t>0.500</w:t>
            </w:r>
          </w:p>
        </w:tc>
        <w:tc>
          <w:tcPr>
            <w:tcW w:w="1560" w:type="dxa"/>
          </w:tcPr>
          <w:p w:rsidR="00F65389" w:rsidRDefault="00601CBA">
            <w:pPr>
              <w:jc w:val="both"/>
              <w:rPr>
                <w:rFonts w:ascii="Times New Roman" w:eastAsia="Times New Roman" w:hAnsi="Times New Roman" w:cs="Times New Roman"/>
              </w:rPr>
            </w:pPr>
            <w:r>
              <w:rPr>
                <w:rFonts w:ascii="Times New Roman" w:eastAsia="Times New Roman" w:hAnsi="Times New Roman" w:cs="Times New Roman"/>
              </w:rPr>
              <w:t>1.000</w:t>
            </w:r>
          </w:p>
        </w:tc>
        <w:tc>
          <w:tcPr>
            <w:tcW w:w="1560" w:type="dxa"/>
          </w:tcPr>
          <w:p w:rsidR="00F65389" w:rsidRDefault="00601CBA">
            <w:pPr>
              <w:jc w:val="both"/>
              <w:rPr>
                <w:rFonts w:ascii="Times New Roman" w:eastAsia="Times New Roman" w:hAnsi="Times New Roman" w:cs="Times New Roman"/>
              </w:rPr>
            </w:pPr>
            <w:r>
              <w:rPr>
                <w:rFonts w:ascii="Times New Roman" w:eastAsia="Times New Roman" w:hAnsi="Times New Roman" w:cs="Times New Roman"/>
              </w:rPr>
              <w:t>10.393</w:t>
            </w:r>
          </w:p>
        </w:tc>
        <w:tc>
          <w:tcPr>
            <w:tcW w:w="1560" w:type="dxa"/>
          </w:tcPr>
          <w:p w:rsidR="00F65389" w:rsidRDefault="00601CBA">
            <w:pPr>
              <w:jc w:val="both"/>
              <w:rPr>
                <w:rFonts w:ascii="Times New Roman" w:eastAsia="Times New Roman" w:hAnsi="Times New Roman" w:cs="Times New Roman"/>
              </w:rPr>
            </w:pPr>
            <w:r>
              <w:rPr>
                <w:rFonts w:ascii="Times New Roman" w:eastAsia="Times New Roman" w:hAnsi="Times New Roman" w:cs="Times New Roman"/>
              </w:rPr>
              <w:t>11.373</w:t>
            </w:r>
          </w:p>
        </w:tc>
      </w:tr>
      <w:tr w:rsidR="00F65389" w:rsidTr="00601CBA">
        <w:tc>
          <w:tcPr>
            <w:tcW w:w="1560" w:type="dxa"/>
          </w:tcPr>
          <w:p w:rsidR="00F65389" w:rsidRDefault="00601CBA">
            <w:pPr>
              <w:jc w:val="both"/>
              <w:rPr>
                <w:rFonts w:ascii="Times New Roman" w:eastAsia="Times New Roman" w:hAnsi="Times New Roman" w:cs="Times New Roman"/>
              </w:rPr>
            </w:pPr>
            <w:r>
              <w:rPr>
                <w:rFonts w:ascii="Times New Roman" w:eastAsia="Times New Roman" w:hAnsi="Times New Roman" w:cs="Times New Roman"/>
              </w:rPr>
              <w:t>2015</w:t>
            </w:r>
          </w:p>
        </w:tc>
        <w:tc>
          <w:tcPr>
            <w:tcW w:w="1560" w:type="dxa"/>
          </w:tcPr>
          <w:p w:rsidR="00F65389" w:rsidRDefault="00601CBA">
            <w:pPr>
              <w:jc w:val="both"/>
              <w:rPr>
                <w:rFonts w:ascii="Times New Roman" w:eastAsia="Times New Roman" w:hAnsi="Times New Roman" w:cs="Times New Roman"/>
              </w:rPr>
            </w:pPr>
            <w:r>
              <w:rPr>
                <w:rFonts w:ascii="Times New Roman" w:eastAsia="Times New Roman" w:hAnsi="Times New Roman" w:cs="Times New Roman"/>
              </w:rPr>
              <w:t>0.182</w:t>
            </w:r>
          </w:p>
        </w:tc>
        <w:tc>
          <w:tcPr>
            <w:tcW w:w="1560" w:type="dxa"/>
          </w:tcPr>
          <w:p w:rsidR="00F65389" w:rsidRDefault="00601CBA">
            <w:pPr>
              <w:jc w:val="both"/>
              <w:rPr>
                <w:rFonts w:ascii="Times New Roman" w:eastAsia="Times New Roman" w:hAnsi="Times New Roman" w:cs="Times New Roman"/>
              </w:rPr>
            </w:pPr>
            <w:r>
              <w:rPr>
                <w:rFonts w:ascii="Times New Roman" w:eastAsia="Times New Roman" w:hAnsi="Times New Roman" w:cs="Times New Roman"/>
              </w:rPr>
              <w:t>0.461</w:t>
            </w:r>
          </w:p>
        </w:tc>
        <w:tc>
          <w:tcPr>
            <w:tcW w:w="1560" w:type="dxa"/>
          </w:tcPr>
          <w:p w:rsidR="00F65389" w:rsidRDefault="00601CBA">
            <w:pPr>
              <w:jc w:val="both"/>
              <w:rPr>
                <w:rFonts w:ascii="Times New Roman" w:eastAsia="Times New Roman" w:hAnsi="Times New Roman" w:cs="Times New Roman"/>
              </w:rPr>
            </w:pPr>
            <w:r>
              <w:rPr>
                <w:rFonts w:ascii="Times New Roman" w:eastAsia="Times New Roman" w:hAnsi="Times New Roman" w:cs="Times New Roman"/>
              </w:rPr>
              <w:t>0.854</w:t>
            </w:r>
          </w:p>
        </w:tc>
        <w:tc>
          <w:tcPr>
            <w:tcW w:w="1560" w:type="dxa"/>
          </w:tcPr>
          <w:p w:rsidR="00F65389" w:rsidRDefault="00601CBA">
            <w:pPr>
              <w:jc w:val="both"/>
              <w:rPr>
                <w:rFonts w:ascii="Times New Roman" w:eastAsia="Times New Roman" w:hAnsi="Times New Roman" w:cs="Times New Roman"/>
              </w:rPr>
            </w:pPr>
            <w:r>
              <w:rPr>
                <w:rFonts w:ascii="Times New Roman" w:eastAsia="Times New Roman" w:hAnsi="Times New Roman" w:cs="Times New Roman"/>
              </w:rPr>
              <w:t>9.100</w:t>
            </w:r>
          </w:p>
        </w:tc>
        <w:tc>
          <w:tcPr>
            <w:tcW w:w="1560" w:type="dxa"/>
          </w:tcPr>
          <w:p w:rsidR="00F65389" w:rsidRDefault="00601CBA">
            <w:pPr>
              <w:jc w:val="both"/>
              <w:rPr>
                <w:rFonts w:ascii="Times New Roman" w:eastAsia="Times New Roman" w:hAnsi="Times New Roman" w:cs="Times New Roman"/>
              </w:rPr>
            </w:pPr>
            <w:r>
              <w:rPr>
                <w:rFonts w:ascii="Times New Roman" w:eastAsia="Times New Roman" w:hAnsi="Times New Roman" w:cs="Times New Roman"/>
              </w:rPr>
              <w:t>10.080</w:t>
            </w:r>
          </w:p>
        </w:tc>
      </w:tr>
      <w:tr w:rsidR="00F65389" w:rsidTr="00601CBA">
        <w:tc>
          <w:tcPr>
            <w:tcW w:w="1560" w:type="dxa"/>
          </w:tcPr>
          <w:p w:rsidR="00F65389" w:rsidRDefault="00601CBA">
            <w:pPr>
              <w:jc w:val="both"/>
              <w:rPr>
                <w:rFonts w:ascii="Times New Roman" w:eastAsia="Times New Roman" w:hAnsi="Times New Roman" w:cs="Times New Roman"/>
              </w:rPr>
            </w:pPr>
            <w:r>
              <w:rPr>
                <w:rFonts w:ascii="Times New Roman" w:eastAsia="Times New Roman" w:hAnsi="Times New Roman" w:cs="Times New Roman"/>
              </w:rPr>
              <w:t>2016</w:t>
            </w:r>
          </w:p>
        </w:tc>
        <w:tc>
          <w:tcPr>
            <w:tcW w:w="1560" w:type="dxa"/>
          </w:tcPr>
          <w:p w:rsidR="00F65389" w:rsidRDefault="00601CBA">
            <w:pPr>
              <w:jc w:val="both"/>
              <w:rPr>
                <w:rFonts w:ascii="Times New Roman" w:eastAsia="Times New Roman" w:hAnsi="Times New Roman" w:cs="Times New Roman"/>
              </w:rPr>
            </w:pPr>
            <w:r>
              <w:rPr>
                <w:rFonts w:ascii="Times New Roman" w:eastAsia="Times New Roman" w:hAnsi="Times New Roman" w:cs="Times New Roman"/>
              </w:rPr>
              <w:t>0.063</w:t>
            </w:r>
          </w:p>
        </w:tc>
        <w:tc>
          <w:tcPr>
            <w:tcW w:w="1560" w:type="dxa"/>
          </w:tcPr>
          <w:p w:rsidR="00F65389" w:rsidRDefault="00601CBA">
            <w:pPr>
              <w:jc w:val="both"/>
              <w:rPr>
                <w:rFonts w:ascii="Times New Roman" w:eastAsia="Times New Roman" w:hAnsi="Times New Roman" w:cs="Times New Roman"/>
              </w:rPr>
            </w:pPr>
            <w:r>
              <w:rPr>
                <w:rFonts w:ascii="Times New Roman" w:eastAsia="Times New Roman" w:hAnsi="Times New Roman" w:cs="Times New Roman"/>
              </w:rPr>
              <w:t>0.574</w:t>
            </w:r>
          </w:p>
        </w:tc>
        <w:tc>
          <w:tcPr>
            <w:tcW w:w="1560" w:type="dxa"/>
          </w:tcPr>
          <w:p w:rsidR="00F65389" w:rsidRDefault="00601CBA">
            <w:pPr>
              <w:jc w:val="both"/>
              <w:rPr>
                <w:rFonts w:ascii="Times New Roman" w:eastAsia="Times New Roman" w:hAnsi="Times New Roman" w:cs="Times New Roman"/>
              </w:rPr>
            </w:pPr>
            <w:r>
              <w:rPr>
                <w:rFonts w:ascii="Times New Roman" w:eastAsia="Times New Roman" w:hAnsi="Times New Roman" w:cs="Times New Roman"/>
              </w:rPr>
              <w:t>1.347</w:t>
            </w:r>
          </w:p>
        </w:tc>
        <w:tc>
          <w:tcPr>
            <w:tcW w:w="1560" w:type="dxa"/>
          </w:tcPr>
          <w:p w:rsidR="00F65389" w:rsidRDefault="00601CBA">
            <w:pPr>
              <w:jc w:val="both"/>
              <w:rPr>
                <w:rFonts w:ascii="Times New Roman" w:eastAsia="Times New Roman" w:hAnsi="Times New Roman" w:cs="Times New Roman"/>
              </w:rPr>
            </w:pPr>
            <w:r>
              <w:rPr>
                <w:rFonts w:ascii="Times New Roman" w:eastAsia="Times New Roman" w:hAnsi="Times New Roman" w:cs="Times New Roman"/>
              </w:rPr>
              <w:t>4.619</w:t>
            </w:r>
          </w:p>
        </w:tc>
        <w:tc>
          <w:tcPr>
            <w:tcW w:w="1560" w:type="dxa"/>
          </w:tcPr>
          <w:p w:rsidR="00F65389" w:rsidRDefault="00601CBA">
            <w:pPr>
              <w:jc w:val="both"/>
              <w:rPr>
                <w:rFonts w:ascii="Times New Roman" w:eastAsia="Times New Roman" w:hAnsi="Times New Roman" w:cs="Times New Roman"/>
              </w:rPr>
            </w:pPr>
            <w:r>
              <w:rPr>
                <w:rFonts w:ascii="Times New Roman" w:eastAsia="Times New Roman" w:hAnsi="Times New Roman" w:cs="Times New Roman"/>
              </w:rPr>
              <w:t>5.599</w:t>
            </w:r>
          </w:p>
        </w:tc>
      </w:tr>
      <w:tr w:rsidR="00F65389" w:rsidTr="00601CBA">
        <w:tc>
          <w:tcPr>
            <w:tcW w:w="1560" w:type="dxa"/>
          </w:tcPr>
          <w:p w:rsidR="00F65389" w:rsidRDefault="00601CBA">
            <w:pPr>
              <w:jc w:val="both"/>
              <w:rPr>
                <w:rFonts w:ascii="Times New Roman" w:eastAsia="Times New Roman" w:hAnsi="Times New Roman" w:cs="Times New Roman"/>
              </w:rPr>
            </w:pPr>
            <w:r>
              <w:rPr>
                <w:rFonts w:ascii="Times New Roman" w:eastAsia="Times New Roman" w:hAnsi="Times New Roman" w:cs="Times New Roman"/>
              </w:rPr>
              <w:t>2017</w:t>
            </w:r>
          </w:p>
        </w:tc>
        <w:tc>
          <w:tcPr>
            <w:tcW w:w="1560" w:type="dxa"/>
          </w:tcPr>
          <w:p w:rsidR="00F65389" w:rsidRDefault="00601CBA">
            <w:pPr>
              <w:jc w:val="both"/>
              <w:rPr>
                <w:rFonts w:ascii="Times New Roman" w:eastAsia="Times New Roman" w:hAnsi="Times New Roman" w:cs="Times New Roman"/>
              </w:rPr>
            </w:pPr>
            <w:r>
              <w:rPr>
                <w:rFonts w:ascii="Times New Roman" w:eastAsia="Times New Roman" w:hAnsi="Times New Roman" w:cs="Times New Roman"/>
              </w:rPr>
              <w:t>0.060</w:t>
            </w:r>
          </w:p>
        </w:tc>
        <w:tc>
          <w:tcPr>
            <w:tcW w:w="1560" w:type="dxa"/>
          </w:tcPr>
          <w:p w:rsidR="00F65389" w:rsidRDefault="00601CBA">
            <w:pPr>
              <w:jc w:val="both"/>
              <w:rPr>
                <w:rFonts w:ascii="Times New Roman" w:eastAsia="Times New Roman" w:hAnsi="Times New Roman" w:cs="Times New Roman"/>
              </w:rPr>
            </w:pPr>
            <w:r>
              <w:rPr>
                <w:rFonts w:ascii="Times New Roman" w:eastAsia="Times New Roman" w:hAnsi="Times New Roman" w:cs="Times New Roman"/>
              </w:rPr>
              <w:t>0.588</w:t>
            </w:r>
          </w:p>
        </w:tc>
        <w:tc>
          <w:tcPr>
            <w:tcW w:w="1560" w:type="dxa"/>
          </w:tcPr>
          <w:p w:rsidR="00F65389" w:rsidRDefault="00601CBA">
            <w:pPr>
              <w:jc w:val="both"/>
              <w:rPr>
                <w:rFonts w:ascii="Times New Roman" w:eastAsia="Times New Roman" w:hAnsi="Times New Roman" w:cs="Times New Roman"/>
              </w:rPr>
            </w:pPr>
            <w:r>
              <w:rPr>
                <w:rFonts w:ascii="Times New Roman" w:eastAsia="Times New Roman" w:hAnsi="Times New Roman" w:cs="Times New Roman"/>
              </w:rPr>
              <w:t>1.425</w:t>
            </w:r>
          </w:p>
        </w:tc>
        <w:tc>
          <w:tcPr>
            <w:tcW w:w="1560" w:type="dxa"/>
          </w:tcPr>
          <w:p w:rsidR="00F65389" w:rsidRDefault="00601CBA">
            <w:pPr>
              <w:jc w:val="both"/>
              <w:rPr>
                <w:rFonts w:ascii="Times New Roman" w:eastAsia="Times New Roman" w:hAnsi="Times New Roman" w:cs="Times New Roman"/>
              </w:rPr>
            </w:pPr>
            <w:r>
              <w:rPr>
                <w:rFonts w:ascii="Times New Roman" w:eastAsia="Times New Roman" w:hAnsi="Times New Roman" w:cs="Times New Roman"/>
              </w:rPr>
              <w:t>5.789</w:t>
            </w:r>
          </w:p>
        </w:tc>
        <w:tc>
          <w:tcPr>
            <w:tcW w:w="1560" w:type="dxa"/>
          </w:tcPr>
          <w:p w:rsidR="00F65389" w:rsidRDefault="00601CBA">
            <w:pPr>
              <w:jc w:val="both"/>
              <w:rPr>
                <w:rFonts w:ascii="Times New Roman" w:eastAsia="Times New Roman" w:hAnsi="Times New Roman" w:cs="Times New Roman"/>
              </w:rPr>
            </w:pPr>
            <w:r>
              <w:rPr>
                <w:rFonts w:ascii="Times New Roman" w:eastAsia="Times New Roman" w:hAnsi="Times New Roman" w:cs="Times New Roman"/>
              </w:rPr>
              <w:t>6.769</w:t>
            </w:r>
          </w:p>
        </w:tc>
      </w:tr>
      <w:tr w:rsidR="00F65389" w:rsidTr="00601CBA">
        <w:tc>
          <w:tcPr>
            <w:tcW w:w="1560" w:type="dxa"/>
          </w:tcPr>
          <w:p w:rsidR="00F65389" w:rsidRDefault="00601CBA">
            <w:pPr>
              <w:jc w:val="both"/>
              <w:rPr>
                <w:rFonts w:ascii="Times New Roman" w:eastAsia="Times New Roman" w:hAnsi="Times New Roman" w:cs="Times New Roman"/>
              </w:rPr>
            </w:pPr>
            <w:r>
              <w:rPr>
                <w:rFonts w:ascii="Times New Roman" w:eastAsia="Times New Roman" w:hAnsi="Times New Roman" w:cs="Times New Roman"/>
              </w:rPr>
              <w:t>2018</w:t>
            </w:r>
          </w:p>
        </w:tc>
        <w:tc>
          <w:tcPr>
            <w:tcW w:w="1560" w:type="dxa"/>
          </w:tcPr>
          <w:p w:rsidR="00F65389" w:rsidRDefault="00601CBA">
            <w:pPr>
              <w:jc w:val="both"/>
              <w:rPr>
                <w:rFonts w:ascii="Times New Roman" w:eastAsia="Times New Roman" w:hAnsi="Times New Roman" w:cs="Times New Roman"/>
              </w:rPr>
            </w:pPr>
            <w:r>
              <w:rPr>
                <w:rFonts w:ascii="Times New Roman" w:eastAsia="Times New Roman" w:hAnsi="Times New Roman" w:cs="Times New Roman"/>
              </w:rPr>
              <w:t>0.208</w:t>
            </w:r>
          </w:p>
        </w:tc>
        <w:tc>
          <w:tcPr>
            <w:tcW w:w="1560" w:type="dxa"/>
          </w:tcPr>
          <w:p w:rsidR="00F65389" w:rsidRDefault="00601CBA">
            <w:pPr>
              <w:jc w:val="both"/>
              <w:rPr>
                <w:rFonts w:ascii="Times New Roman" w:eastAsia="Times New Roman" w:hAnsi="Times New Roman" w:cs="Times New Roman"/>
              </w:rPr>
            </w:pPr>
            <w:r>
              <w:rPr>
                <w:rFonts w:ascii="Times New Roman" w:eastAsia="Times New Roman" w:hAnsi="Times New Roman" w:cs="Times New Roman"/>
              </w:rPr>
              <w:t>0.526</w:t>
            </w:r>
          </w:p>
        </w:tc>
        <w:tc>
          <w:tcPr>
            <w:tcW w:w="1560" w:type="dxa"/>
          </w:tcPr>
          <w:p w:rsidR="00F65389" w:rsidRDefault="00601CBA">
            <w:pPr>
              <w:jc w:val="both"/>
              <w:rPr>
                <w:rFonts w:ascii="Times New Roman" w:eastAsia="Times New Roman" w:hAnsi="Times New Roman" w:cs="Times New Roman"/>
              </w:rPr>
            </w:pPr>
            <w:r>
              <w:rPr>
                <w:rFonts w:ascii="Times New Roman" w:eastAsia="Times New Roman" w:hAnsi="Times New Roman" w:cs="Times New Roman"/>
              </w:rPr>
              <w:t>1.111</w:t>
            </w:r>
          </w:p>
        </w:tc>
        <w:tc>
          <w:tcPr>
            <w:tcW w:w="1560" w:type="dxa"/>
          </w:tcPr>
          <w:p w:rsidR="00F65389" w:rsidRDefault="00601CBA">
            <w:pPr>
              <w:jc w:val="both"/>
              <w:rPr>
                <w:rFonts w:ascii="Times New Roman" w:eastAsia="Times New Roman" w:hAnsi="Times New Roman" w:cs="Times New Roman"/>
              </w:rPr>
            </w:pPr>
            <w:r>
              <w:rPr>
                <w:rFonts w:ascii="Times New Roman" w:eastAsia="Times New Roman" w:hAnsi="Times New Roman" w:cs="Times New Roman"/>
              </w:rPr>
              <w:t>8.294</w:t>
            </w:r>
          </w:p>
        </w:tc>
        <w:tc>
          <w:tcPr>
            <w:tcW w:w="1560" w:type="dxa"/>
          </w:tcPr>
          <w:p w:rsidR="00F65389" w:rsidRDefault="00601CBA">
            <w:pPr>
              <w:jc w:val="both"/>
              <w:rPr>
                <w:rFonts w:ascii="Times New Roman" w:eastAsia="Times New Roman" w:hAnsi="Times New Roman" w:cs="Times New Roman"/>
              </w:rPr>
            </w:pPr>
            <w:r>
              <w:rPr>
                <w:rFonts w:ascii="Times New Roman" w:eastAsia="Times New Roman" w:hAnsi="Times New Roman" w:cs="Times New Roman"/>
              </w:rPr>
              <w:t>9.274</w:t>
            </w:r>
          </w:p>
        </w:tc>
      </w:tr>
      <w:tr w:rsidR="00F65389" w:rsidTr="00601CBA">
        <w:tc>
          <w:tcPr>
            <w:tcW w:w="1560" w:type="dxa"/>
          </w:tcPr>
          <w:p w:rsidR="00F65389" w:rsidRDefault="00601CBA">
            <w:pPr>
              <w:jc w:val="both"/>
              <w:rPr>
                <w:rFonts w:ascii="Times New Roman" w:eastAsia="Times New Roman" w:hAnsi="Times New Roman" w:cs="Times New Roman"/>
              </w:rPr>
            </w:pPr>
            <w:r>
              <w:rPr>
                <w:rFonts w:ascii="Times New Roman" w:eastAsia="Times New Roman" w:hAnsi="Times New Roman" w:cs="Times New Roman"/>
              </w:rPr>
              <w:t>2019</w:t>
            </w:r>
          </w:p>
        </w:tc>
        <w:tc>
          <w:tcPr>
            <w:tcW w:w="1560" w:type="dxa"/>
          </w:tcPr>
          <w:p w:rsidR="00F65389" w:rsidRDefault="00601CBA">
            <w:pPr>
              <w:jc w:val="both"/>
              <w:rPr>
                <w:rFonts w:ascii="Times New Roman" w:eastAsia="Times New Roman" w:hAnsi="Times New Roman" w:cs="Times New Roman"/>
              </w:rPr>
            </w:pPr>
            <w:r>
              <w:rPr>
                <w:rFonts w:ascii="Times New Roman" w:eastAsia="Times New Roman" w:hAnsi="Times New Roman" w:cs="Times New Roman"/>
              </w:rPr>
              <w:t>0.253</w:t>
            </w:r>
          </w:p>
        </w:tc>
        <w:tc>
          <w:tcPr>
            <w:tcW w:w="1560" w:type="dxa"/>
          </w:tcPr>
          <w:p w:rsidR="00F65389" w:rsidRDefault="00601CBA">
            <w:pPr>
              <w:jc w:val="both"/>
              <w:rPr>
                <w:rFonts w:ascii="Times New Roman" w:eastAsia="Times New Roman" w:hAnsi="Times New Roman" w:cs="Times New Roman"/>
              </w:rPr>
            </w:pPr>
            <w:r>
              <w:rPr>
                <w:rFonts w:ascii="Times New Roman" w:eastAsia="Times New Roman" w:hAnsi="Times New Roman" w:cs="Times New Roman"/>
              </w:rPr>
              <w:t>0.509</w:t>
            </w:r>
          </w:p>
        </w:tc>
        <w:tc>
          <w:tcPr>
            <w:tcW w:w="1560" w:type="dxa"/>
          </w:tcPr>
          <w:p w:rsidR="00F65389" w:rsidRDefault="00601CBA">
            <w:pPr>
              <w:jc w:val="both"/>
              <w:rPr>
                <w:rFonts w:ascii="Times New Roman" w:eastAsia="Times New Roman" w:hAnsi="Times New Roman" w:cs="Times New Roman"/>
              </w:rPr>
            </w:pPr>
            <w:r>
              <w:rPr>
                <w:rFonts w:ascii="Times New Roman" w:eastAsia="Times New Roman" w:hAnsi="Times New Roman" w:cs="Times New Roman"/>
              </w:rPr>
              <w:t>1.035</w:t>
            </w:r>
          </w:p>
        </w:tc>
        <w:tc>
          <w:tcPr>
            <w:tcW w:w="1560" w:type="dxa"/>
          </w:tcPr>
          <w:p w:rsidR="00F65389" w:rsidRDefault="00601CBA">
            <w:pPr>
              <w:jc w:val="both"/>
              <w:rPr>
                <w:rFonts w:ascii="Times New Roman" w:eastAsia="Times New Roman" w:hAnsi="Times New Roman" w:cs="Times New Roman"/>
              </w:rPr>
            </w:pPr>
            <w:r>
              <w:rPr>
                <w:rFonts w:ascii="Times New Roman" w:eastAsia="Times New Roman" w:hAnsi="Times New Roman" w:cs="Times New Roman"/>
              </w:rPr>
              <w:t>8.905</w:t>
            </w:r>
          </w:p>
        </w:tc>
        <w:tc>
          <w:tcPr>
            <w:tcW w:w="1560" w:type="dxa"/>
          </w:tcPr>
          <w:p w:rsidR="00F65389" w:rsidRDefault="00601CBA">
            <w:pPr>
              <w:jc w:val="both"/>
              <w:rPr>
                <w:rFonts w:ascii="Times New Roman" w:eastAsia="Times New Roman" w:hAnsi="Times New Roman" w:cs="Times New Roman"/>
              </w:rPr>
            </w:pPr>
            <w:r>
              <w:rPr>
                <w:rFonts w:ascii="Times New Roman" w:eastAsia="Times New Roman" w:hAnsi="Times New Roman" w:cs="Times New Roman"/>
              </w:rPr>
              <w:t>9.885</w:t>
            </w:r>
          </w:p>
        </w:tc>
      </w:tr>
      <w:tr w:rsidR="00F65389" w:rsidTr="00601CBA">
        <w:tc>
          <w:tcPr>
            <w:tcW w:w="1560" w:type="dxa"/>
          </w:tcPr>
          <w:p w:rsidR="00F65389" w:rsidRDefault="00601CBA">
            <w:pPr>
              <w:jc w:val="both"/>
              <w:rPr>
                <w:rFonts w:ascii="Times New Roman" w:eastAsia="Times New Roman" w:hAnsi="Times New Roman" w:cs="Times New Roman"/>
              </w:rPr>
            </w:pPr>
            <w:r>
              <w:rPr>
                <w:rFonts w:ascii="Times New Roman" w:eastAsia="Times New Roman" w:hAnsi="Times New Roman" w:cs="Times New Roman"/>
              </w:rPr>
              <w:t>2020</w:t>
            </w:r>
          </w:p>
        </w:tc>
        <w:tc>
          <w:tcPr>
            <w:tcW w:w="1560" w:type="dxa"/>
          </w:tcPr>
          <w:p w:rsidR="00F65389" w:rsidRDefault="00601CBA">
            <w:pPr>
              <w:jc w:val="both"/>
              <w:rPr>
                <w:rFonts w:ascii="Times New Roman" w:eastAsia="Times New Roman" w:hAnsi="Times New Roman" w:cs="Times New Roman"/>
              </w:rPr>
            </w:pPr>
            <w:r>
              <w:rPr>
                <w:rFonts w:ascii="Times New Roman" w:eastAsia="Times New Roman" w:hAnsi="Times New Roman" w:cs="Times New Roman"/>
              </w:rPr>
              <w:t>0.199</w:t>
            </w:r>
          </w:p>
        </w:tc>
        <w:tc>
          <w:tcPr>
            <w:tcW w:w="1560" w:type="dxa"/>
          </w:tcPr>
          <w:p w:rsidR="00F65389" w:rsidRDefault="00601CBA">
            <w:pPr>
              <w:jc w:val="both"/>
              <w:rPr>
                <w:rFonts w:ascii="Times New Roman" w:eastAsia="Times New Roman" w:hAnsi="Times New Roman" w:cs="Times New Roman"/>
              </w:rPr>
            </w:pPr>
            <w:r>
              <w:rPr>
                <w:rFonts w:ascii="Times New Roman" w:eastAsia="Times New Roman" w:hAnsi="Times New Roman" w:cs="Times New Roman"/>
              </w:rPr>
              <w:t>0.509</w:t>
            </w:r>
          </w:p>
        </w:tc>
        <w:tc>
          <w:tcPr>
            <w:tcW w:w="1560" w:type="dxa"/>
          </w:tcPr>
          <w:p w:rsidR="00F65389" w:rsidRDefault="00601CBA">
            <w:pPr>
              <w:jc w:val="both"/>
              <w:rPr>
                <w:rFonts w:ascii="Times New Roman" w:eastAsia="Times New Roman" w:hAnsi="Times New Roman" w:cs="Times New Roman"/>
              </w:rPr>
            </w:pPr>
            <w:r>
              <w:rPr>
                <w:rFonts w:ascii="Times New Roman" w:eastAsia="Times New Roman" w:hAnsi="Times New Roman" w:cs="Times New Roman"/>
              </w:rPr>
              <w:t>1.038</w:t>
            </w:r>
          </w:p>
        </w:tc>
        <w:tc>
          <w:tcPr>
            <w:tcW w:w="1560" w:type="dxa"/>
          </w:tcPr>
          <w:p w:rsidR="00F65389" w:rsidRDefault="00601CBA">
            <w:pPr>
              <w:jc w:val="both"/>
              <w:rPr>
                <w:rFonts w:ascii="Times New Roman" w:eastAsia="Times New Roman" w:hAnsi="Times New Roman" w:cs="Times New Roman"/>
              </w:rPr>
            </w:pPr>
            <w:r>
              <w:rPr>
                <w:rFonts w:ascii="Times New Roman" w:eastAsia="Times New Roman" w:hAnsi="Times New Roman" w:cs="Times New Roman"/>
              </w:rPr>
              <w:t>8.800</w:t>
            </w:r>
          </w:p>
        </w:tc>
        <w:tc>
          <w:tcPr>
            <w:tcW w:w="1560" w:type="dxa"/>
          </w:tcPr>
          <w:p w:rsidR="00F65389" w:rsidRDefault="00601CBA">
            <w:pPr>
              <w:jc w:val="both"/>
              <w:rPr>
                <w:rFonts w:ascii="Times New Roman" w:eastAsia="Times New Roman" w:hAnsi="Times New Roman" w:cs="Times New Roman"/>
              </w:rPr>
            </w:pPr>
            <w:r>
              <w:rPr>
                <w:rFonts w:ascii="Times New Roman" w:eastAsia="Times New Roman" w:hAnsi="Times New Roman" w:cs="Times New Roman"/>
              </w:rPr>
              <w:t>9.780</w:t>
            </w:r>
          </w:p>
        </w:tc>
      </w:tr>
      <w:tr w:rsidR="00F65389" w:rsidTr="00601CBA">
        <w:tc>
          <w:tcPr>
            <w:tcW w:w="1560" w:type="dxa"/>
          </w:tcPr>
          <w:p w:rsidR="00F65389" w:rsidRDefault="00601CBA">
            <w:pPr>
              <w:jc w:val="both"/>
              <w:rPr>
                <w:rFonts w:ascii="Times New Roman" w:eastAsia="Times New Roman" w:hAnsi="Times New Roman" w:cs="Times New Roman"/>
              </w:rPr>
            </w:pPr>
            <w:r>
              <w:rPr>
                <w:rFonts w:ascii="Times New Roman" w:eastAsia="Times New Roman" w:hAnsi="Times New Roman" w:cs="Times New Roman"/>
              </w:rPr>
              <w:t>2021</w:t>
            </w:r>
          </w:p>
        </w:tc>
        <w:tc>
          <w:tcPr>
            <w:tcW w:w="1560" w:type="dxa"/>
          </w:tcPr>
          <w:p w:rsidR="00F65389" w:rsidRDefault="00601CBA">
            <w:pPr>
              <w:jc w:val="both"/>
              <w:rPr>
                <w:rFonts w:ascii="Times New Roman" w:eastAsia="Times New Roman" w:hAnsi="Times New Roman" w:cs="Times New Roman"/>
              </w:rPr>
            </w:pPr>
            <w:r>
              <w:rPr>
                <w:rFonts w:ascii="Times New Roman" w:eastAsia="Times New Roman" w:hAnsi="Times New Roman" w:cs="Times New Roman"/>
              </w:rPr>
              <w:t>0.190</w:t>
            </w:r>
          </w:p>
        </w:tc>
        <w:tc>
          <w:tcPr>
            <w:tcW w:w="1560" w:type="dxa"/>
          </w:tcPr>
          <w:p w:rsidR="00F65389" w:rsidRDefault="00601CBA">
            <w:pPr>
              <w:jc w:val="both"/>
              <w:rPr>
                <w:rFonts w:ascii="Times New Roman" w:eastAsia="Times New Roman" w:hAnsi="Times New Roman" w:cs="Times New Roman"/>
              </w:rPr>
            </w:pPr>
            <w:r>
              <w:rPr>
                <w:rFonts w:ascii="Times New Roman" w:eastAsia="Times New Roman" w:hAnsi="Times New Roman" w:cs="Times New Roman"/>
              </w:rPr>
              <w:t>0.515</w:t>
            </w:r>
          </w:p>
        </w:tc>
        <w:tc>
          <w:tcPr>
            <w:tcW w:w="1560" w:type="dxa"/>
          </w:tcPr>
          <w:p w:rsidR="00F65389" w:rsidRDefault="00601CBA">
            <w:pPr>
              <w:jc w:val="both"/>
              <w:rPr>
                <w:rFonts w:ascii="Times New Roman" w:eastAsia="Times New Roman" w:hAnsi="Times New Roman" w:cs="Times New Roman"/>
              </w:rPr>
            </w:pPr>
            <w:r>
              <w:rPr>
                <w:rFonts w:ascii="Times New Roman" w:eastAsia="Times New Roman" w:hAnsi="Times New Roman" w:cs="Times New Roman"/>
              </w:rPr>
              <w:t>1.064</w:t>
            </w:r>
          </w:p>
        </w:tc>
        <w:tc>
          <w:tcPr>
            <w:tcW w:w="1560" w:type="dxa"/>
          </w:tcPr>
          <w:p w:rsidR="00F65389" w:rsidRDefault="00601CBA">
            <w:pPr>
              <w:jc w:val="both"/>
              <w:rPr>
                <w:rFonts w:ascii="Times New Roman" w:eastAsia="Times New Roman" w:hAnsi="Times New Roman" w:cs="Times New Roman"/>
              </w:rPr>
            </w:pPr>
            <w:r>
              <w:rPr>
                <w:rFonts w:ascii="Times New Roman" w:eastAsia="Times New Roman" w:hAnsi="Times New Roman" w:cs="Times New Roman"/>
              </w:rPr>
              <w:t>8.338</w:t>
            </w:r>
          </w:p>
        </w:tc>
        <w:tc>
          <w:tcPr>
            <w:tcW w:w="1560" w:type="dxa"/>
          </w:tcPr>
          <w:p w:rsidR="00F65389" w:rsidRDefault="00601CBA">
            <w:pPr>
              <w:jc w:val="both"/>
              <w:rPr>
                <w:rFonts w:ascii="Times New Roman" w:eastAsia="Times New Roman" w:hAnsi="Times New Roman" w:cs="Times New Roman"/>
              </w:rPr>
            </w:pPr>
            <w:r>
              <w:rPr>
                <w:rFonts w:ascii="Times New Roman" w:eastAsia="Times New Roman" w:hAnsi="Times New Roman" w:cs="Times New Roman"/>
              </w:rPr>
              <w:t>9.318</w:t>
            </w:r>
          </w:p>
        </w:tc>
      </w:tr>
      <w:tr w:rsidR="00F65389" w:rsidTr="00601CBA">
        <w:tc>
          <w:tcPr>
            <w:tcW w:w="1560" w:type="dxa"/>
          </w:tcPr>
          <w:p w:rsidR="00F65389" w:rsidRDefault="00601CBA">
            <w:pPr>
              <w:jc w:val="both"/>
              <w:rPr>
                <w:rFonts w:ascii="Times New Roman" w:eastAsia="Times New Roman" w:hAnsi="Times New Roman" w:cs="Times New Roman"/>
              </w:rPr>
            </w:pPr>
            <w:r>
              <w:rPr>
                <w:rFonts w:ascii="Times New Roman" w:eastAsia="Times New Roman" w:hAnsi="Times New Roman" w:cs="Times New Roman"/>
              </w:rPr>
              <w:t>2022</w:t>
            </w:r>
          </w:p>
        </w:tc>
        <w:tc>
          <w:tcPr>
            <w:tcW w:w="1560" w:type="dxa"/>
          </w:tcPr>
          <w:p w:rsidR="00F65389" w:rsidRDefault="00601CBA">
            <w:pPr>
              <w:jc w:val="both"/>
              <w:rPr>
                <w:rFonts w:ascii="Times New Roman" w:eastAsia="Times New Roman" w:hAnsi="Times New Roman" w:cs="Times New Roman"/>
              </w:rPr>
            </w:pPr>
            <w:r>
              <w:rPr>
                <w:rFonts w:ascii="Times New Roman" w:eastAsia="Times New Roman" w:hAnsi="Times New Roman" w:cs="Times New Roman"/>
              </w:rPr>
              <w:t>0.276</w:t>
            </w:r>
          </w:p>
        </w:tc>
        <w:tc>
          <w:tcPr>
            <w:tcW w:w="1560" w:type="dxa"/>
          </w:tcPr>
          <w:p w:rsidR="00F65389" w:rsidRDefault="00601CBA">
            <w:pPr>
              <w:jc w:val="both"/>
              <w:rPr>
                <w:rFonts w:ascii="Times New Roman" w:eastAsia="Times New Roman" w:hAnsi="Times New Roman" w:cs="Times New Roman"/>
              </w:rPr>
            </w:pPr>
            <w:r>
              <w:rPr>
                <w:rFonts w:ascii="Times New Roman" w:eastAsia="Times New Roman" w:hAnsi="Times New Roman" w:cs="Times New Roman"/>
              </w:rPr>
              <w:t>0.563</w:t>
            </w:r>
          </w:p>
        </w:tc>
        <w:tc>
          <w:tcPr>
            <w:tcW w:w="1560" w:type="dxa"/>
          </w:tcPr>
          <w:p w:rsidR="00F65389" w:rsidRDefault="00601CBA">
            <w:pPr>
              <w:jc w:val="both"/>
              <w:rPr>
                <w:rFonts w:ascii="Times New Roman" w:eastAsia="Times New Roman" w:hAnsi="Times New Roman" w:cs="Times New Roman"/>
              </w:rPr>
            </w:pPr>
            <w:r>
              <w:rPr>
                <w:rFonts w:ascii="Times New Roman" w:eastAsia="Times New Roman" w:hAnsi="Times New Roman" w:cs="Times New Roman"/>
              </w:rPr>
              <w:t>1.291</w:t>
            </w:r>
          </w:p>
        </w:tc>
        <w:tc>
          <w:tcPr>
            <w:tcW w:w="1560" w:type="dxa"/>
          </w:tcPr>
          <w:p w:rsidR="00F65389" w:rsidRDefault="00601CBA">
            <w:pPr>
              <w:jc w:val="both"/>
              <w:rPr>
                <w:rFonts w:ascii="Times New Roman" w:eastAsia="Times New Roman" w:hAnsi="Times New Roman" w:cs="Times New Roman"/>
              </w:rPr>
            </w:pPr>
            <w:r>
              <w:rPr>
                <w:rFonts w:ascii="Times New Roman" w:eastAsia="Times New Roman" w:hAnsi="Times New Roman" w:cs="Times New Roman"/>
              </w:rPr>
              <w:t>12.324</w:t>
            </w:r>
          </w:p>
        </w:tc>
        <w:tc>
          <w:tcPr>
            <w:tcW w:w="1560" w:type="dxa"/>
          </w:tcPr>
          <w:p w:rsidR="00F65389" w:rsidRDefault="00601CBA">
            <w:pPr>
              <w:jc w:val="both"/>
              <w:rPr>
                <w:rFonts w:ascii="Times New Roman" w:eastAsia="Times New Roman" w:hAnsi="Times New Roman" w:cs="Times New Roman"/>
              </w:rPr>
            </w:pPr>
            <w:r>
              <w:rPr>
                <w:rFonts w:ascii="Times New Roman" w:eastAsia="Times New Roman" w:hAnsi="Times New Roman" w:cs="Times New Roman"/>
              </w:rPr>
              <w:t>13.304</w:t>
            </w:r>
          </w:p>
        </w:tc>
      </w:tr>
      <w:tr w:rsidR="00F65389" w:rsidTr="00601CBA">
        <w:tc>
          <w:tcPr>
            <w:tcW w:w="1560" w:type="dxa"/>
          </w:tcPr>
          <w:p w:rsidR="00F65389" w:rsidRDefault="00601CBA">
            <w:pPr>
              <w:jc w:val="both"/>
              <w:rPr>
                <w:rFonts w:ascii="Times New Roman" w:eastAsia="Times New Roman" w:hAnsi="Times New Roman" w:cs="Times New Roman"/>
              </w:rPr>
            </w:pPr>
            <w:r>
              <w:rPr>
                <w:rFonts w:ascii="Times New Roman" w:eastAsia="Times New Roman" w:hAnsi="Times New Roman" w:cs="Times New Roman"/>
              </w:rPr>
              <w:t>2023</w:t>
            </w:r>
          </w:p>
        </w:tc>
        <w:tc>
          <w:tcPr>
            <w:tcW w:w="1560" w:type="dxa"/>
          </w:tcPr>
          <w:p w:rsidR="00F65389" w:rsidRDefault="00601CBA">
            <w:pPr>
              <w:jc w:val="both"/>
              <w:rPr>
                <w:rFonts w:ascii="Times New Roman" w:eastAsia="Times New Roman" w:hAnsi="Times New Roman" w:cs="Times New Roman"/>
              </w:rPr>
            </w:pPr>
            <w:r>
              <w:rPr>
                <w:rFonts w:ascii="Times New Roman" w:eastAsia="Times New Roman" w:hAnsi="Times New Roman" w:cs="Times New Roman"/>
              </w:rPr>
              <w:t>-0.299</w:t>
            </w:r>
          </w:p>
        </w:tc>
        <w:tc>
          <w:tcPr>
            <w:tcW w:w="1560" w:type="dxa"/>
          </w:tcPr>
          <w:p w:rsidR="00F65389" w:rsidRDefault="00601CBA">
            <w:pPr>
              <w:jc w:val="both"/>
              <w:rPr>
                <w:rFonts w:ascii="Times New Roman" w:eastAsia="Times New Roman" w:hAnsi="Times New Roman" w:cs="Times New Roman"/>
              </w:rPr>
            </w:pPr>
            <w:r>
              <w:rPr>
                <w:rFonts w:ascii="Times New Roman" w:eastAsia="Times New Roman" w:hAnsi="Times New Roman" w:cs="Times New Roman"/>
              </w:rPr>
              <w:t>1.165</w:t>
            </w:r>
          </w:p>
        </w:tc>
        <w:tc>
          <w:tcPr>
            <w:tcW w:w="1560" w:type="dxa"/>
          </w:tcPr>
          <w:p w:rsidR="00F65389" w:rsidRDefault="00601CBA">
            <w:pPr>
              <w:jc w:val="both"/>
              <w:rPr>
                <w:rFonts w:ascii="Times New Roman" w:eastAsia="Times New Roman" w:hAnsi="Times New Roman" w:cs="Times New Roman"/>
              </w:rPr>
            </w:pPr>
            <w:r>
              <w:rPr>
                <w:rFonts w:ascii="Times New Roman" w:eastAsia="Times New Roman" w:hAnsi="Times New Roman" w:cs="Times New Roman"/>
              </w:rPr>
              <w:t>-7.068</w:t>
            </w:r>
          </w:p>
        </w:tc>
        <w:tc>
          <w:tcPr>
            <w:tcW w:w="1560" w:type="dxa"/>
          </w:tcPr>
          <w:p w:rsidR="00F65389" w:rsidRDefault="00601CBA">
            <w:pPr>
              <w:jc w:val="both"/>
              <w:rPr>
                <w:rFonts w:ascii="Times New Roman" w:eastAsia="Times New Roman" w:hAnsi="Times New Roman" w:cs="Times New Roman"/>
              </w:rPr>
            </w:pPr>
            <w:r>
              <w:rPr>
                <w:rFonts w:ascii="Times New Roman" w:eastAsia="Times New Roman" w:hAnsi="Times New Roman" w:cs="Times New Roman"/>
              </w:rPr>
              <w:t>12.520</w:t>
            </w:r>
          </w:p>
        </w:tc>
        <w:tc>
          <w:tcPr>
            <w:tcW w:w="1560" w:type="dxa"/>
          </w:tcPr>
          <w:p w:rsidR="00F65389" w:rsidRDefault="00601CBA">
            <w:pPr>
              <w:jc w:val="both"/>
              <w:rPr>
                <w:rFonts w:ascii="Times New Roman" w:eastAsia="Times New Roman" w:hAnsi="Times New Roman" w:cs="Times New Roman"/>
              </w:rPr>
            </w:pPr>
            <w:r>
              <w:rPr>
                <w:rFonts w:ascii="Times New Roman" w:eastAsia="Times New Roman" w:hAnsi="Times New Roman" w:cs="Times New Roman"/>
              </w:rPr>
              <w:t>13.500</w:t>
            </w:r>
          </w:p>
        </w:tc>
      </w:tr>
    </w:tbl>
    <w:p w:rsidR="00F65389" w:rsidRDefault="00601CBA">
      <w:pPr>
        <w:spacing w:line="240" w:lineRule="auto"/>
        <w:jc w:val="both"/>
        <w:rPr>
          <w:rFonts w:ascii="Times New Roman" w:eastAsia="Times New Roman" w:hAnsi="Times New Roman" w:cs="Times New Roman"/>
          <w:i/>
        </w:rPr>
      </w:pPr>
      <w:r>
        <w:rPr>
          <w:rFonts w:ascii="Times New Roman" w:eastAsia="Times New Roman" w:hAnsi="Times New Roman" w:cs="Times New Roman"/>
          <w:i/>
        </w:rPr>
        <w:t>Source: Nestle Nigeria PLC Annual Reports, 2012-2023</w:t>
      </w:r>
    </w:p>
    <w:p w:rsidR="00F65389" w:rsidRDefault="00F65389">
      <w:pPr>
        <w:spacing w:line="240" w:lineRule="auto"/>
        <w:jc w:val="both"/>
        <w:rPr>
          <w:rFonts w:ascii="Times New Roman" w:eastAsia="Times New Roman" w:hAnsi="Times New Roman" w:cs="Times New Roman"/>
          <w:i/>
        </w:rPr>
      </w:pPr>
    </w:p>
    <w:p w:rsidR="00F65389" w:rsidRDefault="00601CBA">
      <w:pPr>
        <w:pStyle w:val="Heading2"/>
        <w:spacing w:before="0" w:after="0" w:line="240" w:lineRule="auto"/>
        <w:jc w:val="both"/>
        <w:rPr>
          <w:rFonts w:ascii="Times New Roman" w:eastAsia="Times New Roman" w:hAnsi="Times New Roman" w:cs="Times New Roman"/>
          <w:b/>
          <w:color w:val="000000"/>
          <w:sz w:val="24"/>
          <w:szCs w:val="24"/>
        </w:rPr>
      </w:pPr>
      <w:bookmarkStart w:id="5" w:name="_j3sr7rmif51u" w:colFirst="0" w:colLast="0"/>
      <w:bookmarkEnd w:id="5"/>
      <w:r>
        <w:rPr>
          <w:rFonts w:ascii="Times New Roman" w:eastAsia="Times New Roman" w:hAnsi="Times New Roman" w:cs="Times New Roman"/>
          <w:b/>
          <w:color w:val="000000"/>
          <w:sz w:val="24"/>
          <w:szCs w:val="24"/>
        </w:rPr>
        <w:t>4.1.1 Descriptive Statistics</w:t>
      </w:r>
    </w:p>
    <w:p w:rsidR="00F65389" w:rsidRDefault="00601CBA">
      <w:pPr>
        <w:spacing w:line="240" w:lineRule="auto"/>
        <w:jc w:val="both"/>
        <w:rPr>
          <w:rFonts w:ascii="Times New Roman" w:eastAsia="Times New Roman" w:hAnsi="Times New Roman" w:cs="Times New Roman"/>
        </w:rPr>
      </w:pPr>
      <w:r>
        <w:rPr>
          <w:rFonts w:ascii="Times New Roman" w:eastAsia="Times New Roman" w:hAnsi="Times New Roman" w:cs="Times New Roman"/>
          <w:b/>
        </w:rPr>
        <w:t xml:space="preserve">Table 3: </w:t>
      </w:r>
      <w:r>
        <w:rPr>
          <w:rFonts w:ascii="Times New Roman" w:eastAsia="Times New Roman" w:hAnsi="Times New Roman" w:cs="Times New Roman"/>
        </w:rPr>
        <w:t>Descriptive statistics result for time series data on Return on Assets (ROA), Debt-to-Asset Ratio (DAR), Debt-to-Equity Ratio (DER), Interest Coverage Ratio (ICR), and Times Interest Earned Ratio (TIER) of Nestle Nigeria PLC from 2012 to 2023</w:t>
      </w:r>
    </w:p>
    <w:tbl>
      <w:tblPr>
        <w:tblStyle w:val="TableGrid"/>
        <w:tblW w:w="9360" w:type="dxa"/>
        <w:tblBorders>
          <w:left w:val="none" w:sz="0" w:space="0" w:color="auto"/>
          <w:right w:val="none" w:sz="0" w:space="0" w:color="auto"/>
          <w:insideH w:val="none" w:sz="0" w:space="0" w:color="auto"/>
          <w:insideV w:val="none" w:sz="0" w:space="0" w:color="auto"/>
        </w:tblBorders>
        <w:tblLayout w:type="fixed"/>
        <w:tblLook w:val="0600" w:firstRow="0" w:lastRow="0" w:firstColumn="0" w:lastColumn="0" w:noHBand="1" w:noVBand="1"/>
      </w:tblPr>
      <w:tblGrid>
        <w:gridCol w:w="1560"/>
        <w:gridCol w:w="1560"/>
        <w:gridCol w:w="1560"/>
        <w:gridCol w:w="1560"/>
        <w:gridCol w:w="1560"/>
        <w:gridCol w:w="1560"/>
      </w:tblGrid>
      <w:tr w:rsidR="00F65389" w:rsidTr="00601CBA">
        <w:tc>
          <w:tcPr>
            <w:tcW w:w="1560" w:type="dxa"/>
            <w:tcBorders>
              <w:top w:val="single" w:sz="4" w:space="0" w:color="auto"/>
              <w:bottom w:val="single" w:sz="4" w:space="0" w:color="auto"/>
            </w:tcBorders>
          </w:tcPr>
          <w:p w:rsidR="00F65389" w:rsidRDefault="00601CBA">
            <w:pPr>
              <w:jc w:val="both"/>
              <w:rPr>
                <w:rFonts w:ascii="Times New Roman" w:eastAsia="Times New Roman" w:hAnsi="Times New Roman" w:cs="Times New Roman"/>
                <w:b/>
              </w:rPr>
            </w:pPr>
            <w:r>
              <w:rPr>
                <w:rFonts w:ascii="Times New Roman" w:eastAsia="Times New Roman" w:hAnsi="Times New Roman" w:cs="Times New Roman"/>
                <w:b/>
              </w:rPr>
              <w:t>Variable</w:t>
            </w:r>
          </w:p>
        </w:tc>
        <w:tc>
          <w:tcPr>
            <w:tcW w:w="1560" w:type="dxa"/>
            <w:tcBorders>
              <w:top w:val="single" w:sz="4" w:space="0" w:color="auto"/>
              <w:bottom w:val="single" w:sz="4" w:space="0" w:color="auto"/>
            </w:tcBorders>
          </w:tcPr>
          <w:p w:rsidR="00F65389" w:rsidRDefault="00601CBA">
            <w:pPr>
              <w:jc w:val="both"/>
              <w:rPr>
                <w:rFonts w:ascii="Times New Roman" w:eastAsia="Times New Roman" w:hAnsi="Times New Roman" w:cs="Times New Roman"/>
                <w:b/>
              </w:rPr>
            </w:pPr>
            <w:r>
              <w:rPr>
                <w:rFonts w:ascii="Times New Roman" w:eastAsia="Times New Roman" w:hAnsi="Times New Roman" w:cs="Times New Roman"/>
                <w:b/>
              </w:rPr>
              <w:t>ROA</w:t>
            </w:r>
          </w:p>
        </w:tc>
        <w:tc>
          <w:tcPr>
            <w:tcW w:w="1560" w:type="dxa"/>
            <w:tcBorders>
              <w:top w:val="single" w:sz="4" w:space="0" w:color="auto"/>
              <w:bottom w:val="single" w:sz="4" w:space="0" w:color="auto"/>
            </w:tcBorders>
          </w:tcPr>
          <w:p w:rsidR="00F65389" w:rsidRDefault="00601CBA">
            <w:pPr>
              <w:jc w:val="both"/>
              <w:rPr>
                <w:rFonts w:ascii="Times New Roman" w:eastAsia="Times New Roman" w:hAnsi="Times New Roman" w:cs="Times New Roman"/>
                <w:b/>
              </w:rPr>
            </w:pPr>
            <w:r>
              <w:rPr>
                <w:rFonts w:ascii="Times New Roman" w:eastAsia="Times New Roman" w:hAnsi="Times New Roman" w:cs="Times New Roman"/>
                <w:b/>
              </w:rPr>
              <w:t>ICR</w:t>
            </w:r>
          </w:p>
        </w:tc>
        <w:tc>
          <w:tcPr>
            <w:tcW w:w="1560" w:type="dxa"/>
            <w:tcBorders>
              <w:top w:val="single" w:sz="4" w:space="0" w:color="auto"/>
              <w:bottom w:val="single" w:sz="4" w:space="0" w:color="auto"/>
            </w:tcBorders>
          </w:tcPr>
          <w:p w:rsidR="00F65389" w:rsidRDefault="00601CBA">
            <w:pPr>
              <w:jc w:val="both"/>
              <w:rPr>
                <w:rFonts w:ascii="Times New Roman" w:eastAsia="Times New Roman" w:hAnsi="Times New Roman" w:cs="Times New Roman"/>
                <w:b/>
              </w:rPr>
            </w:pPr>
            <w:r>
              <w:rPr>
                <w:rFonts w:ascii="Times New Roman" w:eastAsia="Times New Roman" w:hAnsi="Times New Roman" w:cs="Times New Roman"/>
                <w:b/>
              </w:rPr>
              <w:t>DER</w:t>
            </w:r>
          </w:p>
        </w:tc>
        <w:tc>
          <w:tcPr>
            <w:tcW w:w="1560" w:type="dxa"/>
            <w:tcBorders>
              <w:top w:val="single" w:sz="4" w:space="0" w:color="auto"/>
              <w:bottom w:val="single" w:sz="4" w:space="0" w:color="auto"/>
            </w:tcBorders>
          </w:tcPr>
          <w:p w:rsidR="00F65389" w:rsidRDefault="00601CBA">
            <w:pPr>
              <w:jc w:val="both"/>
              <w:rPr>
                <w:rFonts w:ascii="Times New Roman" w:eastAsia="Times New Roman" w:hAnsi="Times New Roman" w:cs="Times New Roman"/>
                <w:b/>
              </w:rPr>
            </w:pPr>
            <w:r>
              <w:rPr>
                <w:rFonts w:ascii="Times New Roman" w:eastAsia="Times New Roman" w:hAnsi="Times New Roman" w:cs="Times New Roman"/>
                <w:b/>
              </w:rPr>
              <w:t>DAR</w:t>
            </w:r>
          </w:p>
        </w:tc>
        <w:tc>
          <w:tcPr>
            <w:tcW w:w="1560" w:type="dxa"/>
            <w:tcBorders>
              <w:top w:val="single" w:sz="4" w:space="0" w:color="auto"/>
              <w:bottom w:val="single" w:sz="4" w:space="0" w:color="auto"/>
            </w:tcBorders>
          </w:tcPr>
          <w:p w:rsidR="00F65389" w:rsidRDefault="00601CBA">
            <w:pPr>
              <w:jc w:val="both"/>
              <w:rPr>
                <w:rFonts w:ascii="Times New Roman" w:eastAsia="Times New Roman" w:hAnsi="Times New Roman" w:cs="Times New Roman"/>
                <w:b/>
              </w:rPr>
            </w:pPr>
            <w:r>
              <w:rPr>
                <w:rFonts w:ascii="Times New Roman" w:eastAsia="Times New Roman" w:hAnsi="Times New Roman" w:cs="Times New Roman"/>
                <w:b/>
              </w:rPr>
              <w:t>TIER</w:t>
            </w:r>
          </w:p>
        </w:tc>
      </w:tr>
      <w:tr w:rsidR="00F65389" w:rsidTr="00601CBA">
        <w:tc>
          <w:tcPr>
            <w:tcW w:w="1560" w:type="dxa"/>
            <w:tcBorders>
              <w:top w:val="single" w:sz="4" w:space="0" w:color="auto"/>
            </w:tcBorders>
          </w:tcPr>
          <w:p w:rsidR="00F65389" w:rsidRDefault="00601CBA">
            <w:pPr>
              <w:jc w:val="both"/>
              <w:rPr>
                <w:rFonts w:ascii="Times New Roman" w:eastAsia="Times New Roman" w:hAnsi="Times New Roman" w:cs="Times New Roman"/>
              </w:rPr>
            </w:pPr>
            <w:r>
              <w:rPr>
                <w:rFonts w:ascii="Times New Roman" w:eastAsia="Times New Roman" w:hAnsi="Times New Roman" w:cs="Times New Roman"/>
                <w:b/>
              </w:rPr>
              <w:t>Mean</w:t>
            </w:r>
          </w:p>
        </w:tc>
        <w:tc>
          <w:tcPr>
            <w:tcW w:w="1560" w:type="dxa"/>
            <w:tcBorders>
              <w:top w:val="single" w:sz="4" w:space="0" w:color="auto"/>
            </w:tcBorders>
          </w:tcPr>
          <w:p w:rsidR="00F65389" w:rsidRDefault="00601CBA">
            <w:pPr>
              <w:jc w:val="both"/>
              <w:rPr>
                <w:rFonts w:ascii="Times New Roman" w:eastAsia="Times New Roman" w:hAnsi="Times New Roman" w:cs="Times New Roman"/>
              </w:rPr>
            </w:pPr>
            <w:r>
              <w:rPr>
                <w:rFonts w:ascii="Times New Roman" w:eastAsia="Times New Roman" w:hAnsi="Times New Roman" w:cs="Times New Roman"/>
              </w:rPr>
              <w:t>0.149167</w:t>
            </w:r>
          </w:p>
        </w:tc>
        <w:tc>
          <w:tcPr>
            <w:tcW w:w="1560" w:type="dxa"/>
            <w:tcBorders>
              <w:top w:val="single" w:sz="4" w:space="0" w:color="auto"/>
            </w:tcBorders>
          </w:tcPr>
          <w:p w:rsidR="00F65389" w:rsidRDefault="00601CBA">
            <w:pPr>
              <w:jc w:val="both"/>
              <w:rPr>
                <w:rFonts w:ascii="Times New Roman" w:eastAsia="Times New Roman" w:hAnsi="Times New Roman" w:cs="Times New Roman"/>
              </w:rPr>
            </w:pPr>
            <w:r>
              <w:rPr>
                <w:rFonts w:ascii="Times New Roman" w:eastAsia="Times New Roman" w:hAnsi="Times New Roman" w:cs="Times New Roman"/>
              </w:rPr>
              <w:t>9.436167</w:t>
            </w:r>
          </w:p>
        </w:tc>
        <w:tc>
          <w:tcPr>
            <w:tcW w:w="1560" w:type="dxa"/>
            <w:tcBorders>
              <w:top w:val="single" w:sz="4" w:space="0" w:color="auto"/>
            </w:tcBorders>
          </w:tcPr>
          <w:p w:rsidR="00F65389" w:rsidRDefault="00601CBA">
            <w:pPr>
              <w:jc w:val="both"/>
              <w:rPr>
                <w:rFonts w:ascii="Times New Roman" w:eastAsia="Times New Roman" w:hAnsi="Times New Roman" w:cs="Times New Roman"/>
              </w:rPr>
            </w:pPr>
            <w:r>
              <w:rPr>
                <w:rFonts w:ascii="Times New Roman" w:eastAsia="Times New Roman" w:hAnsi="Times New Roman" w:cs="Times New Roman"/>
              </w:rPr>
              <w:t>0.441333</w:t>
            </w:r>
          </w:p>
        </w:tc>
        <w:tc>
          <w:tcPr>
            <w:tcW w:w="1560" w:type="dxa"/>
            <w:tcBorders>
              <w:top w:val="single" w:sz="4" w:space="0" w:color="auto"/>
            </w:tcBorders>
          </w:tcPr>
          <w:p w:rsidR="00F65389" w:rsidRDefault="00601CBA">
            <w:pPr>
              <w:jc w:val="both"/>
              <w:rPr>
                <w:rFonts w:ascii="Times New Roman" w:eastAsia="Times New Roman" w:hAnsi="Times New Roman" w:cs="Times New Roman"/>
              </w:rPr>
            </w:pPr>
            <w:r>
              <w:rPr>
                <w:rFonts w:ascii="Times New Roman" w:eastAsia="Times New Roman" w:hAnsi="Times New Roman" w:cs="Times New Roman"/>
              </w:rPr>
              <w:t>0.579750</w:t>
            </w:r>
          </w:p>
        </w:tc>
        <w:tc>
          <w:tcPr>
            <w:tcW w:w="1560" w:type="dxa"/>
            <w:tcBorders>
              <w:top w:val="single" w:sz="4" w:space="0" w:color="auto"/>
            </w:tcBorders>
          </w:tcPr>
          <w:p w:rsidR="00F65389" w:rsidRDefault="00601CBA">
            <w:pPr>
              <w:jc w:val="both"/>
              <w:rPr>
                <w:rFonts w:ascii="Times New Roman" w:eastAsia="Times New Roman" w:hAnsi="Times New Roman" w:cs="Times New Roman"/>
              </w:rPr>
            </w:pPr>
            <w:r>
              <w:rPr>
                <w:rFonts w:ascii="Times New Roman" w:eastAsia="Times New Roman" w:hAnsi="Times New Roman" w:cs="Times New Roman"/>
              </w:rPr>
              <w:t>10.41617</w:t>
            </w:r>
          </w:p>
        </w:tc>
      </w:tr>
      <w:tr w:rsidR="00F65389" w:rsidTr="00601CBA">
        <w:tc>
          <w:tcPr>
            <w:tcW w:w="1560" w:type="dxa"/>
          </w:tcPr>
          <w:p w:rsidR="00F65389" w:rsidRDefault="00601CBA">
            <w:pPr>
              <w:jc w:val="both"/>
              <w:rPr>
                <w:rFonts w:ascii="Times New Roman" w:eastAsia="Times New Roman" w:hAnsi="Times New Roman" w:cs="Times New Roman"/>
              </w:rPr>
            </w:pPr>
            <w:r>
              <w:rPr>
                <w:rFonts w:ascii="Times New Roman" w:eastAsia="Times New Roman" w:hAnsi="Times New Roman" w:cs="Times New Roman"/>
                <w:b/>
              </w:rPr>
              <w:t>Median</w:t>
            </w:r>
          </w:p>
        </w:tc>
        <w:tc>
          <w:tcPr>
            <w:tcW w:w="1560" w:type="dxa"/>
          </w:tcPr>
          <w:p w:rsidR="00F65389" w:rsidRDefault="00601CBA">
            <w:pPr>
              <w:jc w:val="both"/>
              <w:rPr>
                <w:rFonts w:ascii="Times New Roman" w:eastAsia="Times New Roman" w:hAnsi="Times New Roman" w:cs="Times New Roman"/>
              </w:rPr>
            </w:pPr>
            <w:r>
              <w:rPr>
                <w:rFonts w:ascii="Times New Roman" w:eastAsia="Times New Roman" w:hAnsi="Times New Roman" w:cs="Times New Roman"/>
              </w:rPr>
              <w:t>0.196000</w:t>
            </w:r>
          </w:p>
        </w:tc>
        <w:tc>
          <w:tcPr>
            <w:tcW w:w="1560" w:type="dxa"/>
          </w:tcPr>
          <w:p w:rsidR="00F65389" w:rsidRDefault="00601CBA">
            <w:pPr>
              <w:jc w:val="both"/>
              <w:rPr>
                <w:rFonts w:ascii="Times New Roman" w:eastAsia="Times New Roman" w:hAnsi="Times New Roman" w:cs="Times New Roman"/>
              </w:rPr>
            </w:pPr>
            <w:r>
              <w:rPr>
                <w:rFonts w:ascii="Times New Roman" w:eastAsia="Times New Roman" w:hAnsi="Times New Roman" w:cs="Times New Roman"/>
              </w:rPr>
              <w:t>9.002500</w:t>
            </w:r>
          </w:p>
        </w:tc>
        <w:tc>
          <w:tcPr>
            <w:tcW w:w="1560" w:type="dxa"/>
          </w:tcPr>
          <w:p w:rsidR="00F65389" w:rsidRDefault="00601CBA">
            <w:pPr>
              <w:jc w:val="both"/>
              <w:rPr>
                <w:rFonts w:ascii="Times New Roman" w:eastAsia="Times New Roman" w:hAnsi="Times New Roman" w:cs="Times New Roman"/>
              </w:rPr>
            </w:pPr>
            <w:r>
              <w:rPr>
                <w:rFonts w:ascii="Times New Roman" w:eastAsia="Times New Roman" w:hAnsi="Times New Roman" w:cs="Times New Roman"/>
              </w:rPr>
              <w:t>1.073500</w:t>
            </w:r>
          </w:p>
        </w:tc>
        <w:tc>
          <w:tcPr>
            <w:tcW w:w="1560" w:type="dxa"/>
          </w:tcPr>
          <w:p w:rsidR="00F65389" w:rsidRDefault="00601CBA">
            <w:pPr>
              <w:jc w:val="both"/>
              <w:rPr>
                <w:rFonts w:ascii="Times New Roman" w:eastAsia="Times New Roman" w:hAnsi="Times New Roman" w:cs="Times New Roman"/>
              </w:rPr>
            </w:pPr>
            <w:r>
              <w:rPr>
                <w:rFonts w:ascii="Times New Roman" w:eastAsia="Times New Roman" w:hAnsi="Times New Roman" w:cs="Times New Roman"/>
              </w:rPr>
              <w:t>0.523000</w:t>
            </w:r>
          </w:p>
        </w:tc>
        <w:tc>
          <w:tcPr>
            <w:tcW w:w="1560" w:type="dxa"/>
          </w:tcPr>
          <w:p w:rsidR="00F65389" w:rsidRDefault="00601CBA">
            <w:pPr>
              <w:jc w:val="both"/>
              <w:rPr>
                <w:rFonts w:ascii="Times New Roman" w:eastAsia="Times New Roman" w:hAnsi="Times New Roman" w:cs="Times New Roman"/>
              </w:rPr>
            </w:pPr>
            <w:r>
              <w:rPr>
                <w:rFonts w:ascii="Times New Roman" w:eastAsia="Times New Roman" w:hAnsi="Times New Roman" w:cs="Times New Roman"/>
              </w:rPr>
              <w:t>9.982500</w:t>
            </w:r>
          </w:p>
        </w:tc>
      </w:tr>
      <w:tr w:rsidR="00F65389" w:rsidTr="00601CBA">
        <w:tc>
          <w:tcPr>
            <w:tcW w:w="1560" w:type="dxa"/>
          </w:tcPr>
          <w:p w:rsidR="00F65389" w:rsidRDefault="00601CBA">
            <w:pPr>
              <w:jc w:val="both"/>
              <w:rPr>
                <w:rFonts w:ascii="Times New Roman" w:eastAsia="Times New Roman" w:hAnsi="Times New Roman" w:cs="Times New Roman"/>
              </w:rPr>
            </w:pPr>
            <w:r>
              <w:rPr>
                <w:rFonts w:ascii="Times New Roman" w:eastAsia="Times New Roman" w:hAnsi="Times New Roman" w:cs="Times New Roman"/>
                <w:b/>
              </w:rPr>
              <w:t>Maximum</w:t>
            </w:r>
          </w:p>
        </w:tc>
        <w:tc>
          <w:tcPr>
            <w:tcW w:w="1560" w:type="dxa"/>
          </w:tcPr>
          <w:p w:rsidR="00F65389" w:rsidRDefault="00601CBA">
            <w:pPr>
              <w:jc w:val="both"/>
              <w:rPr>
                <w:rFonts w:ascii="Times New Roman" w:eastAsia="Times New Roman" w:hAnsi="Times New Roman" w:cs="Times New Roman"/>
              </w:rPr>
            </w:pPr>
            <w:r>
              <w:rPr>
                <w:rFonts w:ascii="Times New Roman" w:eastAsia="Times New Roman" w:hAnsi="Times New Roman" w:cs="Times New Roman"/>
              </w:rPr>
              <w:t>0.276000</w:t>
            </w:r>
          </w:p>
        </w:tc>
        <w:tc>
          <w:tcPr>
            <w:tcW w:w="1560" w:type="dxa"/>
          </w:tcPr>
          <w:p w:rsidR="00F65389" w:rsidRDefault="00601CBA">
            <w:pPr>
              <w:jc w:val="both"/>
              <w:rPr>
                <w:rFonts w:ascii="Times New Roman" w:eastAsia="Times New Roman" w:hAnsi="Times New Roman" w:cs="Times New Roman"/>
              </w:rPr>
            </w:pPr>
            <w:r>
              <w:rPr>
                <w:rFonts w:ascii="Times New Roman" w:eastAsia="Times New Roman" w:hAnsi="Times New Roman" w:cs="Times New Roman"/>
              </w:rPr>
              <w:t>12.95200</w:t>
            </w:r>
          </w:p>
        </w:tc>
        <w:tc>
          <w:tcPr>
            <w:tcW w:w="1560" w:type="dxa"/>
          </w:tcPr>
          <w:p w:rsidR="00F65389" w:rsidRDefault="00601CBA">
            <w:pPr>
              <w:jc w:val="both"/>
              <w:rPr>
                <w:rFonts w:ascii="Times New Roman" w:eastAsia="Times New Roman" w:hAnsi="Times New Roman" w:cs="Times New Roman"/>
              </w:rPr>
            </w:pPr>
            <w:r>
              <w:rPr>
                <w:rFonts w:ascii="Times New Roman" w:eastAsia="Times New Roman" w:hAnsi="Times New Roman" w:cs="Times New Roman"/>
              </w:rPr>
              <w:t>1.425000</w:t>
            </w:r>
          </w:p>
        </w:tc>
        <w:tc>
          <w:tcPr>
            <w:tcW w:w="1560" w:type="dxa"/>
          </w:tcPr>
          <w:p w:rsidR="00F65389" w:rsidRDefault="00601CBA">
            <w:pPr>
              <w:jc w:val="both"/>
              <w:rPr>
                <w:rFonts w:ascii="Times New Roman" w:eastAsia="Times New Roman" w:hAnsi="Times New Roman" w:cs="Times New Roman"/>
              </w:rPr>
            </w:pPr>
            <w:r>
              <w:rPr>
                <w:rFonts w:ascii="Times New Roman" w:eastAsia="Times New Roman" w:hAnsi="Times New Roman" w:cs="Times New Roman"/>
              </w:rPr>
              <w:t>1.165000</w:t>
            </w:r>
          </w:p>
        </w:tc>
        <w:tc>
          <w:tcPr>
            <w:tcW w:w="1560" w:type="dxa"/>
          </w:tcPr>
          <w:p w:rsidR="00F65389" w:rsidRDefault="00601CBA">
            <w:pPr>
              <w:jc w:val="both"/>
              <w:rPr>
                <w:rFonts w:ascii="Times New Roman" w:eastAsia="Times New Roman" w:hAnsi="Times New Roman" w:cs="Times New Roman"/>
              </w:rPr>
            </w:pPr>
            <w:r>
              <w:rPr>
                <w:rFonts w:ascii="Times New Roman" w:eastAsia="Times New Roman" w:hAnsi="Times New Roman" w:cs="Times New Roman"/>
              </w:rPr>
              <w:t>13.93200</w:t>
            </w:r>
          </w:p>
        </w:tc>
      </w:tr>
      <w:tr w:rsidR="00F65389" w:rsidTr="00601CBA">
        <w:tc>
          <w:tcPr>
            <w:tcW w:w="1560" w:type="dxa"/>
          </w:tcPr>
          <w:p w:rsidR="00F65389" w:rsidRDefault="00601CBA">
            <w:pPr>
              <w:jc w:val="both"/>
              <w:rPr>
                <w:rFonts w:ascii="Times New Roman" w:eastAsia="Times New Roman" w:hAnsi="Times New Roman" w:cs="Times New Roman"/>
              </w:rPr>
            </w:pPr>
            <w:r>
              <w:rPr>
                <w:rFonts w:ascii="Times New Roman" w:eastAsia="Times New Roman" w:hAnsi="Times New Roman" w:cs="Times New Roman"/>
                <w:b/>
              </w:rPr>
              <w:t>Minimum</w:t>
            </w:r>
          </w:p>
        </w:tc>
        <w:tc>
          <w:tcPr>
            <w:tcW w:w="1560" w:type="dxa"/>
          </w:tcPr>
          <w:p w:rsidR="00F65389" w:rsidRDefault="00601CBA">
            <w:pPr>
              <w:jc w:val="both"/>
              <w:rPr>
                <w:rFonts w:ascii="Times New Roman" w:eastAsia="Times New Roman" w:hAnsi="Times New Roman" w:cs="Times New Roman"/>
              </w:rPr>
            </w:pPr>
            <w:r>
              <w:rPr>
                <w:rFonts w:ascii="Times New Roman" w:eastAsia="Times New Roman" w:hAnsi="Times New Roman" w:cs="Times New Roman"/>
              </w:rPr>
              <w:t>-0.299000</w:t>
            </w:r>
          </w:p>
        </w:tc>
        <w:tc>
          <w:tcPr>
            <w:tcW w:w="1560" w:type="dxa"/>
          </w:tcPr>
          <w:p w:rsidR="00F65389" w:rsidRDefault="00601CBA">
            <w:pPr>
              <w:jc w:val="both"/>
              <w:rPr>
                <w:rFonts w:ascii="Times New Roman" w:eastAsia="Times New Roman" w:hAnsi="Times New Roman" w:cs="Times New Roman"/>
              </w:rPr>
            </w:pPr>
            <w:r>
              <w:rPr>
                <w:rFonts w:ascii="Times New Roman" w:eastAsia="Times New Roman" w:hAnsi="Times New Roman" w:cs="Times New Roman"/>
              </w:rPr>
              <w:t>4.619000</w:t>
            </w:r>
          </w:p>
        </w:tc>
        <w:tc>
          <w:tcPr>
            <w:tcW w:w="1560" w:type="dxa"/>
          </w:tcPr>
          <w:p w:rsidR="00F65389" w:rsidRDefault="00601CBA">
            <w:pPr>
              <w:jc w:val="both"/>
              <w:rPr>
                <w:rFonts w:ascii="Times New Roman" w:eastAsia="Times New Roman" w:hAnsi="Times New Roman" w:cs="Times New Roman"/>
              </w:rPr>
            </w:pPr>
            <w:r>
              <w:rPr>
                <w:rFonts w:ascii="Times New Roman" w:eastAsia="Times New Roman" w:hAnsi="Times New Roman" w:cs="Times New Roman"/>
              </w:rPr>
              <w:t>-7.068000</w:t>
            </w:r>
          </w:p>
        </w:tc>
        <w:tc>
          <w:tcPr>
            <w:tcW w:w="1560" w:type="dxa"/>
          </w:tcPr>
          <w:p w:rsidR="00F65389" w:rsidRDefault="00601CBA">
            <w:pPr>
              <w:jc w:val="both"/>
              <w:rPr>
                <w:rFonts w:ascii="Times New Roman" w:eastAsia="Times New Roman" w:hAnsi="Times New Roman" w:cs="Times New Roman"/>
              </w:rPr>
            </w:pPr>
            <w:r>
              <w:rPr>
                <w:rFonts w:ascii="Times New Roman" w:eastAsia="Times New Roman" w:hAnsi="Times New Roman" w:cs="Times New Roman"/>
              </w:rPr>
              <w:t>0.461000</w:t>
            </w:r>
          </w:p>
        </w:tc>
        <w:tc>
          <w:tcPr>
            <w:tcW w:w="1560" w:type="dxa"/>
          </w:tcPr>
          <w:p w:rsidR="00F65389" w:rsidRDefault="00601CBA">
            <w:pPr>
              <w:jc w:val="both"/>
              <w:rPr>
                <w:rFonts w:ascii="Times New Roman" w:eastAsia="Times New Roman" w:hAnsi="Times New Roman" w:cs="Times New Roman"/>
              </w:rPr>
            </w:pPr>
            <w:r>
              <w:rPr>
                <w:rFonts w:ascii="Times New Roman" w:eastAsia="Times New Roman" w:hAnsi="Times New Roman" w:cs="Times New Roman"/>
              </w:rPr>
              <w:t>5.599000</w:t>
            </w:r>
          </w:p>
        </w:tc>
      </w:tr>
      <w:tr w:rsidR="00F65389" w:rsidTr="00601CBA">
        <w:tc>
          <w:tcPr>
            <w:tcW w:w="1560" w:type="dxa"/>
          </w:tcPr>
          <w:p w:rsidR="00F65389" w:rsidRDefault="00601CBA">
            <w:pPr>
              <w:jc w:val="both"/>
              <w:rPr>
                <w:rFonts w:ascii="Times New Roman" w:eastAsia="Times New Roman" w:hAnsi="Times New Roman" w:cs="Times New Roman"/>
              </w:rPr>
            </w:pPr>
            <w:r>
              <w:rPr>
                <w:rFonts w:ascii="Times New Roman" w:eastAsia="Times New Roman" w:hAnsi="Times New Roman" w:cs="Times New Roman"/>
                <w:b/>
              </w:rPr>
              <w:t>Std. Dev.</w:t>
            </w:r>
          </w:p>
        </w:tc>
        <w:tc>
          <w:tcPr>
            <w:tcW w:w="1560" w:type="dxa"/>
          </w:tcPr>
          <w:p w:rsidR="00F65389" w:rsidRDefault="00601CBA">
            <w:pPr>
              <w:jc w:val="both"/>
              <w:rPr>
                <w:rFonts w:ascii="Times New Roman" w:eastAsia="Times New Roman" w:hAnsi="Times New Roman" w:cs="Times New Roman"/>
              </w:rPr>
            </w:pPr>
            <w:r>
              <w:rPr>
                <w:rFonts w:ascii="Times New Roman" w:eastAsia="Times New Roman" w:hAnsi="Times New Roman" w:cs="Times New Roman"/>
              </w:rPr>
              <w:t>0.156094</w:t>
            </w:r>
          </w:p>
        </w:tc>
        <w:tc>
          <w:tcPr>
            <w:tcW w:w="1560" w:type="dxa"/>
          </w:tcPr>
          <w:p w:rsidR="00F65389" w:rsidRDefault="00601CBA">
            <w:pPr>
              <w:jc w:val="both"/>
              <w:rPr>
                <w:rFonts w:ascii="Times New Roman" w:eastAsia="Times New Roman" w:hAnsi="Times New Roman" w:cs="Times New Roman"/>
              </w:rPr>
            </w:pPr>
            <w:r>
              <w:rPr>
                <w:rFonts w:ascii="Times New Roman" w:eastAsia="Times New Roman" w:hAnsi="Times New Roman" w:cs="Times New Roman"/>
              </w:rPr>
              <w:t>2.594656</w:t>
            </w:r>
          </w:p>
        </w:tc>
        <w:tc>
          <w:tcPr>
            <w:tcW w:w="1560" w:type="dxa"/>
          </w:tcPr>
          <w:p w:rsidR="00F65389" w:rsidRDefault="00601CBA">
            <w:pPr>
              <w:jc w:val="both"/>
              <w:rPr>
                <w:rFonts w:ascii="Times New Roman" w:eastAsia="Times New Roman" w:hAnsi="Times New Roman" w:cs="Times New Roman"/>
              </w:rPr>
            </w:pPr>
            <w:r>
              <w:rPr>
                <w:rFonts w:ascii="Times New Roman" w:eastAsia="Times New Roman" w:hAnsi="Times New Roman" w:cs="Times New Roman"/>
              </w:rPr>
              <w:t>2.370151</w:t>
            </w:r>
          </w:p>
        </w:tc>
        <w:tc>
          <w:tcPr>
            <w:tcW w:w="1560" w:type="dxa"/>
          </w:tcPr>
          <w:p w:rsidR="00F65389" w:rsidRDefault="00601CBA">
            <w:pPr>
              <w:jc w:val="both"/>
              <w:rPr>
                <w:rFonts w:ascii="Times New Roman" w:eastAsia="Times New Roman" w:hAnsi="Times New Roman" w:cs="Times New Roman"/>
              </w:rPr>
            </w:pPr>
            <w:r>
              <w:rPr>
                <w:rFonts w:ascii="Times New Roman" w:eastAsia="Times New Roman" w:hAnsi="Times New Roman" w:cs="Times New Roman"/>
              </w:rPr>
              <w:t>0.187521</w:t>
            </w:r>
          </w:p>
        </w:tc>
        <w:tc>
          <w:tcPr>
            <w:tcW w:w="1560" w:type="dxa"/>
          </w:tcPr>
          <w:p w:rsidR="00F65389" w:rsidRDefault="00601CBA">
            <w:pPr>
              <w:jc w:val="both"/>
              <w:rPr>
                <w:rFonts w:ascii="Times New Roman" w:eastAsia="Times New Roman" w:hAnsi="Times New Roman" w:cs="Times New Roman"/>
              </w:rPr>
            </w:pPr>
            <w:r>
              <w:rPr>
                <w:rFonts w:ascii="Times New Roman" w:eastAsia="Times New Roman" w:hAnsi="Times New Roman" w:cs="Times New Roman"/>
              </w:rPr>
              <w:t>2.594656</w:t>
            </w:r>
          </w:p>
        </w:tc>
      </w:tr>
      <w:tr w:rsidR="00F65389" w:rsidTr="00601CBA">
        <w:tc>
          <w:tcPr>
            <w:tcW w:w="1560" w:type="dxa"/>
          </w:tcPr>
          <w:p w:rsidR="00F65389" w:rsidRDefault="00601CBA">
            <w:pPr>
              <w:jc w:val="both"/>
              <w:rPr>
                <w:rFonts w:ascii="Times New Roman" w:eastAsia="Times New Roman" w:hAnsi="Times New Roman" w:cs="Times New Roman"/>
              </w:rPr>
            </w:pPr>
            <w:r>
              <w:rPr>
                <w:rFonts w:ascii="Times New Roman" w:eastAsia="Times New Roman" w:hAnsi="Times New Roman" w:cs="Times New Roman"/>
                <w:b/>
              </w:rPr>
              <w:t>Skewness</w:t>
            </w:r>
          </w:p>
        </w:tc>
        <w:tc>
          <w:tcPr>
            <w:tcW w:w="1560" w:type="dxa"/>
          </w:tcPr>
          <w:p w:rsidR="00F65389" w:rsidRDefault="00601CBA">
            <w:pPr>
              <w:jc w:val="both"/>
              <w:rPr>
                <w:rFonts w:ascii="Times New Roman" w:eastAsia="Times New Roman" w:hAnsi="Times New Roman" w:cs="Times New Roman"/>
              </w:rPr>
            </w:pPr>
            <w:r>
              <w:rPr>
                <w:rFonts w:ascii="Times New Roman" w:eastAsia="Times New Roman" w:hAnsi="Times New Roman" w:cs="Times New Roman"/>
              </w:rPr>
              <w:t>-2.157721</w:t>
            </w:r>
          </w:p>
        </w:tc>
        <w:tc>
          <w:tcPr>
            <w:tcW w:w="1560" w:type="dxa"/>
          </w:tcPr>
          <w:p w:rsidR="00F65389" w:rsidRDefault="00601CBA">
            <w:pPr>
              <w:jc w:val="both"/>
              <w:rPr>
                <w:rFonts w:ascii="Times New Roman" w:eastAsia="Times New Roman" w:hAnsi="Times New Roman" w:cs="Times New Roman"/>
              </w:rPr>
            </w:pPr>
            <w:r>
              <w:rPr>
                <w:rFonts w:ascii="Times New Roman" w:eastAsia="Times New Roman" w:hAnsi="Times New Roman" w:cs="Times New Roman"/>
              </w:rPr>
              <w:t>-0.327902</w:t>
            </w:r>
          </w:p>
        </w:tc>
        <w:tc>
          <w:tcPr>
            <w:tcW w:w="1560" w:type="dxa"/>
          </w:tcPr>
          <w:p w:rsidR="00F65389" w:rsidRDefault="00601CBA">
            <w:pPr>
              <w:jc w:val="both"/>
              <w:rPr>
                <w:rFonts w:ascii="Times New Roman" w:eastAsia="Times New Roman" w:hAnsi="Times New Roman" w:cs="Times New Roman"/>
              </w:rPr>
            </w:pPr>
            <w:r>
              <w:rPr>
                <w:rFonts w:ascii="Times New Roman" w:eastAsia="Times New Roman" w:hAnsi="Times New Roman" w:cs="Times New Roman"/>
              </w:rPr>
              <w:t>-2.990647</w:t>
            </w:r>
          </w:p>
        </w:tc>
        <w:tc>
          <w:tcPr>
            <w:tcW w:w="1560" w:type="dxa"/>
          </w:tcPr>
          <w:p w:rsidR="00F65389" w:rsidRDefault="00601CBA">
            <w:pPr>
              <w:jc w:val="both"/>
              <w:rPr>
                <w:rFonts w:ascii="Times New Roman" w:eastAsia="Times New Roman" w:hAnsi="Times New Roman" w:cs="Times New Roman"/>
              </w:rPr>
            </w:pPr>
            <w:r>
              <w:rPr>
                <w:rFonts w:ascii="Times New Roman" w:eastAsia="Times New Roman" w:hAnsi="Times New Roman" w:cs="Times New Roman"/>
              </w:rPr>
              <w:t>2.833512</w:t>
            </w:r>
          </w:p>
        </w:tc>
        <w:tc>
          <w:tcPr>
            <w:tcW w:w="1560" w:type="dxa"/>
          </w:tcPr>
          <w:p w:rsidR="00F65389" w:rsidRDefault="00601CBA">
            <w:pPr>
              <w:jc w:val="both"/>
              <w:rPr>
                <w:rFonts w:ascii="Times New Roman" w:eastAsia="Times New Roman" w:hAnsi="Times New Roman" w:cs="Times New Roman"/>
              </w:rPr>
            </w:pPr>
            <w:r>
              <w:rPr>
                <w:rFonts w:ascii="Times New Roman" w:eastAsia="Times New Roman" w:hAnsi="Times New Roman" w:cs="Times New Roman"/>
              </w:rPr>
              <w:t>-0.327902</w:t>
            </w:r>
          </w:p>
        </w:tc>
      </w:tr>
      <w:tr w:rsidR="00F65389" w:rsidTr="00601CBA">
        <w:tc>
          <w:tcPr>
            <w:tcW w:w="1560" w:type="dxa"/>
          </w:tcPr>
          <w:p w:rsidR="00F65389" w:rsidRDefault="00601CBA">
            <w:pPr>
              <w:jc w:val="both"/>
              <w:rPr>
                <w:rFonts w:ascii="Times New Roman" w:eastAsia="Times New Roman" w:hAnsi="Times New Roman" w:cs="Times New Roman"/>
              </w:rPr>
            </w:pPr>
            <w:r>
              <w:rPr>
                <w:rFonts w:ascii="Times New Roman" w:eastAsia="Times New Roman" w:hAnsi="Times New Roman" w:cs="Times New Roman"/>
                <w:b/>
              </w:rPr>
              <w:t>Kurtosis</w:t>
            </w:r>
          </w:p>
        </w:tc>
        <w:tc>
          <w:tcPr>
            <w:tcW w:w="1560" w:type="dxa"/>
          </w:tcPr>
          <w:p w:rsidR="00F65389" w:rsidRDefault="00601CBA">
            <w:pPr>
              <w:jc w:val="both"/>
              <w:rPr>
                <w:rFonts w:ascii="Times New Roman" w:eastAsia="Times New Roman" w:hAnsi="Times New Roman" w:cs="Times New Roman"/>
              </w:rPr>
            </w:pPr>
            <w:r>
              <w:rPr>
                <w:rFonts w:ascii="Times New Roman" w:eastAsia="Times New Roman" w:hAnsi="Times New Roman" w:cs="Times New Roman"/>
              </w:rPr>
              <w:t>6.845044</w:t>
            </w:r>
          </w:p>
        </w:tc>
        <w:tc>
          <w:tcPr>
            <w:tcW w:w="1560" w:type="dxa"/>
          </w:tcPr>
          <w:p w:rsidR="00F65389" w:rsidRDefault="00601CBA">
            <w:pPr>
              <w:jc w:val="both"/>
              <w:rPr>
                <w:rFonts w:ascii="Times New Roman" w:eastAsia="Times New Roman" w:hAnsi="Times New Roman" w:cs="Times New Roman"/>
              </w:rPr>
            </w:pPr>
            <w:r>
              <w:rPr>
                <w:rFonts w:ascii="Times New Roman" w:eastAsia="Times New Roman" w:hAnsi="Times New Roman" w:cs="Times New Roman"/>
              </w:rPr>
              <w:t>2.280336</w:t>
            </w:r>
          </w:p>
        </w:tc>
        <w:tc>
          <w:tcPr>
            <w:tcW w:w="1560" w:type="dxa"/>
          </w:tcPr>
          <w:p w:rsidR="00F65389" w:rsidRDefault="00601CBA">
            <w:pPr>
              <w:jc w:val="both"/>
              <w:rPr>
                <w:rFonts w:ascii="Times New Roman" w:eastAsia="Times New Roman" w:hAnsi="Times New Roman" w:cs="Times New Roman"/>
              </w:rPr>
            </w:pPr>
            <w:r>
              <w:rPr>
                <w:rFonts w:ascii="Times New Roman" w:eastAsia="Times New Roman" w:hAnsi="Times New Roman" w:cs="Times New Roman"/>
              </w:rPr>
              <w:t>10.00320</w:t>
            </w:r>
          </w:p>
        </w:tc>
        <w:tc>
          <w:tcPr>
            <w:tcW w:w="1560" w:type="dxa"/>
          </w:tcPr>
          <w:p w:rsidR="00F65389" w:rsidRDefault="00601CBA">
            <w:pPr>
              <w:jc w:val="both"/>
              <w:rPr>
                <w:rFonts w:ascii="Times New Roman" w:eastAsia="Times New Roman" w:hAnsi="Times New Roman" w:cs="Times New Roman"/>
              </w:rPr>
            </w:pPr>
            <w:r>
              <w:rPr>
                <w:rFonts w:ascii="Times New Roman" w:eastAsia="Times New Roman" w:hAnsi="Times New Roman" w:cs="Times New Roman"/>
              </w:rPr>
              <w:t>9.436299</w:t>
            </w:r>
          </w:p>
        </w:tc>
        <w:tc>
          <w:tcPr>
            <w:tcW w:w="1560" w:type="dxa"/>
          </w:tcPr>
          <w:p w:rsidR="00F65389" w:rsidRDefault="00601CBA">
            <w:pPr>
              <w:jc w:val="both"/>
              <w:rPr>
                <w:rFonts w:ascii="Times New Roman" w:eastAsia="Times New Roman" w:hAnsi="Times New Roman" w:cs="Times New Roman"/>
              </w:rPr>
            </w:pPr>
            <w:r>
              <w:rPr>
                <w:rFonts w:ascii="Times New Roman" w:eastAsia="Times New Roman" w:hAnsi="Times New Roman" w:cs="Times New Roman"/>
              </w:rPr>
              <w:t>2.280336</w:t>
            </w:r>
          </w:p>
        </w:tc>
      </w:tr>
      <w:tr w:rsidR="00F65389" w:rsidTr="00601CBA">
        <w:tc>
          <w:tcPr>
            <w:tcW w:w="1560" w:type="dxa"/>
          </w:tcPr>
          <w:p w:rsidR="00F65389" w:rsidRDefault="00601CBA">
            <w:pPr>
              <w:jc w:val="both"/>
              <w:rPr>
                <w:rFonts w:ascii="Times New Roman" w:eastAsia="Times New Roman" w:hAnsi="Times New Roman" w:cs="Times New Roman"/>
              </w:rPr>
            </w:pPr>
            <w:r>
              <w:rPr>
                <w:rFonts w:ascii="Times New Roman" w:eastAsia="Times New Roman" w:hAnsi="Times New Roman" w:cs="Times New Roman"/>
                <w:b/>
              </w:rPr>
              <w:t>Jarque-Bera</w:t>
            </w:r>
          </w:p>
        </w:tc>
        <w:tc>
          <w:tcPr>
            <w:tcW w:w="1560" w:type="dxa"/>
          </w:tcPr>
          <w:p w:rsidR="00F65389" w:rsidRDefault="00601CBA">
            <w:pPr>
              <w:jc w:val="both"/>
              <w:rPr>
                <w:rFonts w:ascii="Times New Roman" w:eastAsia="Times New Roman" w:hAnsi="Times New Roman" w:cs="Times New Roman"/>
              </w:rPr>
            </w:pPr>
            <w:r>
              <w:rPr>
                <w:rFonts w:ascii="Times New Roman" w:eastAsia="Times New Roman" w:hAnsi="Times New Roman" w:cs="Times New Roman"/>
              </w:rPr>
              <w:t>16.70370</w:t>
            </w:r>
          </w:p>
        </w:tc>
        <w:tc>
          <w:tcPr>
            <w:tcW w:w="1560" w:type="dxa"/>
          </w:tcPr>
          <w:p w:rsidR="00F65389" w:rsidRDefault="00601CBA">
            <w:pPr>
              <w:jc w:val="both"/>
              <w:rPr>
                <w:rFonts w:ascii="Times New Roman" w:eastAsia="Times New Roman" w:hAnsi="Times New Roman" w:cs="Times New Roman"/>
              </w:rPr>
            </w:pPr>
            <w:r>
              <w:rPr>
                <w:rFonts w:ascii="Times New Roman" w:eastAsia="Times New Roman" w:hAnsi="Times New Roman" w:cs="Times New Roman"/>
              </w:rPr>
              <w:t>0.473997</w:t>
            </w:r>
          </w:p>
        </w:tc>
        <w:tc>
          <w:tcPr>
            <w:tcW w:w="1560" w:type="dxa"/>
          </w:tcPr>
          <w:p w:rsidR="00F65389" w:rsidRDefault="00601CBA">
            <w:pPr>
              <w:jc w:val="both"/>
              <w:rPr>
                <w:rFonts w:ascii="Times New Roman" w:eastAsia="Times New Roman" w:hAnsi="Times New Roman" w:cs="Times New Roman"/>
              </w:rPr>
            </w:pPr>
            <w:r>
              <w:rPr>
                <w:rFonts w:ascii="Times New Roman" w:eastAsia="Times New Roman" w:hAnsi="Times New Roman" w:cs="Times New Roman"/>
              </w:rPr>
              <w:t>42.41034</w:t>
            </w:r>
          </w:p>
        </w:tc>
        <w:tc>
          <w:tcPr>
            <w:tcW w:w="1560" w:type="dxa"/>
          </w:tcPr>
          <w:p w:rsidR="00F65389" w:rsidRDefault="00601CBA">
            <w:pPr>
              <w:jc w:val="both"/>
              <w:rPr>
                <w:rFonts w:ascii="Times New Roman" w:eastAsia="Times New Roman" w:hAnsi="Times New Roman" w:cs="Times New Roman"/>
              </w:rPr>
            </w:pPr>
            <w:r>
              <w:rPr>
                <w:rFonts w:ascii="Times New Roman" w:eastAsia="Times New Roman" w:hAnsi="Times New Roman" w:cs="Times New Roman"/>
              </w:rPr>
              <w:t>36.77056</w:t>
            </w:r>
          </w:p>
        </w:tc>
        <w:tc>
          <w:tcPr>
            <w:tcW w:w="1560" w:type="dxa"/>
          </w:tcPr>
          <w:p w:rsidR="00F65389" w:rsidRDefault="00601CBA">
            <w:pPr>
              <w:jc w:val="both"/>
              <w:rPr>
                <w:rFonts w:ascii="Times New Roman" w:eastAsia="Times New Roman" w:hAnsi="Times New Roman" w:cs="Times New Roman"/>
              </w:rPr>
            </w:pPr>
            <w:r>
              <w:rPr>
                <w:rFonts w:ascii="Times New Roman" w:eastAsia="Times New Roman" w:hAnsi="Times New Roman" w:cs="Times New Roman"/>
              </w:rPr>
              <w:t>0.473997</w:t>
            </w:r>
          </w:p>
        </w:tc>
      </w:tr>
      <w:tr w:rsidR="00F65389" w:rsidTr="00601CBA">
        <w:tc>
          <w:tcPr>
            <w:tcW w:w="1560" w:type="dxa"/>
          </w:tcPr>
          <w:p w:rsidR="00F65389" w:rsidRDefault="00601CBA">
            <w:pPr>
              <w:jc w:val="both"/>
              <w:rPr>
                <w:rFonts w:ascii="Times New Roman" w:eastAsia="Times New Roman" w:hAnsi="Times New Roman" w:cs="Times New Roman"/>
              </w:rPr>
            </w:pPr>
            <w:r>
              <w:rPr>
                <w:rFonts w:ascii="Times New Roman" w:eastAsia="Times New Roman" w:hAnsi="Times New Roman" w:cs="Times New Roman"/>
                <w:b/>
              </w:rPr>
              <w:t>Probability</w:t>
            </w:r>
          </w:p>
        </w:tc>
        <w:tc>
          <w:tcPr>
            <w:tcW w:w="1560" w:type="dxa"/>
          </w:tcPr>
          <w:p w:rsidR="00F65389" w:rsidRDefault="00601CBA">
            <w:pPr>
              <w:jc w:val="both"/>
              <w:rPr>
                <w:rFonts w:ascii="Times New Roman" w:eastAsia="Times New Roman" w:hAnsi="Times New Roman" w:cs="Times New Roman"/>
              </w:rPr>
            </w:pPr>
            <w:r>
              <w:rPr>
                <w:rFonts w:ascii="Times New Roman" w:eastAsia="Times New Roman" w:hAnsi="Times New Roman" w:cs="Times New Roman"/>
              </w:rPr>
              <w:t>0.000236</w:t>
            </w:r>
          </w:p>
        </w:tc>
        <w:tc>
          <w:tcPr>
            <w:tcW w:w="1560" w:type="dxa"/>
          </w:tcPr>
          <w:p w:rsidR="00F65389" w:rsidRDefault="00601CBA">
            <w:pPr>
              <w:jc w:val="both"/>
              <w:rPr>
                <w:rFonts w:ascii="Times New Roman" w:eastAsia="Times New Roman" w:hAnsi="Times New Roman" w:cs="Times New Roman"/>
              </w:rPr>
            </w:pPr>
            <w:r>
              <w:rPr>
                <w:rFonts w:ascii="Times New Roman" w:eastAsia="Times New Roman" w:hAnsi="Times New Roman" w:cs="Times New Roman"/>
              </w:rPr>
              <w:t>0.788992</w:t>
            </w:r>
          </w:p>
        </w:tc>
        <w:tc>
          <w:tcPr>
            <w:tcW w:w="1560" w:type="dxa"/>
          </w:tcPr>
          <w:p w:rsidR="00F65389" w:rsidRDefault="00601CBA">
            <w:pPr>
              <w:jc w:val="both"/>
              <w:rPr>
                <w:rFonts w:ascii="Times New Roman" w:eastAsia="Times New Roman" w:hAnsi="Times New Roman" w:cs="Times New Roman"/>
              </w:rPr>
            </w:pPr>
            <w:r>
              <w:rPr>
                <w:rFonts w:ascii="Times New Roman" w:eastAsia="Times New Roman" w:hAnsi="Times New Roman" w:cs="Times New Roman"/>
              </w:rPr>
              <w:t>0.000000</w:t>
            </w:r>
          </w:p>
        </w:tc>
        <w:tc>
          <w:tcPr>
            <w:tcW w:w="1560" w:type="dxa"/>
          </w:tcPr>
          <w:p w:rsidR="00F65389" w:rsidRDefault="00601CBA">
            <w:pPr>
              <w:jc w:val="both"/>
              <w:rPr>
                <w:rFonts w:ascii="Times New Roman" w:eastAsia="Times New Roman" w:hAnsi="Times New Roman" w:cs="Times New Roman"/>
              </w:rPr>
            </w:pPr>
            <w:r>
              <w:rPr>
                <w:rFonts w:ascii="Times New Roman" w:eastAsia="Times New Roman" w:hAnsi="Times New Roman" w:cs="Times New Roman"/>
              </w:rPr>
              <w:t>0.000000</w:t>
            </w:r>
          </w:p>
        </w:tc>
        <w:tc>
          <w:tcPr>
            <w:tcW w:w="1560" w:type="dxa"/>
          </w:tcPr>
          <w:p w:rsidR="00F65389" w:rsidRDefault="00601CBA">
            <w:pPr>
              <w:jc w:val="both"/>
              <w:rPr>
                <w:rFonts w:ascii="Times New Roman" w:eastAsia="Times New Roman" w:hAnsi="Times New Roman" w:cs="Times New Roman"/>
              </w:rPr>
            </w:pPr>
            <w:r>
              <w:rPr>
                <w:rFonts w:ascii="Times New Roman" w:eastAsia="Times New Roman" w:hAnsi="Times New Roman" w:cs="Times New Roman"/>
              </w:rPr>
              <w:t>0.788992</w:t>
            </w:r>
          </w:p>
        </w:tc>
      </w:tr>
    </w:tbl>
    <w:p w:rsidR="00F65389" w:rsidRDefault="00601CBA">
      <w:pPr>
        <w:spacing w:line="240" w:lineRule="auto"/>
        <w:jc w:val="both"/>
        <w:rPr>
          <w:rFonts w:ascii="Times New Roman" w:eastAsia="Times New Roman" w:hAnsi="Times New Roman" w:cs="Times New Roman"/>
        </w:rPr>
      </w:pPr>
      <w:r>
        <w:rPr>
          <w:rFonts w:ascii="Times New Roman" w:eastAsia="Times New Roman" w:hAnsi="Times New Roman" w:cs="Times New Roman"/>
          <w:i/>
        </w:rPr>
        <w:t>Source: Eview output, 2024</w:t>
      </w:r>
    </w:p>
    <w:p w:rsidR="00F65389" w:rsidRDefault="00F65389">
      <w:pPr>
        <w:spacing w:line="240" w:lineRule="auto"/>
        <w:jc w:val="both"/>
        <w:rPr>
          <w:rFonts w:ascii="Times New Roman" w:eastAsia="Times New Roman" w:hAnsi="Times New Roman" w:cs="Times New Roman"/>
        </w:rPr>
      </w:pPr>
    </w:p>
    <w:p w:rsidR="00F65389" w:rsidRDefault="00601CBA">
      <w:pPr>
        <w:spacing w:line="480" w:lineRule="auto"/>
        <w:jc w:val="both"/>
        <w:rPr>
          <w:rFonts w:ascii="Times New Roman" w:eastAsia="Times New Roman" w:hAnsi="Times New Roman" w:cs="Times New Roman"/>
        </w:rPr>
      </w:pPr>
      <w:r>
        <w:rPr>
          <w:rFonts w:ascii="Times New Roman" w:eastAsia="Times New Roman" w:hAnsi="Times New Roman" w:cs="Times New Roman"/>
        </w:rPr>
        <w:t>The descriptive stats bring forward the inner posture of the study numbers. Return on Assets (ROA) parked at an average of 14.92 percent, with a standard swing of 15.61 percent, pointing to mid-line profit with wide turns. Skewness tilted hard to the left at minus 2.16, showing some sharp downside episodes. The kurtosis at 6.85 gave it a leptokurtic lean with big edges. The Jarque-Bera count stamped 16.70, and a p lower than .001 called it non-normal without delay.</w:t>
      </w:r>
    </w:p>
    <w:p w:rsidR="00F65389" w:rsidRDefault="00601CBA">
      <w:pPr>
        <w:spacing w:line="480" w:lineRule="auto"/>
        <w:jc w:val="both"/>
        <w:rPr>
          <w:rFonts w:ascii="Times New Roman" w:eastAsia="Times New Roman" w:hAnsi="Times New Roman" w:cs="Times New Roman"/>
        </w:rPr>
      </w:pPr>
      <w:r>
        <w:rPr>
          <w:rFonts w:ascii="Times New Roman" w:eastAsia="Times New Roman" w:hAnsi="Times New Roman" w:cs="Times New Roman"/>
        </w:rPr>
        <w:t>Interest Coverage Ratio (ICR) stood steady at 9.44 average, swinging by 2.59. This told that Nestlé’s EBIT could cover interest bills more than nine rounds on most runs. The skew sat at minus 0.33, and kurtosis at 2.28, landing it near flat. The JB test flagged 0.47 with a p at .79, not shaking the assumption that ICR walked a regular curve.</w:t>
      </w:r>
    </w:p>
    <w:p w:rsidR="00F65389" w:rsidRDefault="00601CBA">
      <w:pPr>
        <w:spacing w:line="480" w:lineRule="auto"/>
        <w:jc w:val="both"/>
        <w:rPr>
          <w:rFonts w:ascii="Times New Roman" w:eastAsia="Times New Roman" w:hAnsi="Times New Roman" w:cs="Times New Roman"/>
        </w:rPr>
      </w:pPr>
      <w:r>
        <w:rPr>
          <w:rFonts w:ascii="Times New Roman" w:eastAsia="Times New Roman" w:hAnsi="Times New Roman" w:cs="Times New Roman"/>
        </w:rPr>
        <w:t>Debt-to-Equity Ratio (DER) walked in with a mean of 0.44, but its wide stretch of 2.37 told deeper turns. The odd case of negative 7.07 in 2023 pushed things out. The shape was sharply left-skewed at minus 2.99 and peaked at 10.00 in kurtosis. The JB pin hit 42.41 and p slid below .001, confirming DER was off normal rails.</w:t>
      </w:r>
    </w:p>
    <w:p w:rsidR="00F65389" w:rsidRDefault="00601CBA">
      <w:pPr>
        <w:spacing w:line="480" w:lineRule="auto"/>
        <w:jc w:val="both"/>
        <w:rPr>
          <w:rFonts w:ascii="Times New Roman" w:eastAsia="Times New Roman" w:hAnsi="Times New Roman" w:cs="Times New Roman"/>
        </w:rPr>
      </w:pPr>
      <w:r>
        <w:rPr>
          <w:rFonts w:ascii="Times New Roman" w:eastAsia="Times New Roman" w:hAnsi="Times New Roman" w:cs="Times New Roman"/>
        </w:rPr>
        <w:t>Debt-to-Asset Ratio (DAR) marked its spot at 0.58 mean with a leaner 0.19 in deviation. This meant over half of assets rode on debt. It carried a skew of 2.83 to the right and kurtosis climbed to 9.44. That 2023 surge tilted the curve. The JB test hit 36.77 with p under .001, marking DAR as not shaped by the normal script.</w:t>
      </w:r>
    </w:p>
    <w:p w:rsidR="00F65389" w:rsidRDefault="00601CBA">
      <w:pPr>
        <w:spacing w:line="480" w:lineRule="auto"/>
        <w:jc w:val="both"/>
        <w:rPr>
          <w:rFonts w:ascii="Times New Roman" w:eastAsia="Times New Roman" w:hAnsi="Times New Roman" w:cs="Times New Roman"/>
        </w:rPr>
      </w:pPr>
      <w:r>
        <w:rPr>
          <w:rFonts w:ascii="Times New Roman" w:eastAsia="Times New Roman" w:hAnsi="Times New Roman" w:cs="Times New Roman"/>
        </w:rPr>
        <w:t>Times Interest Earned Ratio (TIER) tagged close to ICR with a mean of 10.42 and the same 2.59 deviation. Since both track debt-earnings buffer, this sync was no surprise. TIER skew landed at minus 0.33 and kurtosis held at 2.28, both nearly smooth. JB read 0.47 with a calm p at .79, wrapping it in normal range.</w:t>
      </w:r>
    </w:p>
    <w:p w:rsidR="00F65389" w:rsidRDefault="00F65389">
      <w:pPr>
        <w:spacing w:line="480" w:lineRule="auto"/>
        <w:jc w:val="both"/>
        <w:rPr>
          <w:rFonts w:ascii="Times New Roman" w:eastAsia="Times New Roman" w:hAnsi="Times New Roman" w:cs="Times New Roman"/>
        </w:rPr>
      </w:pPr>
    </w:p>
    <w:p w:rsidR="00F65389" w:rsidRDefault="00601CBA">
      <w:pPr>
        <w:pStyle w:val="Heading2"/>
        <w:spacing w:before="0" w:after="0" w:line="480" w:lineRule="auto"/>
        <w:jc w:val="both"/>
        <w:rPr>
          <w:rFonts w:ascii="Times New Roman" w:eastAsia="Times New Roman" w:hAnsi="Times New Roman" w:cs="Times New Roman"/>
          <w:b/>
          <w:color w:val="000000"/>
          <w:sz w:val="24"/>
          <w:szCs w:val="24"/>
        </w:rPr>
      </w:pPr>
      <w:bookmarkStart w:id="6" w:name="_2eitpy6tltif" w:colFirst="0" w:colLast="0"/>
      <w:bookmarkEnd w:id="6"/>
      <w:r>
        <w:rPr>
          <w:rFonts w:ascii="Times New Roman" w:eastAsia="Times New Roman" w:hAnsi="Times New Roman" w:cs="Times New Roman"/>
          <w:b/>
          <w:color w:val="000000"/>
          <w:sz w:val="24"/>
          <w:szCs w:val="24"/>
        </w:rPr>
        <w:t>4.1.2 Graphical Analyses</w:t>
      </w:r>
    </w:p>
    <w:p w:rsidR="00F65389" w:rsidRDefault="00601CBA">
      <w:pPr>
        <w:spacing w:after="0" w:line="480" w:lineRule="auto"/>
        <w:jc w:val="both"/>
        <w:rPr>
          <w:rFonts w:ascii="Times New Roman" w:eastAsia="Times New Roman" w:hAnsi="Times New Roman" w:cs="Times New Roman"/>
        </w:rPr>
      </w:pPr>
      <w:r>
        <w:rPr>
          <w:rFonts w:ascii="Times New Roman" w:eastAsia="Times New Roman" w:hAnsi="Times New Roman" w:cs="Times New Roman"/>
          <w:b/>
        </w:rPr>
        <w:t xml:space="preserve">Figure 1: </w:t>
      </w:r>
      <w:r>
        <w:rPr>
          <w:rFonts w:ascii="Times New Roman" w:eastAsia="Times New Roman" w:hAnsi="Times New Roman" w:cs="Times New Roman"/>
        </w:rPr>
        <w:t>Graphical analysis results time series data on Return on Assets (ROA), Debt-to-Asset Ratio (DAR), Debt-to-Equity Ratio (DER), Interest Coverage Ratio (ICR), and Times Interest Earned Ratio (TIER) of Nestle Nigeria PLC from 2012 to 2023</w:t>
      </w:r>
    </w:p>
    <w:p w:rsidR="00F65389" w:rsidRDefault="00601CBA">
      <w:pPr>
        <w:spacing w:line="480" w:lineRule="auto"/>
        <w:jc w:val="both"/>
        <w:rPr>
          <w:rFonts w:ascii="Times New Roman" w:eastAsia="Times New Roman" w:hAnsi="Times New Roman" w:cs="Times New Roman"/>
        </w:rPr>
      </w:pPr>
      <w:r>
        <w:rPr>
          <w:rFonts w:ascii="Times New Roman" w:eastAsia="Times New Roman" w:hAnsi="Times New Roman" w:cs="Times New Roman"/>
          <w:noProof/>
          <w:lang w:val="en-US"/>
        </w:rPr>
        <w:drawing>
          <wp:inline distT="114300" distB="114300" distL="114300" distR="114300">
            <wp:extent cx="5731510" cy="2282727"/>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3"/>
                    <a:srcRect/>
                    <a:stretch>
                      <a:fillRect/>
                    </a:stretch>
                  </pic:blipFill>
                  <pic:spPr>
                    <a:xfrm>
                      <a:off x="0" y="0"/>
                      <a:ext cx="5731510" cy="2282727"/>
                    </a:xfrm>
                    <a:prstGeom prst="rect">
                      <a:avLst/>
                    </a:prstGeom>
                    <a:ln/>
                  </pic:spPr>
                </pic:pic>
              </a:graphicData>
            </a:graphic>
          </wp:inline>
        </w:drawing>
      </w:r>
    </w:p>
    <w:p w:rsidR="00F65389" w:rsidRDefault="00601CBA">
      <w:pPr>
        <w:spacing w:line="480" w:lineRule="auto"/>
        <w:jc w:val="both"/>
        <w:rPr>
          <w:rFonts w:ascii="Times New Roman" w:eastAsia="Times New Roman" w:hAnsi="Times New Roman" w:cs="Times New Roman"/>
        </w:rPr>
      </w:pPr>
      <w:r w:rsidRPr="00601CBA">
        <w:rPr>
          <w:rFonts w:ascii="Times New Roman" w:eastAsia="Times New Roman" w:hAnsi="Times New Roman" w:cs="Times New Roman"/>
          <w:b/>
          <w:i/>
        </w:rPr>
        <w:t>Source:</w:t>
      </w:r>
      <w:r>
        <w:rPr>
          <w:rFonts w:ascii="Times New Roman" w:eastAsia="Times New Roman" w:hAnsi="Times New Roman" w:cs="Times New Roman"/>
          <w:i/>
        </w:rPr>
        <w:t xml:space="preserve"> Eview output, 2024</w:t>
      </w:r>
    </w:p>
    <w:p w:rsidR="00F65389" w:rsidRDefault="00601CBA">
      <w:pPr>
        <w:spacing w:after="0" w:line="480" w:lineRule="auto"/>
        <w:jc w:val="both"/>
        <w:rPr>
          <w:rFonts w:ascii="Times New Roman" w:eastAsia="Times New Roman" w:hAnsi="Times New Roman" w:cs="Times New Roman"/>
        </w:rPr>
      </w:pPr>
      <w:r>
        <w:rPr>
          <w:rFonts w:ascii="Times New Roman" w:eastAsia="Times New Roman" w:hAnsi="Times New Roman" w:cs="Times New Roman"/>
        </w:rPr>
        <w:t>Return on Assets (ROA) tracked a high-volatility arc from 2012 to 2023. In the early frame from 2012 to 2015, ROA declined steadily from 24.7 percent to 18.2 percent showing a 26 percent profit erosion N = 12 M = 14.92 percent SD = 15.61 percent. In 2016 and 2017 ROA slumped to 6.0 percent, a 67 percent drop from 2015. That drop mirrors the 2016 Nigerian economic crisis where forex shocks inflation and weak demand shrank margins. Recovery came in 2018 and 2019 with ROA jumping back to 25.3 percent outperforming earlier highs. In 2020 and 2021 ROA dipped modestly, likely pandemic-linked. It climbed again in 2022 to 27.6 percent the peak in this window. But in 2023 ROA turned sharply negative at minus 29.9 percent, the first negative point across the years due to forex loss fallout.</w:t>
      </w:r>
    </w:p>
    <w:p w:rsidR="00F65389" w:rsidRDefault="00601CBA">
      <w:pPr>
        <w:spacing w:after="0" w:line="480" w:lineRule="auto"/>
        <w:jc w:val="both"/>
        <w:rPr>
          <w:rFonts w:ascii="Times New Roman" w:eastAsia="Times New Roman" w:hAnsi="Times New Roman" w:cs="Times New Roman"/>
        </w:rPr>
      </w:pPr>
      <w:r>
        <w:rPr>
          <w:rFonts w:ascii="Times New Roman" w:eastAsia="Times New Roman" w:hAnsi="Times New Roman" w:cs="Times New Roman"/>
        </w:rPr>
        <w:t>Interest Coverage Ratio (ICR) rolled downward then upward reflecting debt service changes. From 2012 to 2016 ICR moved from 12.95 to 4.62 showing a 64 percent fall N = 12 M = 9.44 SD = 2.59. That drop flags a squeeze in interest payment strength during the same recession tagged earlier. Between 2017 and 2021 it ranged 8.0 to 9.1 showing better coverage recovery. In 2022 and 2023 ICR rebounded to 12.5% close to 2012’s level. Despite the 2023 net loss ICR stayed strong showing EBIT remained intact. That split means operations stayed sound even when net income turned red.</w:t>
      </w:r>
    </w:p>
    <w:p w:rsidR="00F65389" w:rsidRDefault="00601CBA">
      <w:pPr>
        <w:spacing w:after="0" w:line="480" w:lineRule="auto"/>
        <w:jc w:val="both"/>
        <w:rPr>
          <w:rFonts w:ascii="Times New Roman" w:eastAsia="Times New Roman" w:hAnsi="Times New Roman" w:cs="Times New Roman"/>
        </w:rPr>
      </w:pPr>
      <w:r>
        <w:rPr>
          <w:rFonts w:ascii="Times New Roman" w:eastAsia="Times New Roman" w:hAnsi="Times New Roman" w:cs="Times New Roman"/>
        </w:rPr>
        <w:t>Debt-to-Equity Ratio (DER) stayed between 0.85 and 1.43 from 2012 to 2022 suggesting a normal capital balance N = 12 M = 0.44 SD = 2.37. That run shows Nestlé Nigeria held moderate leverage. In 2023 DER collapsed to minus 7.07 an abnormal value linked to negative equity from net losses. Equity flipped under debt creating a structural mismatch. This imbalance broke the solvency line and reflected a major erosion of shareholder capital within that year.</w:t>
      </w:r>
    </w:p>
    <w:p w:rsidR="00F65389" w:rsidRDefault="00601CBA">
      <w:pPr>
        <w:spacing w:after="0" w:line="480" w:lineRule="auto"/>
        <w:jc w:val="both"/>
        <w:rPr>
          <w:rFonts w:ascii="Times New Roman" w:eastAsia="Times New Roman" w:hAnsi="Times New Roman" w:cs="Times New Roman"/>
        </w:rPr>
      </w:pPr>
      <w:r>
        <w:rPr>
          <w:rFonts w:ascii="Times New Roman" w:eastAsia="Times New Roman" w:hAnsi="Times New Roman" w:cs="Times New Roman"/>
        </w:rPr>
        <w:t>Debt-to-Asset Ratio (DAR) moved within a tight range from 0.46 to 0.59 from 2012 to 2022 suggesting that debt funded around half the firm’s assets N = 12 M = 0.58 SD = 0.19. The level stayed calm until 2023 when DAR jumped to 1.17. This ratio above 1.0 means liabilities outpaced book value of assets showing technical insolvency. That confirms what DER flagged earlier that shareholder value was wiped and debt overtook the balance sheet.</w:t>
      </w:r>
    </w:p>
    <w:p w:rsidR="00F65389" w:rsidRDefault="00601CBA">
      <w:pPr>
        <w:spacing w:after="0" w:line="480" w:lineRule="auto"/>
        <w:jc w:val="both"/>
        <w:rPr>
          <w:rFonts w:ascii="Times New Roman" w:eastAsia="Times New Roman" w:hAnsi="Times New Roman" w:cs="Times New Roman"/>
        </w:rPr>
      </w:pPr>
      <w:r>
        <w:rPr>
          <w:rFonts w:ascii="Times New Roman" w:eastAsia="Times New Roman" w:hAnsi="Times New Roman" w:cs="Times New Roman"/>
        </w:rPr>
        <w:t>Times Interest Earned Ratio (TIER) followed a similar rhythm to ICR but stayed higher since it uses pre-tax income. From 2012 to 2016 it fell from 13.93 to 5.60 a 60 percent slip N = 12 M = 10.42 SD = 2.59. Between 2017 and 2021 it returned to a range of 9.0 to 10.2 showing improved coverage. In 2022 and 2023 TIER reached 13.5 matching or beating earlier highs. The steady gap of about one unit between TIER and ICR reflects tax cost effects. Even in the loss-heavy 2023 the firm’s pre-tax earnings covered interest without strain.</w:t>
      </w:r>
    </w:p>
    <w:p w:rsidR="00601CBA" w:rsidRDefault="00601CBA">
      <w:pPr>
        <w:spacing w:after="0" w:line="480" w:lineRule="auto"/>
        <w:jc w:val="both"/>
        <w:rPr>
          <w:rFonts w:ascii="Times New Roman" w:eastAsia="Times New Roman" w:hAnsi="Times New Roman" w:cs="Times New Roman"/>
        </w:rPr>
      </w:pPr>
    </w:p>
    <w:p w:rsidR="00601CBA" w:rsidRDefault="00601CBA">
      <w:pPr>
        <w:spacing w:after="0" w:line="480" w:lineRule="auto"/>
        <w:jc w:val="both"/>
        <w:rPr>
          <w:rFonts w:ascii="Times New Roman" w:eastAsia="Times New Roman" w:hAnsi="Times New Roman" w:cs="Times New Roman"/>
        </w:rPr>
      </w:pPr>
    </w:p>
    <w:p w:rsidR="00F65389" w:rsidRDefault="00601CBA">
      <w:pPr>
        <w:pStyle w:val="Heading2"/>
        <w:spacing w:before="0" w:after="0" w:line="480" w:lineRule="auto"/>
        <w:jc w:val="both"/>
        <w:rPr>
          <w:rFonts w:ascii="Times New Roman" w:eastAsia="Times New Roman" w:hAnsi="Times New Roman" w:cs="Times New Roman"/>
          <w:b/>
          <w:color w:val="000000"/>
          <w:sz w:val="24"/>
          <w:szCs w:val="24"/>
        </w:rPr>
      </w:pPr>
      <w:bookmarkStart w:id="7" w:name="_otlwbsxkbcof" w:colFirst="0" w:colLast="0"/>
      <w:bookmarkEnd w:id="7"/>
      <w:r>
        <w:rPr>
          <w:rFonts w:ascii="Times New Roman" w:eastAsia="Times New Roman" w:hAnsi="Times New Roman" w:cs="Times New Roman"/>
          <w:b/>
          <w:color w:val="000000"/>
          <w:sz w:val="24"/>
          <w:szCs w:val="24"/>
        </w:rPr>
        <w:t>4.2 Correlation Matrix</w:t>
      </w:r>
    </w:p>
    <w:p w:rsidR="00F65389" w:rsidRDefault="00601CBA">
      <w:pPr>
        <w:spacing w:line="240" w:lineRule="auto"/>
        <w:jc w:val="both"/>
        <w:rPr>
          <w:rFonts w:ascii="Times New Roman" w:eastAsia="Times New Roman" w:hAnsi="Times New Roman" w:cs="Times New Roman"/>
        </w:rPr>
      </w:pPr>
      <w:r>
        <w:rPr>
          <w:rFonts w:ascii="Times New Roman" w:eastAsia="Times New Roman" w:hAnsi="Times New Roman" w:cs="Times New Roman"/>
          <w:b/>
        </w:rPr>
        <w:t xml:space="preserve">Table 4: </w:t>
      </w:r>
      <w:r>
        <w:rPr>
          <w:rFonts w:ascii="Times New Roman" w:eastAsia="Times New Roman" w:hAnsi="Times New Roman" w:cs="Times New Roman"/>
        </w:rPr>
        <w:t>Pearson Correlation Coefficients</w:t>
      </w:r>
    </w:p>
    <w:tbl>
      <w:tblPr>
        <w:tblStyle w:val="TableGrid"/>
        <w:tblW w:w="9360" w:type="dxa"/>
        <w:tblBorders>
          <w:left w:val="none" w:sz="0" w:space="0" w:color="auto"/>
          <w:right w:val="none" w:sz="0" w:space="0" w:color="auto"/>
          <w:insideH w:val="none" w:sz="0" w:space="0" w:color="auto"/>
          <w:insideV w:val="none" w:sz="0" w:space="0" w:color="auto"/>
        </w:tblBorders>
        <w:tblLayout w:type="fixed"/>
        <w:tblLook w:val="0600" w:firstRow="0" w:lastRow="0" w:firstColumn="0" w:lastColumn="0" w:noHBand="1" w:noVBand="1"/>
      </w:tblPr>
      <w:tblGrid>
        <w:gridCol w:w="1560"/>
        <w:gridCol w:w="1560"/>
        <w:gridCol w:w="1560"/>
        <w:gridCol w:w="1560"/>
        <w:gridCol w:w="1560"/>
        <w:gridCol w:w="1560"/>
      </w:tblGrid>
      <w:tr w:rsidR="00F65389" w:rsidTr="00601CBA">
        <w:tc>
          <w:tcPr>
            <w:tcW w:w="1560" w:type="dxa"/>
            <w:tcBorders>
              <w:top w:val="single" w:sz="4" w:space="0" w:color="auto"/>
              <w:bottom w:val="single" w:sz="4" w:space="0" w:color="auto"/>
            </w:tcBorders>
          </w:tcPr>
          <w:p w:rsidR="00F65389" w:rsidRDefault="00601CBA">
            <w:pPr>
              <w:jc w:val="both"/>
              <w:rPr>
                <w:rFonts w:ascii="Times New Roman" w:eastAsia="Times New Roman" w:hAnsi="Times New Roman" w:cs="Times New Roman"/>
                <w:b/>
              </w:rPr>
            </w:pPr>
            <w:r>
              <w:rPr>
                <w:rFonts w:ascii="Times New Roman" w:eastAsia="Times New Roman" w:hAnsi="Times New Roman" w:cs="Times New Roman"/>
                <w:b/>
              </w:rPr>
              <w:t>Variables</w:t>
            </w:r>
          </w:p>
        </w:tc>
        <w:tc>
          <w:tcPr>
            <w:tcW w:w="1560" w:type="dxa"/>
            <w:tcBorders>
              <w:top w:val="single" w:sz="4" w:space="0" w:color="auto"/>
              <w:bottom w:val="single" w:sz="4" w:space="0" w:color="auto"/>
            </w:tcBorders>
          </w:tcPr>
          <w:p w:rsidR="00F65389" w:rsidRDefault="00601CBA">
            <w:pPr>
              <w:jc w:val="both"/>
              <w:rPr>
                <w:rFonts w:ascii="Times New Roman" w:eastAsia="Times New Roman" w:hAnsi="Times New Roman" w:cs="Times New Roman"/>
                <w:b/>
              </w:rPr>
            </w:pPr>
            <w:r>
              <w:rPr>
                <w:rFonts w:ascii="Times New Roman" w:eastAsia="Times New Roman" w:hAnsi="Times New Roman" w:cs="Times New Roman"/>
                <w:b/>
              </w:rPr>
              <w:t>ROA</w:t>
            </w:r>
          </w:p>
        </w:tc>
        <w:tc>
          <w:tcPr>
            <w:tcW w:w="1560" w:type="dxa"/>
            <w:tcBorders>
              <w:top w:val="single" w:sz="4" w:space="0" w:color="auto"/>
              <w:bottom w:val="single" w:sz="4" w:space="0" w:color="auto"/>
            </w:tcBorders>
          </w:tcPr>
          <w:p w:rsidR="00F65389" w:rsidRDefault="00601CBA">
            <w:pPr>
              <w:jc w:val="both"/>
              <w:rPr>
                <w:rFonts w:ascii="Times New Roman" w:eastAsia="Times New Roman" w:hAnsi="Times New Roman" w:cs="Times New Roman"/>
                <w:b/>
              </w:rPr>
            </w:pPr>
            <w:r>
              <w:rPr>
                <w:rFonts w:ascii="Times New Roman" w:eastAsia="Times New Roman" w:hAnsi="Times New Roman" w:cs="Times New Roman"/>
                <w:b/>
              </w:rPr>
              <w:t>ICR</w:t>
            </w:r>
          </w:p>
        </w:tc>
        <w:tc>
          <w:tcPr>
            <w:tcW w:w="1560" w:type="dxa"/>
            <w:tcBorders>
              <w:top w:val="single" w:sz="4" w:space="0" w:color="auto"/>
              <w:bottom w:val="single" w:sz="4" w:space="0" w:color="auto"/>
            </w:tcBorders>
          </w:tcPr>
          <w:p w:rsidR="00F65389" w:rsidRDefault="00601CBA">
            <w:pPr>
              <w:jc w:val="both"/>
              <w:rPr>
                <w:rFonts w:ascii="Times New Roman" w:eastAsia="Times New Roman" w:hAnsi="Times New Roman" w:cs="Times New Roman"/>
                <w:b/>
              </w:rPr>
            </w:pPr>
            <w:r>
              <w:rPr>
                <w:rFonts w:ascii="Times New Roman" w:eastAsia="Times New Roman" w:hAnsi="Times New Roman" w:cs="Times New Roman"/>
                <w:b/>
              </w:rPr>
              <w:t>DER</w:t>
            </w:r>
          </w:p>
        </w:tc>
        <w:tc>
          <w:tcPr>
            <w:tcW w:w="1560" w:type="dxa"/>
            <w:tcBorders>
              <w:top w:val="single" w:sz="4" w:space="0" w:color="auto"/>
              <w:bottom w:val="single" w:sz="4" w:space="0" w:color="auto"/>
            </w:tcBorders>
          </w:tcPr>
          <w:p w:rsidR="00F65389" w:rsidRDefault="00601CBA">
            <w:pPr>
              <w:jc w:val="both"/>
              <w:rPr>
                <w:rFonts w:ascii="Times New Roman" w:eastAsia="Times New Roman" w:hAnsi="Times New Roman" w:cs="Times New Roman"/>
                <w:b/>
              </w:rPr>
            </w:pPr>
            <w:r>
              <w:rPr>
                <w:rFonts w:ascii="Times New Roman" w:eastAsia="Times New Roman" w:hAnsi="Times New Roman" w:cs="Times New Roman"/>
                <w:b/>
              </w:rPr>
              <w:t>DAR</w:t>
            </w:r>
          </w:p>
        </w:tc>
        <w:tc>
          <w:tcPr>
            <w:tcW w:w="1560" w:type="dxa"/>
            <w:tcBorders>
              <w:top w:val="single" w:sz="4" w:space="0" w:color="auto"/>
              <w:bottom w:val="single" w:sz="4" w:space="0" w:color="auto"/>
            </w:tcBorders>
          </w:tcPr>
          <w:p w:rsidR="00F65389" w:rsidRDefault="00601CBA">
            <w:pPr>
              <w:jc w:val="both"/>
              <w:rPr>
                <w:rFonts w:ascii="Times New Roman" w:eastAsia="Times New Roman" w:hAnsi="Times New Roman" w:cs="Times New Roman"/>
                <w:b/>
              </w:rPr>
            </w:pPr>
            <w:r>
              <w:rPr>
                <w:rFonts w:ascii="Times New Roman" w:eastAsia="Times New Roman" w:hAnsi="Times New Roman" w:cs="Times New Roman"/>
                <w:b/>
              </w:rPr>
              <w:t>TIER</w:t>
            </w:r>
          </w:p>
        </w:tc>
      </w:tr>
      <w:tr w:rsidR="00F65389" w:rsidTr="00601CBA">
        <w:tc>
          <w:tcPr>
            <w:tcW w:w="1560" w:type="dxa"/>
            <w:tcBorders>
              <w:top w:val="single" w:sz="4" w:space="0" w:color="auto"/>
            </w:tcBorders>
          </w:tcPr>
          <w:p w:rsidR="00F65389" w:rsidRDefault="00601CBA">
            <w:pPr>
              <w:jc w:val="both"/>
              <w:rPr>
                <w:rFonts w:ascii="Times New Roman" w:eastAsia="Times New Roman" w:hAnsi="Times New Roman" w:cs="Times New Roman"/>
              </w:rPr>
            </w:pPr>
            <w:r>
              <w:rPr>
                <w:rFonts w:ascii="Times New Roman" w:eastAsia="Times New Roman" w:hAnsi="Times New Roman" w:cs="Times New Roman"/>
              </w:rPr>
              <w:t>ROA</w:t>
            </w:r>
          </w:p>
        </w:tc>
        <w:tc>
          <w:tcPr>
            <w:tcW w:w="1560" w:type="dxa"/>
            <w:tcBorders>
              <w:top w:val="single" w:sz="4" w:space="0" w:color="auto"/>
            </w:tcBorders>
          </w:tcPr>
          <w:p w:rsidR="00F65389" w:rsidRDefault="00601CBA">
            <w:pPr>
              <w:jc w:val="both"/>
              <w:rPr>
                <w:rFonts w:ascii="Times New Roman" w:eastAsia="Times New Roman" w:hAnsi="Times New Roman" w:cs="Times New Roman"/>
              </w:rPr>
            </w:pPr>
            <w:r>
              <w:rPr>
                <w:rFonts w:ascii="Times New Roman" w:eastAsia="Times New Roman" w:hAnsi="Times New Roman" w:cs="Times New Roman"/>
              </w:rPr>
              <w:t>1.000000</w:t>
            </w:r>
          </w:p>
        </w:tc>
        <w:tc>
          <w:tcPr>
            <w:tcW w:w="1560" w:type="dxa"/>
            <w:tcBorders>
              <w:top w:val="single" w:sz="4" w:space="0" w:color="auto"/>
            </w:tcBorders>
          </w:tcPr>
          <w:p w:rsidR="00F65389" w:rsidRDefault="00601CBA">
            <w:pPr>
              <w:jc w:val="both"/>
              <w:rPr>
                <w:rFonts w:ascii="Times New Roman" w:eastAsia="Times New Roman" w:hAnsi="Times New Roman" w:cs="Times New Roman"/>
              </w:rPr>
            </w:pPr>
            <w:r>
              <w:rPr>
                <w:rFonts w:ascii="Times New Roman" w:eastAsia="Times New Roman" w:hAnsi="Times New Roman" w:cs="Times New Roman"/>
              </w:rPr>
              <w:t>0.004910</w:t>
            </w:r>
          </w:p>
        </w:tc>
        <w:tc>
          <w:tcPr>
            <w:tcW w:w="1560" w:type="dxa"/>
            <w:tcBorders>
              <w:top w:val="single" w:sz="4" w:space="0" w:color="auto"/>
            </w:tcBorders>
          </w:tcPr>
          <w:p w:rsidR="00F65389" w:rsidRDefault="00601CBA">
            <w:pPr>
              <w:jc w:val="both"/>
              <w:rPr>
                <w:rFonts w:ascii="Times New Roman" w:eastAsia="Times New Roman" w:hAnsi="Times New Roman" w:cs="Times New Roman"/>
              </w:rPr>
            </w:pPr>
            <w:r>
              <w:rPr>
                <w:rFonts w:ascii="Times New Roman" w:eastAsia="Times New Roman" w:hAnsi="Times New Roman" w:cs="Times New Roman"/>
              </w:rPr>
              <w:t>0.887518</w:t>
            </w:r>
          </w:p>
        </w:tc>
        <w:tc>
          <w:tcPr>
            <w:tcW w:w="1560" w:type="dxa"/>
            <w:tcBorders>
              <w:top w:val="single" w:sz="4" w:space="0" w:color="auto"/>
            </w:tcBorders>
          </w:tcPr>
          <w:p w:rsidR="00F65389" w:rsidRDefault="00601CBA">
            <w:pPr>
              <w:jc w:val="both"/>
              <w:rPr>
                <w:rFonts w:ascii="Times New Roman" w:eastAsia="Times New Roman" w:hAnsi="Times New Roman" w:cs="Times New Roman"/>
              </w:rPr>
            </w:pPr>
            <w:r>
              <w:rPr>
                <w:rFonts w:ascii="Times New Roman" w:eastAsia="Times New Roman" w:hAnsi="Times New Roman" w:cs="Times New Roman"/>
              </w:rPr>
              <w:t>-0.925526</w:t>
            </w:r>
          </w:p>
        </w:tc>
        <w:tc>
          <w:tcPr>
            <w:tcW w:w="1560" w:type="dxa"/>
            <w:tcBorders>
              <w:top w:val="single" w:sz="4" w:space="0" w:color="auto"/>
            </w:tcBorders>
          </w:tcPr>
          <w:p w:rsidR="00F65389" w:rsidRDefault="00601CBA">
            <w:pPr>
              <w:jc w:val="both"/>
              <w:rPr>
                <w:rFonts w:ascii="Times New Roman" w:eastAsia="Times New Roman" w:hAnsi="Times New Roman" w:cs="Times New Roman"/>
              </w:rPr>
            </w:pPr>
            <w:r>
              <w:rPr>
                <w:rFonts w:ascii="Times New Roman" w:eastAsia="Times New Roman" w:hAnsi="Times New Roman" w:cs="Times New Roman"/>
              </w:rPr>
              <w:t>0.004910</w:t>
            </w:r>
          </w:p>
        </w:tc>
      </w:tr>
      <w:tr w:rsidR="00F65389" w:rsidTr="00601CBA">
        <w:tc>
          <w:tcPr>
            <w:tcW w:w="1560" w:type="dxa"/>
          </w:tcPr>
          <w:p w:rsidR="00F65389" w:rsidRDefault="00601CBA">
            <w:pPr>
              <w:jc w:val="both"/>
              <w:rPr>
                <w:rFonts w:ascii="Times New Roman" w:eastAsia="Times New Roman" w:hAnsi="Times New Roman" w:cs="Times New Roman"/>
              </w:rPr>
            </w:pPr>
            <w:r>
              <w:rPr>
                <w:rFonts w:ascii="Times New Roman" w:eastAsia="Times New Roman" w:hAnsi="Times New Roman" w:cs="Times New Roman"/>
              </w:rPr>
              <w:t>ICR</w:t>
            </w:r>
          </w:p>
        </w:tc>
        <w:tc>
          <w:tcPr>
            <w:tcW w:w="1560" w:type="dxa"/>
          </w:tcPr>
          <w:p w:rsidR="00F65389" w:rsidRDefault="00601CBA">
            <w:pPr>
              <w:jc w:val="both"/>
              <w:rPr>
                <w:rFonts w:ascii="Times New Roman" w:eastAsia="Times New Roman" w:hAnsi="Times New Roman" w:cs="Times New Roman"/>
              </w:rPr>
            </w:pPr>
            <w:r>
              <w:rPr>
                <w:rFonts w:ascii="Times New Roman" w:eastAsia="Times New Roman" w:hAnsi="Times New Roman" w:cs="Times New Roman"/>
              </w:rPr>
              <w:t>0.004910</w:t>
            </w:r>
          </w:p>
        </w:tc>
        <w:tc>
          <w:tcPr>
            <w:tcW w:w="1560" w:type="dxa"/>
          </w:tcPr>
          <w:p w:rsidR="00F65389" w:rsidRDefault="00601CBA">
            <w:pPr>
              <w:jc w:val="both"/>
              <w:rPr>
                <w:rFonts w:ascii="Times New Roman" w:eastAsia="Times New Roman" w:hAnsi="Times New Roman" w:cs="Times New Roman"/>
              </w:rPr>
            </w:pPr>
            <w:r>
              <w:rPr>
                <w:rFonts w:ascii="Times New Roman" w:eastAsia="Times New Roman" w:hAnsi="Times New Roman" w:cs="Times New Roman"/>
              </w:rPr>
              <w:t>1.000000</w:t>
            </w:r>
          </w:p>
        </w:tc>
        <w:tc>
          <w:tcPr>
            <w:tcW w:w="1560" w:type="dxa"/>
          </w:tcPr>
          <w:p w:rsidR="00F65389" w:rsidRDefault="00601CBA">
            <w:pPr>
              <w:jc w:val="both"/>
              <w:rPr>
                <w:rFonts w:ascii="Times New Roman" w:eastAsia="Times New Roman" w:hAnsi="Times New Roman" w:cs="Times New Roman"/>
              </w:rPr>
            </w:pPr>
            <w:r>
              <w:rPr>
                <w:rFonts w:ascii="Times New Roman" w:eastAsia="Times New Roman" w:hAnsi="Times New Roman" w:cs="Times New Roman"/>
              </w:rPr>
              <w:t>-0.397625</w:t>
            </w:r>
          </w:p>
        </w:tc>
        <w:tc>
          <w:tcPr>
            <w:tcW w:w="1560" w:type="dxa"/>
          </w:tcPr>
          <w:p w:rsidR="00F65389" w:rsidRDefault="00601CBA">
            <w:pPr>
              <w:jc w:val="both"/>
              <w:rPr>
                <w:rFonts w:ascii="Times New Roman" w:eastAsia="Times New Roman" w:hAnsi="Times New Roman" w:cs="Times New Roman"/>
              </w:rPr>
            </w:pPr>
            <w:r>
              <w:rPr>
                <w:rFonts w:ascii="Times New Roman" w:eastAsia="Times New Roman" w:hAnsi="Times New Roman" w:cs="Times New Roman"/>
              </w:rPr>
              <w:t>0.306778</w:t>
            </w:r>
          </w:p>
        </w:tc>
        <w:tc>
          <w:tcPr>
            <w:tcW w:w="1560" w:type="dxa"/>
          </w:tcPr>
          <w:p w:rsidR="00F65389" w:rsidRDefault="00601CBA">
            <w:pPr>
              <w:jc w:val="both"/>
              <w:rPr>
                <w:rFonts w:ascii="Times New Roman" w:eastAsia="Times New Roman" w:hAnsi="Times New Roman" w:cs="Times New Roman"/>
              </w:rPr>
            </w:pPr>
            <w:r>
              <w:rPr>
                <w:rFonts w:ascii="Times New Roman" w:eastAsia="Times New Roman" w:hAnsi="Times New Roman" w:cs="Times New Roman"/>
              </w:rPr>
              <w:t>1.000000</w:t>
            </w:r>
          </w:p>
        </w:tc>
      </w:tr>
      <w:tr w:rsidR="00F65389" w:rsidTr="00601CBA">
        <w:tc>
          <w:tcPr>
            <w:tcW w:w="1560" w:type="dxa"/>
          </w:tcPr>
          <w:p w:rsidR="00F65389" w:rsidRDefault="00601CBA">
            <w:pPr>
              <w:jc w:val="both"/>
              <w:rPr>
                <w:rFonts w:ascii="Times New Roman" w:eastAsia="Times New Roman" w:hAnsi="Times New Roman" w:cs="Times New Roman"/>
              </w:rPr>
            </w:pPr>
            <w:r>
              <w:rPr>
                <w:rFonts w:ascii="Times New Roman" w:eastAsia="Times New Roman" w:hAnsi="Times New Roman" w:cs="Times New Roman"/>
              </w:rPr>
              <w:t>DER</w:t>
            </w:r>
          </w:p>
        </w:tc>
        <w:tc>
          <w:tcPr>
            <w:tcW w:w="1560" w:type="dxa"/>
          </w:tcPr>
          <w:p w:rsidR="00F65389" w:rsidRDefault="00601CBA">
            <w:pPr>
              <w:jc w:val="both"/>
              <w:rPr>
                <w:rFonts w:ascii="Times New Roman" w:eastAsia="Times New Roman" w:hAnsi="Times New Roman" w:cs="Times New Roman"/>
              </w:rPr>
            </w:pPr>
            <w:r>
              <w:rPr>
                <w:rFonts w:ascii="Times New Roman" w:eastAsia="Times New Roman" w:hAnsi="Times New Roman" w:cs="Times New Roman"/>
              </w:rPr>
              <w:t>0.887518</w:t>
            </w:r>
          </w:p>
        </w:tc>
        <w:tc>
          <w:tcPr>
            <w:tcW w:w="1560" w:type="dxa"/>
          </w:tcPr>
          <w:p w:rsidR="00F65389" w:rsidRDefault="00601CBA">
            <w:pPr>
              <w:jc w:val="both"/>
              <w:rPr>
                <w:rFonts w:ascii="Times New Roman" w:eastAsia="Times New Roman" w:hAnsi="Times New Roman" w:cs="Times New Roman"/>
              </w:rPr>
            </w:pPr>
            <w:r>
              <w:rPr>
                <w:rFonts w:ascii="Times New Roman" w:eastAsia="Times New Roman" w:hAnsi="Times New Roman" w:cs="Times New Roman"/>
              </w:rPr>
              <w:t>-0.397625</w:t>
            </w:r>
          </w:p>
        </w:tc>
        <w:tc>
          <w:tcPr>
            <w:tcW w:w="1560" w:type="dxa"/>
          </w:tcPr>
          <w:p w:rsidR="00F65389" w:rsidRDefault="00601CBA">
            <w:pPr>
              <w:jc w:val="both"/>
              <w:rPr>
                <w:rFonts w:ascii="Times New Roman" w:eastAsia="Times New Roman" w:hAnsi="Times New Roman" w:cs="Times New Roman"/>
              </w:rPr>
            </w:pPr>
            <w:r>
              <w:rPr>
                <w:rFonts w:ascii="Times New Roman" w:eastAsia="Times New Roman" w:hAnsi="Times New Roman" w:cs="Times New Roman"/>
              </w:rPr>
              <w:t>1.000000</w:t>
            </w:r>
          </w:p>
        </w:tc>
        <w:tc>
          <w:tcPr>
            <w:tcW w:w="1560" w:type="dxa"/>
          </w:tcPr>
          <w:p w:rsidR="00F65389" w:rsidRDefault="00601CBA">
            <w:pPr>
              <w:jc w:val="both"/>
              <w:rPr>
                <w:rFonts w:ascii="Times New Roman" w:eastAsia="Times New Roman" w:hAnsi="Times New Roman" w:cs="Times New Roman"/>
              </w:rPr>
            </w:pPr>
            <w:r>
              <w:rPr>
                <w:rFonts w:ascii="Times New Roman" w:eastAsia="Times New Roman" w:hAnsi="Times New Roman" w:cs="Times New Roman"/>
              </w:rPr>
              <w:t>-0.968334</w:t>
            </w:r>
          </w:p>
        </w:tc>
        <w:tc>
          <w:tcPr>
            <w:tcW w:w="1560" w:type="dxa"/>
          </w:tcPr>
          <w:p w:rsidR="00F65389" w:rsidRDefault="00601CBA">
            <w:pPr>
              <w:jc w:val="both"/>
              <w:rPr>
                <w:rFonts w:ascii="Times New Roman" w:eastAsia="Times New Roman" w:hAnsi="Times New Roman" w:cs="Times New Roman"/>
              </w:rPr>
            </w:pPr>
            <w:r>
              <w:rPr>
                <w:rFonts w:ascii="Times New Roman" w:eastAsia="Times New Roman" w:hAnsi="Times New Roman" w:cs="Times New Roman"/>
              </w:rPr>
              <w:t>-0.397625</w:t>
            </w:r>
          </w:p>
        </w:tc>
      </w:tr>
      <w:tr w:rsidR="00F65389" w:rsidTr="00601CBA">
        <w:tc>
          <w:tcPr>
            <w:tcW w:w="1560" w:type="dxa"/>
          </w:tcPr>
          <w:p w:rsidR="00F65389" w:rsidRDefault="00601CBA">
            <w:pPr>
              <w:jc w:val="both"/>
              <w:rPr>
                <w:rFonts w:ascii="Times New Roman" w:eastAsia="Times New Roman" w:hAnsi="Times New Roman" w:cs="Times New Roman"/>
              </w:rPr>
            </w:pPr>
            <w:r>
              <w:rPr>
                <w:rFonts w:ascii="Times New Roman" w:eastAsia="Times New Roman" w:hAnsi="Times New Roman" w:cs="Times New Roman"/>
              </w:rPr>
              <w:t>DAR</w:t>
            </w:r>
          </w:p>
        </w:tc>
        <w:tc>
          <w:tcPr>
            <w:tcW w:w="1560" w:type="dxa"/>
          </w:tcPr>
          <w:p w:rsidR="00F65389" w:rsidRDefault="00601CBA">
            <w:pPr>
              <w:jc w:val="both"/>
              <w:rPr>
                <w:rFonts w:ascii="Times New Roman" w:eastAsia="Times New Roman" w:hAnsi="Times New Roman" w:cs="Times New Roman"/>
              </w:rPr>
            </w:pPr>
            <w:r>
              <w:rPr>
                <w:rFonts w:ascii="Times New Roman" w:eastAsia="Times New Roman" w:hAnsi="Times New Roman" w:cs="Times New Roman"/>
              </w:rPr>
              <w:t>-0.925526</w:t>
            </w:r>
          </w:p>
        </w:tc>
        <w:tc>
          <w:tcPr>
            <w:tcW w:w="1560" w:type="dxa"/>
          </w:tcPr>
          <w:p w:rsidR="00F65389" w:rsidRDefault="00601CBA">
            <w:pPr>
              <w:jc w:val="both"/>
              <w:rPr>
                <w:rFonts w:ascii="Times New Roman" w:eastAsia="Times New Roman" w:hAnsi="Times New Roman" w:cs="Times New Roman"/>
              </w:rPr>
            </w:pPr>
            <w:r>
              <w:rPr>
                <w:rFonts w:ascii="Times New Roman" w:eastAsia="Times New Roman" w:hAnsi="Times New Roman" w:cs="Times New Roman"/>
              </w:rPr>
              <w:t>0.306778</w:t>
            </w:r>
          </w:p>
        </w:tc>
        <w:tc>
          <w:tcPr>
            <w:tcW w:w="1560" w:type="dxa"/>
          </w:tcPr>
          <w:p w:rsidR="00F65389" w:rsidRDefault="00601CBA">
            <w:pPr>
              <w:jc w:val="both"/>
              <w:rPr>
                <w:rFonts w:ascii="Times New Roman" w:eastAsia="Times New Roman" w:hAnsi="Times New Roman" w:cs="Times New Roman"/>
              </w:rPr>
            </w:pPr>
            <w:r>
              <w:rPr>
                <w:rFonts w:ascii="Times New Roman" w:eastAsia="Times New Roman" w:hAnsi="Times New Roman" w:cs="Times New Roman"/>
              </w:rPr>
              <w:t>-0.968334</w:t>
            </w:r>
          </w:p>
        </w:tc>
        <w:tc>
          <w:tcPr>
            <w:tcW w:w="1560" w:type="dxa"/>
          </w:tcPr>
          <w:p w:rsidR="00F65389" w:rsidRDefault="00601CBA">
            <w:pPr>
              <w:jc w:val="both"/>
              <w:rPr>
                <w:rFonts w:ascii="Times New Roman" w:eastAsia="Times New Roman" w:hAnsi="Times New Roman" w:cs="Times New Roman"/>
              </w:rPr>
            </w:pPr>
            <w:r>
              <w:rPr>
                <w:rFonts w:ascii="Times New Roman" w:eastAsia="Times New Roman" w:hAnsi="Times New Roman" w:cs="Times New Roman"/>
              </w:rPr>
              <w:t>1.000000</w:t>
            </w:r>
          </w:p>
        </w:tc>
        <w:tc>
          <w:tcPr>
            <w:tcW w:w="1560" w:type="dxa"/>
          </w:tcPr>
          <w:p w:rsidR="00F65389" w:rsidRDefault="00601CBA">
            <w:pPr>
              <w:jc w:val="both"/>
              <w:rPr>
                <w:rFonts w:ascii="Times New Roman" w:eastAsia="Times New Roman" w:hAnsi="Times New Roman" w:cs="Times New Roman"/>
              </w:rPr>
            </w:pPr>
            <w:r>
              <w:rPr>
                <w:rFonts w:ascii="Times New Roman" w:eastAsia="Times New Roman" w:hAnsi="Times New Roman" w:cs="Times New Roman"/>
              </w:rPr>
              <w:t>0.306778</w:t>
            </w:r>
          </w:p>
        </w:tc>
      </w:tr>
      <w:tr w:rsidR="00F65389" w:rsidTr="00601CBA">
        <w:tc>
          <w:tcPr>
            <w:tcW w:w="1560" w:type="dxa"/>
          </w:tcPr>
          <w:p w:rsidR="00F65389" w:rsidRDefault="00601CBA">
            <w:pPr>
              <w:jc w:val="both"/>
              <w:rPr>
                <w:rFonts w:ascii="Times New Roman" w:eastAsia="Times New Roman" w:hAnsi="Times New Roman" w:cs="Times New Roman"/>
              </w:rPr>
            </w:pPr>
            <w:r>
              <w:rPr>
                <w:rFonts w:ascii="Times New Roman" w:eastAsia="Times New Roman" w:hAnsi="Times New Roman" w:cs="Times New Roman"/>
              </w:rPr>
              <w:t>TIER</w:t>
            </w:r>
          </w:p>
        </w:tc>
        <w:tc>
          <w:tcPr>
            <w:tcW w:w="1560" w:type="dxa"/>
          </w:tcPr>
          <w:p w:rsidR="00F65389" w:rsidRDefault="00601CBA">
            <w:pPr>
              <w:jc w:val="both"/>
              <w:rPr>
                <w:rFonts w:ascii="Times New Roman" w:eastAsia="Times New Roman" w:hAnsi="Times New Roman" w:cs="Times New Roman"/>
              </w:rPr>
            </w:pPr>
            <w:r>
              <w:rPr>
                <w:rFonts w:ascii="Times New Roman" w:eastAsia="Times New Roman" w:hAnsi="Times New Roman" w:cs="Times New Roman"/>
              </w:rPr>
              <w:t>0.004910</w:t>
            </w:r>
          </w:p>
        </w:tc>
        <w:tc>
          <w:tcPr>
            <w:tcW w:w="1560" w:type="dxa"/>
          </w:tcPr>
          <w:p w:rsidR="00F65389" w:rsidRDefault="00601CBA">
            <w:pPr>
              <w:jc w:val="both"/>
              <w:rPr>
                <w:rFonts w:ascii="Times New Roman" w:eastAsia="Times New Roman" w:hAnsi="Times New Roman" w:cs="Times New Roman"/>
              </w:rPr>
            </w:pPr>
            <w:r>
              <w:rPr>
                <w:rFonts w:ascii="Times New Roman" w:eastAsia="Times New Roman" w:hAnsi="Times New Roman" w:cs="Times New Roman"/>
              </w:rPr>
              <w:t>1.000000</w:t>
            </w:r>
          </w:p>
        </w:tc>
        <w:tc>
          <w:tcPr>
            <w:tcW w:w="1560" w:type="dxa"/>
          </w:tcPr>
          <w:p w:rsidR="00F65389" w:rsidRDefault="00601CBA">
            <w:pPr>
              <w:jc w:val="both"/>
              <w:rPr>
                <w:rFonts w:ascii="Times New Roman" w:eastAsia="Times New Roman" w:hAnsi="Times New Roman" w:cs="Times New Roman"/>
              </w:rPr>
            </w:pPr>
            <w:r>
              <w:rPr>
                <w:rFonts w:ascii="Times New Roman" w:eastAsia="Times New Roman" w:hAnsi="Times New Roman" w:cs="Times New Roman"/>
              </w:rPr>
              <w:t>-0.397625</w:t>
            </w:r>
          </w:p>
        </w:tc>
        <w:tc>
          <w:tcPr>
            <w:tcW w:w="1560" w:type="dxa"/>
          </w:tcPr>
          <w:p w:rsidR="00F65389" w:rsidRDefault="00601CBA">
            <w:pPr>
              <w:jc w:val="both"/>
              <w:rPr>
                <w:rFonts w:ascii="Times New Roman" w:eastAsia="Times New Roman" w:hAnsi="Times New Roman" w:cs="Times New Roman"/>
              </w:rPr>
            </w:pPr>
            <w:r>
              <w:rPr>
                <w:rFonts w:ascii="Times New Roman" w:eastAsia="Times New Roman" w:hAnsi="Times New Roman" w:cs="Times New Roman"/>
              </w:rPr>
              <w:t>0.306778</w:t>
            </w:r>
          </w:p>
        </w:tc>
        <w:tc>
          <w:tcPr>
            <w:tcW w:w="1560" w:type="dxa"/>
          </w:tcPr>
          <w:p w:rsidR="00F65389" w:rsidRDefault="00601CBA">
            <w:pPr>
              <w:jc w:val="both"/>
              <w:rPr>
                <w:rFonts w:ascii="Times New Roman" w:eastAsia="Times New Roman" w:hAnsi="Times New Roman" w:cs="Times New Roman"/>
              </w:rPr>
            </w:pPr>
            <w:r>
              <w:rPr>
                <w:rFonts w:ascii="Times New Roman" w:eastAsia="Times New Roman" w:hAnsi="Times New Roman" w:cs="Times New Roman"/>
              </w:rPr>
              <w:t>1.000000</w:t>
            </w:r>
          </w:p>
        </w:tc>
      </w:tr>
    </w:tbl>
    <w:p w:rsidR="00F65389" w:rsidRDefault="00601CBA">
      <w:pPr>
        <w:spacing w:line="240" w:lineRule="auto"/>
        <w:jc w:val="both"/>
        <w:rPr>
          <w:rFonts w:ascii="Times New Roman" w:eastAsia="Times New Roman" w:hAnsi="Times New Roman" w:cs="Times New Roman"/>
        </w:rPr>
      </w:pPr>
      <w:r>
        <w:rPr>
          <w:rFonts w:ascii="Times New Roman" w:eastAsia="Times New Roman" w:hAnsi="Times New Roman" w:cs="Times New Roman"/>
          <w:i/>
        </w:rPr>
        <w:t>Source: Eview output, 2024</w:t>
      </w:r>
    </w:p>
    <w:p w:rsidR="00F65389" w:rsidRDefault="00F65389">
      <w:pPr>
        <w:spacing w:line="240" w:lineRule="auto"/>
        <w:jc w:val="both"/>
        <w:rPr>
          <w:rFonts w:ascii="Times New Roman" w:eastAsia="Times New Roman" w:hAnsi="Times New Roman" w:cs="Times New Roman"/>
        </w:rPr>
      </w:pPr>
    </w:p>
    <w:p w:rsidR="00F65389" w:rsidRPr="00601CBA" w:rsidRDefault="00601CBA">
      <w:pPr>
        <w:spacing w:line="480" w:lineRule="auto"/>
        <w:jc w:val="both"/>
        <w:rPr>
          <w:rFonts w:ascii="Times New Roman" w:eastAsia="Times New Roman" w:hAnsi="Times New Roman" w:cs="Times New Roman"/>
        </w:rPr>
      </w:pPr>
      <w:r w:rsidRPr="00601CBA">
        <w:rPr>
          <w:rFonts w:ascii="Times New Roman" w:eastAsia="Gungsuh" w:hAnsi="Times New Roman" w:cs="Times New Roman"/>
        </w:rPr>
        <w:t>The Pearson correlation output lays bare some sharp links and misalignments across the variables under review. ROA and DAR share a strong inverse bond r = − .93 which signals that as debt climbs relative to assets Nestlé Nigeria’s profitability slides. This connection draws a clear line from rising leverage to performance stress likely due to heavier interest loads and reduced financial headroom.</w:t>
      </w:r>
    </w:p>
    <w:p w:rsidR="00F65389" w:rsidRPr="00601CBA" w:rsidRDefault="00601CBA">
      <w:pPr>
        <w:spacing w:line="480" w:lineRule="auto"/>
        <w:jc w:val="both"/>
        <w:rPr>
          <w:rFonts w:ascii="Times New Roman" w:eastAsia="Times New Roman" w:hAnsi="Times New Roman" w:cs="Times New Roman"/>
        </w:rPr>
      </w:pPr>
      <w:r w:rsidRPr="00601CBA">
        <w:rPr>
          <w:rFonts w:ascii="Times New Roman" w:eastAsia="Times New Roman" w:hAnsi="Times New Roman" w:cs="Times New Roman"/>
        </w:rPr>
        <w:t>In contrast ROA links positively with DER r = .89 which at first seems to conflict with the earlier DAR result. The twist comes from 2023 where negative equity pushed DER sharply below zero right as ROA also fell deep into negative. The matching direction on both variables that year skews the correlation upwards despite the broader reality where higher leverage typically weighs on profit returns.</w:t>
      </w:r>
    </w:p>
    <w:p w:rsidR="00F65389" w:rsidRPr="00601CBA" w:rsidRDefault="00601CBA">
      <w:pPr>
        <w:spacing w:line="480" w:lineRule="auto"/>
        <w:jc w:val="both"/>
        <w:rPr>
          <w:rFonts w:ascii="Times New Roman" w:eastAsia="Times New Roman" w:hAnsi="Times New Roman" w:cs="Times New Roman"/>
        </w:rPr>
      </w:pPr>
      <w:r w:rsidRPr="00601CBA">
        <w:rPr>
          <w:rFonts w:ascii="Times New Roman" w:eastAsia="Times New Roman" w:hAnsi="Times New Roman" w:cs="Times New Roman"/>
        </w:rPr>
        <w:t>Further down the grid ROA appears detached from ICR and TIER both sitting near flat at r = .005. This suggests that how well the firm covers interest payments has little tie to final profitability. It hints that other cost or revenue shifts may matter more than interest burdens when profit outcomes are tallied.</w:t>
      </w:r>
    </w:p>
    <w:p w:rsidR="00F65389" w:rsidRPr="00601CBA" w:rsidRDefault="00601CBA">
      <w:pPr>
        <w:spacing w:line="480" w:lineRule="auto"/>
        <w:jc w:val="both"/>
        <w:rPr>
          <w:rFonts w:ascii="Times New Roman" w:eastAsia="Times New Roman" w:hAnsi="Times New Roman" w:cs="Times New Roman"/>
        </w:rPr>
      </w:pPr>
      <w:r w:rsidRPr="00601CBA">
        <w:rPr>
          <w:rFonts w:ascii="Times New Roman" w:eastAsia="Gungsuh" w:hAnsi="Times New Roman" w:cs="Times New Roman"/>
        </w:rPr>
        <w:t>ICR and TIER predictably match at r = 1.00 showing their formulas move nearly in lockstep as they both chart interest coverage. These two also post soft negatives with DER r = − .40 and light positives with DAR r = .31 suggesting that as debt tilts equity or asset-heavy the coverage capacity shifts modestly in opposite directions. DER and DAR lock in a strong negative r = −.97 which may seem odd given that both describe leverage in shape. But again 2023’s outlier year likely distorted this read where DAR peaked from high liabilities and DER dove due to wiped-out equity. The split pushes correlation into an extreme that may not hold under usual balance sheet settings.</w:t>
      </w:r>
    </w:p>
    <w:p w:rsidR="00F65389" w:rsidRPr="00601CBA" w:rsidRDefault="00601CBA">
      <w:pPr>
        <w:spacing w:line="480" w:lineRule="auto"/>
        <w:jc w:val="both"/>
        <w:rPr>
          <w:rFonts w:ascii="Times New Roman" w:eastAsia="Times New Roman" w:hAnsi="Times New Roman" w:cs="Times New Roman"/>
        </w:rPr>
      </w:pPr>
      <w:r w:rsidRPr="00601CBA">
        <w:rPr>
          <w:rFonts w:ascii="Times New Roman" w:eastAsia="Times New Roman" w:hAnsi="Times New Roman" w:cs="Times New Roman"/>
        </w:rPr>
        <w:t>These patterns show how tightly or loosely the variables hold together and how 2023’s extreme case may have warped the lines. Most values remain under the multicollinearity caution mark r &lt; .90 but the very high ROA-DAR and DER-DAR ties suggest regression estimates may carry some edge noise from the data structure.</w:t>
      </w:r>
    </w:p>
    <w:p w:rsidR="00F65389" w:rsidRPr="00601CBA" w:rsidRDefault="00601CBA">
      <w:pPr>
        <w:pStyle w:val="Heading2"/>
        <w:spacing w:before="0" w:after="0" w:line="480" w:lineRule="auto"/>
        <w:jc w:val="both"/>
        <w:rPr>
          <w:rFonts w:ascii="Times New Roman" w:eastAsia="Times New Roman" w:hAnsi="Times New Roman" w:cs="Times New Roman"/>
          <w:b/>
          <w:color w:val="000000"/>
          <w:sz w:val="24"/>
          <w:szCs w:val="24"/>
        </w:rPr>
      </w:pPr>
      <w:bookmarkStart w:id="8" w:name="_997px1b6o07q" w:colFirst="0" w:colLast="0"/>
      <w:bookmarkEnd w:id="8"/>
      <w:r w:rsidRPr="00601CBA">
        <w:rPr>
          <w:rFonts w:ascii="Times New Roman" w:eastAsia="Times New Roman" w:hAnsi="Times New Roman" w:cs="Times New Roman"/>
          <w:b/>
          <w:color w:val="000000"/>
          <w:sz w:val="24"/>
          <w:szCs w:val="24"/>
        </w:rPr>
        <w:t>4.2.2 Unit Root Test</w:t>
      </w:r>
    </w:p>
    <w:p w:rsidR="00F65389" w:rsidRPr="00601CBA" w:rsidRDefault="00601CBA">
      <w:pPr>
        <w:spacing w:line="240" w:lineRule="auto"/>
        <w:jc w:val="both"/>
        <w:rPr>
          <w:rFonts w:ascii="Times New Roman" w:eastAsia="Times New Roman" w:hAnsi="Times New Roman" w:cs="Times New Roman"/>
        </w:rPr>
      </w:pPr>
      <w:r w:rsidRPr="00601CBA">
        <w:rPr>
          <w:rFonts w:ascii="Times New Roman" w:eastAsia="Times New Roman" w:hAnsi="Times New Roman" w:cs="Times New Roman"/>
          <w:b/>
        </w:rPr>
        <w:t xml:space="preserve">Table 5: </w:t>
      </w:r>
      <w:r w:rsidRPr="00601CBA">
        <w:rPr>
          <w:rFonts w:ascii="Times New Roman" w:eastAsia="Times New Roman" w:hAnsi="Times New Roman" w:cs="Times New Roman"/>
        </w:rPr>
        <w:t>Unit Root test results for time series data on Return on Assets (ROA), Debt-to-Asset Ratio (DAR), Debt-to-Equity Ratio (DER), Interest Coverage Ratio (ICR), and Times Interest Earned Ratio (TIER) of Nestle Nigeria PLC from 2012 to 2023</w:t>
      </w:r>
    </w:p>
    <w:tbl>
      <w:tblPr>
        <w:tblStyle w:val="TableGrid"/>
        <w:tblW w:w="10710" w:type="dxa"/>
        <w:tblInd w:w="-545" w:type="dxa"/>
        <w:tblBorders>
          <w:left w:val="none" w:sz="0" w:space="0" w:color="auto"/>
          <w:right w:val="none" w:sz="0" w:space="0" w:color="auto"/>
          <w:insideH w:val="none" w:sz="0" w:space="0" w:color="auto"/>
          <w:insideV w:val="none" w:sz="0" w:space="0" w:color="auto"/>
        </w:tblBorders>
        <w:tblLayout w:type="fixed"/>
        <w:tblLook w:val="0600" w:firstRow="0" w:lastRow="0" w:firstColumn="0" w:lastColumn="0" w:noHBand="1" w:noVBand="1"/>
      </w:tblPr>
      <w:tblGrid>
        <w:gridCol w:w="2105"/>
        <w:gridCol w:w="1560"/>
        <w:gridCol w:w="1560"/>
        <w:gridCol w:w="1560"/>
        <w:gridCol w:w="1560"/>
        <w:gridCol w:w="2365"/>
      </w:tblGrid>
      <w:tr w:rsidR="00F65389" w:rsidTr="005B419C">
        <w:tc>
          <w:tcPr>
            <w:tcW w:w="2105" w:type="dxa"/>
            <w:tcBorders>
              <w:top w:val="single" w:sz="4" w:space="0" w:color="auto"/>
              <w:bottom w:val="single" w:sz="4" w:space="0" w:color="auto"/>
            </w:tcBorders>
          </w:tcPr>
          <w:p w:rsidR="00F65389" w:rsidRDefault="00601CBA">
            <w:pPr>
              <w:jc w:val="both"/>
              <w:rPr>
                <w:rFonts w:ascii="Times New Roman" w:eastAsia="Times New Roman" w:hAnsi="Times New Roman" w:cs="Times New Roman"/>
                <w:b/>
              </w:rPr>
            </w:pPr>
            <w:r>
              <w:rPr>
                <w:rFonts w:ascii="Times New Roman" w:eastAsia="Times New Roman" w:hAnsi="Times New Roman" w:cs="Times New Roman"/>
                <w:b/>
              </w:rPr>
              <w:t>Test Title</w:t>
            </w:r>
          </w:p>
        </w:tc>
        <w:tc>
          <w:tcPr>
            <w:tcW w:w="1560" w:type="dxa"/>
            <w:tcBorders>
              <w:top w:val="single" w:sz="4" w:space="0" w:color="auto"/>
              <w:bottom w:val="single" w:sz="4" w:space="0" w:color="auto"/>
            </w:tcBorders>
          </w:tcPr>
          <w:p w:rsidR="00F65389" w:rsidRDefault="00601CBA">
            <w:pPr>
              <w:jc w:val="both"/>
              <w:rPr>
                <w:rFonts w:ascii="Times New Roman" w:eastAsia="Times New Roman" w:hAnsi="Times New Roman" w:cs="Times New Roman"/>
                <w:b/>
              </w:rPr>
            </w:pPr>
            <w:r>
              <w:rPr>
                <w:rFonts w:ascii="Times New Roman" w:eastAsia="Times New Roman" w:hAnsi="Times New Roman" w:cs="Times New Roman"/>
                <w:b/>
              </w:rPr>
              <w:t>Null Hypothesis</w:t>
            </w:r>
          </w:p>
        </w:tc>
        <w:tc>
          <w:tcPr>
            <w:tcW w:w="1560" w:type="dxa"/>
            <w:tcBorders>
              <w:top w:val="single" w:sz="4" w:space="0" w:color="auto"/>
              <w:bottom w:val="single" w:sz="4" w:space="0" w:color="auto"/>
            </w:tcBorders>
          </w:tcPr>
          <w:p w:rsidR="00F65389" w:rsidRDefault="00601CBA">
            <w:pPr>
              <w:jc w:val="both"/>
              <w:rPr>
                <w:rFonts w:ascii="Times New Roman" w:eastAsia="Times New Roman" w:hAnsi="Times New Roman" w:cs="Times New Roman"/>
                <w:b/>
              </w:rPr>
            </w:pPr>
            <w:r>
              <w:rPr>
                <w:rFonts w:ascii="Times New Roman" w:eastAsia="Times New Roman" w:hAnsi="Times New Roman" w:cs="Times New Roman"/>
                <w:b/>
              </w:rPr>
              <w:t>Variables</w:t>
            </w:r>
          </w:p>
        </w:tc>
        <w:tc>
          <w:tcPr>
            <w:tcW w:w="1560" w:type="dxa"/>
            <w:tcBorders>
              <w:top w:val="single" w:sz="4" w:space="0" w:color="auto"/>
              <w:bottom w:val="single" w:sz="4" w:space="0" w:color="auto"/>
            </w:tcBorders>
          </w:tcPr>
          <w:p w:rsidR="00F65389" w:rsidRDefault="00601CBA">
            <w:pPr>
              <w:jc w:val="both"/>
              <w:rPr>
                <w:rFonts w:ascii="Times New Roman" w:eastAsia="Times New Roman" w:hAnsi="Times New Roman" w:cs="Times New Roman"/>
                <w:b/>
              </w:rPr>
            </w:pPr>
            <w:r>
              <w:rPr>
                <w:rFonts w:ascii="Times New Roman" w:eastAsia="Times New Roman" w:hAnsi="Times New Roman" w:cs="Times New Roman"/>
                <w:b/>
              </w:rPr>
              <w:t>T-Stats</w:t>
            </w:r>
          </w:p>
        </w:tc>
        <w:tc>
          <w:tcPr>
            <w:tcW w:w="1560" w:type="dxa"/>
            <w:tcBorders>
              <w:top w:val="single" w:sz="4" w:space="0" w:color="auto"/>
              <w:bottom w:val="single" w:sz="4" w:space="0" w:color="auto"/>
            </w:tcBorders>
          </w:tcPr>
          <w:p w:rsidR="00F65389" w:rsidRDefault="00601CBA">
            <w:pPr>
              <w:jc w:val="both"/>
              <w:rPr>
                <w:rFonts w:ascii="Times New Roman" w:eastAsia="Times New Roman" w:hAnsi="Times New Roman" w:cs="Times New Roman"/>
                <w:b/>
              </w:rPr>
            </w:pPr>
            <w:r>
              <w:rPr>
                <w:rFonts w:ascii="Times New Roman" w:eastAsia="Times New Roman" w:hAnsi="Times New Roman" w:cs="Times New Roman"/>
                <w:b/>
              </w:rPr>
              <w:t>Probability</w:t>
            </w:r>
          </w:p>
        </w:tc>
        <w:tc>
          <w:tcPr>
            <w:tcW w:w="2365" w:type="dxa"/>
            <w:tcBorders>
              <w:top w:val="single" w:sz="4" w:space="0" w:color="auto"/>
              <w:bottom w:val="single" w:sz="4" w:space="0" w:color="auto"/>
            </w:tcBorders>
          </w:tcPr>
          <w:p w:rsidR="00F65389" w:rsidRDefault="00601CBA">
            <w:pPr>
              <w:jc w:val="both"/>
              <w:rPr>
                <w:rFonts w:ascii="Times New Roman" w:eastAsia="Times New Roman" w:hAnsi="Times New Roman" w:cs="Times New Roman"/>
                <w:b/>
              </w:rPr>
            </w:pPr>
            <w:r>
              <w:rPr>
                <w:rFonts w:ascii="Times New Roman" w:eastAsia="Times New Roman" w:hAnsi="Times New Roman" w:cs="Times New Roman"/>
                <w:b/>
              </w:rPr>
              <w:t>Decision</w:t>
            </w:r>
          </w:p>
        </w:tc>
      </w:tr>
      <w:tr w:rsidR="00F65389" w:rsidTr="005B419C">
        <w:tc>
          <w:tcPr>
            <w:tcW w:w="2105" w:type="dxa"/>
            <w:tcBorders>
              <w:top w:val="single" w:sz="4" w:space="0" w:color="auto"/>
            </w:tcBorders>
          </w:tcPr>
          <w:p w:rsidR="00F65389" w:rsidRDefault="00601CBA" w:rsidP="005B419C">
            <w:pPr>
              <w:rPr>
                <w:rFonts w:ascii="Times New Roman" w:eastAsia="Times New Roman" w:hAnsi="Times New Roman" w:cs="Times New Roman"/>
              </w:rPr>
            </w:pPr>
            <w:r>
              <w:rPr>
                <w:rFonts w:ascii="Times New Roman" w:eastAsia="Times New Roman" w:hAnsi="Times New Roman" w:cs="Times New Roman"/>
              </w:rPr>
              <w:t>Augmented Dickey-Fuller</w:t>
            </w:r>
          </w:p>
        </w:tc>
        <w:tc>
          <w:tcPr>
            <w:tcW w:w="1560" w:type="dxa"/>
            <w:tcBorders>
              <w:top w:val="single" w:sz="4" w:space="0" w:color="auto"/>
            </w:tcBorders>
          </w:tcPr>
          <w:p w:rsidR="00F65389" w:rsidRDefault="00601CBA" w:rsidP="005B419C">
            <w:pPr>
              <w:rPr>
                <w:rFonts w:ascii="Times New Roman" w:eastAsia="Times New Roman" w:hAnsi="Times New Roman" w:cs="Times New Roman"/>
              </w:rPr>
            </w:pPr>
            <w:r>
              <w:rPr>
                <w:rFonts w:ascii="Times New Roman" w:eastAsia="Times New Roman" w:hAnsi="Times New Roman" w:cs="Times New Roman"/>
              </w:rPr>
              <w:t>ROA has a unit root</w:t>
            </w:r>
          </w:p>
        </w:tc>
        <w:tc>
          <w:tcPr>
            <w:tcW w:w="1560" w:type="dxa"/>
            <w:tcBorders>
              <w:top w:val="single" w:sz="4" w:space="0" w:color="auto"/>
            </w:tcBorders>
          </w:tcPr>
          <w:p w:rsidR="00F65389" w:rsidRDefault="00601CBA" w:rsidP="005B419C">
            <w:pPr>
              <w:rPr>
                <w:rFonts w:ascii="Times New Roman" w:eastAsia="Times New Roman" w:hAnsi="Times New Roman" w:cs="Times New Roman"/>
              </w:rPr>
            </w:pPr>
            <w:r>
              <w:rPr>
                <w:rFonts w:ascii="Times New Roman" w:eastAsia="Times New Roman" w:hAnsi="Times New Roman" w:cs="Times New Roman"/>
              </w:rPr>
              <w:t>ROA</w:t>
            </w:r>
          </w:p>
        </w:tc>
        <w:tc>
          <w:tcPr>
            <w:tcW w:w="1560" w:type="dxa"/>
            <w:tcBorders>
              <w:top w:val="single" w:sz="4" w:space="0" w:color="auto"/>
            </w:tcBorders>
          </w:tcPr>
          <w:p w:rsidR="00F65389" w:rsidRDefault="00601CBA" w:rsidP="005B419C">
            <w:pPr>
              <w:rPr>
                <w:rFonts w:ascii="Times New Roman" w:eastAsia="Times New Roman" w:hAnsi="Times New Roman" w:cs="Times New Roman"/>
              </w:rPr>
            </w:pPr>
            <w:r>
              <w:rPr>
                <w:rFonts w:ascii="Times New Roman" w:eastAsia="Times New Roman" w:hAnsi="Times New Roman" w:cs="Times New Roman"/>
              </w:rPr>
              <w:t>-2.138848</w:t>
            </w:r>
          </w:p>
        </w:tc>
        <w:tc>
          <w:tcPr>
            <w:tcW w:w="1560" w:type="dxa"/>
            <w:tcBorders>
              <w:top w:val="single" w:sz="4" w:space="0" w:color="auto"/>
            </w:tcBorders>
          </w:tcPr>
          <w:p w:rsidR="00F65389" w:rsidRDefault="00601CBA" w:rsidP="005B419C">
            <w:pPr>
              <w:rPr>
                <w:rFonts w:ascii="Times New Roman" w:eastAsia="Times New Roman" w:hAnsi="Times New Roman" w:cs="Times New Roman"/>
              </w:rPr>
            </w:pPr>
            <w:r>
              <w:rPr>
                <w:rFonts w:ascii="Times New Roman" w:eastAsia="Times New Roman" w:hAnsi="Times New Roman" w:cs="Times New Roman"/>
              </w:rPr>
              <w:t>0.0372</w:t>
            </w:r>
          </w:p>
        </w:tc>
        <w:tc>
          <w:tcPr>
            <w:tcW w:w="2365" w:type="dxa"/>
            <w:tcBorders>
              <w:top w:val="single" w:sz="4" w:space="0" w:color="auto"/>
            </w:tcBorders>
          </w:tcPr>
          <w:p w:rsidR="00F65389" w:rsidRDefault="00601CBA" w:rsidP="005B419C">
            <w:pPr>
              <w:rPr>
                <w:rFonts w:ascii="Times New Roman" w:eastAsia="Times New Roman" w:hAnsi="Times New Roman" w:cs="Times New Roman"/>
              </w:rPr>
            </w:pPr>
            <w:r>
              <w:rPr>
                <w:rFonts w:ascii="Times New Roman" w:eastAsia="Times New Roman" w:hAnsi="Times New Roman" w:cs="Times New Roman"/>
              </w:rPr>
              <w:t>Reject null, stationary at level</w:t>
            </w:r>
          </w:p>
        </w:tc>
      </w:tr>
      <w:tr w:rsidR="00F65389" w:rsidTr="005B419C">
        <w:tc>
          <w:tcPr>
            <w:tcW w:w="2105" w:type="dxa"/>
          </w:tcPr>
          <w:p w:rsidR="00F65389" w:rsidRDefault="00601CBA" w:rsidP="005B419C">
            <w:pPr>
              <w:rPr>
                <w:rFonts w:ascii="Times New Roman" w:eastAsia="Times New Roman" w:hAnsi="Times New Roman" w:cs="Times New Roman"/>
              </w:rPr>
            </w:pPr>
            <w:r>
              <w:rPr>
                <w:rFonts w:ascii="Times New Roman" w:eastAsia="Times New Roman" w:hAnsi="Times New Roman" w:cs="Times New Roman"/>
              </w:rPr>
              <w:t>Augmented Dickey-Fuller</w:t>
            </w:r>
          </w:p>
        </w:tc>
        <w:tc>
          <w:tcPr>
            <w:tcW w:w="1560" w:type="dxa"/>
          </w:tcPr>
          <w:p w:rsidR="00F65389" w:rsidRDefault="00601CBA" w:rsidP="005B419C">
            <w:pPr>
              <w:rPr>
                <w:rFonts w:ascii="Times New Roman" w:eastAsia="Times New Roman" w:hAnsi="Times New Roman" w:cs="Times New Roman"/>
              </w:rPr>
            </w:pPr>
            <w:r>
              <w:rPr>
                <w:rFonts w:ascii="Times New Roman" w:eastAsia="Times New Roman" w:hAnsi="Times New Roman" w:cs="Times New Roman"/>
              </w:rPr>
              <w:t>DAR has a unit root</w:t>
            </w:r>
          </w:p>
        </w:tc>
        <w:tc>
          <w:tcPr>
            <w:tcW w:w="1560" w:type="dxa"/>
          </w:tcPr>
          <w:p w:rsidR="00F65389" w:rsidRDefault="00601CBA" w:rsidP="005B419C">
            <w:pPr>
              <w:rPr>
                <w:rFonts w:ascii="Times New Roman" w:eastAsia="Times New Roman" w:hAnsi="Times New Roman" w:cs="Times New Roman"/>
              </w:rPr>
            </w:pPr>
            <w:r>
              <w:rPr>
                <w:rFonts w:ascii="Times New Roman" w:eastAsia="Times New Roman" w:hAnsi="Times New Roman" w:cs="Times New Roman"/>
              </w:rPr>
              <w:t>DAR</w:t>
            </w:r>
          </w:p>
        </w:tc>
        <w:tc>
          <w:tcPr>
            <w:tcW w:w="1560" w:type="dxa"/>
          </w:tcPr>
          <w:p w:rsidR="00F65389" w:rsidRDefault="00601CBA" w:rsidP="005B419C">
            <w:pPr>
              <w:rPr>
                <w:rFonts w:ascii="Times New Roman" w:eastAsia="Times New Roman" w:hAnsi="Times New Roman" w:cs="Times New Roman"/>
              </w:rPr>
            </w:pPr>
            <w:r>
              <w:rPr>
                <w:rFonts w:ascii="Times New Roman" w:eastAsia="Times New Roman" w:hAnsi="Times New Roman" w:cs="Times New Roman"/>
              </w:rPr>
              <w:t>-5.141922</w:t>
            </w:r>
          </w:p>
        </w:tc>
        <w:tc>
          <w:tcPr>
            <w:tcW w:w="1560" w:type="dxa"/>
          </w:tcPr>
          <w:p w:rsidR="00F65389" w:rsidRDefault="00601CBA" w:rsidP="005B419C">
            <w:pPr>
              <w:rPr>
                <w:rFonts w:ascii="Times New Roman" w:eastAsia="Times New Roman" w:hAnsi="Times New Roman" w:cs="Times New Roman"/>
              </w:rPr>
            </w:pPr>
            <w:r>
              <w:rPr>
                <w:rFonts w:ascii="Times New Roman" w:eastAsia="Times New Roman" w:hAnsi="Times New Roman" w:cs="Times New Roman"/>
              </w:rPr>
              <w:t>0.0002</w:t>
            </w:r>
          </w:p>
        </w:tc>
        <w:tc>
          <w:tcPr>
            <w:tcW w:w="2365" w:type="dxa"/>
          </w:tcPr>
          <w:p w:rsidR="00F65389" w:rsidRDefault="00601CBA" w:rsidP="005B419C">
            <w:pPr>
              <w:rPr>
                <w:rFonts w:ascii="Times New Roman" w:eastAsia="Times New Roman" w:hAnsi="Times New Roman" w:cs="Times New Roman"/>
              </w:rPr>
            </w:pPr>
            <w:r>
              <w:rPr>
                <w:rFonts w:ascii="Times New Roman" w:eastAsia="Times New Roman" w:hAnsi="Times New Roman" w:cs="Times New Roman"/>
              </w:rPr>
              <w:t>Reject null, stationary at level</w:t>
            </w:r>
          </w:p>
        </w:tc>
      </w:tr>
      <w:tr w:rsidR="00F65389" w:rsidTr="005B419C">
        <w:tc>
          <w:tcPr>
            <w:tcW w:w="2105" w:type="dxa"/>
          </w:tcPr>
          <w:p w:rsidR="00F65389" w:rsidRDefault="00601CBA" w:rsidP="005B419C">
            <w:pPr>
              <w:rPr>
                <w:rFonts w:ascii="Times New Roman" w:eastAsia="Times New Roman" w:hAnsi="Times New Roman" w:cs="Times New Roman"/>
              </w:rPr>
            </w:pPr>
            <w:r>
              <w:rPr>
                <w:rFonts w:ascii="Times New Roman" w:eastAsia="Times New Roman" w:hAnsi="Times New Roman" w:cs="Times New Roman"/>
              </w:rPr>
              <w:t>Augmented Dickey-Fuller</w:t>
            </w:r>
          </w:p>
        </w:tc>
        <w:tc>
          <w:tcPr>
            <w:tcW w:w="1560" w:type="dxa"/>
          </w:tcPr>
          <w:p w:rsidR="00F65389" w:rsidRDefault="00601CBA" w:rsidP="005B419C">
            <w:pPr>
              <w:rPr>
                <w:rFonts w:ascii="Times New Roman" w:eastAsia="Times New Roman" w:hAnsi="Times New Roman" w:cs="Times New Roman"/>
              </w:rPr>
            </w:pPr>
            <w:r>
              <w:rPr>
                <w:rFonts w:ascii="Times New Roman" w:eastAsia="Times New Roman" w:hAnsi="Times New Roman" w:cs="Times New Roman"/>
              </w:rPr>
              <w:t>DER has a unit root</w:t>
            </w:r>
          </w:p>
        </w:tc>
        <w:tc>
          <w:tcPr>
            <w:tcW w:w="1560" w:type="dxa"/>
          </w:tcPr>
          <w:p w:rsidR="00F65389" w:rsidRDefault="00601CBA" w:rsidP="005B419C">
            <w:pPr>
              <w:rPr>
                <w:rFonts w:ascii="Times New Roman" w:eastAsia="Times New Roman" w:hAnsi="Times New Roman" w:cs="Times New Roman"/>
              </w:rPr>
            </w:pPr>
            <w:r>
              <w:rPr>
                <w:rFonts w:ascii="Times New Roman" w:eastAsia="Times New Roman" w:hAnsi="Times New Roman" w:cs="Times New Roman"/>
              </w:rPr>
              <w:t>DER</w:t>
            </w:r>
          </w:p>
        </w:tc>
        <w:tc>
          <w:tcPr>
            <w:tcW w:w="1560" w:type="dxa"/>
          </w:tcPr>
          <w:p w:rsidR="00F65389" w:rsidRDefault="00601CBA" w:rsidP="005B419C">
            <w:pPr>
              <w:rPr>
                <w:rFonts w:ascii="Times New Roman" w:eastAsia="Times New Roman" w:hAnsi="Times New Roman" w:cs="Times New Roman"/>
              </w:rPr>
            </w:pPr>
            <w:r>
              <w:rPr>
                <w:rFonts w:ascii="Times New Roman" w:eastAsia="Times New Roman" w:hAnsi="Times New Roman" w:cs="Times New Roman"/>
              </w:rPr>
              <w:t>-2.721173</w:t>
            </w:r>
          </w:p>
        </w:tc>
        <w:tc>
          <w:tcPr>
            <w:tcW w:w="1560" w:type="dxa"/>
          </w:tcPr>
          <w:p w:rsidR="00F65389" w:rsidRDefault="00601CBA" w:rsidP="005B419C">
            <w:pPr>
              <w:rPr>
                <w:rFonts w:ascii="Times New Roman" w:eastAsia="Times New Roman" w:hAnsi="Times New Roman" w:cs="Times New Roman"/>
              </w:rPr>
            </w:pPr>
            <w:r>
              <w:rPr>
                <w:rFonts w:ascii="Times New Roman" w:eastAsia="Times New Roman" w:hAnsi="Times New Roman" w:cs="Times New Roman"/>
              </w:rPr>
              <w:t>0.0120</w:t>
            </w:r>
          </w:p>
        </w:tc>
        <w:tc>
          <w:tcPr>
            <w:tcW w:w="2365" w:type="dxa"/>
          </w:tcPr>
          <w:p w:rsidR="00F65389" w:rsidRDefault="00601CBA" w:rsidP="005B419C">
            <w:pPr>
              <w:rPr>
                <w:rFonts w:ascii="Times New Roman" w:eastAsia="Times New Roman" w:hAnsi="Times New Roman" w:cs="Times New Roman"/>
              </w:rPr>
            </w:pPr>
            <w:r>
              <w:rPr>
                <w:rFonts w:ascii="Times New Roman" w:eastAsia="Times New Roman" w:hAnsi="Times New Roman" w:cs="Times New Roman"/>
              </w:rPr>
              <w:t>Reject null, stationary at level</w:t>
            </w:r>
          </w:p>
        </w:tc>
      </w:tr>
      <w:tr w:rsidR="00F65389" w:rsidTr="005B419C">
        <w:tc>
          <w:tcPr>
            <w:tcW w:w="2105" w:type="dxa"/>
          </w:tcPr>
          <w:p w:rsidR="00F65389" w:rsidRDefault="00601CBA" w:rsidP="005B419C">
            <w:pPr>
              <w:rPr>
                <w:rFonts w:ascii="Times New Roman" w:eastAsia="Times New Roman" w:hAnsi="Times New Roman" w:cs="Times New Roman"/>
              </w:rPr>
            </w:pPr>
            <w:r>
              <w:rPr>
                <w:rFonts w:ascii="Times New Roman" w:eastAsia="Times New Roman" w:hAnsi="Times New Roman" w:cs="Times New Roman"/>
              </w:rPr>
              <w:t>Augmented Dickey-Fuller</w:t>
            </w:r>
          </w:p>
        </w:tc>
        <w:tc>
          <w:tcPr>
            <w:tcW w:w="1560" w:type="dxa"/>
          </w:tcPr>
          <w:p w:rsidR="00F65389" w:rsidRDefault="00601CBA" w:rsidP="005B419C">
            <w:pPr>
              <w:rPr>
                <w:rFonts w:ascii="Times New Roman" w:eastAsia="Times New Roman" w:hAnsi="Times New Roman" w:cs="Times New Roman"/>
              </w:rPr>
            </w:pPr>
            <w:r>
              <w:rPr>
                <w:rFonts w:ascii="Times New Roman" w:eastAsia="Times New Roman" w:hAnsi="Times New Roman" w:cs="Times New Roman"/>
              </w:rPr>
              <w:t>ICR has a unit root</w:t>
            </w:r>
          </w:p>
        </w:tc>
        <w:tc>
          <w:tcPr>
            <w:tcW w:w="1560" w:type="dxa"/>
          </w:tcPr>
          <w:p w:rsidR="00F65389" w:rsidRDefault="00601CBA" w:rsidP="005B419C">
            <w:pPr>
              <w:rPr>
                <w:rFonts w:ascii="Times New Roman" w:eastAsia="Times New Roman" w:hAnsi="Times New Roman" w:cs="Times New Roman"/>
              </w:rPr>
            </w:pPr>
            <w:r>
              <w:rPr>
                <w:rFonts w:ascii="Times New Roman" w:eastAsia="Times New Roman" w:hAnsi="Times New Roman" w:cs="Times New Roman"/>
              </w:rPr>
              <w:t>ICR</w:t>
            </w:r>
          </w:p>
        </w:tc>
        <w:tc>
          <w:tcPr>
            <w:tcW w:w="1560" w:type="dxa"/>
          </w:tcPr>
          <w:p w:rsidR="00F65389" w:rsidRDefault="00601CBA" w:rsidP="005B419C">
            <w:pPr>
              <w:rPr>
                <w:rFonts w:ascii="Times New Roman" w:eastAsia="Times New Roman" w:hAnsi="Times New Roman" w:cs="Times New Roman"/>
              </w:rPr>
            </w:pPr>
            <w:r>
              <w:rPr>
                <w:rFonts w:ascii="Times New Roman" w:eastAsia="Times New Roman" w:hAnsi="Times New Roman" w:cs="Times New Roman"/>
              </w:rPr>
              <w:t>-3.963479</w:t>
            </w:r>
          </w:p>
        </w:tc>
        <w:tc>
          <w:tcPr>
            <w:tcW w:w="1560" w:type="dxa"/>
          </w:tcPr>
          <w:p w:rsidR="00F65389" w:rsidRDefault="00601CBA" w:rsidP="005B419C">
            <w:pPr>
              <w:rPr>
                <w:rFonts w:ascii="Times New Roman" w:eastAsia="Times New Roman" w:hAnsi="Times New Roman" w:cs="Times New Roman"/>
              </w:rPr>
            </w:pPr>
            <w:r>
              <w:rPr>
                <w:rFonts w:ascii="Times New Roman" w:eastAsia="Times New Roman" w:hAnsi="Times New Roman" w:cs="Times New Roman"/>
              </w:rPr>
              <w:t>0.0014</w:t>
            </w:r>
          </w:p>
        </w:tc>
        <w:tc>
          <w:tcPr>
            <w:tcW w:w="2365" w:type="dxa"/>
          </w:tcPr>
          <w:p w:rsidR="00F65389" w:rsidRDefault="00601CBA" w:rsidP="005B419C">
            <w:pPr>
              <w:rPr>
                <w:rFonts w:ascii="Times New Roman" w:eastAsia="Times New Roman" w:hAnsi="Times New Roman" w:cs="Times New Roman"/>
              </w:rPr>
            </w:pPr>
            <w:r>
              <w:rPr>
                <w:rFonts w:ascii="Times New Roman" w:eastAsia="Times New Roman" w:hAnsi="Times New Roman" w:cs="Times New Roman"/>
              </w:rPr>
              <w:t>Reject null, stationary at level</w:t>
            </w:r>
          </w:p>
        </w:tc>
      </w:tr>
      <w:tr w:rsidR="00F65389" w:rsidTr="005B419C">
        <w:tc>
          <w:tcPr>
            <w:tcW w:w="2105" w:type="dxa"/>
          </w:tcPr>
          <w:p w:rsidR="00F65389" w:rsidRDefault="00601CBA" w:rsidP="005B419C">
            <w:pPr>
              <w:rPr>
                <w:rFonts w:ascii="Times New Roman" w:eastAsia="Times New Roman" w:hAnsi="Times New Roman" w:cs="Times New Roman"/>
              </w:rPr>
            </w:pPr>
            <w:r>
              <w:rPr>
                <w:rFonts w:ascii="Times New Roman" w:eastAsia="Times New Roman" w:hAnsi="Times New Roman" w:cs="Times New Roman"/>
              </w:rPr>
              <w:t>Augmented Dickey-Fuller</w:t>
            </w:r>
          </w:p>
        </w:tc>
        <w:tc>
          <w:tcPr>
            <w:tcW w:w="1560" w:type="dxa"/>
          </w:tcPr>
          <w:p w:rsidR="00F65389" w:rsidRDefault="00601CBA" w:rsidP="005B419C">
            <w:pPr>
              <w:rPr>
                <w:rFonts w:ascii="Times New Roman" w:eastAsia="Times New Roman" w:hAnsi="Times New Roman" w:cs="Times New Roman"/>
              </w:rPr>
            </w:pPr>
            <w:r>
              <w:rPr>
                <w:rFonts w:ascii="Times New Roman" w:eastAsia="Times New Roman" w:hAnsi="Times New Roman" w:cs="Times New Roman"/>
              </w:rPr>
              <w:t>TIER has a unit root</w:t>
            </w:r>
          </w:p>
        </w:tc>
        <w:tc>
          <w:tcPr>
            <w:tcW w:w="1560" w:type="dxa"/>
          </w:tcPr>
          <w:p w:rsidR="00F65389" w:rsidRDefault="00601CBA" w:rsidP="005B419C">
            <w:pPr>
              <w:rPr>
                <w:rFonts w:ascii="Times New Roman" w:eastAsia="Times New Roman" w:hAnsi="Times New Roman" w:cs="Times New Roman"/>
              </w:rPr>
            </w:pPr>
            <w:r>
              <w:rPr>
                <w:rFonts w:ascii="Times New Roman" w:eastAsia="Times New Roman" w:hAnsi="Times New Roman" w:cs="Times New Roman"/>
              </w:rPr>
              <w:t>TIER</w:t>
            </w:r>
          </w:p>
        </w:tc>
        <w:tc>
          <w:tcPr>
            <w:tcW w:w="1560" w:type="dxa"/>
          </w:tcPr>
          <w:p w:rsidR="00F65389" w:rsidRDefault="00601CBA" w:rsidP="005B419C">
            <w:pPr>
              <w:rPr>
                <w:rFonts w:ascii="Times New Roman" w:eastAsia="Times New Roman" w:hAnsi="Times New Roman" w:cs="Times New Roman"/>
              </w:rPr>
            </w:pPr>
            <w:r>
              <w:rPr>
                <w:rFonts w:ascii="Times New Roman" w:eastAsia="Times New Roman" w:hAnsi="Times New Roman" w:cs="Times New Roman"/>
              </w:rPr>
              <w:t>-3.251449</w:t>
            </w:r>
          </w:p>
        </w:tc>
        <w:tc>
          <w:tcPr>
            <w:tcW w:w="1560" w:type="dxa"/>
          </w:tcPr>
          <w:p w:rsidR="00F65389" w:rsidRDefault="00601CBA" w:rsidP="005B419C">
            <w:pPr>
              <w:rPr>
                <w:rFonts w:ascii="Times New Roman" w:eastAsia="Times New Roman" w:hAnsi="Times New Roman" w:cs="Times New Roman"/>
              </w:rPr>
            </w:pPr>
            <w:r>
              <w:rPr>
                <w:rFonts w:ascii="Times New Roman" w:eastAsia="Times New Roman" w:hAnsi="Times New Roman" w:cs="Times New Roman"/>
              </w:rPr>
              <w:t>0.0044</w:t>
            </w:r>
          </w:p>
        </w:tc>
        <w:tc>
          <w:tcPr>
            <w:tcW w:w="2365" w:type="dxa"/>
          </w:tcPr>
          <w:p w:rsidR="00F65389" w:rsidRDefault="00601CBA" w:rsidP="005B419C">
            <w:pPr>
              <w:rPr>
                <w:rFonts w:ascii="Times New Roman" w:eastAsia="Times New Roman" w:hAnsi="Times New Roman" w:cs="Times New Roman"/>
              </w:rPr>
            </w:pPr>
            <w:r>
              <w:rPr>
                <w:rFonts w:ascii="Times New Roman" w:eastAsia="Times New Roman" w:hAnsi="Times New Roman" w:cs="Times New Roman"/>
              </w:rPr>
              <w:t>Reject null, stationary at level</w:t>
            </w:r>
          </w:p>
        </w:tc>
      </w:tr>
    </w:tbl>
    <w:p w:rsidR="00F65389" w:rsidRDefault="00601CBA">
      <w:pPr>
        <w:spacing w:line="240" w:lineRule="auto"/>
        <w:jc w:val="both"/>
        <w:rPr>
          <w:rFonts w:ascii="Times New Roman" w:eastAsia="Times New Roman" w:hAnsi="Times New Roman" w:cs="Times New Roman"/>
          <w:i/>
        </w:rPr>
      </w:pPr>
      <w:r>
        <w:rPr>
          <w:rFonts w:ascii="Times New Roman" w:eastAsia="Times New Roman" w:hAnsi="Times New Roman" w:cs="Times New Roman"/>
          <w:i/>
        </w:rPr>
        <w:t>Source: Eview output, 2024</w:t>
      </w:r>
    </w:p>
    <w:p w:rsidR="00F65389" w:rsidRDefault="00F65389">
      <w:pPr>
        <w:spacing w:line="240" w:lineRule="auto"/>
        <w:jc w:val="both"/>
        <w:rPr>
          <w:rFonts w:ascii="Times New Roman" w:eastAsia="Times New Roman" w:hAnsi="Times New Roman" w:cs="Times New Roman"/>
          <w:i/>
        </w:rPr>
      </w:pPr>
    </w:p>
    <w:p w:rsidR="00F65389" w:rsidRDefault="00601CBA">
      <w:pPr>
        <w:spacing w:after="0" w:line="480" w:lineRule="auto"/>
        <w:jc w:val="both"/>
        <w:rPr>
          <w:rFonts w:ascii="Times New Roman" w:eastAsia="Times New Roman" w:hAnsi="Times New Roman" w:cs="Times New Roman"/>
        </w:rPr>
      </w:pPr>
      <w:r>
        <w:rPr>
          <w:rFonts w:ascii="Times New Roman" w:eastAsia="Times New Roman" w:hAnsi="Times New Roman" w:cs="Times New Roman"/>
        </w:rPr>
        <w:t>The Augmented Dickey-Fuller (ADF) output provides clarity on whether each financial variable in this analysis stays anchored around a stable path or drifts randomly over time. This distinction is vital for regression because variables that wander can distort findings. A stationary variable shows a consistent mean and variance, making it statistically dependable. Without this stability, any link seen in regression could be artificial or short-lived.</w:t>
      </w:r>
    </w:p>
    <w:p w:rsidR="00F65389" w:rsidRPr="005B419C" w:rsidRDefault="00601CBA">
      <w:pPr>
        <w:spacing w:after="0" w:line="480" w:lineRule="auto"/>
        <w:jc w:val="both"/>
        <w:rPr>
          <w:rFonts w:ascii="Times New Roman" w:eastAsia="Times New Roman" w:hAnsi="Times New Roman" w:cs="Times New Roman"/>
        </w:rPr>
      </w:pPr>
      <w:r w:rsidRPr="005B419C">
        <w:rPr>
          <w:rFonts w:ascii="Times New Roman" w:eastAsia="Gungsuh" w:hAnsi="Times New Roman" w:cs="Times New Roman"/>
        </w:rPr>
        <w:t>Return on Assets (ROA) passed the stationarity check at level form. The ADF value stands at −2.138848, and the corresponding p-value of .0372 falls beneath the five percent significance threshold. This means the null hypothesis, which assumes a unit root, is rejected. The ROA series does not trend endlessly but rather moves around a stable mean. In context, this means that profitability at Nestlé Nigeria fluctuates with business conditions but eventually finds its way back, and performance shocks tend to fade rather than change the firm’s financial trajectory permanently.</w:t>
      </w:r>
    </w:p>
    <w:p w:rsidR="00F65389" w:rsidRPr="005B419C" w:rsidRDefault="00601CBA">
      <w:pPr>
        <w:spacing w:after="0" w:line="480" w:lineRule="auto"/>
        <w:jc w:val="both"/>
        <w:rPr>
          <w:rFonts w:ascii="Times New Roman" w:eastAsia="Times New Roman" w:hAnsi="Times New Roman" w:cs="Times New Roman"/>
        </w:rPr>
      </w:pPr>
      <w:r w:rsidRPr="005B419C">
        <w:rPr>
          <w:rFonts w:ascii="Times New Roman" w:eastAsia="Gungsuh" w:hAnsi="Times New Roman" w:cs="Times New Roman"/>
        </w:rPr>
        <w:t>Debt-to-Asset Ratio (DAR) shows stronger evidence of stationarity. Its ADF statistic comes in at −5.141922 with a p-value well below .001. This is far beyond all typical critical bounds, confirming that the DAR variable tightly reverts to a long-term average. Even with macroeconomic pressures or internal financial strategy shifts, Nestlé Nigeria appears to hold a steady line on how much of its total assets are backed by debt. The firm’s debt-to-asset planning seems built around a stable threshold, and temporary deviations tend not to last.</w:t>
      </w:r>
    </w:p>
    <w:p w:rsidR="00F65389" w:rsidRPr="005B419C" w:rsidRDefault="00601CBA">
      <w:pPr>
        <w:spacing w:after="0" w:line="480" w:lineRule="auto"/>
        <w:jc w:val="both"/>
        <w:rPr>
          <w:rFonts w:ascii="Times New Roman" w:eastAsia="Times New Roman" w:hAnsi="Times New Roman" w:cs="Times New Roman"/>
        </w:rPr>
      </w:pPr>
      <w:r w:rsidRPr="005B419C">
        <w:rPr>
          <w:rFonts w:ascii="Times New Roman" w:eastAsia="Gungsuh" w:hAnsi="Times New Roman" w:cs="Times New Roman"/>
        </w:rPr>
        <w:t>Debt-to-Equity Ratio (DER) also shows stationarity at level, backed by an ADF statistic of −2.721173 and a p-value of .0120. Despite the extreme value in 2023 triggered by negative equity, the series as a whole sticks close to a long-term path. DER swings are expected when profits dive or new debt is added, but this result suggests that Nestlé Nigeria does not allow leverage to spiral unchecked. The capital structure shows signs of snapping back to typical ratios over time, supporting confidence in its long-run consistency.</w:t>
      </w:r>
    </w:p>
    <w:p w:rsidR="00F65389" w:rsidRPr="005B419C" w:rsidRDefault="00601CBA">
      <w:pPr>
        <w:spacing w:after="0" w:line="480" w:lineRule="auto"/>
        <w:jc w:val="both"/>
        <w:rPr>
          <w:rFonts w:ascii="Times New Roman" w:eastAsia="Times New Roman" w:hAnsi="Times New Roman" w:cs="Times New Roman"/>
        </w:rPr>
      </w:pPr>
      <w:r w:rsidRPr="005B419C">
        <w:rPr>
          <w:rFonts w:ascii="Times New Roman" w:eastAsia="Gungsuh" w:hAnsi="Times New Roman" w:cs="Times New Roman"/>
        </w:rPr>
        <w:t>Interest Coverage Ratio (ICR) also checks out. With an ADF stat of −3.963479 and p-value at .0014, the test confirms this series stays stable. This implies the company’s ability to meet its interest commitments with earnings does not drift or erode systematically. Any reductions in coverage are cyclical or temporary rather than structural. The firm’s operating earnings relative to interest cost behave in a mean-reverting way, supporting the use of this ratio as a dependable solvency metric.</w:t>
      </w:r>
    </w:p>
    <w:p w:rsidR="00F65389" w:rsidRPr="005B419C" w:rsidRDefault="00601CBA" w:rsidP="005B419C">
      <w:pPr>
        <w:spacing w:after="0" w:line="360" w:lineRule="auto"/>
        <w:jc w:val="both"/>
        <w:rPr>
          <w:rFonts w:ascii="Times New Roman" w:eastAsia="Times New Roman" w:hAnsi="Times New Roman" w:cs="Times New Roman"/>
        </w:rPr>
      </w:pPr>
      <w:r w:rsidRPr="005B419C">
        <w:rPr>
          <w:rFonts w:ascii="Times New Roman" w:eastAsia="Gungsuh" w:hAnsi="Times New Roman" w:cs="Times New Roman"/>
        </w:rPr>
        <w:t>Times Interest Earned Ratio (TIER) mirrors ICR in pattern and result. Its ADF score lands at −3.251449 with a p-value of .0044. TIER, using pre-tax income instead of EBIT, stays well within statistical stability. It too pulls back to a center after changes, confirming that fluctuations in pre-tax interest coverage are typically reversed with time. The fact that both ICR and TIER stay stationary adds robustness to the broader solvency reading of the firm.</w:t>
      </w:r>
    </w:p>
    <w:p w:rsidR="00F65389" w:rsidRPr="005B419C" w:rsidRDefault="00601CBA" w:rsidP="005B419C">
      <w:pPr>
        <w:spacing w:after="0" w:line="360" w:lineRule="auto"/>
        <w:jc w:val="both"/>
        <w:rPr>
          <w:rFonts w:ascii="Times New Roman" w:eastAsia="Times New Roman" w:hAnsi="Times New Roman" w:cs="Times New Roman"/>
        </w:rPr>
      </w:pPr>
      <w:r w:rsidRPr="005B419C">
        <w:rPr>
          <w:rFonts w:ascii="Times New Roman" w:eastAsia="Times New Roman" w:hAnsi="Times New Roman" w:cs="Times New Roman"/>
        </w:rPr>
        <w:t>Since all five variables meet the criteria for level stationarity, classified as I(0), this eliminates the need for differencing or cointegration modeling. A standard Ordinary Least Squares (OLS) framework becomes appropriate for testing the relationships among solvency indicators and profitability. There is no random walk or explosive trend in any of the variables, so inference drawn from OLS will rest on stable foundations. The financial variables under study are not just statistically reliable they are structurally sound for long-term relationship modeling.</w:t>
      </w:r>
    </w:p>
    <w:p w:rsidR="00F65389" w:rsidRDefault="00601CBA">
      <w:pPr>
        <w:pStyle w:val="Heading2"/>
        <w:spacing w:before="0" w:after="0" w:line="48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4.3 Diagnostic Tests</w:t>
      </w:r>
    </w:p>
    <w:p w:rsidR="00F65389" w:rsidRDefault="00601CBA">
      <w:pPr>
        <w:spacing w:line="240" w:lineRule="auto"/>
        <w:jc w:val="both"/>
        <w:rPr>
          <w:rFonts w:ascii="Times New Roman" w:eastAsia="Times New Roman" w:hAnsi="Times New Roman" w:cs="Times New Roman"/>
        </w:rPr>
      </w:pPr>
      <w:r>
        <w:rPr>
          <w:rFonts w:ascii="Times New Roman" w:eastAsia="Times New Roman" w:hAnsi="Times New Roman" w:cs="Times New Roman"/>
          <w:b/>
        </w:rPr>
        <w:t xml:space="preserve">Table 6: </w:t>
      </w:r>
      <w:r>
        <w:rPr>
          <w:rFonts w:ascii="Times New Roman" w:eastAsia="Times New Roman" w:hAnsi="Times New Roman" w:cs="Times New Roman"/>
        </w:rPr>
        <w:t>Diagnostic Tests for OLS Regression Model</w:t>
      </w:r>
    </w:p>
    <w:tbl>
      <w:tblPr>
        <w:tblStyle w:val="TableGrid"/>
        <w:tblW w:w="10080" w:type="dxa"/>
        <w:tblBorders>
          <w:left w:val="none" w:sz="0" w:space="0" w:color="auto"/>
          <w:right w:val="none" w:sz="0" w:space="0" w:color="auto"/>
          <w:insideH w:val="none" w:sz="0" w:space="0" w:color="auto"/>
          <w:insideV w:val="none" w:sz="0" w:space="0" w:color="auto"/>
        </w:tblBorders>
        <w:tblLayout w:type="fixed"/>
        <w:tblLook w:val="0600" w:firstRow="0" w:lastRow="0" w:firstColumn="0" w:lastColumn="0" w:noHBand="1" w:noVBand="1"/>
      </w:tblPr>
      <w:tblGrid>
        <w:gridCol w:w="2317"/>
        <w:gridCol w:w="1404"/>
        <w:gridCol w:w="1919"/>
        <w:gridCol w:w="1470"/>
        <w:gridCol w:w="2970"/>
      </w:tblGrid>
      <w:tr w:rsidR="00F65389" w:rsidTr="005B419C">
        <w:tc>
          <w:tcPr>
            <w:tcW w:w="2317" w:type="dxa"/>
            <w:tcBorders>
              <w:top w:val="single" w:sz="4" w:space="0" w:color="auto"/>
              <w:bottom w:val="single" w:sz="4" w:space="0" w:color="auto"/>
            </w:tcBorders>
          </w:tcPr>
          <w:p w:rsidR="00F65389" w:rsidRDefault="00601CBA">
            <w:pPr>
              <w:jc w:val="both"/>
              <w:rPr>
                <w:rFonts w:ascii="Times New Roman" w:eastAsia="Times New Roman" w:hAnsi="Times New Roman" w:cs="Times New Roman"/>
                <w:b/>
              </w:rPr>
            </w:pPr>
            <w:r>
              <w:rPr>
                <w:rFonts w:ascii="Times New Roman" w:eastAsia="Times New Roman" w:hAnsi="Times New Roman" w:cs="Times New Roman"/>
                <w:b/>
              </w:rPr>
              <w:t>Test Type</w:t>
            </w:r>
          </w:p>
        </w:tc>
        <w:tc>
          <w:tcPr>
            <w:tcW w:w="1404" w:type="dxa"/>
            <w:tcBorders>
              <w:top w:val="single" w:sz="4" w:space="0" w:color="auto"/>
              <w:bottom w:val="single" w:sz="4" w:space="0" w:color="auto"/>
            </w:tcBorders>
          </w:tcPr>
          <w:p w:rsidR="00F65389" w:rsidRDefault="00601CBA">
            <w:pPr>
              <w:jc w:val="both"/>
              <w:rPr>
                <w:rFonts w:ascii="Times New Roman" w:eastAsia="Times New Roman" w:hAnsi="Times New Roman" w:cs="Times New Roman"/>
                <w:b/>
              </w:rPr>
            </w:pPr>
            <w:r>
              <w:rPr>
                <w:rFonts w:ascii="Times New Roman" w:eastAsia="Times New Roman" w:hAnsi="Times New Roman" w:cs="Times New Roman"/>
                <w:b/>
              </w:rPr>
              <w:t>Variables</w:t>
            </w:r>
          </w:p>
        </w:tc>
        <w:tc>
          <w:tcPr>
            <w:tcW w:w="1919" w:type="dxa"/>
            <w:tcBorders>
              <w:top w:val="single" w:sz="4" w:space="0" w:color="auto"/>
              <w:bottom w:val="single" w:sz="4" w:space="0" w:color="auto"/>
            </w:tcBorders>
          </w:tcPr>
          <w:p w:rsidR="00F65389" w:rsidRDefault="00601CBA">
            <w:pPr>
              <w:jc w:val="both"/>
              <w:rPr>
                <w:rFonts w:ascii="Times New Roman" w:eastAsia="Times New Roman" w:hAnsi="Times New Roman" w:cs="Times New Roman"/>
                <w:b/>
              </w:rPr>
            </w:pPr>
            <w:r>
              <w:rPr>
                <w:rFonts w:ascii="Times New Roman" w:eastAsia="Times New Roman" w:hAnsi="Times New Roman" w:cs="Times New Roman"/>
                <w:b/>
              </w:rPr>
              <w:t>Test Statistic</w:t>
            </w:r>
          </w:p>
        </w:tc>
        <w:tc>
          <w:tcPr>
            <w:tcW w:w="1470" w:type="dxa"/>
            <w:tcBorders>
              <w:top w:val="single" w:sz="4" w:space="0" w:color="auto"/>
              <w:bottom w:val="single" w:sz="4" w:space="0" w:color="auto"/>
            </w:tcBorders>
          </w:tcPr>
          <w:p w:rsidR="00F65389" w:rsidRDefault="00601CBA">
            <w:pPr>
              <w:jc w:val="both"/>
              <w:rPr>
                <w:rFonts w:ascii="Times New Roman" w:eastAsia="Times New Roman" w:hAnsi="Times New Roman" w:cs="Times New Roman"/>
                <w:b/>
              </w:rPr>
            </w:pPr>
            <w:r>
              <w:rPr>
                <w:rFonts w:ascii="Times New Roman" w:eastAsia="Times New Roman" w:hAnsi="Times New Roman" w:cs="Times New Roman"/>
                <w:b/>
              </w:rPr>
              <w:t>Probability</w:t>
            </w:r>
          </w:p>
        </w:tc>
        <w:tc>
          <w:tcPr>
            <w:tcW w:w="2970" w:type="dxa"/>
            <w:tcBorders>
              <w:top w:val="single" w:sz="4" w:space="0" w:color="auto"/>
              <w:bottom w:val="single" w:sz="4" w:space="0" w:color="auto"/>
            </w:tcBorders>
          </w:tcPr>
          <w:p w:rsidR="00F65389" w:rsidRDefault="00601CBA">
            <w:pPr>
              <w:jc w:val="both"/>
              <w:rPr>
                <w:rFonts w:ascii="Times New Roman" w:eastAsia="Times New Roman" w:hAnsi="Times New Roman" w:cs="Times New Roman"/>
                <w:b/>
              </w:rPr>
            </w:pPr>
            <w:r>
              <w:rPr>
                <w:rFonts w:ascii="Times New Roman" w:eastAsia="Times New Roman" w:hAnsi="Times New Roman" w:cs="Times New Roman"/>
                <w:b/>
              </w:rPr>
              <w:t>Conclusion</w:t>
            </w:r>
          </w:p>
        </w:tc>
      </w:tr>
      <w:tr w:rsidR="00F65389" w:rsidTr="005B419C">
        <w:tc>
          <w:tcPr>
            <w:tcW w:w="2317" w:type="dxa"/>
            <w:tcBorders>
              <w:top w:val="single" w:sz="4" w:space="0" w:color="auto"/>
            </w:tcBorders>
          </w:tcPr>
          <w:p w:rsidR="00F65389" w:rsidRDefault="00601CBA" w:rsidP="005B419C">
            <w:pPr>
              <w:rPr>
                <w:rFonts w:ascii="Times New Roman" w:eastAsia="Times New Roman" w:hAnsi="Times New Roman" w:cs="Times New Roman"/>
              </w:rPr>
            </w:pPr>
            <w:r>
              <w:rPr>
                <w:rFonts w:ascii="Times New Roman" w:eastAsia="Times New Roman" w:hAnsi="Times New Roman" w:cs="Times New Roman"/>
              </w:rPr>
              <w:t>Normality Test (Jarque-Bera)</w:t>
            </w:r>
          </w:p>
        </w:tc>
        <w:tc>
          <w:tcPr>
            <w:tcW w:w="1404" w:type="dxa"/>
            <w:tcBorders>
              <w:top w:val="single" w:sz="4" w:space="0" w:color="auto"/>
            </w:tcBorders>
          </w:tcPr>
          <w:p w:rsidR="00F65389" w:rsidRDefault="00601CBA" w:rsidP="005B419C">
            <w:pPr>
              <w:rPr>
                <w:rFonts w:ascii="Times New Roman" w:eastAsia="Times New Roman" w:hAnsi="Times New Roman" w:cs="Times New Roman"/>
              </w:rPr>
            </w:pPr>
            <w:r>
              <w:rPr>
                <w:rFonts w:ascii="Times New Roman" w:eastAsia="Times New Roman" w:hAnsi="Times New Roman" w:cs="Times New Roman"/>
              </w:rPr>
              <w:t>Residuals</w:t>
            </w:r>
          </w:p>
        </w:tc>
        <w:tc>
          <w:tcPr>
            <w:tcW w:w="1919" w:type="dxa"/>
            <w:tcBorders>
              <w:top w:val="single" w:sz="4" w:space="0" w:color="auto"/>
            </w:tcBorders>
          </w:tcPr>
          <w:p w:rsidR="00F65389" w:rsidRDefault="00601CBA" w:rsidP="005B419C">
            <w:pPr>
              <w:rPr>
                <w:rFonts w:ascii="Times New Roman" w:eastAsia="Times New Roman" w:hAnsi="Times New Roman" w:cs="Times New Roman"/>
              </w:rPr>
            </w:pPr>
            <w:r>
              <w:rPr>
                <w:rFonts w:ascii="Times New Roman" w:eastAsia="Times New Roman" w:hAnsi="Times New Roman" w:cs="Times New Roman"/>
              </w:rPr>
              <w:t>JB = 1.297063</w:t>
            </w:r>
          </w:p>
        </w:tc>
        <w:tc>
          <w:tcPr>
            <w:tcW w:w="1470" w:type="dxa"/>
            <w:tcBorders>
              <w:top w:val="single" w:sz="4" w:space="0" w:color="auto"/>
            </w:tcBorders>
          </w:tcPr>
          <w:p w:rsidR="00F65389" w:rsidRDefault="00601CBA" w:rsidP="005B419C">
            <w:pPr>
              <w:rPr>
                <w:rFonts w:ascii="Times New Roman" w:eastAsia="Times New Roman" w:hAnsi="Times New Roman" w:cs="Times New Roman"/>
              </w:rPr>
            </w:pPr>
            <w:r>
              <w:rPr>
                <w:rFonts w:ascii="Times New Roman" w:eastAsia="Times New Roman" w:hAnsi="Times New Roman" w:cs="Times New Roman"/>
              </w:rPr>
              <w:t>0.522813</w:t>
            </w:r>
          </w:p>
        </w:tc>
        <w:tc>
          <w:tcPr>
            <w:tcW w:w="2970" w:type="dxa"/>
            <w:tcBorders>
              <w:top w:val="single" w:sz="4" w:space="0" w:color="auto"/>
            </w:tcBorders>
          </w:tcPr>
          <w:p w:rsidR="00F65389" w:rsidRDefault="00601CBA" w:rsidP="005B419C">
            <w:pPr>
              <w:rPr>
                <w:rFonts w:ascii="Times New Roman" w:eastAsia="Times New Roman" w:hAnsi="Times New Roman" w:cs="Times New Roman"/>
              </w:rPr>
            </w:pPr>
            <w:r>
              <w:rPr>
                <w:rFonts w:ascii="Times New Roman" w:eastAsia="Times New Roman" w:hAnsi="Times New Roman" w:cs="Times New Roman"/>
              </w:rPr>
              <w:t>Fail to reject null; residuals are normally distributed</w:t>
            </w:r>
          </w:p>
        </w:tc>
      </w:tr>
      <w:tr w:rsidR="00F65389" w:rsidTr="005B419C">
        <w:tc>
          <w:tcPr>
            <w:tcW w:w="2317" w:type="dxa"/>
          </w:tcPr>
          <w:p w:rsidR="00F65389" w:rsidRDefault="00601CBA" w:rsidP="005B419C">
            <w:pPr>
              <w:rPr>
                <w:rFonts w:ascii="Times New Roman" w:eastAsia="Times New Roman" w:hAnsi="Times New Roman" w:cs="Times New Roman"/>
              </w:rPr>
            </w:pPr>
            <w:r>
              <w:rPr>
                <w:rFonts w:ascii="Times New Roman" w:eastAsia="Times New Roman" w:hAnsi="Times New Roman" w:cs="Times New Roman"/>
              </w:rPr>
              <w:t>Breusch-Godfrey Serial Correlation LM Test</w:t>
            </w:r>
          </w:p>
        </w:tc>
        <w:tc>
          <w:tcPr>
            <w:tcW w:w="1404" w:type="dxa"/>
          </w:tcPr>
          <w:p w:rsidR="00F65389" w:rsidRDefault="00601CBA" w:rsidP="005B419C">
            <w:pPr>
              <w:rPr>
                <w:rFonts w:ascii="Times New Roman" w:eastAsia="Times New Roman" w:hAnsi="Times New Roman" w:cs="Times New Roman"/>
              </w:rPr>
            </w:pPr>
            <w:r>
              <w:rPr>
                <w:rFonts w:ascii="Times New Roman" w:eastAsia="Times New Roman" w:hAnsi="Times New Roman" w:cs="Times New Roman"/>
              </w:rPr>
              <w:t>Residuals</w:t>
            </w:r>
          </w:p>
        </w:tc>
        <w:tc>
          <w:tcPr>
            <w:tcW w:w="1919" w:type="dxa"/>
          </w:tcPr>
          <w:p w:rsidR="00F65389" w:rsidRDefault="00601CBA" w:rsidP="005B419C">
            <w:pPr>
              <w:rPr>
                <w:rFonts w:ascii="Times New Roman" w:eastAsia="Times New Roman" w:hAnsi="Times New Roman" w:cs="Times New Roman"/>
              </w:rPr>
            </w:pPr>
            <w:r>
              <w:rPr>
                <w:rFonts w:ascii="Times New Roman" w:eastAsia="Times New Roman" w:hAnsi="Times New Roman" w:cs="Times New Roman"/>
              </w:rPr>
              <w:t>F(2,5) = 1.140670</w:t>
            </w:r>
          </w:p>
        </w:tc>
        <w:tc>
          <w:tcPr>
            <w:tcW w:w="1470" w:type="dxa"/>
          </w:tcPr>
          <w:p w:rsidR="00F65389" w:rsidRDefault="00601CBA" w:rsidP="005B419C">
            <w:pPr>
              <w:rPr>
                <w:rFonts w:ascii="Times New Roman" w:eastAsia="Times New Roman" w:hAnsi="Times New Roman" w:cs="Times New Roman"/>
              </w:rPr>
            </w:pPr>
            <w:r>
              <w:rPr>
                <w:rFonts w:ascii="Times New Roman" w:eastAsia="Times New Roman" w:hAnsi="Times New Roman" w:cs="Times New Roman"/>
              </w:rPr>
              <w:t>0.3907</w:t>
            </w:r>
          </w:p>
        </w:tc>
        <w:tc>
          <w:tcPr>
            <w:tcW w:w="2970" w:type="dxa"/>
          </w:tcPr>
          <w:p w:rsidR="00F65389" w:rsidRDefault="00601CBA" w:rsidP="005B419C">
            <w:pPr>
              <w:rPr>
                <w:rFonts w:ascii="Times New Roman" w:eastAsia="Times New Roman" w:hAnsi="Times New Roman" w:cs="Times New Roman"/>
              </w:rPr>
            </w:pPr>
            <w:r>
              <w:rPr>
                <w:rFonts w:ascii="Times New Roman" w:eastAsia="Times New Roman" w:hAnsi="Times New Roman" w:cs="Times New Roman"/>
              </w:rPr>
              <w:t>Fail to reject null; no serial correlation</w:t>
            </w:r>
          </w:p>
        </w:tc>
      </w:tr>
      <w:tr w:rsidR="00F65389" w:rsidTr="005B419C">
        <w:tc>
          <w:tcPr>
            <w:tcW w:w="2317" w:type="dxa"/>
          </w:tcPr>
          <w:p w:rsidR="00F65389" w:rsidRDefault="00601CBA" w:rsidP="005B419C">
            <w:pPr>
              <w:rPr>
                <w:rFonts w:ascii="Times New Roman" w:eastAsia="Times New Roman" w:hAnsi="Times New Roman" w:cs="Times New Roman"/>
              </w:rPr>
            </w:pPr>
            <w:r>
              <w:rPr>
                <w:rFonts w:ascii="Times New Roman" w:eastAsia="Times New Roman" w:hAnsi="Times New Roman" w:cs="Times New Roman"/>
              </w:rPr>
              <w:t>Heteroskedasticity Test: Breusch-Pagan-Godfrey</w:t>
            </w:r>
          </w:p>
        </w:tc>
        <w:tc>
          <w:tcPr>
            <w:tcW w:w="1404" w:type="dxa"/>
          </w:tcPr>
          <w:p w:rsidR="00F65389" w:rsidRDefault="00601CBA" w:rsidP="005B419C">
            <w:pPr>
              <w:rPr>
                <w:rFonts w:ascii="Times New Roman" w:eastAsia="Times New Roman" w:hAnsi="Times New Roman" w:cs="Times New Roman"/>
              </w:rPr>
            </w:pPr>
            <w:r>
              <w:rPr>
                <w:rFonts w:ascii="Times New Roman" w:eastAsia="Times New Roman" w:hAnsi="Times New Roman" w:cs="Times New Roman"/>
              </w:rPr>
              <w:t>Residuals</w:t>
            </w:r>
          </w:p>
        </w:tc>
        <w:tc>
          <w:tcPr>
            <w:tcW w:w="1919" w:type="dxa"/>
          </w:tcPr>
          <w:p w:rsidR="00F65389" w:rsidRDefault="00601CBA" w:rsidP="005B419C">
            <w:pPr>
              <w:rPr>
                <w:rFonts w:ascii="Times New Roman" w:eastAsia="Times New Roman" w:hAnsi="Times New Roman" w:cs="Times New Roman"/>
              </w:rPr>
            </w:pPr>
            <w:r>
              <w:rPr>
                <w:rFonts w:ascii="Times New Roman" w:eastAsia="Times New Roman" w:hAnsi="Times New Roman" w:cs="Times New Roman"/>
              </w:rPr>
              <w:t>F(4,7) = 0.281360</w:t>
            </w:r>
          </w:p>
        </w:tc>
        <w:tc>
          <w:tcPr>
            <w:tcW w:w="1470" w:type="dxa"/>
          </w:tcPr>
          <w:p w:rsidR="00F65389" w:rsidRDefault="00601CBA" w:rsidP="005B419C">
            <w:pPr>
              <w:rPr>
                <w:rFonts w:ascii="Times New Roman" w:eastAsia="Times New Roman" w:hAnsi="Times New Roman" w:cs="Times New Roman"/>
              </w:rPr>
            </w:pPr>
            <w:r>
              <w:rPr>
                <w:rFonts w:ascii="Times New Roman" w:eastAsia="Times New Roman" w:hAnsi="Times New Roman" w:cs="Times New Roman"/>
              </w:rPr>
              <w:t>0.8811</w:t>
            </w:r>
          </w:p>
        </w:tc>
        <w:tc>
          <w:tcPr>
            <w:tcW w:w="2970" w:type="dxa"/>
          </w:tcPr>
          <w:p w:rsidR="00F65389" w:rsidRDefault="00601CBA" w:rsidP="005B419C">
            <w:pPr>
              <w:rPr>
                <w:rFonts w:ascii="Times New Roman" w:eastAsia="Times New Roman" w:hAnsi="Times New Roman" w:cs="Times New Roman"/>
              </w:rPr>
            </w:pPr>
            <w:r>
              <w:rPr>
                <w:rFonts w:ascii="Times New Roman" w:eastAsia="Times New Roman" w:hAnsi="Times New Roman" w:cs="Times New Roman"/>
              </w:rPr>
              <w:t>Fail to reject null; homoskedasticity present</w:t>
            </w:r>
          </w:p>
        </w:tc>
      </w:tr>
      <w:tr w:rsidR="00F65389" w:rsidTr="005B419C">
        <w:tc>
          <w:tcPr>
            <w:tcW w:w="2317" w:type="dxa"/>
          </w:tcPr>
          <w:p w:rsidR="00F65389" w:rsidRDefault="00601CBA" w:rsidP="005B419C">
            <w:pPr>
              <w:rPr>
                <w:rFonts w:ascii="Times New Roman" w:eastAsia="Times New Roman" w:hAnsi="Times New Roman" w:cs="Times New Roman"/>
              </w:rPr>
            </w:pPr>
            <w:r>
              <w:rPr>
                <w:rFonts w:ascii="Times New Roman" w:eastAsia="Times New Roman" w:hAnsi="Times New Roman" w:cs="Times New Roman"/>
                <w:b/>
              </w:rPr>
              <w:t>Multicollinearity Test (VIF)</w:t>
            </w:r>
          </w:p>
        </w:tc>
        <w:tc>
          <w:tcPr>
            <w:tcW w:w="1404" w:type="dxa"/>
          </w:tcPr>
          <w:p w:rsidR="00F65389" w:rsidRDefault="00F65389" w:rsidP="005B419C">
            <w:pPr>
              <w:rPr>
                <w:rFonts w:ascii="Times New Roman" w:eastAsia="Times New Roman" w:hAnsi="Times New Roman" w:cs="Times New Roman"/>
              </w:rPr>
            </w:pPr>
          </w:p>
        </w:tc>
        <w:tc>
          <w:tcPr>
            <w:tcW w:w="1919" w:type="dxa"/>
          </w:tcPr>
          <w:p w:rsidR="00F65389" w:rsidRDefault="00F65389" w:rsidP="005B419C">
            <w:pPr>
              <w:rPr>
                <w:rFonts w:ascii="Times New Roman" w:eastAsia="Times New Roman" w:hAnsi="Times New Roman" w:cs="Times New Roman"/>
              </w:rPr>
            </w:pPr>
          </w:p>
        </w:tc>
        <w:tc>
          <w:tcPr>
            <w:tcW w:w="1470" w:type="dxa"/>
          </w:tcPr>
          <w:p w:rsidR="00F65389" w:rsidRDefault="00F65389" w:rsidP="005B419C">
            <w:pPr>
              <w:rPr>
                <w:rFonts w:ascii="Times New Roman" w:eastAsia="Times New Roman" w:hAnsi="Times New Roman" w:cs="Times New Roman"/>
              </w:rPr>
            </w:pPr>
          </w:p>
        </w:tc>
        <w:tc>
          <w:tcPr>
            <w:tcW w:w="2970" w:type="dxa"/>
          </w:tcPr>
          <w:p w:rsidR="00F65389" w:rsidRDefault="00F65389" w:rsidP="005B419C">
            <w:pPr>
              <w:rPr>
                <w:rFonts w:ascii="Times New Roman" w:eastAsia="Times New Roman" w:hAnsi="Times New Roman" w:cs="Times New Roman"/>
              </w:rPr>
            </w:pPr>
          </w:p>
        </w:tc>
      </w:tr>
      <w:tr w:rsidR="00F65389" w:rsidTr="005B419C">
        <w:tc>
          <w:tcPr>
            <w:tcW w:w="2317" w:type="dxa"/>
          </w:tcPr>
          <w:p w:rsidR="00F65389" w:rsidRDefault="00F65389">
            <w:pPr>
              <w:jc w:val="both"/>
              <w:rPr>
                <w:rFonts w:ascii="Times New Roman" w:eastAsia="Times New Roman" w:hAnsi="Times New Roman" w:cs="Times New Roman"/>
              </w:rPr>
            </w:pPr>
          </w:p>
        </w:tc>
        <w:tc>
          <w:tcPr>
            <w:tcW w:w="1404" w:type="dxa"/>
          </w:tcPr>
          <w:p w:rsidR="00F65389" w:rsidRDefault="00601CBA">
            <w:pPr>
              <w:jc w:val="both"/>
              <w:rPr>
                <w:rFonts w:ascii="Times New Roman" w:eastAsia="Times New Roman" w:hAnsi="Times New Roman" w:cs="Times New Roman"/>
              </w:rPr>
            </w:pPr>
            <w:r>
              <w:rPr>
                <w:rFonts w:ascii="Times New Roman" w:eastAsia="Times New Roman" w:hAnsi="Times New Roman" w:cs="Times New Roman"/>
              </w:rPr>
              <w:t>LOG(ICR)</w:t>
            </w:r>
          </w:p>
        </w:tc>
        <w:tc>
          <w:tcPr>
            <w:tcW w:w="1919" w:type="dxa"/>
          </w:tcPr>
          <w:p w:rsidR="00F65389" w:rsidRDefault="00F65389">
            <w:pPr>
              <w:jc w:val="both"/>
              <w:rPr>
                <w:rFonts w:ascii="Times New Roman" w:eastAsia="Times New Roman" w:hAnsi="Times New Roman" w:cs="Times New Roman"/>
              </w:rPr>
            </w:pPr>
          </w:p>
        </w:tc>
        <w:tc>
          <w:tcPr>
            <w:tcW w:w="1470" w:type="dxa"/>
          </w:tcPr>
          <w:p w:rsidR="00F65389" w:rsidRDefault="00F65389">
            <w:pPr>
              <w:jc w:val="both"/>
              <w:rPr>
                <w:rFonts w:ascii="Times New Roman" w:eastAsia="Times New Roman" w:hAnsi="Times New Roman" w:cs="Times New Roman"/>
              </w:rPr>
            </w:pPr>
          </w:p>
        </w:tc>
        <w:tc>
          <w:tcPr>
            <w:tcW w:w="2970" w:type="dxa"/>
          </w:tcPr>
          <w:p w:rsidR="00F65389" w:rsidRDefault="00601CBA">
            <w:pPr>
              <w:jc w:val="both"/>
              <w:rPr>
                <w:rFonts w:ascii="Times New Roman" w:eastAsia="Times New Roman" w:hAnsi="Times New Roman" w:cs="Times New Roman"/>
              </w:rPr>
            </w:pPr>
            <w:r>
              <w:rPr>
                <w:rFonts w:ascii="Times New Roman" w:eastAsia="Times New Roman" w:hAnsi="Times New Roman" w:cs="Times New Roman"/>
              </w:rPr>
              <w:t>2.746799</w:t>
            </w:r>
          </w:p>
        </w:tc>
      </w:tr>
      <w:tr w:rsidR="00F65389" w:rsidTr="005B419C">
        <w:tc>
          <w:tcPr>
            <w:tcW w:w="2317" w:type="dxa"/>
          </w:tcPr>
          <w:p w:rsidR="00F65389" w:rsidRDefault="00F65389">
            <w:pPr>
              <w:jc w:val="both"/>
              <w:rPr>
                <w:rFonts w:ascii="Times New Roman" w:eastAsia="Times New Roman" w:hAnsi="Times New Roman" w:cs="Times New Roman"/>
              </w:rPr>
            </w:pPr>
          </w:p>
        </w:tc>
        <w:tc>
          <w:tcPr>
            <w:tcW w:w="1404" w:type="dxa"/>
          </w:tcPr>
          <w:p w:rsidR="00F65389" w:rsidRDefault="00601CBA">
            <w:pPr>
              <w:jc w:val="both"/>
              <w:rPr>
                <w:rFonts w:ascii="Times New Roman" w:eastAsia="Times New Roman" w:hAnsi="Times New Roman" w:cs="Times New Roman"/>
              </w:rPr>
            </w:pPr>
            <w:r>
              <w:rPr>
                <w:rFonts w:ascii="Times New Roman" w:eastAsia="Times New Roman" w:hAnsi="Times New Roman" w:cs="Times New Roman"/>
              </w:rPr>
              <w:t>DER</w:t>
            </w:r>
          </w:p>
        </w:tc>
        <w:tc>
          <w:tcPr>
            <w:tcW w:w="1919" w:type="dxa"/>
          </w:tcPr>
          <w:p w:rsidR="00F65389" w:rsidRDefault="00F65389">
            <w:pPr>
              <w:jc w:val="both"/>
              <w:rPr>
                <w:rFonts w:ascii="Times New Roman" w:eastAsia="Times New Roman" w:hAnsi="Times New Roman" w:cs="Times New Roman"/>
              </w:rPr>
            </w:pPr>
          </w:p>
        </w:tc>
        <w:tc>
          <w:tcPr>
            <w:tcW w:w="1470" w:type="dxa"/>
          </w:tcPr>
          <w:p w:rsidR="00F65389" w:rsidRDefault="00F65389">
            <w:pPr>
              <w:jc w:val="both"/>
              <w:rPr>
                <w:rFonts w:ascii="Times New Roman" w:eastAsia="Times New Roman" w:hAnsi="Times New Roman" w:cs="Times New Roman"/>
              </w:rPr>
            </w:pPr>
          </w:p>
        </w:tc>
        <w:tc>
          <w:tcPr>
            <w:tcW w:w="2970" w:type="dxa"/>
          </w:tcPr>
          <w:p w:rsidR="00F65389" w:rsidRDefault="00601CBA">
            <w:pPr>
              <w:jc w:val="both"/>
              <w:rPr>
                <w:rFonts w:ascii="Times New Roman" w:eastAsia="Times New Roman" w:hAnsi="Times New Roman" w:cs="Times New Roman"/>
              </w:rPr>
            </w:pPr>
            <w:r>
              <w:rPr>
                <w:rFonts w:ascii="Times New Roman" w:eastAsia="Times New Roman" w:hAnsi="Times New Roman" w:cs="Times New Roman"/>
              </w:rPr>
              <w:t>1.942819</w:t>
            </w:r>
          </w:p>
        </w:tc>
      </w:tr>
      <w:tr w:rsidR="00F65389" w:rsidTr="005B419C">
        <w:tc>
          <w:tcPr>
            <w:tcW w:w="2317" w:type="dxa"/>
          </w:tcPr>
          <w:p w:rsidR="00F65389" w:rsidRDefault="00F65389">
            <w:pPr>
              <w:jc w:val="both"/>
              <w:rPr>
                <w:rFonts w:ascii="Times New Roman" w:eastAsia="Times New Roman" w:hAnsi="Times New Roman" w:cs="Times New Roman"/>
              </w:rPr>
            </w:pPr>
          </w:p>
        </w:tc>
        <w:tc>
          <w:tcPr>
            <w:tcW w:w="1404" w:type="dxa"/>
          </w:tcPr>
          <w:p w:rsidR="00F65389" w:rsidRDefault="00601CBA">
            <w:pPr>
              <w:jc w:val="both"/>
              <w:rPr>
                <w:rFonts w:ascii="Times New Roman" w:eastAsia="Times New Roman" w:hAnsi="Times New Roman" w:cs="Times New Roman"/>
              </w:rPr>
            </w:pPr>
            <w:r>
              <w:rPr>
                <w:rFonts w:ascii="Times New Roman" w:eastAsia="Times New Roman" w:hAnsi="Times New Roman" w:cs="Times New Roman"/>
              </w:rPr>
              <w:t>LOG(DAR)</w:t>
            </w:r>
          </w:p>
        </w:tc>
        <w:tc>
          <w:tcPr>
            <w:tcW w:w="1919" w:type="dxa"/>
          </w:tcPr>
          <w:p w:rsidR="00F65389" w:rsidRDefault="00F65389">
            <w:pPr>
              <w:jc w:val="both"/>
              <w:rPr>
                <w:rFonts w:ascii="Times New Roman" w:eastAsia="Times New Roman" w:hAnsi="Times New Roman" w:cs="Times New Roman"/>
              </w:rPr>
            </w:pPr>
          </w:p>
        </w:tc>
        <w:tc>
          <w:tcPr>
            <w:tcW w:w="1470" w:type="dxa"/>
          </w:tcPr>
          <w:p w:rsidR="00F65389" w:rsidRDefault="00F65389">
            <w:pPr>
              <w:jc w:val="both"/>
              <w:rPr>
                <w:rFonts w:ascii="Times New Roman" w:eastAsia="Times New Roman" w:hAnsi="Times New Roman" w:cs="Times New Roman"/>
              </w:rPr>
            </w:pPr>
          </w:p>
        </w:tc>
        <w:tc>
          <w:tcPr>
            <w:tcW w:w="2970" w:type="dxa"/>
          </w:tcPr>
          <w:p w:rsidR="00F65389" w:rsidRDefault="00601CBA">
            <w:pPr>
              <w:jc w:val="both"/>
              <w:rPr>
                <w:rFonts w:ascii="Times New Roman" w:eastAsia="Times New Roman" w:hAnsi="Times New Roman" w:cs="Times New Roman"/>
              </w:rPr>
            </w:pPr>
            <w:r>
              <w:rPr>
                <w:rFonts w:ascii="Times New Roman" w:eastAsia="Times New Roman" w:hAnsi="Times New Roman" w:cs="Times New Roman"/>
              </w:rPr>
              <w:t>1.833449</w:t>
            </w:r>
          </w:p>
        </w:tc>
      </w:tr>
      <w:tr w:rsidR="00F65389" w:rsidTr="005B419C">
        <w:tc>
          <w:tcPr>
            <w:tcW w:w="2317" w:type="dxa"/>
          </w:tcPr>
          <w:p w:rsidR="00F65389" w:rsidRDefault="00F65389">
            <w:pPr>
              <w:jc w:val="both"/>
              <w:rPr>
                <w:rFonts w:ascii="Times New Roman" w:eastAsia="Times New Roman" w:hAnsi="Times New Roman" w:cs="Times New Roman"/>
              </w:rPr>
            </w:pPr>
          </w:p>
        </w:tc>
        <w:tc>
          <w:tcPr>
            <w:tcW w:w="1404" w:type="dxa"/>
          </w:tcPr>
          <w:p w:rsidR="00F65389" w:rsidRDefault="00601CBA">
            <w:pPr>
              <w:jc w:val="both"/>
              <w:rPr>
                <w:rFonts w:ascii="Times New Roman" w:eastAsia="Times New Roman" w:hAnsi="Times New Roman" w:cs="Times New Roman"/>
              </w:rPr>
            </w:pPr>
            <w:r>
              <w:rPr>
                <w:rFonts w:ascii="Times New Roman" w:eastAsia="Times New Roman" w:hAnsi="Times New Roman" w:cs="Times New Roman"/>
              </w:rPr>
              <w:t>LOG(TIER)</w:t>
            </w:r>
          </w:p>
        </w:tc>
        <w:tc>
          <w:tcPr>
            <w:tcW w:w="1919" w:type="dxa"/>
          </w:tcPr>
          <w:p w:rsidR="00F65389" w:rsidRDefault="00F65389">
            <w:pPr>
              <w:jc w:val="both"/>
              <w:rPr>
                <w:rFonts w:ascii="Times New Roman" w:eastAsia="Times New Roman" w:hAnsi="Times New Roman" w:cs="Times New Roman"/>
              </w:rPr>
            </w:pPr>
          </w:p>
        </w:tc>
        <w:tc>
          <w:tcPr>
            <w:tcW w:w="1470" w:type="dxa"/>
          </w:tcPr>
          <w:p w:rsidR="00F65389" w:rsidRDefault="00F65389">
            <w:pPr>
              <w:jc w:val="both"/>
              <w:rPr>
                <w:rFonts w:ascii="Times New Roman" w:eastAsia="Times New Roman" w:hAnsi="Times New Roman" w:cs="Times New Roman"/>
              </w:rPr>
            </w:pPr>
          </w:p>
        </w:tc>
        <w:tc>
          <w:tcPr>
            <w:tcW w:w="2970" w:type="dxa"/>
          </w:tcPr>
          <w:p w:rsidR="00F65389" w:rsidRDefault="00601CBA">
            <w:pPr>
              <w:jc w:val="both"/>
              <w:rPr>
                <w:rFonts w:ascii="Times New Roman" w:eastAsia="Times New Roman" w:hAnsi="Times New Roman" w:cs="Times New Roman"/>
              </w:rPr>
            </w:pPr>
            <w:r>
              <w:rPr>
                <w:rFonts w:ascii="Times New Roman" w:eastAsia="Times New Roman" w:hAnsi="Times New Roman" w:cs="Times New Roman"/>
              </w:rPr>
              <w:t>2.683833</w:t>
            </w:r>
          </w:p>
        </w:tc>
      </w:tr>
    </w:tbl>
    <w:p w:rsidR="00F65389" w:rsidRDefault="00601CBA">
      <w:pPr>
        <w:spacing w:line="240" w:lineRule="auto"/>
        <w:jc w:val="both"/>
        <w:rPr>
          <w:rFonts w:ascii="Times New Roman" w:eastAsia="Times New Roman" w:hAnsi="Times New Roman" w:cs="Times New Roman"/>
        </w:rPr>
      </w:pPr>
      <w:r>
        <w:rPr>
          <w:rFonts w:ascii="Times New Roman" w:eastAsia="Times New Roman" w:hAnsi="Times New Roman" w:cs="Times New Roman"/>
          <w:i/>
        </w:rPr>
        <w:t>Source: Eview output, 2024</w:t>
      </w:r>
    </w:p>
    <w:p w:rsidR="00F65389" w:rsidRDefault="00F65389">
      <w:pPr>
        <w:spacing w:line="240" w:lineRule="auto"/>
        <w:jc w:val="both"/>
        <w:rPr>
          <w:rFonts w:ascii="Times New Roman" w:eastAsia="Times New Roman" w:hAnsi="Times New Roman" w:cs="Times New Roman"/>
        </w:rPr>
      </w:pPr>
    </w:p>
    <w:p w:rsidR="00F65389" w:rsidRPr="005B419C" w:rsidRDefault="00601CBA">
      <w:pPr>
        <w:spacing w:after="0" w:line="480" w:lineRule="auto"/>
        <w:jc w:val="both"/>
        <w:rPr>
          <w:rFonts w:ascii="Times New Roman" w:eastAsia="Times New Roman" w:hAnsi="Times New Roman" w:cs="Times New Roman"/>
          <w:b/>
        </w:rPr>
      </w:pPr>
      <w:r w:rsidRPr="005B419C">
        <w:rPr>
          <w:rFonts w:ascii="Times New Roman" w:eastAsia="Times New Roman" w:hAnsi="Times New Roman" w:cs="Times New Roman"/>
          <w:b/>
        </w:rPr>
        <w:t>Normality</w:t>
      </w:r>
    </w:p>
    <w:p w:rsidR="00F65389" w:rsidRDefault="00601CBA">
      <w:pPr>
        <w:spacing w:after="0" w:line="480" w:lineRule="auto"/>
        <w:jc w:val="both"/>
        <w:rPr>
          <w:rFonts w:ascii="Times New Roman" w:eastAsia="Times New Roman" w:hAnsi="Times New Roman" w:cs="Times New Roman"/>
        </w:rPr>
      </w:pPr>
      <w:r>
        <w:rPr>
          <w:rFonts w:ascii="Times New Roman" w:eastAsia="Times New Roman" w:hAnsi="Times New Roman" w:cs="Times New Roman"/>
        </w:rPr>
        <w:t>The Jarque-Bera test was run to check if the residuals from the model are normally shaped. With JB = 1.297 and p = .523, the test result shows that we do not reject the null. This means the residuals follow a normal pattern. This passes a key assumption for using t-tests and F-tests, which both rely on normal error terms for valid confidence levels. The histogram of the residuals also gives a visual nod to this outcome, as the shape appears centered, smooth, and bell-like with no large distortions or flat tails.</w:t>
      </w:r>
    </w:p>
    <w:p w:rsidR="00F65389" w:rsidRPr="005B419C" w:rsidRDefault="00601CBA">
      <w:pPr>
        <w:spacing w:after="0" w:line="480" w:lineRule="auto"/>
        <w:jc w:val="both"/>
        <w:rPr>
          <w:rFonts w:ascii="Times New Roman" w:eastAsia="Times New Roman" w:hAnsi="Times New Roman" w:cs="Times New Roman"/>
          <w:b/>
        </w:rPr>
      </w:pPr>
      <w:r w:rsidRPr="005B419C">
        <w:rPr>
          <w:rFonts w:ascii="Times New Roman" w:eastAsia="Times New Roman" w:hAnsi="Times New Roman" w:cs="Times New Roman"/>
          <w:b/>
        </w:rPr>
        <w:t>Serial Correlation (Autocorrelation)</w:t>
      </w:r>
    </w:p>
    <w:p w:rsidR="00F65389" w:rsidRDefault="00601CBA">
      <w:pPr>
        <w:spacing w:after="0" w:line="480" w:lineRule="auto"/>
        <w:jc w:val="both"/>
        <w:rPr>
          <w:rFonts w:ascii="Times New Roman" w:eastAsia="Times New Roman" w:hAnsi="Times New Roman" w:cs="Times New Roman"/>
        </w:rPr>
      </w:pPr>
      <w:r>
        <w:rPr>
          <w:rFonts w:ascii="Times New Roman" w:eastAsia="Times New Roman" w:hAnsi="Times New Roman" w:cs="Times New Roman"/>
        </w:rPr>
        <w:t>To test if the error terms are connected over time, the Breusch-Godfrey LM test was applied. It checks whether residuals from the model are influenced by their own lagged versions. Using two lags, the test produced F(2,5) = 1.141 and p = .391. Since the p-value is above .05, the null that assumes no serial correlation cannot be rejected. This means the model does not leave behind any repeating error signals. The Durbin-Watson statistic added backup to this view, showing a value of 1.951, which stays close to the ideal 2. This combination confirms that the model explains the trend without leaving cycles or delay-based errors behind.</w:t>
      </w:r>
    </w:p>
    <w:p w:rsidR="00F65389" w:rsidRPr="005B419C" w:rsidRDefault="00601CBA">
      <w:pPr>
        <w:spacing w:after="0" w:line="480" w:lineRule="auto"/>
        <w:jc w:val="both"/>
        <w:rPr>
          <w:rFonts w:ascii="Times New Roman" w:eastAsia="Times New Roman" w:hAnsi="Times New Roman" w:cs="Times New Roman"/>
          <w:b/>
        </w:rPr>
      </w:pPr>
      <w:r w:rsidRPr="005B419C">
        <w:rPr>
          <w:rFonts w:ascii="Times New Roman" w:eastAsia="Times New Roman" w:hAnsi="Times New Roman" w:cs="Times New Roman"/>
          <w:b/>
        </w:rPr>
        <w:t>Heteroskedasticity</w:t>
      </w:r>
    </w:p>
    <w:p w:rsidR="00F65389" w:rsidRDefault="00601CBA">
      <w:pPr>
        <w:spacing w:after="0" w:line="480" w:lineRule="auto"/>
        <w:jc w:val="both"/>
        <w:rPr>
          <w:rFonts w:ascii="Times New Roman" w:eastAsia="Times New Roman" w:hAnsi="Times New Roman" w:cs="Times New Roman"/>
        </w:rPr>
      </w:pPr>
      <w:r>
        <w:rPr>
          <w:rFonts w:ascii="Times New Roman" w:eastAsia="Times New Roman" w:hAnsi="Times New Roman" w:cs="Times New Roman"/>
        </w:rPr>
        <w:t>The Breusch-Pagan-Godfrey test was used to check if the spread of the error terms stays consistent across all levels of predictions. This test gave F(4,7) = 0.281 with p = .881. Again, since the p-value is high, we do not reject the null, which states that the variance of residuals stays constant. This outcome means the regression errors are homoscedastic. In practical terms, it shows that predictions from the model are equally strong whether the input values are high or low. There is no sign that errors widen or tighten based on the size of the predicted variable.</w:t>
      </w:r>
    </w:p>
    <w:p w:rsidR="005B419C" w:rsidRDefault="005B419C">
      <w:pPr>
        <w:spacing w:after="0" w:line="480" w:lineRule="auto"/>
        <w:jc w:val="both"/>
        <w:rPr>
          <w:rFonts w:ascii="Times New Roman" w:eastAsia="Times New Roman" w:hAnsi="Times New Roman" w:cs="Times New Roman"/>
          <w:b/>
        </w:rPr>
      </w:pPr>
    </w:p>
    <w:p w:rsidR="00F65389" w:rsidRPr="005B419C" w:rsidRDefault="00601CBA">
      <w:pPr>
        <w:spacing w:after="0" w:line="480" w:lineRule="auto"/>
        <w:jc w:val="both"/>
        <w:rPr>
          <w:rFonts w:ascii="Times New Roman" w:eastAsia="Times New Roman" w:hAnsi="Times New Roman" w:cs="Times New Roman"/>
          <w:b/>
        </w:rPr>
      </w:pPr>
      <w:r w:rsidRPr="005B419C">
        <w:rPr>
          <w:rFonts w:ascii="Times New Roman" w:eastAsia="Times New Roman" w:hAnsi="Times New Roman" w:cs="Times New Roman"/>
          <w:b/>
        </w:rPr>
        <w:t>Multicollinearity</w:t>
      </w:r>
    </w:p>
    <w:p w:rsidR="00F65389" w:rsidRDefault="00601CBA">
      <w:pPr>
        <w:spacing w:after="0" w:line="480" w:lineRule="auto"/>
        <w:jc w:val="both"/>
        <w:rPr>
          <w:rFonts w:ascii="Times New Roman" w:eastAsia="Times New Roman" w:hAnsi="Times New Roman" w:cs="Times New Roman"/>
        </w:rPr>
      </w:pPr>
      <w:r>
        <w:rPr>
          <w:rFonts w:ascii="Times New Roman" w:eastAsia="Times New Roman" w:hAnsi="Times New Roman" w:cs="Times New Roman"/>
        </w:rPr>
        <w:t>To test if the predictor variables are overlapping too much in what they explain, the Variance Inflation Factor (VIF) was used. A VIF above 10 usually signals trouble. In this model, all VIF values came in under 3. LOG(ICR) had the highest at 2.75, followed closely by LOG(TIER) at 2.68. These two are structurally linked, so the close range makes sense. DER and LOG(DAR) showed even lower VIFs of 1.94 and 1.83. This means that although some variables have shared ground, none are driving redundancy to a risky level. The variables all offer distinct inputs to the model without inflating the error bounds.</w:t>
      </w:r>
    </w:p>
    <w:p w:rsidR="00F65389" w:rsidRPr="005B419C" w:rsidRDefault="00601CBA">
      <w:pPr>
        <w:spacing w:after="0" w:line="480" w:lineRule="auto"/>
        <w:jc w:val="both"/>
        <w:rPr>
          <w:rFonts w:ascii="Times New Roman" w:eastAsia="Times New Roman" w:hAnsi="Times New Roman" w:cs="Times New Roman"/>
          <w:b/>
        </w:rPr>
      </w:pPr>
      <w:r w:rsidRPr="005B419C">
        <w:rPr>
          <w:rFonts w:ascii="Times New Roman" w:eastAsia="Times New Roman" w:hAnsi="Times New Roman" w:cs="Times New Roman"/>
          <w:b/>
        </w:rPr>
        <w:t>Overall</w:t>
      </w:r>
    </w:p>
    <w:p w:rsidR="00F65389" w:rsidRDefault="00601CBA">
      <w:pPr>
        <w:spacing w:after="0" w:line="480" w:lineRule="auto"/>
        <w:jc w:val="both"/>
        <w:rPr>
          <w:rFonts w:ascii="Times New Roman" w:eastAsia="Times New Roman" w:hAnsi="Times New Roman" w:cs="Times New Roman"/>
        </w:rPr>
      </w:pPr>
      <w:r>
        <w:rPr>
          <w:rFonts w:ascii="Times New Roman" w:eastAsia="Times New Roman" w:hAnsi="Times New Roman" w:cs="Times New Roman"/>
        </w:rPr>
        <w:t>The four key diagnostics clear the model for statistical use. The residuals move like a normal curve, they do not echo past values, they spread evenly, and the predictor variables are not stepping on each other’s toes. With all major assumptions intact, the OLS model structure is sound. The results can be trusted to show how different solvency signals connect with changes in Nestlé Nigeria’s financial performance.</w:t>
      </w:r>
    </w:p>
    <w:p w:rsidR="00F65389" w:rsidRDefault="00601CBA">
      <w:pPr>
        <w:pStyle w:val="Heading2"/>
        <w:spacing w:before="0" w:after="0" w:line="480" w:lineRule="auto"/>
        <w:jc w:val="both"/>
        <w:rPr>
          <w:rFonts w:ascii="Times New Roman" w:eastAsia="Times New Roman" w:hAnsi="Times New Roman" w:cs="Times New Roman"/>
          <w:b/>
          <w:color w:val="000000"/>
          <w:sz w:val="24"/>
          <w:szCs w:val="24"/>
        </w:rPr>
      </w:pPr>
      <w:bookmarkStart w:id="9" w:name="_4epn278yj92e" w:colFirst="0" w:colLast="0"/>
      <w:bookmarkEnd w:id="9"/>
      <w:r>
        <w:rPr>
          <w:rFonts w:ascii="Times New Roman" w:eastAsia="Times New Roman" w:hAnsi="Times New Roman" w:cs="Times New Roman"/>
          <w:b/>
          <w:color w:val="000000"/>
          <w:sz w:val="24"/>
          <w:szCs w:val="24"/>
        </w:rPr>
        <w:t>4.4 Regression Analysis</w:t>
      </w:r>
    </w:p>
    <w:p w:rsidR="00F65389" w:rsidRDefault="00601CBA">
      <w:pPr>
        <w:spacing w:line="240" w:lineRule="auto"/>
        <w:jc w:val="both"/>
        <w:rPr>
          <w:rFonts w:ascii="Times New Roman" w:eastAsia="Times New Roman" w:hAnsi="Times New Roman" w:cs="Times New Roman"/>
        </w:rPr>
      </w:pPr>
      <w:r>
        <w:rPr>
          <w:rFonts w:ascii="Times New Roman" w:eastAsia="Times New Roman" w:hAnsi="Times New Roman" w:cs="Times New Roman"/>
          <w:b/>
        </w:rPr>
        <w:t xml:space="preserve">Table 7: </w:t>
      </w:r>
      <w:r>
        <w:rPr>
          <w:rFonts w:ascii="Times New Roman" w:eastAsia="Times New Roman" w:hAnsi="Times New Roman" w:cs="Times New Roman"/>
        </w:rPr>
        <w:t>OLS Regression Results with Return on Assets (ROA) as Dependent Variable</w:t>
      </w:r>
    </w:p>
    <w:tbl>
      <w:tblPr>
        <w:tblStyle w:val="TableGrid"/>
        <w:tblW w:w="9360" w:type="dxa"/>
        <w:tblBorders>
          <w:left w:val="none" w:sz="0" w:space="0" w:color="auto"/>
          <w:right w:val="none" w:sz="0" w:space="0" w:color="auto"/>
          <w:insideH w:val="none" w:sz="0" w:space="0" w:color="auto"/>
          <w:insideV w:val="none" w:sz="0" w:space="0" w:color="auto"/>
        </w:tblBorders>
        <w:tblLayout w:type="fixed"/>
        <w:tblLook w:val="0600" w:firstRow="0" w:lastRow="0" w:firstColumn="0" w:lastColumn="0" w:noHBand="1" w:noVBand="1"/>
      </w:tblPr>
      <w:tblGrid>
        <w:gridCol w:w="1872"/>
        <w:gridCol w:w="1872"/>
        <w:gridCol w:w="1872"/>
        <w:gridCol w:w="1872"/>
        <w:gridCol w:w="1872"/>
      </w:tblGrid>
      <w:tr w:rsidR="00F65389" w:rsidTr="005B419C">
        <w:tc>
          <w:tcPr>
            <w:tcW w:w="1872" w:type="dxa"/>
            <w:tcBorders>
              <w:top w:val="single" w:sz="4" w:space="0" w:color="auto"/>
              <w:bottom w:val="single" w:sz="4" w:space="0" w:color="auto"/>
            </w:tcBorders>
          </w:tcPr>
          <w:p w:rsidR="00F65389" w:rsidRDefault="00601CBA">
            <w:pPr>
              <w:jc w:val="both"/>
              <w:rPr>
                <w:rFonts w:ascii="Times New Roman" w:eastAsia="Times New Roman" w:hAnsi="Times New Roman" w:cs="Times New Roman"/>
                <w:b/>
              </w:rPr>
            </w:pPr>
            <w:r>
              <w:rPr>
                <w:rFonts w:ascii="Times New Roman" w:eastAsia="Times New Roman" w:hAnsi="Times New Roman" w:cs="Times New Roman"/>
                <w:b/>
              </w:rPr>
              <w:t>Variable</w:t>
            </w:r>
          </w:p>
        </w:tc>
        <w:tc>
          <w:tcPr>
            <w:tcW w:w="1872" w:type="dxa"/>
            <w:tcBorders>
              <w:top w:val="single" w:sz="4" w:space="0" w:color="auto"/>
              <w:bottom w:val="single" w:sz="4" w:space="0" w:color="auto"/>
            </w:tcBorders>
          </w:tcPr>
          <w:p w:rsidR="00F65389" w:rsidRDefault="00601CBA">
            <w:pPr>
              <w:jc w:val="both"/>
              <w:rPr>
                <w:rFonts w:ascii="Times New Roman" w:eastAsia="Times New Roman" w:hAnsi="Times New Roman" w:cs="Times New Roman"/>
                <w:b/>
              </w:rPr>
            </w:pPr>
            <w:r>
              <w:rPr>
                <w:rFonts w:ascii="Times New Roman" w:eastAsia="Times New Roman" w:hAnsi="Times New Roman" w:cs="Times New Roman"/>
                <w:b/>
              </w:rPr>
              <w:t>Coefficient</w:t>
            </w:r>
          </w:p>
        </w:tc>
        <w:tc>
          <w:tcPr>
            <w:tcW w:w="1872" w:type="dxa"/>
            <w:tcBorders>
              <w:top w:val="single" w:sz="4" w:space="0" w:color="auto"/>
              <w:bottom w:val="single" w:sz="4" w:space="0" w:color="auto"/>
            </w:tcBorders>
          </w:tcPr>
          <w:p w:rsidR="00F65389" w:rsidRDefault="00601CBA">
            <w:pPr>
              <w:jc w:val="both"/>
              <w:rPr>
                <w:rFonts w:ascii="Times New Roman" w:eastAsia="Times New Roman" w:hAnsi="Times New Roman" w:cs="Times New Roman"/>
                <w:b/>
              </w:rPr>
            </w:pPr>
            <w:r>
              <w:rPr>
                <w:rFonts w:ascii="Times New Roman" w:eastAsia="Times New Roman" w:hAnsi="Times New Roman" w:cs="Times New Roman"/>
                <w:b/>
              </w:rPr>
              <w:t>Std. Error</w:t>
            </w:r>
          </w:p>
        </w:tc>
        <w:tc>
          <w:tcPr>
            <w:tcW w:w="1872" w:type="dxa"/>
            <w:tcBorders>
              <w:top w:val="single" w:sz="4" w:space="0" w:color="auto"/>
              <w:bottom w:val="single" w:sz="4" w:space="0" w:color="auto"/>
            </w:tcBorders>
          </w:tcPr>
          <w:p w:rsidR="00F65389" w:rsidRDefault="00601CBA">
            <w:pPr>
              <w:jc w:val="both"/>
              <w:rPr>
                <w:rFonts w:ascii="Times New Roman" w:eastAsia="Times New Roman" w:hAnsi="Times New Roman" w:cs="Times New Roman"/>
                <w:b/>
              </w:rPr>
            </w:pPr>
            <w:r>
              <w:rPr>
                <w:rFonts w:ascii="Times New Roman" w:eastAsia="Times New Roman" w:hAnsi="Times New Roman" w:cs="Times New Roman"/>
                <w:b/>
              </w:rPr>
              <w:t>t-Statistic</w:t>
            </w:r>
          </w:p>
        </w:tc>
        <w:tc>
          <w:tcPr>
            <w:tcW w:w="1872" w:type="dxa"/>
            <w:tcBorders>
              <w:top w:val="single" w:sz="4" w:space="0" w:color="auto"/>
              <w:bottom w:val="single" w:sz="4" w:space="0" w:color="auto"/>
            </w:tcBorders>
          </w:tcPr>
          <w:p w:rsidR="00F65389" w:rsidRDefault="00601CBA">
            <w:pPr>
              <w:jc w:val="both"/>
              <w:rPr>
                <w:rFonts w:ascii="Times New Roman" w:eastAsia="Times New Roman" w:hAnsi="Times New Roman" w:cs="Times New Roman"/>
                <w:b/>
              </w:rPr>
            </w:pPr>
            <w:r>
              <w:rPr>
                <w:rFonts w:ascii="Times New Roman" w:eastAsia="Times New Roman" w:hAnsi="Times New Roman" w:cs="Times New Roman"/>
                <w:b/>
              </w:rPr>
              <w:t>Prob.</w:t>
            </w:r>
          </w:p>
        </w:tc>
      </w:tr>
      <w:tr w:rsidR="00F65389" w:rsidTr="005B419C">
        <w:tc>
          <w:tcPr>
            <w:tcW w:w="1872" w:type="dxa"/>
            <w:tcBorders>
              <w:top w:val="single" w:sz="4" w:space="0" w:color="auto"/>
            </w:tcBorders>
          </w:tcPr>
          <w:p w:rsidR="00F65389" w:rsidRDefault="00601CBA">
            <w:pPr>
              <w:jc w:val="both"/>
              <w:rPr>
                <w:rFonts w:ascii="Times New Roman" w:eastAsia="Times New Roman" w:hAnsi="Times New Roman" w:cs="Times New Roman"/>
              </w:rPr>
            </w:pPr>
            <w:r>
              <w:rPr>
                <w:rFonts w:ascii="Times New Roman" w:eastAsia="Times New Roman" w:hAnsi="Times New Roman" w:cs="Times New Roman"/>
              </w:rPr>
              <w:t>LOG(ICR)</w:t>
            </w:r>
          </w:p>
        </w:tc>
        <w:tc>
          <w:tcPr>
            <w:tcW w:w="1872" w:type="dxa"/>
            <w:tcBorders>
              <w:top w:val="single" w:sz="4" w:space="0" w:color="auto"/>
            </w:tcBorders>
          </w:tcPr>
          <w:p w:rsidR="00F65389" w:rsidRDefault="00601CBA">
            <w:pPr>
              <w:jc w:val="both"/>
              <w:rPr>
                <w:rFonts w:ascii="Times New Roman" w:eastAsia="Times New Roman" w:hAnsi="Times New Roman" w:cs="Times New Roman"/>
              </w:rPr>
            </w:pPr>
            <w:r>
              <w:rPr>
                <w:rFonts w:ascii="Times New Roman" w:eastAsia="Times New Roman" w:hAnsi="Times New Roman" w:cs="Times New Roman"/>
              </w:rPr>
              <w:t>0.172946</w:t>
            </w:r>
          </w:p>
        </w:tc>
        <w:tc>
          <w:tcPr>
            <w:tcW w:w="1872" w:type="dxa"/>
            <w:tcBorders>
              <w:top w:val="single" w:sz="4" w:space="0" w:color="auto"/>
            </w:tcBorders>
          </w:tcPr>
          <w:p w:rsidR="00F65389" w:rsidRDefault="00601CBA">
            <w:pPr>
              <w:jc w:val="both"/>
              <w:rPr>
                <w:rFonts w:ascii="Times New Roman" w:eastAsia="Times New Roman" w:hAnsi="Times New Roman" w:cs="Times New Roman"/>
              </w:rPr>
            </w:pPr>
            <w:r>
              <w:rPr>
                <w:rFonts w:ascii="Times New Roman" w:eastAsia="Times New Roman" w:hAnsi="Times New Roman" w:cs="Times New Roman"/>
              </w:rPr>
              <w:t>0.056906</w:t>
            </w:r>
          </w:p>
        </w:tc>
        <w:tc>
          <w:tcPr>
            <w:tcW w:w="1872" w:type="dxa"/>
            <w:tcBorders>
              <w:top w:val="single" w:sz="4" w:space="0" w:color="auto"/>
            </w:tcBorders>
          </w:tcPr>
          <w:p w:rsidR="00F65389" w:rsidRDefault="00601CBA">
            <w:pPr>
              <w:jc w:val="both"/>
              <w:rPr>
                <w:rFonts w:ascii="Times New Roman" w:eastAsia="Times New Roman" w:hAnsi="Times New Roman" w:cs="Times New Roman"/>
              </w:rPr>
            </w:pPr>
            <w:r>
              <w:rPr>
                <w:rFonts w:ascii="Times New Roman" w:eastAsia="Times New Roman" w:hAnsi="Times New Roman" w:cs="Times New Roman"/>
              </w:rPr>
              <w:t>3.039167</w:t>
            </w:r>
          </w:p>
        </w:tc>
        <w:tc>
          <w:tcPr>
            <w:tcW w:w="1872" w:type="dxa"/>
            <w:tcBorders>
              <w:top w:val="single" w:sz="4" w:space="0" w:color="auto"/>
            </w:tcBorders>
          </w:tcPr>
          <w:p w:rsidR="00F65389" w:rsidRDefault="00601CBA">
            <w:pPr>
              <w:jc w:val="both"/>
              <w:rPr>
                <w:rFonts w:ascii="Times New Roman" w:eastAsia="Times New Roman" w:hAnsi="Times New Roman" w:cs="Times New Roman"/>
              </w:rPr>
            </w:pPr>
            <w:r>
              <w:rPr>
                <w:rFonts w:ascii="Times New Roman" w:eastAsia="Times New Roman" w:hAnsi="Times New Roman" w:cs="Times New Roman"/>
              </w:rPr>
              <w:t>0.0189</w:t>
            </w:r>
          </w:p>
        </w:tc>
      </w:tr>
      <w:tr w:rsidR="00F65389" w:rsidTr="005B419C">
        <w:tc>
          <w:tcPr>
            <w:tcW w:w="1872" w:type="dxa"/>
          </w:tcPr>
          <w:p w:rsidR="00F65389" w:rsidRDefault="00601CBA">
            <w:pPr>
              <w:jc w:val="both"/>
              <w:rPr>
                <w:rFonts w:ascii="Times New Roman" w:eastAsia="Times New Roman" w:hAnsi="Times New Roman" w:cs="Times New Roman"/>
              </w:rPr>
            </w:pPr>
            <w:r>
              <w:rPr>
                <w:rFonts w:ascii="Times New Roman" w:eastAsia="Times New Roman" w:hAnsi="Times New Roman" w:cs="Times New Roman"/>
              </w:rPr>
              <w:t>DER</w:t>
            </w:r>
          </w:p>
        </w:tc>
        <w:tc>
          <w:tcPr>
            <w:tcW w:w="1872" w:type="dxa"/>
          </w:tcPr>
          <w:p w:rsidR="00F65389" w:rsidRDefault="00601CBA">
            <w:pPr>
              <w:jc w:val="both"/>
              <w:rPr>
                <w:rFonts w:ascii="Times New Roman" w:eastAsia="Times New Roman" w:hAnsi="Times New Roman" w:cs="Times New Roman"/>
              </w:rPr>
            </w:pPr>
            <w:r>
              <w:rPr>
                <w:rFonts w:ascii="Times New Roman" w:eastAsia="Times New Roman" w:hAnsi="Times New Roman" w:cs="Times New Roman"/>
              </w:rPr>
              <w:t>0.051343</w:t>
            </w:r>
          </w:p>
        </w:tc>
        <w:tc>
          <w:tcPr>
            <w:tcW w:w="1872" w:type="dxa"/>
          </w:tcPr>
          <w:p w:rsidR="00F65389" w:rsidRDefault="00601CBA">
            <w:pPr>
              <w:jc w:val="both"/>
              <w:rPr>
                <w:rFonts w:ascii="Times New Roman" w:eastAsia="Times New Roman" w:hAnsi="Times New Roman" w:cs="Times New Roman"/>
              </w:rPr>
            </w:pPr>
            <w:r>
              <w:rPr>
                <w:rFonts w:ascii="Times New Roman" w:eastAsia="Times New Roman" w:hAnsi="Times New Roman" w:cs="Times New Roman"/>
              </w:rPr>
              <w:t>0.015549</w:t>
            </w:r>
          </w:p>
        </w:tc>
        <w:tc>
          <w:tcPr>
            <w:tcW w:w="1872" w:type="dxa"/>
          </w:tcPr>
          <w:p w:rsidR="00F65389" w:rsidRDefault="00601CBA">
            <w:pPr>
              <w:jc w:val="both"/>
              <w:rPr>
                <w:rFonts w:ascii="Times New Roman" w:eastAsia="Times New Roman" w:hAnsi="Times New Roman" w:cs="Times New Roman"/>
              </w:rPr>
            </w:pPr>
            <w:r>
              <w:rPr>
                <w:rFonts w:ascii="Times New Roman" w:eastAsia="Times New Roman" w:hAnsi="Times New Roman" w:cs="Times New Roman"/>
              </w:rPr>
              <w:t>3.301944</w:t>
            </w:r>
          </w:p>
        </w:tc>
        <w:tc>
          <w:tcPr>
            <w:tcW w:w="1872" w:type="dxa"/>
          </w:tcPr>
          <w:p w:rsidR="00F65389" w:rsidRDefault="00601CBA">
            <w:pPr>
              <w:jc w:val="both"/>
              <w:rPr>
                <w:rFonts w:ascii="Times New Roman" w:eastAsia="Times New Roman" w:hAnsi="Times New Roman" w:cs="Times New Roman"/>
              </w:rPr>
            </w:pPr>
            <w:r>
              <w:rPr>
                <w:rFonts w:ascii="Times New Roman" w:eastAsia="Times New Roman" w:hAnsi="Times New Roman" w:cs="Times New Roman"/>
              </w:rPr>
              <w:t>0.0131</w:t>
            </w:r>
          </w:p>
        </w:tc>
      </w:tr>
      <w:tr w:rsidR="00F65389" w:rsidTr="005B419C">
        <w:tc>
          <w:tcPr>
            <w:tcW w:w="1872" w:type="dxa"/>
          </w:tcPr>
          <w:p w:rsidR="00F65389" w:rsidRDefault="00601CBA">
            <w:pPr>
              <w:jc w:val="both"/>
              <w:rPr>
                <w:rFonts w:ascii="Times New Roman" w:eastAsia="Times New Roman" w:hAnsi="Times New Roman" w:cs="Times New Roman"/>
              </w:rPr>
            </w:pPr>
            <w:r>
              <w:rPr>
                <w:rFonts w:ascii="Times New Roman" w:eastAsia="Times New Roman" w:hAnsi="Times New Roman" w:cs="Times New Roman"/>
              </w:rPr>
              <w:t>LOG(DAR)</w:t>
            </w:r>
          </w:p>
        </w:tc>
        <w:tc>
          <w:tcPr>
            <w:tcW w:w="1872" w:type="dxa"/>
          </w:tcPr>
          <w:p w:rsidR="00F65389" w:rsidRDefault="00601CBA">
            <w:pPr>
              <w:jc w:val="both"/>
              <w:rPr>
                <w:rFonts w:ascii="Times New Roman" w:eastAsia="Times New Roman" w:hAnsi="Times New Roman" w:cs="Times New Roman"/>
              </w:rPr>
            </w:pPr>
            <w:r>
              <w:rPr>
                <w:rFonts w:ascii="Times New Roman" w:eastAsia="Times New Roman" w:hAnsi="Times New Roman" w:cs="Times New Roman"/>
              </w:rPr>
              <w:t>-0.185136</w:t>
            </w:r>
          </w:p>
        </w:tc>
        <w:tc>
          <w:tcPr>
            <w:tcW w:w="1872" w:type="dxa"/>
          </w:tcPr>
          <w:p w:rsidR="00F65389" w:rsidRDefault="00601CBA">
            <w:pPr>
              <w:jc w:val="both"/>
              <w:rPr>
                <w:rFonts w:ascii="Times New Roman" w:eastAsia="Times New Roman" w:hAnsi="Times New Roman" w:cs="Times New Roman"/>
              </w:rPr>
            </w:pPr>
            <w:r>
              <w:rPr>
                <w:rFonts w:ascii="Times New Roman" w:eastAsia="Times New Roman" w:hAnsi="Times New Roman" w:cs="Times New Roman"/>
              </w:rPr>
              <w:t>0.146835</w:t>
            </w:r>
          </w:p>
        </w:tc>
        <w:tc>
          <w:tcPr>
            <w:tcW w:w="1872" w:type="dxa"/>
          </w:tcPr>
          <w:p w:rsidR="00F65389" w:rsidRDefault="00601CBA">
            <w:pPr>
              <w:jc w:val="both"/>
              <w:rPr>
                <w:rFonts w:ascii="Times New Roman" w:eastAsia="Times New Roman" w:hAnsi="Times New Roman" w:cs="Times New Roman"/>
              </w:rPr>
            </w:pPr>
            <w:r>
              <w:rPr>
                <w:rFonts w:ascii="Times New Roman" w:eastAsia="Times New Roman" w:hAnsi="Times New Roman" w:cs="Times New Roman"/>
              </w:rPr>
              <w:t>-1.260841</w:t>
            </w:r>
          </w:p>
        </w:tc>
        <w:tc>
          <w:tcPr>
            <w:tcW w:w="1872" w:type="dxa"/>
          </w:tcPr>
          <w:p w:rsidR="00F65389" w:rsidRDefault="00601CBA">
            <w:pPr>
              <w:jc w:val="both"/>
              <w:rPr>
                <w:rFonts w:ascii="Times New Roman" w:eastAsia="Times New Roman" w:hAnsi="Times New Roman" w:cs="Times New Roman"/>
              </w:rPr>
            </w:pPr>
            <w:r>
              <w:rPr>
                <w:rFonts w:ascii="Times New Roman" w:eastAsia="Times New Roman" w:hAnsi="Times New Roman" w:cs="Times New Roman"/>
              </w:rPr>
              <w:t>0.2478</w:t>
            </w:r>
          </w:p>
        </w:tc>
      </w:tr>
      <w:tr w:rsidR="00F65389" w:rsidTr="005B419C">
        <w:tc>
          <w:tcPr>
            <w:tcW w:w="1872" w:type="dxa"/>
          </w:tcPr>
          <w:p w:rsidR="00F65389" w:rsidRDefault="00601CBA">
            <w:pPr>
              <w:jc w:val="both"/>
              <w:rPr>
                <w:rFonts w:ascii="Times New Roman" w:eastAsia="Times New Roman" w:hAnsi="Times New Roman" w:cs="Times New Roman"/>
              </w:rPr>
            </w:pPr>
            <w:r>
              <w:rPr>
                <w:rFonts w:ascii="Times New Roman" w:eastAsia="Times New Roman" w:hAnsi="Times New Roman" w:cs="Times New Roman"/>
              </w:rPr>
              <w:t>LOG(TIER)</w:t>
            </w:r>
          </w:p>
        </w:tc>
        <w:tc>
          <w:tcPr>
            <w:tcW w:w="1872" w:type="dxa"/>
          </w:tcPr>
          <w:p w:rsidR="00F65389" w:rsidRDefault="00601CBA">
            <w:pPr>
              <w:jc w:val="both"/>
              <w:rPr>
                <w:rFonts w:ascii="Times New Roman" w:eastAsia="Times New Roman" w:hAnsi="Times New Roman" w:cs="Times New Roman"/>
              </w:rPr>
            </w:pPr>
            <w:r>
              <w:rPr>
                <w:rFonts w:ascii="Times New Roman" w:eastAsia="Times New Roman" w:hAnsi="Times New Roman" w:cs="Times New Roman"/>
              </w:rPr>
              <w:t>0.065319</w:t>
            </w:r>
          </w:p>
        </w:tc>
        <w:tc>
          <w:tcPr>
            <w:tcW w:w="1872" w:type="dxa"/>
          </w:tcPr>
          <w:p w:rsidR="00F65389" w:rsidRDefault="00601CBA">
            <w:pPr>
              <w:jc w:val="both"/>
              <w:rPr>
                <w:rFonts w:ascii="Times New Roman" w:eastAsia="Times New Roman" w:hAnsi="Times New Roman" w:cs="Times New Roman"/>
              </w:rPr>
            </w:pPr>
            <w:r>
              <w:rPr>
                <w:rFonts w:ascii="Times New Roman" w:eastAsia="Times New Roman" w:hAnsi="Times New Roman" w:cs="Times New Roman"/>
              </w:rPr>
              <w:t>0.094564</w:t>
            </w:r>
          </w:p>
        </w:tc>
        <w:tc>
          <w:tcPr>
            <w:tcW w:w="1872" w:type="dxa"/>
          </w:tcPr>
          <w:p w:rsidR="00F65389" w:rsidRDefault="00601CBA">
            <w:pPr>
              <w:jc w:val="both"/>
              <w:rPr>
                <w:rFonts w:ascii="Times New Roman" w:eastAsia="Times New Roman" w:hAnsi="Times New Roman" w:cs="Times New Roman"/>
              </w:rPr>
            </w:pPr>
            <w:r>
              <w:rPr>
                <w:rFonts w:ascii="Times New Roman" w:eastAsia="Times New Roman" w:hAnsi="Times New Roman" w:cs="Times New Roman"/>
              </w:rPr>
              <w:t>0.690737</w:t>
            </w:r>
          </w:p>
        </w:tc>
        <w:tc>
          <w:tcPr>
            <w:tcW w:w="1872" w:type="dxa"/>
          </w:tcPr>
          <w:p w:rsidR="00F65389" w:rsidRDefault="00601CBA">
            <w:pPr>
              <w:jc w:val="both"/>
              <w:rPr>
                <w:rFonts w:ascii="Times New Roman" w:eastAsia="Times New Roman" w:hAnsi="Times New Roman" w:cs="Times New Roman"/>
              </w:rPr>
            </w:pPr>
            <w:r>
              <w:rPr>
                <w:rFonts w:ascii="Times New Roman" w:eastAsia="Times New Roman" w:hAnsi="Times New Roman" w:cs="Times New Roman"/>
              </w:rPr>
              <w:t>0.5120</w:t>
            </w:r>
          </w:p>
        </w:tc>
      </w:tr>
      <w:tr w:rsidR="00F65389" w:rsidTr="005B419C">
        <w:tc>
          <w:tcPr>
            <w:tcW w:w="1872" w:type="dxa"/>
          </w:tcPr>
          <w:p w:rsidR="00F65389" w:rsidRDefault="00601CBA">
            <w:pPr>
              <w:jc w:val="both"/>
              <w:rPr>
                <w:rFonts w:ascii="Times New Roman" w:eastAsia="Times New Roman" w:hAnsi="Times New Roman" w:cs="Times New Roman"/>
              </w:rPr>
            </w:pPr>
            <w:r>
              <w:rPr>
                <w:rFonts w:ascii="Times New Roman" w:eastAsia="Times New Roman" w:hAnsi="Times New Roman" w:cs="Times New Roman"/>
              </w:rPr>
              <w:t>C</w:t>
            </w:r>
          </w:p>
        </w:tc>
        <w:tc>
          <w:tcPr>
            <w:tcW w:w="1872" w:type="dxa"/>
          </w:tcPr>
          <w:p w:rsidR="00F65389" w:rsidRDefault="00601CBA">
            <w:pPr>
              <w:jc w:val="both"/>
              <w:rPr>
                <w:rFonts w:ascii="Times New Roman" w:eastAsia="Times New Roman" w:hAnsi="Times New Roman" w:cs="Times New Roman"/>
              </w:rPr>
            </w:pPr>
            <w:r>
              <w:rPr>
                <w:rFonts w:ascii="Times New Roman" w:eastAsia="Times New Roman" w:hAnsi="Times New Roman" w:cs="Times New Roman"/>
              </w:rPr>
              <w:t>-0.514668</w:t>
            </w:r>
          </w:p>
        </w:tc>
        <w:tc>
          <w:tcPr>
            <w:tcW w:w="1872" w:type="dxa"/>
          </w:tcPr>
          <w:p w:rsidR="00F65389" w:rsidRDefault="00601CBA">
            <w:pPr>
              <w:jc w:val="both"/>
              <w:rPr>
                <w:rFonts w:ascii="Times New Roman" w:eastAsia="Times New Roman" w:hAnsi="Times New Roman" w:cs="Times New Roman"/>
              </w:rPr>
            </w:pPr>
            <w:r>
              <w:rPr>
                <w:rFonts w:ascii="Times New Roman" w:eastAsia="Times New Roman" w:hAnsi="Times New Roman" w:cs="Times New Roman"/>
              </w:rPr>
              <w:t>0.166090</w:t>
            </w:r>
          </w:p>
        </w:tc>
        <w:tc>
          <w:tcPr>
            <w:tcW w:w="1872" w:type="dxa"/>
          </w:tcPr>
          <w:p w:rsidR="00F65389" w:rsidRDefault="00601CBA">
            <w:pPr>
              <w:jc w:val="both"/>
              <w:rPr>
                <w:rFonts w:ascii="Times New Roman" w:eastAsia="Times New Roman" w:hAnsi="Times New Roman" w:cs="Times New Roman"/>
              </w:rPr>
            </w:pPr>
            <w:r>
              <w:rPr>
                <w:rFonts w:ascii="Times New Roman" w:eastAsia="Times New Roman" w:hAnsi="Times New Roman" w:cs="Times New Roman"/>
              </w:rPr>
              <w:t>-3.098731</w:t>
            </w:r>
          </w:p>
        </w:tc>
        <w:tc>
          <w:tcPr>
            <w:tcW w:w="1872" w:type="dxa"/>
          </w:tcPr>
          <w:p w:rsidR="00F65389" w:rsidRDefault="00601CBA">
            <w:pPr>
              <w:jc w:val="both"/>
              <w:rPr>
                <w:rFonts w:ascii="Times New Roman" w:eastAsia="Times New Roman" w:hAnsi="Times New Roman" w:cs="Times New Roman"/>
              </w:rPr>
            </w:pPr>
            <w:r>
              <w:rPr>
                <w:rFonts w:ascii="Times New Roman" w:eastAsia="Times New Roman" w:hAnsi="Times New Roman" w:cs="Times New Roman"/>
              </w:rPr>
              <w:t>0.0174</w:t>
            </w:r>
          </w:p>
        </w:tc>
      </w:tr>
      <w:tr w:rsidR="00F65389" w:rsidTr="005B419C">
        <w:tc>
          <w:tcPr>
            <w:tcW w:w="1872" w:type="dxa"/>
          </w:tcPr>
          <w:p w:rsidR="00F65389" w:rsidRDefault="00601CBA">
            <w:pPr>
              <w:jc w:val="both"/>
              <w:rPr>
                <w:rFonts w:ascii="Times New Roman" w:eastAsia="Times New Roman" w:hAnsi="Times New Roman" w:cs="Times New Roman"/>
              </w:rPr>
            </w:pPr>
            <w:r>
              <w:rPr>
                <w:rFonts w:ascii="Times New Roman" w:eastAsia="Times New Roman" w:hAnsi="Times New Roman" w:cs="Times New Roman"/>
                <w:b/>
              </w:rPr>
              <w:t>Model Statistics</w:t>
            </w:r>
          </w:p>
        </w:tc>
        <w:tc>
          <w:tcPr>
            <w:tcW w:w="1872" w:type="dxa"/>
          </w:tcPr>
          <w:p w:rsidR="00F65389" w:rsidRDefault="00F65389">
            <w:pPr>
              <w:jc w:val="both"/>
              <w:rPr>
                <w:rFonts w:ascii="Times New Roman" w:eastAsia="Times New Roman" w:hAnsi="Times New Roman" w:cs="Times New Roman"/>
              </w:rPr>
            </w:pPr>
          </w:p>
        </w:tc>
        <w:tc>
          <w:tcPr>
            <w:tcW w:w="1872" w:type="dxa"/>
          </w:tcPr>
          <w:p w:rsidR="00F65389" w:rsidRDefault="00F65389">
            <w:pPr>
              <w:jc w:val="both"/>
              <w:rPr>
                <w:rFonts w:ascii="Times New Roman" w:eastAsia="Times New Roman" w:hAnsi="Times New Roman" w:cs="Times New Roman"/>
              </w:rPr>
            </w:pPr>
          </w:p>
        </w:tc>
        <w:tc>
          <w:tcPr>
            <w:tcW w:w="1872" w:type="dxa"/>
          </w:tcPr>
          <w:p w:rsidR="00F65389" w:rsidRDefault="00F65389">
            <w:pPr>
              <w:jc w:val="both"/>
              <w:rPr>
                <w:rFonts w:ascii="Times New Roman" w:eastAsia="Times New Roman" w:hAnsi="Times New Roman" w:cs="Times New Roman"/>
              </w:rPr>
            </w:pPr>
          </w:p>
        </w:tc>
        <w:tc>
          <w:tcPr>
            <w:tcW w:w="1872" w:type="dxa"/>
          </w:tcPr>
          <w:p w:rsidR="00F65389" w:rsidRDefault="00F65389">
            <w:pPr>
              <w:jc w:val="both"/>
              <w:rPr>
                <w:rFonts w:ascii="Times New Roman" w:eastAsia="Times New Roman" w:hAnsi="Times New Roman" w:cs="Times New Roman"/>
              </w:rPr>
            </w:pPr>
          </w:p>
        </w:tc>
      </w:tr>
      <w:tr w:rsidR="00F65389" w:rsidTr="005B419C">
        <w:tc>
          <w:tcPr>
            <w:tcW w:w="1872" w:type="dxa"/>
          </w:tcPr>
          <w:p w:rsidR="00F65389" w:rsidRDefault="00601CBA">
            <w:pPr>
              <w:jc w:val="both"/>
              <w:rPr>
                <w:rFonts w:ascii="Times New Roman" w:eastAsia="Times New Roman" w:hAnsi="Times New Roman" w:cs="Times New Roman"/>
              </w:rPr>
            </w:pPr>
            <w:r>
              <w:rPr>
                <w:rFonts w:ascii="Times New Roman" w:eastAsia="Times New Roman" w:hAnsi="Times New Roman" w:cs="Times New Roman"/>
              </w:rPr>
              <w:t>R-squared</w:t>
            </w:r>
          </w:p>
        </w:tc>
        <w:tc>
          <w:tcPr>
            <w:tcW w:w="1872" w:type="dxa"/>
          </w:tcPr>
          <w:p w:rsidR="00F65389" w:rsidRDefault="00601CBA">
            <w:pPr>
              <w:jc w:val="both"/>
              <w:rPr>
                <w:rFonts w:ascii="Times New Roman" w:eastAsia="Times New Roman" w:hAnsi="Times New Roman" w:cs="Times New Roman"/>
              </w:rPr>
            </w:pPr>
            <w:r>
              <w:rPr>
                <w:rFonts w:ascii="Times New Roman" w:eastAsia="Times New Roman" w:hAnsi="Times New Roman" w:cs="Times New Roman"/>
              </w:rPr>
              <w:t>0.967326</w:t>
            </w:r>
          </w:p>
        </w:tc>
        <w:tc>
          <w:tcPr>
            <w:tcW w:w="1872" w:type="dxa"/>
          </w:tcPr>
          <w:p w:rsidR="00F65389" w:rsidRDefault="00F65389">
            <w:pPr>
              <w:jc w:val="both"/>
              <w:rPr>
                <w:rFonts w:ascii="Times New Roman" w:eastAsia="Times New Roman" w:hAnsi="Times New Roman" w:cs="Times New Roman"/>
              </w:rPr>
            </w:pPr>
          </w:p>
        </w:tc>
        <w:tc>
          <w:tcPr>
            <w:tcW w:w="1872" w:type="dxa"/>
          </w:tcPr>
          <w:p w:rsidR="00F65389" w:rsidRDefault="00F65389">
            <w:pPr>
              <w:jc w:val="both"/>
              <w:rPr>
                <w:rFonts w:ascii="Times New Roman" w:eastAsia="Times New Roman" w:hAnsi="Times New Roman" w:cs="Times New Roman"/>
              </w:rPr>
            </w:pPr>
          </w:p>
        </w:tc>
        <w:tc>
          <w:tcPr>
            <w:tcW w:w="1872" w:type="dxa"/>
          </w:tcPr>
          <w:p w:rsidR="00F65389" w:rsidRDefault="00F65389">
            <w:pPr>
              <w:jc w:val="both"/>
              <w:rPr>
                <w:rFonts w:ascii="Times New Roman" w:eastAsia="Times New Roman" w:hAnsi="Times New Roman" w:cs="Times New Roman"/>
              </w:rPr>
            </w:pPr>
          </w:p>
        </w:tc>
      </w:tr>
      <w:tr w:rsidR="00F65389" w:rsidTr="005B419C">
        <w:tc>
          <w:tcPr>
            <w:tcW w:w="1872" w:type="dxa"/>
          </w:tcPr>
          <w:p w:rsidR="00F65389" w:rsidRDefault="00601CBA">
            <w:pPr>
              <w:jc w:val="both"/>
              <w:rPr>
                <w:rFonts w:ascii="Times New Roman" w:eastAsia="Times New Roman" w:hAnsi="Times New Roman" w:cs="Times New Roman"/>
              </w:rPr>
            </w:pPr>
            <w:r>
              <w:rPr>
                <w:rFonts w:ascii="Times New Roman" w:eastAsia="Times New Roman" w:hAnsi="Times New Roman" w:cs="Times New Roman"/>
              </w:rPr>
              <w:t>Adjusted R-squared</w:t>
            </w:r>
          </w:p>
        </w:tc>
        <w:tc>
          <w:tcPr>
            <w:tcW w:w="1872" w:type="dxa"/>
          </w:tcPr>
          <w:p w:rsidR="00F65389" w:rsidRDefault="00601CBA">
            <w:pPr>
              <w:jc w:val="both"/>
              <w:rPr>
                <w:rFonts w:ascii="Times New Roman" w:eastAsia="Times New Roman" w:hAnsi="Times New Roman" w:cs="Times New Roman"/>
              </w:rPr>
            </w:pPr>
            <w:r>
              <w:rPr>
                <w:rFonts w:ascii="Times New Roman" w:eastAsia="Times New Roman" w:hAnsi="Times New Roman" w:cs="Times New Roman"/>
              </w:rPr>
              <w:t>0.948655</w:t>
            </w:r>
          </w:p>
        </w:tc>
        <w:tc>
          <w:tcPr>
            <w:tcW w:w="1872" w:type="dxa"/>
          </w:tcPr>
          <w:p w:rsidR="00F65389" w:rsidRDefault="00F65389">
            <w:pPr>
              <w:jc w:val="both"/>
              <w:rPr>
                <w:rFonts w:ascii="Times New Roman" w:eastAsia="Times New Roman" w:hAnsi="Times New Roman" w:cs="Times New Roman"/>
              </w:rPr>
            </w:pPr>
          </w:p>
        </w:tc>
        <w:tc>
          <w:tcPr>
            <w:tcW w:w="1872" w:type="dxa"/>
          </w:tcPr>
          <w:p w:rsidR="00F65389" w:rsidRDefault="00F65389">
            <w:pPr>
              <w:jc w:val="both"/>
              <w:rPr>
                <w:rFonts w:ascii="Times New Roman" w:eastAsia="Times New Roman" w:hAnsi="Times New Roman" w:cs="Times New Roman"/>
              </w:rPr>
            </w:pPr>
          </w:p>
        </w:tc>
        <w:tc>
          <w:tcPr>
            <w:tcW w:w="1872" w:type="dxa"/>
          </w:tcPr>
          <w:p w:rsidR="00F65389" w:rsidRDefault="00F65389">
            <w:pPr>
              <w:jc w:val="both"/>
              <w:rPr>
                <w:rFonts w:ascii="Times New Roman" w:eastAsia="Times New Roman" w:hAnsi="Times New Roman" w:cs="Times New Roman"/>
              </w:rPr>
            </w:pPr>
          </w:p>
        </w:tc>
      </w:tr>
      <w:tr w:rsidR="00F65389" w:rsidTr="005B419C">
        <w:tc>
          <w:tcPr>
            <w:tcW w:w="1872" w:type="dxa"/>
          </w:tcPr>
          <w:p w:rsidR="00F65389" w:rsidRDefault="00601CBA">
            <w:pPr>
              <w:jc w:val="both"/>
              <w:rPr>
                <w:rFonts w:ascii="Times New Roman" w:eastAsia="Times New Roman" w:hAnsi="Times New Roman" w:cs="Times New Roman"/>
              </w:rPr>
            </w:pPr>
            <w:r>
              <w:rPr>
                <w:rFonts w:ascii="Times New Roman" w:eastAsia="Times New Roman" w:hAnsi="Times New Roman" w:cs="Times New Roman"/>
              </w:rPr>
              <w:t>F-statistic</w:t>
            </w:r>
          </w:p>
        </w:tc>
        <w:tc>
          <w:tcPr>
            <w:tcW w:w="1872" w:type="dxa"/>
          </w:tcPr>
          <w:p w:rsidR="00F65389" w:rsidRDefault="00601CBA">
            <w:pPr>
              <w:jc w:val="both"/>
              <w:rPr>
                <w:rFonts w:ascii="Times New Roman" w:eastAsia="Times New Roman" w:hAnsi="Times New Roman" w:cs="Times New Roman"/>
              </w:rPr>
            </w:pPr>
            <w:r>
              <w:rPr>
                <w:rFonts w:ascii="Times New Roman" w:eastAsia="Times New Roman" w:hAnsi="Times New Roman" w:cs="Times New Roman"/>
              </w:rPr>
              <w:t>51.80967</w:t>
            </w:r>
          </w:p>
        </w:tc>
        <w:tc>
          <w:tcPr>
            <w:tcW w:w="1872" w:type="dxa"/>
          </w:tcPr>
          <w:p w:rsidR="00F65389" w:rsidRDefault="00F65389">
            <w:pPr>
              <w:jc w:val="both"/>
              <w:rPr>
                <w:rFonts w:ascii="Times New Roman" w:eastAsia="Times New Roman" w:hAnsi="Times New Roman" w:cs="Times New Roman"/>
              </w:rPr>
            </w:pPr>
          </w:p>
        </w:tc>
        <w:tc>
          <w:tcPr>
            <w:tcW w:w="1872" w:type="dxa"/>
          </w:tcPr>
          <w:p w:rsidR="00F65389" w:rsidRDefault="00F65389">
            <w:pPr>
              <w:jc w:val="both"/>
              <w:rPr>
                <w:rFonts w:ascii="Times New Roman" w:eastAsia="Times New Roman" w:hAnsi="Times New Roman" w:cs="Times New Roman"/>
              </w:rPr>
            </w:pPr>
          </w:p>
        </w:tc>
        <w:tc>
          <w:tcPr>
            <w:tcW w:w="1872" w:type="dxa"/>
          </w:tcPr>
          <w:p w:rsidR="00F65389" w:rsidRDefault="00F65389">
            <w:pPr>
              <w:jc w:val="both"/>
              <w:rPr>
                <w:rFonts w:ascii="Times New Roman" w:eastAsia="Times New Roman" w:hAnsi="Times New Roman" w:cs="Times New Roman"/>
              </w:rPr>
            </w:pPr>
          </w:p>
        </w:tc>
      </w:tr>
      <w:tr w:rsidR="00F65389" w:rsidTr="005B419C">
        <w:tc>
          <w:tcPr>
            <w:tcW w:w="1872" w:type="dxa"/>
          </w:tcPr>
          <w:p w:rsidR="00F65389" w:rsidRDefault="00601CBA">
            <w:pPr>
              <w:jc w:val="both"/>
              <w:rPr>
                <w:rFonts w:ascii="Times New Roman" w:eastAsia="Times New Roman" w:hAnsi="Times New Roman" w:cs="Times New Roman"/>
              </w:rPr>
            </w:pPr>
            <w:r>
              <w:rPr>
                <w:rFonts w:ascii="Times New Roman" w:eastAsia="Times New Roman" w:hAnsi="Times New Roman" w:cs="Times New Roman"/>
              </w:rPr>
              <w:t>Prob(F-statistic)</w:t>
            </w:r>
          </w:p>
        </w:tc>
        <w:tc>
          <w:tcPr>
            <w:tcW w:w="1872" w:type="dxa"/>
          </w:tcPr>
          <w:p w:rsidR="00F65389" w:rsidRDefault="00601CBA">
            <w:pPr>
              <w:jc w:val="both"/>
              <w:rPr>
                <w:rFonts w:ascii="Times New Roman" w:eastAsia="Times New Roman" w:hAnsi="Times New Roman" w:cs="Times New Roman"/>
              </w:rPr>
            </w:pPr>
            <w:r>
              <w:rPr>
                <w:rFonts w:ascii="Times New Roman" w:eastAsia="Times New Roman" w:hAnsi="Times New Roman" w:cs="Times New Roman"/>
              </w:rPr>
              <w:t>0.000028</w:t>
            </w:r>
          </w:p>
        </w:tc>
        <w:tc>
          <w:tcPr>
            <w:tcW w:w="1872" w:type="dxa"/>
          </w:tcPr>
          <w:p w:rsidR="00F65389" w:rsidRDefault="00F65389">
            <w:pPr>
              <w:jc w:val="both"/>
              <w:rPr>
                <w:rFonts w:ascii="Times New Roman" w:eastAsia="Times New Roman" w:hAnsi="Times New Roman" w:cs="Times New Roman"/>
              </w:rPr>
            </w:pPr>
          </w:p>
        </w:tc>
        <w:tc>
          <w:tcPr>
            <w:tcW w:w="1872" w:type="dxa"/>
          </w:tcPr>
          <w:p w:rsidR="00F65389" w:rsidRDefault="00F65389">
            <w:pPr>
              <w:jc w:val="both"/>
              <w:rPr>
                <w:rFonts w:ascii="Times New Roman" w:eastAsia="Times New Roman" w:hAnsi="Times New Roman" w:cs="Times New Roman"/>
              </w:rPr>
            </w:pPr>
          </w:p>
        </w:tc>
        <w:tc>
          <w:tcPr>
            <w:tcW w:w="1872" w:type="dxa"/>
          </w:tcPr>
          <w:p w:rsidR="00F65389" w:rsidRDefault="00F65389">
            <w:pPr>
              <w:jc w:val="both"/>
              <w:rPr>
                <w:rFonts w:ascii="Times New Roman" w:eastAsia="Times New Roman" w:hAnsi="Times New Roman" w:cs="Times New Roman"/>
              </w:rPr>
            </w:pPr>
          </w:p>
        </w:tc>
      </w:tr>
      <w:tr w:rsidR="00F65389" w:rsidTr="005B419C">
        <w:tc>
          <w:tcPr>
            <w:tcW w:w="1872" w:type="dxa"/>
          </w:tcPr>
          <w:p w:rsidR="00F65389" w:rsidRDefault="00601CBA">
            <w:pPr>
              <w:jc w:val="both"/>
              <w:rPr>
                <w:rFonts w:ascii="Times New Roman" w:eastAsia="Times New Roman" w:hAnsi="Times New Roman" w:cs="Times New Roman"/>
              </w:rPr>
            </w:pPr>
            <w:r>
              <w:rPr>
                <w:rFonts w:ascii="Times New Roman" w:eastAsia="Times New Roman" w:hAnsi="Times New Roman" w:cs="Times New Roman"/>
              </w:rPr>
              <w:t>Durbin-Watson stat</w:t>
            </w:r>
          </w:p>
        </w:tc>
        <w:tc>
          <w:tcPr>
            <w:tcW w:w="1872" w:type="dxa"/>
          </w:tcPr>
          <w:p w:rsidR="00F65389" w:rsidRDefault="00601CBA">
            <w:pPr>
              <w:jc w:val="both"/>
              <w:rPr>
                <w:rFonts w:ascii="Times New Roman" w:eastAsia="Times New Roman" w:hAnsi="Times New Roman" w:cs="Times New Roman"/>
              </w:rPr>
            </w:pPr>
            <w:r>
              <w:rPr>
                <w:rFonts w:ascii="Times New Roman" w:eastAsia="Times New Roman" w:hAnsi="Times New Roman" w:cs="Times New Roman"/>
              </w:rPr>
              <w:t>1.951409</w:t>
            </w:r>
          </w:p>
        </w:tc>
        <w:tc>
          <w:tcPr>
            <w:tcW w:w="1872" w:type="dxa"/>
          </w:tcPr>
          <w:p w:rsidR="00F65389" w:rsidRDefault="00F65389">
            <w:pPr>
              <w:jc w:val="both"/>
              <w:rPr>
                <w:rFonts w:ascii="Times New Roman" w:eastAsia="Times New Roman" w:hAnsi="Times New Roman" w:cs="Times New Roman"/>
              </w:rPr>
            </w:pPr>
          </w:p>
        </w:tc>
        <w:tc>
          <w:tcPr>
            <w:tcW w:w="1872" w:type="dxa"/>
          </w:tcPr>
          <w:p w:rsidR="00F65389" w:rsidRDefault="00F65389">
            <w:pPr>
              <w:jc w:val="both"/>
              <w:rPr>
                <w:rFonts w:ascii="Times New Roman" w:eastAsia="Times New Roman" w:hAnsi="Times New Roman" w:cs="Times New Roman"/>
              </w:rPr>
            </w:pPr>
          </w:p>
        </w:tc>
        <w:tc>
          <w:tcPr>
            <w:tcW w:w="1872" w:type="dxa"/>
          </w:tcPr>
          <w:p w:rsidR="00F65389" w:rsidRDefault="00F65389">
            <w:pPr>
              <w:jc w:val="both"/>
              <w:rPr>
                <w:rFonts w:ascii="Times New Roman" w:eastAsia="Times New Roman" w:hAnsi="Times New Roman" w:cs="Times New Roman"/>
              </w:rPr>
            </w:pPr>
          </w:p>
        </w:tc>
      </w:tr>
    </w:tbl>
    <w:p w:rsidR="00F65389" w:rsidRDefault="00601CBA">
      <w:pPr>
        <w:spacing w:line="240" w:lineRule="auto"/>
        <w:jc w:val="both"/>
        <w:rPr>
          <w:rFonts w:ascii="Times New Roman" w:eastAsia="Times New Roman" w:hAnsi="Times New Roman" w:cs="Times New Roman"/>
        </w:rPr>
      </w:pPr>
      <w:r>
        <w:rPr>
          <w:rFonts w:ascii="Times New Roman" w:eastAsia="Times New Roman" w:hAnsi="Times New Roman" w:cs="Times New Roman"/>
          <w:i/>
        </w:rPr>
        <w:t>Source: Eview output, 2024</w:t>
      </w:r>
    </w:p>
    <w:p w:rsidR="00F65389" w:rsidRDefault="00601CBA">
      <w:pPr>
        <w:spacing w:line="480" w:lineRule="auto"/>
        <w:jc w:val="both"/>
        <w:rPr>
          <w:rFonts w:ascii="Times New Roman" w:eastAsia="Times New Roman" w:hAnsi="Times New Roman" w:cs="Times New Roman"/>
        </w:rPr>
      </w:pPr>
      <w:r>
        <w:rPr>
          <w:rFonts w:ascii="Times New Roman" w:eastAsia="Times New Roman" w:hAnsi="Times New Roman" w:cs="Times New Roman"/>
          <w:b/>
        </w:rPr>
        <w:t>Multiple Regression Estimates:</w:t>
      </w:r>
    </w:p>
    <w:p w:rsidR="00F65389" w:rsidRDefault="00601CBA">
      <w:pPr>
        <w:spacing w:line="480" w:lineRule="auto"/>
        <w:jc w:val="both"/>
        <w:rPr>
          <w:rFonts w:ascii="Times New Roman" w:eastAsia="Times New Roman" w:hAnsi="Times New Roman" w:cs="Times New Roman"/>
        </w:rPr>
      </w:pPr>
      <w:r>
        <w:rPr>
          <w:rFonts w:ascii="Times New Roman" w:eastAsia="Times New Roman" w:hAnsi="Times New Roman" w:cs="Times New Roman"/>
        </w:rPr>
        <w:t>The OLS regression analysis generated the following equation model:</w:t>
      </w:r>
    </w:p>
    <w:p w:rsidR="00F65389" w:rsidRDefault="00601CBA">
      <w:pPr>
        <w:spacing w:line="480" w:lineRule="auto"/>
        <w:jc w:val="both"/>
        <w:rPr>
          <w:rFonts w:ascii="Times New Roman" w:eastAsia="Times New Roman" w:hAnsi="Times New Roman" w:cs="Times New Roman"/>
        </w:rPr>
      </w:pPr>
      <w:r>
        <w:rPr>
          <w:rFonts w:ascii="Times New Roman" w:eastAsia="Times New Roman" w:hAnsi="Times New Roman" w:cs="Times New Roman"/>
          <w:b/>
          <w:i/>
        </w:rPr>
        <w:t>ROA = -0.515 + 0.173LOG(ICR) + 0.051DER - 0.185LOG(DAR) + 0.065LOG(TIER)</w:t>
      </w:r>
    </w:p>
    <w:p w:rsidR="00F65389" w:rsidRDefault="00601CBA">
      <w:pPr>
        <w:spacing w:line="480" w:lineRule="auto"/>
        <w:jc w:val="both"/>
        <w:rPr>
          <w:rFonts w:ascii="Times New Roman" w:eastAsia="Times New Roman" w:hAnsi="Times New Roman" w:cs="Times New Roman"/>
        </w:rPr>
      </w:pPr>
      <w:r>
        <w:rPr>
          <w:rFonts w:ascii="Times New Roman" w:eastAsia="Times New Roman" w:hAnsi="Times New Roman" w:cs="Times New Roman"/>
        </w:rPr>
        <w:t>The regression model shows that solvency indicators hold different strengths in shaping Nestlé Nigeria’s profitability. The natural log of Interest Coverage Ratio LOG(ICR) carries a positive and statistically significant weight on Return on Assets ROA. Its beta is 0.173 with a t-score of 3.039 and a p-value of .019. This means when ICR rises by 1 percent, ROA shifts upward by around 0.173 percentage points. That result aligns with the idea that firms which earn enough to easily pay interest tend to enjoy more flexible capital use and less earnings pressure from finance costs.</w:t>
      </w:r>
    </w:p>
    <w:p w:rsidR="00F65389" w:rsidRDefault="00601CBA">
      <w:pPr>
        <w:spacing w:line="480" w:lineRule="auto"/>
        <w:jc w:val="both"/>
        <w:rPr>
          <w:rFonts w:ascii="Times New Roman" w:eastAsia="Times New Roman" w:hAnsi="Times New Roman" w:cs="Times New Roman"/>
        </w:rPr>
      </w:pPr>
      <w:r>
        <w:rPr>
          <w:rFonts w:ascii="Times New Roman" w:eastAsia="Times New Roman" w:hAnsi="Times New Roman" w:cs="Times New Roman"/>
        </w:rPr>
        <w:t>The Debt-to-Equity Ratio DER follows with a surprising finding. It also shows a positive and significant link to ROA with a beta of 0.051, a t-value of 3.302, and p-value of .013. In standard theory, rising leverage often drags down returns due to cost of debt and rising risk. But here, the model suggests each one-unit climb in DER may add 5.1 percentage points to ROA. This might be a quirk from 2023, where both equity and profit turned negative, creating a mathematical bump. But it might also mean that the firm’s use of debt worked well within range until the 2023 turn.</w:t>
      </w:r>
    </w:p>
    <w:p w:rsidR="00F65389" w:rsidRPr="005B419C" w:rsidRDefault="00601CBA">
      <w:pPr>
        <w:spacing w:line="480" w:lineRule="auto"/>
        <w:jc w:val="both"/>
        <w:rPr>
          <w:rFonts w:ascii="Times New Roman" w:eastAsia="Times New Roman" w:hAnsi="Times New Roman" w:cs="Times New Roman"/>
        </w:rPr>
      </w:pPr>
      <w:r w:rsidRPr="005B419C">
        <w:rPr>
          <w:rFonts w:ascii="Times New Roman" w:eastAsia="Gungsuh" w:hAnsi="Times New Roman" w:cs="Times New Roman"/>
        </w:rPr>
        <w:t>The natural log of Debt-to-Asset Ratio LOG(DAR) tilts the other way. Its beta lands at −0.185 with a t-score of −1.261 and p-value of .248. That weak negative link lines up with the traditional view that too much debt over assets limits earnings, but since the p-value is not significant, this effect does not come with strong support. In simple terms, it is not safe to conclude that debt intensity measured this way has a reliable pull on profitability in the observed frame. The Times Interest Earned Ratio LOG(TIER) also shows a soft result. Its beta is 0.065 with a t of 0.691 and a p of .512. It points upward, meaning more capacity to pay interest may lead to stronger profits, but the result fails to reach significance. Since TIER and ICR are tightly linked, it is possible that ICR already captured the debt-servicing story, leaving little room for TIER to add a more unique explanation.</w:t>
      </w:r>
    </w:p>
    <w:p w:rsidR="00F65389" w:rsidRPr="005B419C" w:rsidRDefault="00601CBA">
      <w:pPr>
        <w:spacing w:line="480" w:lineRule="auto"/>
        <w:jc w:val="both"/>
        <w:rPr>
          <w:rFonts w:ascii="Times New Roman" w:eastAsia="Times New Roman" w:hAnsi="Times New Roman" w:cs="Times New Roman"/>
        </w:rPr>
      </w:pPr>
      <w:r w:rsidRPr="005B419C">
        <w:rPr>
          <w:rFonts w:ascii="Times New Roman" w:eastAsia="Gungsuh" w:hAnsi="Times New Roman" w:cs="Times New Roman"/>
        </w:rPr>
        <w:t>The constant term enters with a negative beta of −0.515 and is significant with a t-score of −3.099 and p-value of .017. This suggests that if all predictors hit their floor values, the expected ROA would go negative. While the meaning here is mostly mathematical because in practice, none of the ratios approach zero it still adds shape to the regression base line.</w:t>
      </w:r>
    </w:p>
    <w:p w:rsidR="00F65389" w:rsidRDefault="00601CBA">
      <w:pPr>
        <w:spacing w:line="480" w:lineRule="auto"/>
        <w:jc w:val="both"/>
        <w:rPr>
          <w:rFonts w:ascii="Times New Roman" w:eastAsia="Times New Roman" w:hAnsi="Times New Roman" w:cs="Times New Roman"/>
          <w:b/>
        </w:rPr>
      </w:pPr>
      <w:r>
        <w:rPr>
          <w:rFonts w:ascii="Times New Roman" w:eastAsia="Times New Roman" w:hAnsi="Times New Roman" w:cs="Times New Roman"/>
          <w:b/>
        </w:rPr>
        <w:t>Model Fit and Significance</w:t>
      </w:r>
    </w:p>
    <w:p w:rsidR="00F65389" w:rsidRDefault="00601CBA">
      <w:pPr>
        <w:spacing w:line="480" w:lineRule="auto"/>
        <w:jc w:val="both"/>
        <w:rPr>
          <w:rFonts w:ascii="Times New Roman" w:eastAsia="Times New Roman" w:hAnsi="Times New Roman" w:cs="Times New Roman"/>
        </w:rPr>
      </w:pPr>
      <w:r>
        <w:rPr>
          <w:rFonts w:ascii="Times New Roman" w:eastAsia="Times New Roman" w:hAnsi="Times New Roman" w:cs="Times New Roman"/>
        </w:rPr>
        <w:t>The model’s fit lands in a strong zone. The R-squared score is 0.967, and the adjusted R-squared is 0.949. This tells us that nearly 95 percent of the swings in ROA are explained by the four solvency markers in the model. The F-statistic of 51.810 holds a p-value below .001, making the overall equation significant. It confirms that the model outperforms a no-effect baseline and that at least one predictor makes a measurable impact on profitability.</w:t>
      </w:r>
    </w:p>
    <w:p w:rsidR="00F65389" w:rsidRDefault="00601CBA">
      <w:pPr>
        <w:spacing w:line="480" w:lineRule="auto"/>
        <w:jc w:val="both"/>
        <w:rPr>
          <w:rFonts w:ascii="Times New Roman" w:eastAsia="Times New Roman" w:hAnsi="Times New Roman" w:cs="Times New Roman"/>
        </w:rPr>
      </w:pPr>
      <w:r>
        <w:rPr>
          <w:rFonts w:ascii="Times New Roman" w:eastAsia="Times New Roman" w:hAnsi="Times New Roman" w:cs="Times New Roman"/>
        </w:rPr>
        <w:t>The Durbin-Watson stat stands at 1.951, very close to the ideal 2. That means residuals from the regression do not show time-linked patterns, and this supports one of the core regression assumptions. With no serious autocorrelation detected, the conclusions drawn from the model rest on firmer statistical ground. Overall, the results place solvency ratios at the center of Nestlé Nigeria’s profitability pattern. ICR and DER stand out with meaningful effects, while LOG(DAR) and LOG(TIER) show weaker, non-confirmed trends. The high fit level supports the model’s structure, though the odd behavior of DER warns that year-specific anomalies like 2023 must be weighed when drawing strategy conclusions.</w:t>
      </w:r>
    </w:p>
    <w:p w:rsidR="005B419C" w:rsidRDefault="005B419C">
      <w:pPr>
        <w:spacing w:line="480" w:lineRule="auto"/>
        <w:jc w:val="both"/>
        <w:rPr>
          <w:rFonts w:ascii="Times New Roman" w:eastAsia="Times New Roman" w:hAnsi="Times New Roman" w:cs="Times New Roman"/>
        </w:rPr>
      </w:pPr>
    </w:p>
    <w:p w:rsidR="00F65389" w:rsidRDefault="00601CBA">
      <w:pPr>
        <w:spacing w:line="480" w:lineRule="auto"/>
        <w:jc w:val="both"/>
        <w:rPr>
          <w:rFonts w:ascii="Times New Roman" w:eastAsia="Times New Roman" w:hAnsi="Times New Roman" w:cs="Times New Roman"/>
          <w:b/>
        </w:rPr>
      </w:pPr>
      <w:r>
        <w:rPr>
          <w:rFonts w:ascii="Times New Roman" w:eastAsia="Times New Roman" w:hAnsi="Times New Roman" w:cs="Times New Roman"/>
          <w:b/>
        </w:rPr>
        <w:t>4.5 Test of Hypotheses</w:t>
      </w:r>
    </w:p>
    <w:p w:rsidR="00F65389" w:rsidRPr="005B419C" w:rsidRDefault="00601CBA" w:rsidP="005B419C">
      <w:pPr>
        <w:spacing w:after="0" w:line="480" w:lineRule="auto"/>
        <w:jc w:val="both"/>
        <w:rPr>
          <w:rFonts w:ascii="Times New Roman" w:eastAsia="Times New Roman" w:hAnsi="Times New Roman" w:cs="Times New Roman"/>
          <w:i/>
        </w:rPr>
      </w:pPr>
      <w:r w:rsidRPr="005B419C">
        <w:rPr>
          <w:rFonts w:ascii="Times New Roman" w:eastAsia="Times New Roman" w:hAnsi="Times New Roman" w:cs="Times New Roman"/>
          <w:i/>
        </w:rPr>
        <w:t>H0</w:t>
      </w:r>
      <w:r w:rsidRPr="005B419C">
        <w:rPr>
          <w:rFonts w:ascii="Cambria Math" w:eastAsia="Times New Roman" w:hAnsi="Cambria Math" w:cs="Cambria Math"/>
          <w:i/>
        </w:rPr>
        <w:t>₁</w:t>
      </w:r>
      <w:r w:rsidRPr="005B419C">
        <w:rPr>
          <w:rFonts w:ascii="Times New Roman" w:eastAsia="Times New Roman" w:hAnsi="Times New Roman" w:cs="Times New Roman"/>
          <w:i/>
        </w:rPr>
        <w:t>: Debt-to-asset ratio has no significant effect on the return on assets (ROA) of Nestlé Nigeria PLC</w:t>
      </w:r>
    </w:p>
    <w:p w:rsidR="00F65389" w:rsidRPr="005B419C" w:rsidRDefault="00601CBA" w:rsidP="005B419C">
      <w:pPr>
        <w:spacing w:after="0" w:line="480" w:lineRule="auto"/>
        <w:jc w:val="both"/>
        <w:rPr>
          <w:rFonts w:ascii="Times New Roman" w:eastAsia="Times New Roman" w:hAnsi="Times New Roman" w:cs="Times New Roman"/>
        </w:rPr>
      </w:pPr>
      <w:r w:rsidRPr="005B419C">
        <w:rPr>
          <w:rFonts w:ascii="Times New Roman" w:eastAsia="Cardo" w:hAnsi="Times New Roman" w:cs="Times New Roman"/>
        </w:rPr>
        <w:t>The model output shows that the coefficient for LOG(DAR) is not statistically significant at the 5 percent threshold (β = −0.185136, t = −1.260841, p = .2478). Since the p-value exceeds .05, the null hypothesis is not rejected. This means the debt-to-asset ratio does not show enough statistical weight to claim a strong or dependable influence on ROA. In this case, even though the sign of the coefficient is negative, it fails the cut for meaningful prediction.</w:t>
      </w:r>
    </w:p>
    <w:p w:rsidR="00F65389" w:rsidRPr="005B419C" w:rsidRDefault="00601CBA" w:rsidP="005B419C">
      <w:pPr>
        <w:spacing w:after="0" w:line="480" w:lineRule="auto"/>
        <w:jc w:val="both"/>
        <w:rPr>
          <w:rFonts w:ascii="Times New Roman" w:eastAsia="Times New Roman" w:hAnsi="Times New Roman" w:cs="Times New Roman"/>
          <w:i/>
        </w:rPr>
      </w:pPr>
      <w:r w:rsidRPr="005B419C">
        <w:rPr>
          <w:rFonts w:ascii="Times New Roman" w:eastAsia="Times New Roman" w:hAnsi="Times New Roman" w:cs="Times New Roman"/>
          <w:i/>
        </w:rPr>
        <w:t>H0</w:t>
      </w:r>
      <w:r w:rsidRPr="005B419C">
        <w:rPr>
          <w:rFonts w:ascii="Cambria Math" w:eastAsia="Times New Roman" w:hAnsi="Cambria Math" w:cs="Cambria Math"/>
          <w:i/>
        </w:rPr>
        <w:t>₂</w:t>
      </w:r>
      <w:r w:rsidRPr="005B419C">
        <w:rPr>
          <w:rFonts w:ascii="Times New Roman" w:eastAsia="Times New Roman" w:hAnsi="Times New Roman" w:cs="Times New Roman"/>
          <w:i/>
        </w:rPr>
        <w:t>: Debt-to-equity ratio has no significant effect on the return on assets (ROA) of Nestlé Nigeria PLC</w:t>
      </w:r>
    </w:p>
    <w:p w:rsidR="00F65389" w:rsidRPr="005B419C" w:rsidRDefault="00601CBA" w:rsidP="005B419C">
      <w:pPr>
        <w:spacing w:after="0" w:line="480" w:lineRule="auto"/>
        <w:jc w:val="both"/>
        <w:rPr>
          <w:rFonts w:ascii="Times New Roman" w:eastAsia="Times New Roman" w:hAnsi="Times New Roman" w:cs="Times New Roman"/>
        </w:rPr>
      </w:pPr>
      <w:r w:rsidRPr="005B419C">
        <w:rPr>
          <w:rFonts w:ascii="Times New Roman" w:eastAsia="Times New Roman" w:hAnsi="Times New Roman" w:cs="Times New Roman"/>
        </w:rPr>
        <w:t>The regression coefficient for DER stands positive and passes the significance test at the 5 percent mark (β = 0.051343, t = 3.301944, p = .0131). Since the p-value is less than .05, the null hypothesis is rejected. This confirms that DER holds a significant and positive connection to ROA. The coefficient size suggests that every one-unit step-up in DER links with a 5.1 percentage point rise in ROA, assuming other inputs stay steady.</w:t>
      </w:r>
    </w:p>
    <w:p w:rsidR="00F65389" w:rsidRPr="005B419C" w:rsidRDefault="00601CBA" w:rsidP="005B419C">
      <w:pPr>
        <w:spacing w:after="0" w:line="480" w:lineRule="auto"/>
        <w:jc w:val="both"/>
        <w:rPr>
          <w:rFonts w:ascii="Times New Roman" w:eastAsia="Times New Roman" w:hAnsi="Times New Roman" w:cs="Times New Roman"/>
          <w:i/>
        </w:rPr>
      </w:pPr>
      <w:r w:rsidRPr="005B419C">
        <w:rPr>
          <w:rFonts w:ascii="Times New Roman" w:eastAsia="Times New Roman" w:hAnsi="Times New Roman" w:cs="Times New Roman"/>
          <w:i/>
        </w:rPr>
        <w:t>H0</w:t>
      </w:r>
      <w:r w:rsidRPr="005B419C">
        <w:rPr>
          <w:rFonts w:ascii="Cambria Math" w:eastAsia="Times New Roman" w:hAnsi="Cambria Math" w:cs="Cambria Math"/>
          <w:i/>
        </w:rPr>
        <w:t>₃</w:t>
      </w:r>
      <w:r w:rsidRPr="005B419C">
        <w:rPr>
          <w:rFonts w:ascii="Times New Roman" w:eastAsia="Times New Roman" w:hAnsi="Times New Roman" w:cs="Times New Roman"/>
          <w:i/>
        </w:rPr>
        <w:t>: Interest coverage ratio has no significant effect on the return on assets (ROA) of Nestlé Nigeria PLC</w:t>
      </w:r>
    </w:p>
    <w:p w:rsidR="00F65389" w:rsidRPr="005B419C" w:rsidRDefault="00601CBA" w:rsidP="005B419C">
      <w:pPr>
        <w:spacing w:after="0" w:line="480" w:lineRule="auto"/>
        <w:jc w:val="both"/>
        <w:rPr>
          <w:rFonts w:ascii="Times New Roman" w:eastAsia="Times New Roman" w:hAnsi="Times New Roman" w:cs="Times New Roman"/>
        </w:rPr>
      </w:pPr>
      <w:r w:rsidRPr="005B419C">
        <w:rPr>
          <w:rFonts w:ascii="Times New Roman" w:eastAsia="Times New Roman" w:hAnsi="Times New Roman" w:cs="Times New Roman"/>
        </w:rPr>
        <w:t>The test for LOG(ICR) yields a statistically significant result with a positive effect (β = 0.172946, t = 3.039167, p = .0189). Since the p-value is under the .05 level, the null hypothesis is rejected. This supports the position that ICR contributes positively and significantly to ROA. The coefficient tells that a 1 percent uptick in ICR would correspond with roughly 0.173 percentage point growth in profitability, under ceteris paribus assumptions.</w:t>
      </w:r>
    </w:p>
    <w:p w:rsidR="00F65389" w:rsidRPr="005B419C" w:rsidRDefault="00601CBA" w:rsidP="005B419C">
      <w:pPr>
        <w:spacing w:after="0" w:line="480" w:lineRule="auto"/>
        <w:jc w:val="both"/>
        <w:rPr>
          <w:rFonts w:ascii="Times New Roman" w:eastAsia="Times New Roman" w:hAnsi="Times New Roman" w:cs="Times New Roman"/>
          <w:i/>
        </w:rPr>
      </w:pPr>
      <w:r w:rsidRPr="005B419C">
        <w:rPr>
          <w:rFonts w:ascii="Times New Roman" w:eastAsia="Times New Roman" w:hAnsi="Times New Roman" w:cs="Times New Roman"/>
          <w:i/>
        </w:rPr>
        <w:t>H0</w:t>
      </w:r>
      <w:r w:rsidRPr="005B419C">
        <w:rPr>
          <w:rFonts w:ascii="Cambria Math" w:eastAsia="Times New Roman" w:hAnsi="Cambria Math" w:cs="Cambria Math"/>
          <w:i/>
        </w:rPr>
        <w:t>₄</w:t>
      </w:r>
      <w:r w:rsidRPr="005B419C">
        <w:rPr>
          <w:rFonts w:ascii="Times New Roman" w:eastAsia="Times New Roman" w:hAnsi="Times New Roman" w:cs="Times New Roman"/>
          <w:i/>
        </w:rPr>
        <w:t>: Time interest earned ratio has no significant effect on the return on assets (ROA) of Nestlé Nigeria PLC</w:t>
      </w:r>
    </w:p>
    <w:p w:rsidR="00F65389" w:rsidRPr="005B419C" w:rsidRDefault="00601CBA" w:rsidP="005B419C">
      <w:pPr>
        <w:spacing w:after="0" w:line="480" w:lineRule="auto"/>
        <w:jc w:val="both"/>
        <w:rPr>
          <w:rFonts w:ascii="Times New Roman" w:eastAsia="Times New Roman" w:hAnsi="Times New Roman" w:cs="Times New Roman"/>
        </w:rPr>
      </w:pPr>
      <w:r w:rsidRPr="005B419C">
        <w:rPr>
          <w:rFonts w:ascii="Times New Roman" w:eastAsia="Times New Roman" w:hAnsi="Times New Roman" w:cs="Times New Roman"/>
        </w:rPr>
        <w:t>The coefficient for LOG(TIER) is positive but lacks statistical significance at the 5 percent cutoff (β = 0.065319, t = 0.690737, p = .5120). The p-value is well above the standard threshold, so the null hypothesis is not rejected. This implies that the model does not detect enough evidence to claim that the times interest earned ratio reliably affects ROA. Its contribution to predicting profitability in this setup is not confirmed.</w:t>
      </w:r>
    </w:p>
    <w:p w:rsidR="00F65389" w:rsidRPr="005B419C" w:rsidRDefault="00601CBA" w:rsidP="005B419C">
      <w:pPr>
        <w:pStyle w:val="Heading2"/>
        <w:spacing w:before="0" w:after="0" w:line="480" w:lineRule="auto"/>
        <w:jc w:val="both"/>
        <w:rPr>
          <w:rFonts w:ascii="Times New Roman" w:eastAsia="Times New Roman" w:hAnsi="Times New Roman" w:cs="Times New Roman"/>
          <w:b/>
          <w:color w:val="000000"/>
          <w:sz w:val="24"/>
          <w:szCs w:val="24"/>
        </w:rPr>
      </w:pPr>
      <w:bookmarkStart w:id="10" w:name="_uj11nnscfpd4" w:colFirst="0" w:colLast="0"/>
      <w:bookmarkEnd w:id="10"/>
      <w:r w:rsidRPr="005B419C">
        <w:rPr>
          <w:rFonts w:ascii="Times New Roman" w:eastAsia="Times New Roman" w:hAnsi="Times New Roman" w:cs="Times New Roman"/>
          <w:b/>
          <w:color w:val="000000"/>
          <w:sz w:val="24"/>
          <w:szCs w:val="24"/>
        </w:rPr>
        <w:t>4.6 Discussion of Findings</w:t>
      </w:r>
    </w:p>
    <w:p w:rsidR="00F65389" w:rsidRPr="005B419C" w:rsidRDefault="00601CBA" w:rsidP="005B419C">
      <w:pPr>
        <w:spacing w:after="0" w:line="480" w:lineRule="auto"/>
        <w:jc w:val="both"/>
        <w:rPr>
          <w:rFonts w:ascii="Times New Roman" w:eastAsia="Times New Roman" w:hAnsi="Times New Roman" w:cs="Times New Roman"/>
          <w:b/>
        </w:rPr>
      </w:pPr>
      <w:r w:rsidRPr="005B419C">
        <w:rPr>
          <w:rFonts w:ascii="Times New Roman" w:eastAsia="Times New Roman" w:hAnsi="Times New Roman" w:cs="Times New Roman"/>
          <w:b/>
        </w:rPr>
        <w:t>Research Question One: What is the effect of debt-to-asset ratio on the return on assets (ROA) of Nestlé Nigeria PLC?</w:t>
      </w:r>
    </w:p>
    <w:p w:rsidR="00F65389" w:rsidRPr="005B419C" w:rsidRDefault="00601CBA" w:rsidP="005B419C">
      <w:pPr>
        <w:spacing w:after="0" w:line="480" w:lineRule="auto"/>
        <w:jc w:val="both"/>
        <w:rPr>
          <w:rFonts w:ascii="Times New Roman" w:eastAsia="Times New Roman" w:hAnsi="Times New Roman" w:cs="Times New Roman"/>
        </w:rPr>
      </w:pPr>
      <w:r w:rsidRPr="005B419C">
        <w:rPr>
          <w:rFonts w:ascii="Times New Roman" w:eastAsia="Gungsuh" w:hAnsi="Times New Roman" w:cs="Times New Roman"/>
        </w:rPr>
        <w:t>The model shows that the debt-to-asset ratio does not register a statistically strong link to Nestlé Nigeria’s return on assets, even though the negative sign of the coefficient moves in the direction theory expects. At face value, this result contradicts the sharp negative correlation seen earlier (r = −.93), which flagged a strong pairwise association. This break between simple correlation and regression output signals that either overlap in the variables or a muted signal under multivariable control is at play. Classic finance logic claims that as debt climbs relative to assets, the pressure from interest load and repayment risk cuts into net returns. But the evidence here says otherwise for this firm and timeframe.</w:t>
      </w:r>
    </w:p>
    <w:p w:rsidR="00F65389" w:rsidRPr="005B419C" w:rsidRDefault="00601CBA" w:rsidP="005B419C">
      <w:pPr>
        <w:spacing w:after="0" w:line="480" w:lineRule="auto"/>
        <w:jc w:val="both"/>
        <w:rPr>
          <w:rFonts w:ascii="Times New Roman" w:eastAsia="Times New Roman" w:hAnsi="Times New Roman" w:cs="Times New Roman"/>
        </w:rPr>
      </w:pPr>
      <w:r w:rsidRPr="005B419C">
        <w:rPr>
          <w:rFonts w:ascii="Times New Roman" w:eastAsia="Times New Roman" w:hAnsi="Times New Roman" w:cs="Times New Roman"/>
        </w:rPr>
        <w:t xml:space="preserve">This muted effect mirrors what Umenzekwe </w:t>
      </w:r>
      <w:r w:rsidRPr="005B419C">
        <w:rPr>
          <w:rFonts w:ascii="Times New Roman" w:eastAsia="Times New Roman" w:hAnsi="Times New Roman" w:cs="Times New Roman"/>
          <w:i/>
        </w:rPr>
        <w:t>et al</w:t>
      </w:r>
      <w:r w:rsidRPr="005B419C">
        <w:rPr>
          <w:rFonts w:ascii="Times New Roman" w:eastAsia="Times New Roman" w:hAnsi="Times New Roman" w:cs="Times New Roman"/>
        </w:rPr>
        <w:t xml:space="preserve">. (2022) saw among ICT firms in Nigeria, where solvency ratios, including DAR, showed no tight grip on ROA. Meliani </w:t>
      </w:r>
      <w:r w:rsidRPr="005B419C">
        <w:rPr>
          <w:rFonts w:ascii="Times New Roman" w:eastAsia="Times New Roman" w:hAnsi="Times New Roman" w:cs="Times New Roman"/>
          <w:i/>
        </w:rPr>
        <w:t>et al</w:t>
      </w:r>
      <w:r w:rsidRPr="005B419C">
        <w:rPr>
          <w:rFonts w:ascii="Times New Roman" w:eastAsia="Times New Roman" w:hAnsi="Times New Roman" w:cs="Times New Roman"/>
        </w:rPr>
        <w:t>. (2021) also reported a similar non-link in food and drink firms across Indonesia. Taken together, the pattern suggests that the straight-line logic between DAR and ROA is not fixed but likely shaped by sector quirks, debt structure types, and operational buffers. In such zones, solvency may not act as a pure drag or may be shielded by other strengths.</w:t>
      </w:r>
    </w:p>
    <w:p w:rsidR="00F65389" w:rsidRPr="005B419C" w:rsidRDefault="00601CBA" w:rsidP="005B419C">
      <w:pPr>
        <w:spacing w:after="0" w:line="480" w:lineRule="auto"/>
        <w:jc w:val="both"/>
        <w:rPr>
          <w:rFonts w:ascii="Times New Roman" w:eastAsia="Times New Roman" w:hAnsi="Times New Roman" w:cs="Times New Roman"/>
        </w:rPr>
      </w:pPr>
      <w:r w:rsidRPr="005B419C">
        <w:rPr>
          <w:rFonts w:ascii="Times New Roman" w:eastAsia="Times New Roman" w:hAnsi="Times New Roman" w:cs="Times New Roman"/>
        </w:rPr>
        <w:t>Still, this outcome diverges from Kyule (2015), who found a small but real inverse pull between solvency and ROA in Nairobi-listed firms. Yameen and Pervez (2016) also recorded a strong negative tie between solvency and profitability in their study of Indian steel firms. These opposing reports remind that sector spread, local funding systems, and economic volatility create differing firm behavior patterns in how debt weighs on earnings.</w:t>
      </w:r>
    </w:p>
    <w:p w:rsidR="00F65389" w:rsidRPr="005B419C" w:rsidRDefault="00601CBA" w:rsidP="005B419C">
      <w:pPr>
        <w:spacing w:after="0" w:line="480" w:lineRule="auto"/>
        <w:jc w:val="both"/>
        <w:rPr>
          <w:rFonts w:ascii="Times New Roman" w:eastAsia="Times New Roman" w:hAnsi="Times New Roman" w:cs="Times New Roman"/>
        </w:rPr>
      </w:pPr>
      <w:r w:rsidRPr="005B419C">
        <w:rPr>
          <w:rFonts w:ascii="Times New Roman" w:eastAsia="Times New Roman" w:hAnsi="Times New Roman" w:cs="Times New Roman"/>
        </w:rPr>
        <w:t>A few threads may explain why the DAR line did not hit significance in Nestlé Nigeria. The first is its multinational parentage. Global backing might open access to cheaper or shielded debt lines, dampening risk. The second is strategic debt use. If borrowed funds fed into high-return projects, the margin spread could have outpaced the cost drag. Third, 2023’s loss-heavy profile and equity shortfall likely warped the full-period pattern. Finally, Nigeria’s tax structure might have flipped some of the burden, with interest deductions shielding earnings. All these angles suggest that while theory holds in general, context breaks or bends its weight.</w:t>
      </w:r>
    </w:p>
    <w:p w:rsidR="00F65389" w:rsidRPr="005B419C" w:rsidRDefault="00601CBA" w:rsidP="005B419C">
      <w:pPr>
        <w:spacing w:after="0" w:line="480" w:lineRule="auto"/>
        <w:jc w:val="both"/>
        <w:rPr>
          <w:rFonts w:ascii="Times New Roman" w:eastAsia="Times New Roman" w:hAnsi="Times New Roman" w:cs="Times New Roman"/>
        </w:rPr>
      </w:pPr>
      <w:r w:rsidRPr="005B419C">
        <w:rPr>
          <w:rFonts w:ascii="Times New Roman" w:eastAsia="Times New Roman" w:hAnsi="Times New Roman" w:cs="Times New Roman"/>
          <w:b/>
        </w:rPr>
        <w:t>Research Question Two: What is the effect of debt-to-equity ratio on the return on assets (ROA) of Nestlé Nigeria PLC?</w:t>
      </w:r>
    </w:p>
    <w:p w:rsidR="00F65389" w:rsidRPr="005B419C" w:rsidRDefault="00601CBA" w:rsidP="005B419C">
      <w:pPr>
        <w:spacing w:after="0" w:line="480" w:lineRule="auto"/>
        <w:jc w:val="both"/>
        <w:rPr>
          <w:rFonts w:ascii="Times New Roman" w:eastAsia="Times New Roman" w:hAnsi="Times New Roman" w:cs="Times New Roman"/>
        </w:rPr>
      </w:pPr>
      <w:r w:rsidRPr="005B419C">
        <w:rPr>
          <w:rFonts w:ascii="Times New Roman" w:eastAsia="Times New Roman" w:hAnsi="Times New Roman" w:cs="Times New Roman"/>
        </w:rPr>
        <w:t>The results show a clear and significant positive tie between the debt-to-equity ratio and return on assets in Nestlé Nigeria, with β = 0.051 and p = .013. This means that as debt rises compared to equity, profitability also rises. At first glance, this runs opposite to what textbook finance theory predicts. Normally, higher leverage should weigh down profits through costlier risk and tighter repayment pressure. But here, the figures say otherwise. That alone flags this relationship as worth unpacking. One likely clue is the 2023 data shock, where equity flipped negative, pushing DER and ROA into rare territory. That event may have tilted the numbers, making a negative-to-negative match that still came out as a positive in correlation terms.</w:t>
      </w:r>
    </w:p>
    <w:p w:rsidR="00F65389" w:rsidRPr="005B419C" w:rsidRDefault="00601CBA" w:rsidP="005B419C">
      <w:pPr>
        <w:spacing w:after="0" w:line="480" w:lineRule="auto"/>
        <w:jc w:val="both"/>
        <w:rPr>
          <w:rFonts w:ascii="Times New Roman" w:eastAsia="Times New Roman" w:hAnsi="Times New Roman" w:cs="Times New Roman"/>
        </w:rPr>
      </w:pPr>
      <w:r w:rsidRPr="005B419C">
        <w:rPr>
          <w:rFonts w:ascii="Times New Roman" w:eastAsia="Times New Roman" w:hAnsi="Times New Roman" w:cs="Times New Roman"/>
        </w:rPr>
        <w:t xml:space="preserve">This upside effect in DER breaks from earlier studies. Umenzekwe </w:t>
      </w:r>
      <w:r w:rsidRPr="005B419C">
        <w:rPr>
          <w:rFonts w:ascii="Times New Roman" w:eastAsia="Times New Roman" w:hAnsi="Times New Roman" w:cs="Times New Roman"/>
          <w:i/>
        </w:rPr>
        <w:t>et al</w:t>
      </w:r>
      <w:r w:rsidRPr="005B419C">
        <w:rPr>
          <w:rFonts w:ascii="Times New Roman" w:eastAsia="Times New Roman" w:hAnsi="Times New Roman" w:cs="Times New Roman"/>
        </w:rPr>
        <w:t xml:space="preserve">. (2022) found no link between DER and ROA in Nigerian ICT firms. Meliani </w:t>
      </w:r>
      <w:r w:rsidRPr="005B419C">
        <w:rPr>
          <w:rFonts w:ascii="Times New Roman" w:eastAsia="Times New Roman" w:hAnsi="Times New Roman" w:cs="Times New Roman"/>
          <w:i/>
        </w:rPr>
        <w:t>et al</w:t>
      </w:r>
      <w:r w:rsidRPr="005B419C">
        <w:rPr>
          <w:rFonts w:ascii="Times New Roman" w:eastAsia="Times New Roman" w:hAnsi="Times New Roman" w:cs="Times New Roman"/>
        </w:rPr>
        <w:t xml:space="preserve">. (2021) saw no influence of solvency ratios either in their Indonesian sample. These contrasts suggest that how DER works may depend on industry type, market climate, or company setup. The positive hit Nestlé shows here may not hold elsewhere. Still, our finding overlaps somewhat with what Aprilyani </w:t>
      </w:r>
      <w:r w:rsidRPr="005B419C">
        <w:rPr>
          <w:rFonts w:ascii="Times New Roman" w:eastAsia="Times New Roman" w:hAnsi="Times New Roman" w:cs="Times New Roman"/>
          <w:i/>
        </w:rPr>
        <w:t>et al</w:t>
      </w:r>
      <w:r w:rsidRPr="005B419C">
        <w:rPr>
          <w:rFonts w:ascii="Times New Roman" w:eastAsia="Times New Roman" w:hAnsi="Times New Roman" w:cs="Times New Roman"/>
        </w:rPr>
        <w:t>. (2024) uncovered in their work on PT Charoen Pokphand Indonesia. Their study marked a positive solvency-profit curve too. The trade-off theory helps make sense of this. It says firms can load up on debt to a point getting tax shields from interest costs before risks catch up. If Nestlé Nigeria stayed under that tipping mark, it may have locked in the upsides of leverage without sliding into distress costs.</w:t>
      </w:r>
    </w:p>
    <w:p w:rsidR="00F65389" w:rsidRPr="005B419C" w:rsidRDefault="00601CBA" w:rsidP="005B419C">
      <w:pPr>
        <w:spacing w:after="0" w:line="480" w:lineRule="auto"/>
        <w:jc w:val="both"/>
        <w:rPr>
          <w:rFonts w:ascii="Times New Roman" w:eastAsia="Times New Roman" w:hAnsi="Times New Roman" w:cs="Times New Roman"/>
        </w:rPr>
      </w:pPr>
      <w:r w:rsidRPr="005B419C">
        <w:rPr>
          <w:rFonts w:ascii="Times New Roman" w:eastAsia="Times New Roman" w:hAnsi="Times New Roman" w:cs="Times New Roman"/>
        </w:rPr>
        <w:t>A few working parts might drive this result. One is effective capital use. Nestlé may be channeling borrowed money into projects with better-than-average returns. That would more than cover the debt costs. Another is firm strength. Nestlé’s dominant place in Nigeria’s FMCG space gives it pricing control and steady sales, which could keep returns stable even with added debt. The third is tax design. In Nigeria, interest costs lower taxable income, giving firms a built-in shield when borrowing. Lastly, 2023’s data shock may have stretched the signal artificially, but the overall link remains firm enough to suggest a real mechanism behind the pattern.</w:t>
      </w:r>
    </w:p>
    <w:p w:rsidR="00F65389" w:rsidRPr="005B419C" w:rsidRDefault="00601CBA" w:rsidP="005B419C">
      <w:pPr>
        <w:spacing w:after="0" w:line="480" w:lineRule="auto"/>
        <w:jc w:val="both"/>
        <w:rPr>
          <w:rFonts w:ascii="Times New Roman" w:eastAsia="Times New Roman" w:hAnsi="Times New Roman" w:cs="Times New Roman"/>
          <w:b/>
        </w:rPr>
      </w:pPr>
      <w:r w:rsidRPr="005B419C">
        <w:rPr>
          <w:rFonts w:ascii="Times New Roman" w:eastAsia="Times New Roman" w:hAnsi="Times New Roman" w:cs="Times New Roman"/>
          <w:b/>
        </w:rPr>
        <w:t>Research Question Three: What is the effect of interest coverage ratio on the return on assets (ROA) of Nestlé Nigeria PLC?</w:t>
      </w:r>
    </w:p>
    <w:p w:rsidR="00F65389" w:rsidRPr="005B419C" w:rsidRDefault="00601CBA" w:rsidP="005B419C">
      <w:pPr>
        <w:spacing w:after="0" w:line="480" w:lineRule="auto"/>
        <w:jc w:val="both"/>
        <w:rPr>
          <w:rFonts w:ascii="Times New Roman" w:eastAsia="Times New Roman" w:hAnsi="Times New Roman" w:cs="Times New Roman"/>
        </w:rPr>
      </w:pPr>
      <w:r w:rsidRPr="005B419C">
        <w:rPr>
          <w:rFonts w:ascii="Times New Roman" w:eastAsia="Times New Roman" w:hAnsi="Times New Roman" w:cs="Times New Roman"/>
        </w:rPr>
        <w:t>This analysis uncovers a significant and positive link between interest coverage ratio and return on assets in Nestlé Nigeria, with β = 0.173 and p = .019. This tells us that when the firm’s ability to cover interest from earnings improves, profitability tends to rise too. It supports the classic finance view that fewer interest drains on earnings mean more profit reaches the bottom line. What stands out here is that this strong relationship emerged in the full model even though the pairwise correlation between ICR and ROA was nearly zero (r = .005). This contrast shows that deeper patterns often sit below surface-level statistics and reinforces the role of controlled multivariate testing.</w:t>
      </w:r>
    </w:p>
    <w:p w:rsidR="00F65389" w:rsidRPr="005B419C" w:rsidRDefault="00601CBA" w:rsidP="005B419C">
      <w:pPr>
        <w:spacing w:after="0" w:line="480" w:lineRule="auto"/>
        <w:jc w:val="both"/>
        <w:rPr>
          <w:rFonts w:ascii="Times New Roman" w:eastAsia="Times New Roman" w:hAnsi="Times New Roman" w:cs="Times New Roman"/>
        </w:rPr>
      </w:pPr>
      <w:r w:rsidRPr="005B419C">
        <w:rPr>
          <w:rFonts w:ascii="Times New Roman" w:eastAsia="Times New Roman" w:hAnsi="Times New Roman" w:cs="Times New Roman"/>
        </w:rPr>
        <w:t xml:space="preserve">This outcome matches the result in Prasetiyo (2022), who found that solvency markers helped explain firm value for Indonesian state enterprises. It also fits with what Yenni </w:t>
      </w:r>
      <w:r w:rsidRPr="005B419C">
        <w:rPr>
          <w:rFonts w:ascii="Times New Roman" w:eastAsia="Times New Roman" w:hAnsi="Times New Roman" w:cs="Times New Roman"/>
          <w:i/>
        </w:rPr>
        <w:t>et al</w:t>
      </w:r>
      <w:r w:rsidRPr="005B419C">
        <w:rPr>
          <w:rFonts w:ascii="Times New Roman" w:eastAsia="Times New Roman" w:hAnsi="Times New Roman" w:cs="Times New Roman"/>
        </w:rPr>
        <w:t>. (2022) reported for CV Masindo Electric Medan, where firm solvency had clear ties to profitability. These common threads across different business environments point back to a shared core: firms with stronger interest coverage often do better overall, both in earnings and market view.</w:t>
      </w:r>
    </w:p>
    <w:p w:rsidR="00F65389" w:rsidRDefault="00601CBA" w:rsidP="005B419C">
      <w:pPr>
        <w:spacing w:after="0" w:line="480" w:lineRule="auto"/>
        <w:jc w:val="both"/>
        <w:rPr>
          <w:rFonts w:ascii="Times New Roman" w:eastAsia="Times New Roman" w:hAnsi="Times New Roman" w:cs="Times New Roman"/>
        </w:rPr>
      </w:pPr>
      <w:r w:rsidRPr="005B419C">
        <w:rPr>
          <w:rFonts w:ascii="Times New Roman" w:eastAsia="Times New Roman" w:hAnsi="Times New Roman" w:cs="Times New Roman"/>
        </w:rPr>
        <w:t xml:space="preserve">Still, our finding does not line up with the results from Meliani </w:t>
      </w:r>
      <w:r w:rsidRPr="005B419C">
        <w:rPr>
          <w:rFonts w:ascii="Times New Roman" w:eastAsia="Times New Roman" w:hAnsi="Times New Roman" w:cs="Times New Roman"/>
          <w:i/>
        </w:rPr>
        <w:t>et al</w:t>
      </w:r>
      <w:r w:rsidRPr="005B419C">
        <w:rPr>
          <w:rFonts w:ascii="Times New Roman" w:eastAsia="Times New Roman" w:hAnsi="Times New Roman" w:cs="Times New Roman"/>
        </w:rPr>
        <w:t>. (2021), who found no clear effect of solvency ratios on firm outcomes in Indonesia’s food and beverage sector. That gap might be shaped by differences in industry, debt mix, or financial behavior across firms. It also points to the risk of assuming one-size-fits-all patterns in cross-sector finance. Several underlying currents can explain the positive slope here. First, a high ICR means that operating income can easily carry interest costs, which cushions net profit. Second, this same margin gives the firm room to move if it can borrow more, negotiate better, or reinvest faster. Third, ICR often signals core operational strength. A business running efficiently is more likely to keep ICR up and profits steady. Lastly, lenders treat high ICR firms as safer bets. They offer better loan terms, which cuts interest costs and quietly boosts profits over time.</w:t>
      </w:r>
    </w:p>
    <w:p w:rsidR="005B419C" w:rsidRDefault="005B419C" w:rsidP="005B419C">
      <w:pPr>
        <w:spacing w:after="0" w:line="480" w:lineRule="auto"/>
        <w:jc w:val="both"/>
        <w:rPr>
          <w:rFonts w:ascii="Times New Roman" w:eastAsia="Times New Roman" w:hAnsi="Times New Roman" w:cs="Times New Roman"/>
        </w:rPr>
      </w:pPr>
    </w:p>
    <w:p w:rsidR="005B419C" w:rsidRPr="005B419C" w:rsidRDefault="005B419C" w:rsidP="005B419C">
      <w:pPr>
        <w:spacing w:after="0" w:line="480" w:lineRule="auto"/>
        <w:jc w:val="both"/>
        <w:rPr>
          <w:rFonts w:ascii="Times New Roman" w:eastAsia="Times New Roman" w:hAnsi="Times New Roman" w:cs="Times New Roman"/>
        </w:rPr>
      </w:pPr>
    </w:p>
    <w:p w:rsidR="00F65389" w:rsidRPr="005B419C" w:rsidRDefault="00601CBA" w:rsidP="005B419C">
      <w:pPr>
        <w:spacing w:after="0" w:line="480" w:lineRule="auto"/>
        <w:jc w:val="both"/>
        <w:rPr>
          <w:rFonts w:ascii="Times New Roman" w:eastAsia="Times New Roman" w:hAnsi="Times New Roman" w:cs="Times New Roman"/>
        </w:rPr>
      </w:pPr>
      <w:r w:rsidRPr="005B419C">
        <w:rPr>
          <w:rFonts w:ascii="Times New Roman" w:eastAsia="Times New Roman" w:hAnsi="Times New Roman" w:cs="Times New Roman"/>
          <w:b/>
        </w:rPr>
        <w:t>Research Question Four: What is the effect of time interest earned ratio on the return on assets (ROA) of Nestlé Nigeria PLC?</w:t>
      </w:r>
    </w:p>
    <w:p w:rsidR="00F65389" w:rsidRPr="005B419C" w:rsidRDefault="00601CBA" w:rsidP="005B419C">
      <w:pPr>
        <w:spacing w:after="0" w:line="480" w:lineRule="auto"/>
        <w:jc w:val="both"/>
        <w:rPr>
          <w:rFonts w:ascii="Times New Roman" w:eastAsia="Times New Roman" w:hAnsi="Times New Roman" w:cs="Times New Roman"/>
        </w:rPr>
      </w:pPr>
      <w:r w:rsidRPr="005B419C">
        <w:rPr>
          <w:rFonts w:ascii="Times New Roman" w:eastAsia="Times New Roman" w:hAnsi="Times New Roman" w:cs="Times New Roman"/>
        </w:rPr>
        <w:t>Our analysis shows that times interest earned ratio does not carry a statistically significant effect on return on assets for Nestlé Nigeria, with a slope coefficient of β = 0.065 and p = .512. Though its direction aligns with financial expectations suggesting better interest coverage improves profitability the result fails the significance test. This is likely due to TIER's perfect correlation with interest coverage ratio (r = 1.00), which already pulls in most of the variance tied to debt service in the model. What TIER attempts to explain, ICR already holds. Hence, TIER fades into the background when both enter the regression.</w:t>
      </w:r>
    </w:p>
    <w:p w:rsidR="00F65389" w:rsidRPr="005B419C" w:rsidRDefault="00601CBA" w:rsidP="005B419C">
      <w:pPr>
        <w:spacing w:after="0" w:line="360" w:lineRule="auto"/>
        <w:jc w:val="both"/>
        <w:rPr>
          <w:rFonts w:ascii="Times New Roman" w:eastAsia="Times New Roman" w:hAnsi="Times New Roman" w:cs="Times New Roman"/>
        </w:rPr>
      </w:pPr>
      <w:r w:rsidRPr="005B419C">
        <w:rPr>
          <w:rFonts w:ascii="Times New Roman" w:eastAsia="Times New Roman" w:hAnsi="Times New Roman" w:cs="Times New Roman"/>
        </w:rPr>
        <w:t>This outcome aligns with core multivariate logic. When two variables walk in sync, only one tends to survive in a tight model. The non-significant result here does not mean TIER lacks conceptual strength, it only means ICR tells the story more directly in this setup. The overlap in their constructs explains the redundancy. TIER reads debt coverage using pre-tax income. ICR uses EBIT. The difference matters on paper but not enough to shift the overall picture when both show up at once.</w:t>
      </w:r>
    </w:p>
    <w:p w:rsidR="00F65389" w:rsidRPr="005B419C" w:rsidRDefault="00601CBA" w:rsidP="005B419C">
      <w:pPr>
        <w:spacing w:after="0" w:line="480" w:lineRule="auto"/>
        <w:jc w:val="both"/>
        <w:rPr>
          <w:rFonts w:ascii="Times New Roman" w:eastAsia="Times New Roman" w:hAnsi="Times New Roman" w:cs="Times New Roman"/>
        </w:rPr>
      </w:pPr>
      <w:r w:rsidRPr="005B419C">
        <w:rPr>
          <w:rFonts w:ascii="Times New Roman" w:eastAsia="Times New Roman" w:hAnsi="Times New Roman" w:cs="Times New Roman"/>
        </w:rPr>
        <w:t>The finding suggests that if one must pick, operating-level metrics like ICR explain profitability patterns better than income figures farther down the line. Items between EBIT and pre-tax income like non-operating gains or losses introduce noise that might blur the underlying finance structure. These extras can widen TIER numerically but add little in predictive sharpness. Multicollinearity may also mask whatever slight distinct signal TIER might offer. In real-world terms, the message here is practical. For financial analysts or corporate managers looking to track solvency's influence on profits, ICR remains the cleaner and more useful metric. TIER, while theoretically valid, adds little fresh insight once ICR is in play. In Nestlé Nigeria’s case, the signal is clear: stronger EBIT-based coverage moves the profit needle, and ICR is the sharper lens through which to track it.</w:t>
      </w:r>
    </w:p>
    <w:p w:rsidR="00F65389" w:rsidRPr="005B419C" w:rsidRDefault="00F65389" w:rsidP="005B419C">
      <w:pPr>
        <w:spacing w:before="240" w:after="0" w:line="240" w:lineRule="auto"/>
        <w:jc w:val="both"/>
        <w:rPr>
          <w:rFonts w:ascii="Times New Roman" w:eastAsia="Times New Roman" w:hAnsi="Times New Roman" w:cs="Times New Roman"/>
        </w:rPr>
      </w:pPr>
    </w:p>
    <w:p w:rsidR="00F65389" w:rsidRDefault="00601CBA">
      <w:pPr>
        <w:pStyle w:val="Heading1"/>
        <w:spacing w:before="0" w:after="0" w:line="480" w:lineRule="auto"/>
        <w:jc w:val="center"/>
        <w:rPr>
          <w:rFonts w:ascii="Times New Roman" w:eastAsia="Times New Roman" w:hAnsi="Times New Roman" w:cs="Times New Roman"/>
          <w:b/>
          <w:color w:val="000000"/>
          <w:sz w:val="24"/>
          <w:szCs w:val="24"/>
        </w:rPr>
      </w:pPr>
      <w:bookmarkStart w:id="11" w:name="_xgcjhe5pu8nb" w:colFirst="0" w:colLast="0"/>
      <w:bookmarkEnd w:id="11"/>
      <w:r>
        <w:rPr>
          <w:rFonts w:ascii="Times New Roman" w:eastAsia="Times New Roman" w:hAnsi="Times New Roman" w:cs="Times New Roman"/>
          <w:b/>
          <w:color w:val="000000"/>
          <w:sz w:val="24"/>
          <w:szCs w:val="24"/>
        </w:rPr>
        <w:t>CHAPTER FIVE</w:t>
      </w:r>
    </w:p>
    <w:p w:rsidR="00F65389" w:rsidRDefault="00601CBA">
      <w:pPr>
        <w:pStyle w:val="Heading1"/>
        <w:spacing w:before="0" w:after="0" w:line="480" w:lineRule="auto"/>
        <w:jc w:val="center"/>
        <w:rPr>
          <w:rFonts w:ascii="Times New Roman" w:eastAsia="Times New Roman" w:hAnsi="Times New Roman" w:cs="Times New Roman"/>
          <w:b/>
          <w:color w:val="000000"/>
          <w:sz w:val="24"/>
          <w:szCs w:val="24"/>
        </w:rPr>
      </w:pPr>
      <w:bookmarkStart w:id="12" w:name="_zf2sqb53j6am" w:colFirst="0" w:colLast="0"/>
      <w:bookmarkEnd w:id="12"/>
      <w:r>
        <w:rPr>
          <w:rFonts w:ascii="Times New Roman" w:eastAsia="Times New Roman" w:hAnsi="Times New Roman" w:cs="Times New Roman"/>
          <w:b/>
          <w:color w:val="000000"/>
          <w:sz w:val="24"/>
          <w:szCs w:val="24"/>
        </w:rPr>
        <w:t>SUMMARY, CONCLUSION, AND RECOMMENDATION</w:t>
      </w:r>
    </w:p>
    <w:p w:rsidR="00F65389" w:rsidRDefault="00601CBA">
      <w:pPr>
        <w:pStyle w:val="Heading2"/>
        <w:spacing w:before="0" w:after="0" w:line="480" w:lineRule="auto"/>
        <w:jc w:val="both"/>
        <w:rPr>
          <w:rFonts w:ascii="Times New Roman" w:eastAsia="Times New Roman" w:hAnsi="Times New Roman" w:cs="Times New Roman"/>
          <w:b/>
          <w:color w:val="000000"/>
          <w:sz w:val="24"/>
          <w:szCs w:val="24"/>
        </w:rPr>
      </w:pPr>
      <w:bookmarkStart w:id="13" w:name="_9gl2x124g6yl" w:colFirst="0" w:colLast="0"/>
      <w:bookmarkEnd w:id="13"/>
      <w:r>
        <w:rPr>
          <w:rFonts w:ascii="Times New Roman" w:eastAsia="Times New Roman" w:hAnsi="Times New Roman" w:cs="Times New Roman"/>
          <w:b/>
          <w:color w:val="000000"/>
          <w:sz w:val="24"/>
          <w:szCs w:val="24"/>
        </w:rPr>
        <w:t>5.1 Summary of Findings</w:t>
      </w:r>
    </w:p>
    <w:p w:rsidR="00F65389" w:rsidRDefault="00601CBA">
      <w:pPr>
        <w:spacing w:line="480" w:lineRule="auto"/>
        <w:jc w:val="both"/>
        <w:rPr>
          <w:rFonts w:ascii="Times New Roman" w:eastAsia="Times New Roman" w:hAnsi="Times New Roman" w:cs="Times New Roman"/>
        </w:rPr>
      </w:pPr>
      <w:r>
        <w:rPr>
          <w:rFonts w:ascii="Times New Roman" w:eastAsia="Times New Roman" w:hAnsi="Times New Roman" w:cs="Times New Roman"/>
        </w:rPr>
        <w:t>This study examined the effect of firm solvency on the financial performance of Nestlé Nigeria PLC from 2012 to 2023. The findings from each research question are summarized below:</w:t>
      </w:r>
    </w:p>
    <w:p w:rsidR="00F65389" w:rsidRDefault="00601CBA">
      <w:pPr>
        <w:numPr>
          <w:ilvl w:val="0"/>
          <w:numId w:val="5"/>
        </w:numPr>
        <w:spacing w:after="0" w:line="480" w:lineRule="auto"/>
        <w:jc w:val="both"/>
        <w:rPr>
          <w:rFonts w:ascii="Times New Roman" w:eastAsia="Times New Roman" w:hAnsi="Times New Roman" w:cs="Times New Roman"/>
        </w:rPr>
      </w:pPr>
      <w:r>
        <w:rPr>
          <w:rFonts w:ascii="Times New Roman" w:eastAsia="Times New Roman" w:hAnsi="Times New Roman" w:cs="Times New Roman"/>
        </w:rPr>
        <w:t>Debt-to-asset ratio (DAR) does not have a statistically significant effect on the return on assets (ROA) of Nestlé Nigeria PLC.</w:t>
      </w:r>
    </w:p>
    <w:p w:rsidR="00F65389" w:rsidRDefault="00601CBA">
      <w:pPr>
        <w:numPr>
          <w:ilvl w:val="0"/>
          <w:numId w:val="5"/>
        </w:numPr>
        <w:spacing w:after="0" w:line="480" w:lineRule="auto"/>
        <w:jc w:val="both"/>
        <w:rPr>
          <w:rFonts w:ascii="Times New Roman" w:eastAsia="Times New Roman" w:hAnsi="Times New Roman" w:cs="Times New Roman"/>
        </w:rPr>
      </w:pPr>
      <w:r>
        <w:rPr>
          <w:rFonts w:ascii="Times New Roman" w:eastAsia="Times New Roman" w:hAnsi="Times New Roman" w:cs="Times New Roman"/>
        </w:rPr>
        <w:t>Debt-to-equity ratio (DER) has a significant positive effect on the return on assets (ROA) of Nestlé Nigeria PLC</w:t>
      </w:r>
    </w:p>
    <w:p w:rsidR="00F65389" w:rsidRDefault="00601CBA">
      <w:pPr>
        <w:numPr>
          <w:ilvl w:val="0"/>
          <w:numId w:val="5"/>
        </w:numPr>
        <w:spacing w:after="0" w:line="480" w:lineRule="auto"/>
        <w:jc w:val="both"/>
        <w:rPr>
          <w:rFonts w:ascii="Times New Roman" w:eastAsia="Times New Roman" w:hAnsi="Times New Roman" w:cs="Times New Roman"/>
        </w:rPr>
      </w:pPr>
      <w:r>
        <w:rPr>
          <w:rFonts w:ascii="Times New Roman" w:eastAsia="Times New Roman" w:hAnsi="Times New Roman" w:cs="Times New Roman"/>
        </w:rPr>
        <w:t>Interest coverage ratio (ICR) has a significant positive effect on the return on assets (ROA) of Nestlé Nigeria PLC.</w:t>
      </w:r>
    </w:p>
    <w:p w:rsidR="00F65389" w:rsidRDefault="00601CBA">
      <w:pPr>
        <w:numPr>
          <w:ilvl w:val="0"/>
          <w:numId w:val="5"/>
        </w:numPr>
        <w:spacing w:after="0" w:line="480" w:lineRule="auto"/>
        <w:jc w:val="both"/>
        <w:rPr>
          <w:rFonts w:ascii="Times New Roman" w:eastAsia="Times New Roman" w:hAnsi="Times New Roman" w:cs="Times New Roman"/>
        </w:rPr>
      </w:pPr>
      <w:r>
        <w:rPr>
          <w:rFonts w:ascii="Times New Roman" w:eastAsia="Times New Roman" w:hAnsi="Times New Roman" w:cs="Times New Roman"/>
        </w:rPr>
        <w:t>Times interest earned ratio (TIER) does not have a statistically significant effect on the return on assets (ROA) of Nestlé Nigeria PLC</w:t>
      </w:r>
    </w:p>
    <w:p w:rsidR="00F65389" w:rsidRDefault="00601CBA">
      <w:pPr>
        <w:spacing w:line="480" w:lineRule="auto"/>
        <w:jc w:val="both"/>
        <w:rPr>
          <w:rFonts w:ascii="Times New Roman" w:eastAsia="Times New Roman" w:hAnsi="Times New Roman" w:cs="Times New Roman"/>
          <w:b/>
        </w:rPr>
      </w:pPr>
      <w:r>
        <w:rPr>
          <w:rFonts w:ascii="Times New Roman" w:eastAsia="Times New Roman" w:hAnsi="Times New Roman" w:cs="Times New Roman"/>
          <w:b/>
        </w:rPr>
        <w:t>5.2 Conclusion</w:t>
      </w:r>
    </w:p>
    <w:p w:rsidR="00F65389" w:rsidRDefault="00601CBA">
      <w:pPr>
        <w:spacing w:line="48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The evidence suggests solvency measures shape Nestlé Nigeria’s financial outcomes, though the pattern breaks from classical theory. Debt-to-equity ratio carries a strong positive link with profitability, questioning the idea that more debt always weakens firm performance. Interest coverage ratio also connects positively with ROA, underscoring the value of strong operating income relative to interest cost. Yet, debt-to-asset and times interest earned ratios show no direct effect, suggesting some solvency indicators matter more than others. Operating income-based ratios seem more predictive than those using broader or pre-tax income bases.</w:t>
      </w:r>
      <w:r>
        <w:rPr>
          <w:rFonts w:ascii="Times New Roman" w:eastAsia="Times New Roman" w:hAnsi="Times New Roman" w:cs="Times New Roman"/>
        </w:rPr>
        <w:t xml:space="preserve"> </w:t>
      </w:r>
      <w:r>
        <w:rPr>
          <w:rFonts w:ascii="Times New Roman" w:eastAsia="Times New Roman" w:hAnsi="Times New Roman" w:cs="Times New Roman"/>
          <w:color w:val="000000"/>
        </w:rPr>
        <w:t xml:space="preserve">These results partly support trade-off theory. Nestlé Nigeria appears to have stayed below the leverage danger zone for most of the years, drawing benefit from tax shields without tipping into distress. The 2023 crash due to foreign exchange losses changed the </w:t>
      </w:r>
      <w:r>
        <w:rPr>
          <w:rFonts w:ascii="Times New Roman" w:eastAsia="Times New Roman" w:hAnsi="Times New Roman" w:cs="Times New Roman"/>
        </w:rPr>
        <w:t>balance, net</w:t>
      </w:r>
      <w:r>
        <w:rPr>
          <w:rFonts w:ascii="Times New Roman" w:eastAsia="Times New Roman" w:hAnsi="Times New Roman" w:cs="Times New Roman"/>
          <w:color w:val="000000"/>
        </w:rPr>
        <w:t xml:space="preserve"> income fell, equity turned negative, and the capital structure warped. This one-year disruption reflects how macro shocks can twist the solvency-performance link, exposing how tightly firms must manage leverage under economic pressure..</w:t>
      </w:r>
    </w:p>
    <w:p w:rsidR="00F65389" w:rsidRDefault="00601CBA">
      <w:pPr>
        <w:pStyle w:val="Heading2"/>
        <w:spacing w:before="0" w:after="0" w:line="480" w:lineRule="auto"/>
        <w:jc w:val="both"/>
        <w:rPr>
          <w:rFonts w:ascii="Times New Roman" w:eastAsia="Times New Roman" w:hAnsi="Times New Roman" w:cs="Times New Roman"/>
          <w:b/>
          <w:color w:val="000000"/>
          <w:sz w:val="24"/>
          <w:szCs w:val="24"/>
        </w:rPr>
      </w:pPr>
      <w:bookmarkStart w:id="14" w:name="_ub12lq18dthu" w:colFirst="0" w:colLast="0"/>
      <w:bookmarkEnd w:id="14"/>
      <w:r>
        <w:rPr>
          <w:rFonts w:ascii="Times New Roman" w:eastAsia="Times New Roman" w:hAnsi="Times New Roman" w:cs="Times New Roman"/>
          <w:b/>
          <w:color w:val="000000"/>
          <w:sz w:val="24"/>
          <w:szCs w:val="24"/>
        </w:rPr>
        <w:t>5.3 Recommendations</w:t>
      </w:r>
    </w:p>
    <w:p w:rsidR="00F65389" w:rsidRDefault="00601CBA">
      <w:pPr>
        <w:spacing w:line="480" w:lineRule="auto"/>
        <w:jc w:val="both"/>
        <w:rPr>
          <w:rFonts w:ascii="Times New Roman" w:eastAsia="Times New Roman" w:hAnsi="Times New Roman" w:cs="Times New Roman"/>
        </w:rPr>
      </w:pPr>
      <w:r>
        <w:rPr>
          <w:rFonts w:ascii="Times New Roman" w:eastAsia="Times New Roman" w:hAnsi="Times New Roman" w:cs="Times New Roman"/>
        </w:rPr>
        <w:t>Based on the findings and conclusions of this study, the following recommendations are proposed:</w:t>
      </w:r>
    </w:p>
    <w:p w:rsidR="00F65389" w:rsidRDefault="00601CBA">
      <w:pPr>
        <w:numPr>
          <w:ilvl w:val="0"/>
          <w:numId w:val="6"/>
        </w:numPr>
        <w:spacing w:after="0" w:line="480" w:lineRule="auto"/>
        <w:jc w:val="both"/>
        <w:rPr>
          <w:rFonts w:ascii="Times New Roman" w:eastAsia="Times New Roman" w:hAnsi="Times New Roman" w:cs="Times New Roman"/>
        </w:rPr>
      </w:pPr>
      <w:r>
        <w:rPr>
          <w:rFonts w:ascii="Times New Roman" w:eastAsia="Times New Roman" w:hAnsi="Times New Roman" w:cs="Times New Roman"/>
        </w:rPr>
        <w:t>Management should keep a strategic posture on capital structure, leveraging debt only to the degree it continues to support profit growth</w:t>
      </w:r>
    </w:p>
    <w:p w:rsidR="00F65389" w:rsidRDefault="00601CBA">
      <w:pPr>
        <w:numPr>
          <w:ilvl w:val="0"/>
          <w:numId w:val="6"/>
        </w:numPr>
        <w:spacing w:after="0" w:line="480" w:lineRule="auto"/>
        <w:jc w:val="both"/>
        <w:rPr>
          <w:rFonts w:ascii="Times New Roman" w:eastAsia="Times New Roman" w:hAnsi="Times New Roman" w:cs="Times New Roman"/>
        </w:rPr>
      </w:pPr>
      <w:r>
        <w:rPr>
          <w:rFonts w:ascii="Times New Roman" w:eastAsia="Times New Roman" w:hAnsi="Times New Roman" w:cs="Times New Roman"/>
        </w:rPr>
        <w:t>Sustaining strong interest coverage should be treated as a financial pillar, ensuring room to meet debt costs even during downturns</w:t>
      </w:r>
    </w:p>
    <w:p w:rsidR="00F65389" w:rsidRDefault="00601CBA">
      <w:pPr>
        <w:numPr>
          <w:ilvl w:val="0"/>
          <w:numId w:val="6"/>
        </w:numPr>
        <w:spacing w:after="0" w:line="480" w:lineRule="auto"/>
        <w:jc w:val="both"/>
        <w:rPr>
          <w:rFonts w:ascii="Times New Roman" w:eastAsia="Times New Roman" w:hAnsi="Times New Roman" w:cs="Times New Roman"/>
        </w:rPr>
      </w:pPr>
      <w:r>
        <w:rPr>
          <w:rFonts w:ascii="Times New Roman" w:eastAsia="Times New Roman" w:hAnsi="Times New Roman" w:cs="Times New Roman"/>
        </w:rPr>
        <w:t>To reduce future shocks, the firm should diversify its funding blend, increasing the weight of naira-based loans or equity options</w:t>
      </w:r>
    </w:p>
    <w:p w:rsidR="00F65389" w:rsidRDefault="00601CBA">
      <w:pPr>
        <w:numPr>
          <w:ilvl w:val="0"/>
          <w:numId w:val="6"/>
        </w:numPr>
        <w:spacing w:after="0" w:line="480" w:lineRule="auto"/>
        <w:jc w:val="both"/>
        <w:rPr>
          <w:rFonts w:ascii="Times New Roman" w:eastAsia="Times New Roman" w:hAnsi="Times New Roman" w:cs="Times New Roman"/>
        </w:rPr>
      </w:pPr>
      <w:r>
        <w:rPr>
          <w:rFonts w:ascii="Times New Roman" w:eastAsia="Times New Roman" w:hAnsi="Times New Roman" w:cs="Times New Roman"/>
        </w:rPr>
        <w:t xml:space="preserve">Foreign exchange exposure must be more tightly managed, using operational hedging like local sourcing or export offsets, along with financial hedging tools if accessible. </w:t>
      </w:r>
    </w:p>
    <w:p w:rsidR="00F65389" w:rsidRDefault="00601CBA">
      <w:pPr>
        <w:pStyle w:val="Heading2"/>
        <w:spacing w:before="0" w:after="0" w:line="480" w:lineRule="auto"/>
        <w:jc w:val="both"/>
        <w:rPr>
          <w:rFonts w:ascii="Times New Roman" w:eastAsia="Times New Roman" w:hAnsi="Times New Roman" w:cs="Times New Roman"/>
          <w:b/>
          <w:color w:val="000000"/>
          <w:sz w:val="24"/>
          <w:szCs w:val="24"/>
        </w:rPr>
      </w:pPr>
      <w:bookmarkStart w:id="15" w:name="_6ls60aeaig0j" w:colFirst="0" w:colLast="0"/>
      <w:bookmarkEnd w:id="15"/>
      <w:r>
        <w:rPr>
          <w:rFonts w:ascii="Times New Roman" w:eastAsia="Times New Roman" w:hAnsi="Times New Roman" w:cs="Times New Roman"/>
          <w:b/>
          <w:color w:val="000000"/>
          <w:sz w:val="24"/>
          <w:szCs w:val="24"/>
        </w:rPr>
        <w:t>5.4 Contributions to Knowledge</w:t>
      </w:r>
    </w:p>
    <w:p w:rsidR="00F65389" w:rsidRDefault="00601CBA">
      <w:pPr>
        <w:spacing w:line="480" w:lineRule="auto"/>
        <w:jc w:val="both"/>
        <w:rPr>
          <w:rFonts w:ascii="Times New Roman" w:eastAsia="Times New Roman" w:hAnsi="Times New Roman" w:cs="Times New Roman"/>
        </w:rPr>
      </w:pPr>
      <w:r>
        <w:rPr>
          <w:rFonts w:ascii="Times New Roman" w:eastAsia="Times New Roman" w:hAnsi="Times New Roman" w:cs="Times New Roman"/>
        </w:rPr>
        <w:t>This study makes several important contributions to the existing body of knowledge on firm solvency and financial performance:</w:t>
      </w:r>
    </w:p>
    <w:p w:rsidR="00F65389" w:rsidRDefault="00601CBA">
      <w:pPr>
        <w:numPr>
          <w:ilvl w:val="0"/>
          <w:numId w:val="4"/>
        </w:numPr>
        <w:spacing w:after="0" w:line="480" w:lineRule="auto"/>
        <w:jc w:val="both"/>
        <w:rPr>
          <w:rFonts w:ascii="Times New Roman" w:eastAsia="Times New Roman" w:hAnsi="Times New Roman" w:cs="Times New Roman"/>
        </w:rPr>
      </w:pPr>
      <w:r>
        <w:rPr>
          <w:rFonts w:ascii="Times New Roman" w:eastAsia="Times New Roman" w:hAnsi="Times New Roman" w:cs="Times New Roman"/>
        </w:rPr>
        <w:t>The study plugs a gap by supplying fresh empirical insight on solvency and profitability using real data from a top-tier FMCG firm in Nigeria</w:t>
      </w:r>
    </w:p>
    <w:p w:rsidR="00F65389" w:rsidRDefault="00601CBA">
      <w:pPr>
        <w:numPr>
          <w:ilvl w:val="0"/>
          <w:numId w:val="4"/>
        </w:numPr>
        <w:spacing w:after="0" w:line="480" w:lineRule="auto"/>
        <w:jc w:val="both"/>
        <w:rPr>
          <w:rFonts w:ascii="Times New Roman" w:eastAsia="Times New Roman" w:hAnsi="Times New Roman" w:cs="Times New Roman"/>
        </w:rPr>
      </w:pPr>
      <w:r>
        <w:rPr>
          <w:rFonts w:ascii="Times New Roman" w:eastAsia="Times New Roman" w:hAnsi="Times New Roman" w:cs="Times New Roman"/>
        </w:rPr>
        <w:t>It flips conventional wisdom by showing that debt, when managed right, may enhance profitability rather than erode it</w:t>
      </w:r>
    </w:p>
    <w:p w:rsidR="00F65389" w:rsidRDefault="00601CBA">
      <w:pPr>
        <w:numPr>
          <w:ilvl w:val="0"/>
          <w:numId w:val="4"/>
        </w:numPr>
        <w:spacing w:after="0" w:line="480" w:lineRule="auto"/>
        <w:jc w:val="both"/>
        <w:rPr>
          <w:rFonts w:ascii="Times New Roman" w:eastAsia="Times New Roman" w:hAnsi="Times New Roman" w:cs="Times New Roman"/>
        </w:rPr>
      </w:pPr>
      <w:r>
        <w:rPr>
          <w:rFonts w:ascii="Times New Roman" w:eastAsia="Times New Roman" w:hAnsi="Times New Roman" w:cs="Times New Roman"/>
        </w:rPr>
        <w:t>It flags that not all solvency ratios are equally important measures tied to operating strength (like ICR) matter more than total debt levels</w:t>
      </w:r>
    </w:p>
    <w:p w:rsidR="00F65389" w:rsidRDefault="00601CBA">
      <w:pPr>
        <w:numPr>
          <w:ilvl w:val="0"/>
          <w:numId w:val="4"/>
        </w:numPr>
        <w:spacing w:after="0" w:line="480" w:lineRule="auto"/>
        <w:jc w:val="both"/>
        <w:rPr>
          <w:rFonts w:ascii="Times New Roman" w:eastAsia="Times New Roman" w:hAnsi="Times New Roman" w:cs="Times New Roman"/>
        </w:rPr>
      </w:pPr>
      <w:r>
        <w:rPr>
          <w:rFonts w:ascii="Times New Roman" w:eastAsia="Times New Roman" w:hAnsi="Times New Roman" w:cs="Times New Roman"/>
        </w:rPr>
        <w:t>It proves how extreme events like a currency crisis can disrupt usual financial paths, offering a deeper look into stress-period solvency behavior</w:t>
      </w:r>
    </w:p>
    <w:p w:rsidR="00F65389" w:rsidRDefault="00601CBA">
      <w:pPr>
        <w:pStyle w:val="Heading2"/>
        <w:spacing w:before="0" w:after="0" w:line="480" w:lineRule="auto"/>
        <w:jc w:val="both"/>
        <w:rPr>
          <w:rFonts w:ascii="Times New Roman" w:eastAsia="Times New Roman" w:hAnsi="Times New Roman" w:cs="Times New Roman"/>
          <w:b/>
          <w:color w:val="000000"/>
          <w:sz w:val="24"/>
          <w:szCs w:val="24"/>
        </w:rPr>
      </w:pPr>
      <w:bookmarkStart w:id="16" w:name="_guj66rnez58w" w:colFirst="0" w:colLast="0"/>
      <w:bookmarkEnd w:id="16"/>
      <w:r>
        <w:rPr>
          <w:rFonts w:ascii="Times New Roman" w:eastAsia="Times New Roman" w:hAnsi="Times New Roman" w:cs="Times New Roman"/>
          <w:b/>
          <w:color w:val="000000"/>
          <w:sz w:val="24"/>
          <w:szCs w:val="24"/>
        </w:rPr>
        <w:t>5.5 Suggestions for Further Studies</w:t>
      </w:r>
    </w:p>
    <w:p w:rsidR="00F65389" w:rsidRDefault="00601CBA">
      <w:pPr>
        <w:spacing w:line="480" w:lineRule="auto"/>
        <w:jc w:val="both"/>
        <w:rPr>
          <w:rFonts w:ascii="Times New Roman" w:eastAsia="Times New Roman" w:hAnsi="Times New Roman" w:cs="Times New Roman"/>
        </w:rPr>
      </w:pPr>
      <w:r>
        <w:rPr>
          <w:rFonts w:ascii="Times New Roman" w:eastAsia="Times New Roman" w:hAnsi="Times New Roman" w:cs="Times New Roman"/>
        </w:rPr>
        <w:t>Based on the findings, limitations, and unanswered questions from this study, the following areas are suggested for further research:</w:t>
      </w:r>
    </w:p>
    <w:p w:rsidR="00F65389" w:rsidRDefault="00601CBA">
      <w:pPr>
        <w:numPr>
          <w:ilvl w:val="0"/>
          <w:numId w:val="7"/>
        </w:numPr>
        <w:spacing w:after="0" w:line="480" w:lineRule="auto"/>
        <w:jc w:val="both"/>
        <w:rPr>
          <w:rFonts w:ascii="Times New Roman" w:eastAsia="Times New Roman" w:hAnsi="Times New Roman" w:cs="Times New Roman"/>
        </w:rPr>
      </w:pPr>
      <w:r>
        <w:rPr>
          <w:rFonts w:ascii="Times New Roman" w:eastAsia="Times New Roman" w:hAnsi="Times New Roman" w:cs="Times New Roman"/>
        </w:rPr>
        <w:t>Replicate the analysis across several FMCG firms in Nigeria to see whether Nestlé’s patterns hold firm or stand alone</w:t>
      </w:r>
    </w:p>
    <w:p w:rsidR="00F65389" w:rsidRDefault="00601CBA">
      <w:pPr>
        <w:numPr>
          <w:ilvl w:val="0"/>
          <w:numId w:val="7"/>
        </w:numPr>
        <w:spacing w:after="0" w:line="480" w:lineRule="auto"/>
        <w:jc w:val="both"/>
        <w:rPr>
          <w:rFonts w:ascii="Times New Roman" w:eastAsia="Times New Roman" w:hAnsi="Times New Roman" w:cs="Times New Roman"/>
        </w:rPr>
      </w:pPr>
      <w:r>
        <w:rPr>
          <w:rFonts w:ascii="Times New Roman" w:eastAsia="Times New Roman" w:hAnsi="Times New Roman" w:cs="Times New Roman"/>
        </w:rPr>
        <w:t>Run cross-sector comparisons to draw lines between how different Nigerian industries absorb and respond to solvency shifts</w:t>
      </w:r>
    </w:p>
    <w:p w:rsidR="00F65389" w:rsidRDefault="00601CBA">
      <w:pPr>
        <w:numPr>
          <w:ilvl w:val="0"/>
          <w:numId w:val="7"/>
        </w:numPr>
        <w:spacing w:after="0" w:line="480" w:lineRule="auto"/>
        <w:jc w:val="both"/>
        <w:rPr>
          <w:rFonts w:ascii="Times New Roman" w:eastAsia="Times New Roman" w:hAnsi="Times New Roman" w:cs="Times New Roman"/>
        </w:rPr>
      </w:pPr>
      <w:r>
        <w:rPr>
          <w:rFonts w:ascii="Times New Roman" w:eastAsia="Times New Roman" w:hAnsi="Times New Roman" w:cs="Times New Roman"/>
        </w:rPr>
        <w:t>Explore how macroeconomic events especially exchange rate swings reshape solvency-profit dynamics in other multinational setups</w:t>
      </w:r>
    </w:p>
    <w:p w:rsidR="00F65389" w:rsidRDefault="00601CBA">
      <w:pPr>
        <w:numPr>
          <w:ilvl w:val="0"/>
          <w:numId w:val="7"/>
        </w:numPr>
        <w:spacing w:after="0" w:line="480" w:lineRule="auto"/>
        <w:jc w:val="both"/>
        <w:rPr>
          <w:rFonts w:ascii="Times New Roman" w:eastAsia="Times New Roman" w:hAnsi="Times New Roman" w:cs="Times New Roman"/>
        </w:rPr>
      </w:pPr>
      <w:r>
        <w:rPr>
          <w:rFonts w:ascii="Times New Roman" w:eastAsia="Times New Roman" w:hAnsi="Times New Roman" w:cs="Times New Roman"/>
        </w:rPr>
        <w:t>Test for nonlinear relationships or tipping points in leverage, where extra debt flips from helpful to harmful in the Nigerian business scene</w:t>
      </w:r>
    </w:p>
    <w:p w:rsidR="00F65389" w:rsidRDefault="00F65389">
      <w:pPr>
        <w:spacing w:before="240" w:line="240" w:lineRule="auto"/>
        <w:jc w:val="both"/>
        <w:rPr>
          <w:rFonts w:ascii="Times New Roman" w:eastAsia="Times New Roman" w:hAnsi="Times New Roman" w:cs="Times New Roman"/>
        </w:rPr>
      </w:pPr>
    </w:p>
    <w:p w:rsidR="00F65389" w:rsidRDefault="00601CBA">
      <w:pPr>
        <w:spacing w:before="240" w:line="240" w:lineRule="auto"/>
        <w:ind w:left="720" w:hanging="720"/>
        <w:jc w:val="center"/>
        <w:rPr>
          <w:rFonts w:ascii="Times New Roman" w:eastAsia="Times New Roman" w:hAnsi="Times New Roman" w:cs="Times New Roman"/>
          <w:b/>
        </w:rPr>
      </w:pPr>
      <w:r>
        <w:br w:type="page"/>
      </w:r>
    </w:p>
    <w:p w:rsidR="00F65389" w:rsidRDefault="00601CBA">
      <w:pPr>
        <w:spacing w:before="240" w:line="240" w:lineRule="auto"/>
        <w:ind w:left="720" w:hanging="720"/>
        <w:jc w:val="center"/>
        <w:rPr>
          <w:rFonts w:ascii="Times New Roman" w:eastAsia="Times New Roman" w:hAnsi="Times New Roman" w:cs="Times New Roman"/>
        </w:rPr>
      </w:pPr>
      <w:r>
        <w:rPr>
          <w:rFonts w:ascii="Times New Roman" w:eastAsia="Times New Roman" w:hAnsi="Times New Roman" w:cs="Times New Roman"/>
          <w:b/>
        </w:rPr>
        <w:t>REFERENCES</w:t>
      </w:r>
    </w:p>
    <w:p w:rsidR="00F65389" w:rsidRDefault="00601CBA">
      <w:pPr>
        <w:spacing w:line="240" w:lineRule="auto"/>
        <w:ind w:left="720" w:hanging="720"/>
        <w:jc w:val="both"/>
        <w:rPr>
          <w:rFonts w:ascii="Times New Roman" w:eastAsia="Times New Roman" w:hAnsi="Times New Roman" w:cs="Times New Roman"/>
        </w:rPr>
      </w:pPr>
      <w:r>
        <w:rPr>
          <w:rFonts w:ascii="Times New Roman" w:eastAsia="Times New Roman" w:hAnsi="Times New Roman" w:cs="Times New Roman"/>
        </w:rPr>
        <w:t xml:space="preserve">Abdulhadi, K. H., &amp; Dashtbayaz, M. L. (2022). Comparing the effect of intangible assets and macroeconomic parameters on the stock prices in firms listed on the stock exchange of Iran, Saudi Arabia, and Nigeria. </w:t>
      </w:r>
      <w:r>
        <w:rPr>
          <w:rFonts w:ascii="Times New Roman" w:eastAsia="Times New Roman" w:hAnsi="Times New Roman" w:cs="Times New Roman"/>
          <w:i/>
        </w:rPr>
        <w:t>Central European Management Journal</w:t>
      </w:r>
      <w:r>
        <w:rPr>
          <w:rFonts w:ascii="Times New Roman" w:eastAsia="Times New Roman" w:hAnsi="Times New Roman" w:cs="Times New Roman"/>
        </w:rPr>
        <w:t xml:space="preserve">, </w:t>
      </w:r>
      <w:r>
        <w:rPr>
          <w:rFonts w:ascii="Times New Roman" w:eastAsia="Times New Roman" w:hAnsi="Times New Roman" w:cs="Times New Roman"/>
          <w:i/>
        </w:rPr>
        <w:t>8</w:t>
      </w:r>
      <w:r>
        <w:rPr>
          <w:rFonts w:ascii="Times New Roman" w:eastAsia="Times New Roman" w:hAnsi="Times New Roman" w:cs="Times New Roman"/>
        </w:rPr>
        <w:t>(3), 234–245.</w:t>
      </w:r>
      <w:hyperlink r:id="rId14">
        <w:r>
          <w:rPr>
            <w:rFonts w:ascii="Times New Roman" w:eastAsia="Times New Roman" w:hAnsi="Times New Roman" w:cs="Times New Roman"/>
          </w:rPr>
          <w:t xml:space="preserve"> </w:t>
        </w:r>
      </w:hyperlink>
      <w:r>
        <w:rPr>
          <w:rFonts w:ascii="Times New Roman" w:eastAsia="Times New Roman" w:hAnsi="Times New Roman" w:cs="Times New Roman"/>
        </w:rPr>
        <w:t xml:space="preserve"> </w:t>
      </w:r>
    </w:p>
    <w:p w:rsidR="00F65389" w:rsidRDefault="00601CBA">
      <w:pPr>
        <w:spacing w:before="240" w:line="240" w:lineRule="auto"/>
        <w:ind w:left="720" w:hanging="720"/>
        <w:jc w:val="both"/>
        <w:rPr>
          <w:rFonts w:ascii="Times New Roman" w:eastAsia="Times New Roman" w:hAnsi="Times New Roman" w:cs="Times New Roman"/>
        </w:rPr>
      </w:pPr>
      <w:r>
        <w:rPr>
          <w:rFonts w:ascii="Times New Roman" w:eastAsia="Times New Roman" w:hAnsi="Times New Roman" w:cs="Times New Roman"/>
        </w:rPr>
        <w:t xml:space="preserve">Aderemi, O. A. (2024). Leverage and financial performance of quoted consumer goods in Nigeria. </w:t>
      </w:r>
      <w:r>
        <w:rPr>
          <w:rFonts w:ascii="Times New Roman" w:eastAsia="Times New Roman" w:hAnsi="Times New Roman" w:cs="Times New Roman"/>
          <w:i/>
        </w:rPr>
        <w:t>Nigerian Journal of Management Sciences</w:t>
      </w:r>
      <w:r>
        <w:rPr>
          <w:rFonts w:ascii="Times New Roman" w:eastAsia="Times New Roman" w:hAnsi="Times New Roman" w:cs="Times New Roman"/>
        </w:rPr>
        <w:t xml:space="preserve">, </w:t>
      </w:r>
      <w:r>
        <w:rPr>
          <w:rFonts w:ascii="Times New Roman" w:eastAsia="Times New Roman" w:hAnsi="Times New Roman" w:cs="Times New Roman"/>
          <w:i/>
        </w:rPr>
        <w:t>12</w:t>
      </w:r>
      <w:r>
        <w:rPr>
          <w:rFonts w:ascii="Times New Roman" w:eastAsia="Times New Roman" w:hAnsi="Times New Roman" w:cs="Times New Roman"/>
        </w:rPr>
        <w:t>(1), 66–79.</w:t>
      </w:r>
      <w:hyperlink r:id="rId15">
        <w:r>
          <w:rPr>
            <w:rFonts w:ascii="Times New Roman" w:eastAsia="Times New Roman" w:hAnsi="Times New Roman" w:cs="Times New Roman"/>
          </w:rPr>
          <w:t xml:space="preserve"> </w:t>
        </w:r>
      </w:hyperlink>
    </w:p>
    <w:p w:rsidR="00F65389" w:rsidRDefault="00601CBA">
      <w:pPr>
        <w:spacing w:before="240" w:line="240" w:lineRule="auto"/>
        <w:ind w:left="720" w:hanging="720"/>
        <w:jc w:val="both"/>
        <w:rPr>
          <w:rFonts w:ascii="Times New Roman" w:eastAsia="Times New Roman" w:hAnsi="Times New Roman" w:cs="Times New Roman"/>
        </w:rPr>
      </w:pPr>
      <w:r>
        <w:rPr>
          <w:rFonts w:ascii="Times New Roman" w:eastAsia="Times New Roman" w:hAnsi="Times New Roman" w:cs="Times New Roman"/>
        </w:rPr>
        <w:t xml:space="preserve">Ahmed, Y., &amp; Richardson, G. (2020). Trade-off theory and financial flexibility: Evidence from African markets. </w:t>
      </w:r>
      <w:r>
        <w:rPr>
          <w:rFonts w:ascii="Times New Roman" w:eastAsia="Times New Roman" w:hAnsi="Times New Roman" w:cs="Times New Roman"/>
          <w:i/>
        </w:rPr>
        <w:t>Journal of Financial Research</w:t>
      </w:r>
      <w:r>
        <w:rPr>
          <w:rFonts w:ascii="Times New Roman" w:eastAsia="Times New Roman" w:hAnsi="Times New Roman" w:cs="Times New Roman"/>
        </w:rPr>
        <w:t xml:space="preserve">, </w:t>
      </w:r>
      <w:r>
        <w:rPr>
          <w:rFonts w:ascii="Times New Roman" w:eastAsia="Times New Roman" w:hAnsi="Times New Roman" w:cs="Times New Roman"/>
          <w:i/>
        </w:rPr>
        <w:t>43</w:t>
      </w:r>
      <w:r>
        <w:rPr>
          <w:rFonts w:ascii="Times New Roman" w:eastAsia="Times New Roman" w:hAnsi="Times New Roman" w:cs="Times New Roman"/>
        </w:rPr>
        <w:t>(3), 605–632.</w:t>
      </w:r>
      <w:hyperlink r:id="rId16">
        <w:r>
          <w:rPr>
            <w:rFonts w:ascii="Times New Roman" w:eastAsia="Times New Roman" w:hAnsi="Times New Roman" w:cs="Times New Roman"/>
          </w:rPr>
          <w:t xml:space="preserve"> </w:t>
        </w:r>
      </w:hyperlink>
    </w:p>
    <w:p w:rsidR="00F65389" w:rsidRDefault="00601CBA">
      <w:pPr>
        <w:spacing w:line="240" w:lineRule="auto"/>
        <w:ind w:left="720" w:hanging="720"/>
        <w:jc w:val="both"/>
        <w:rPr>
          <w:rFonts w:ascii="Times New Roman" w:eastAsia="Times New Roman" w:hAnsi="Times New Roman" w:cs="Times New Roman"/>
        </w:rPr>
      </w:pPr>
      <w:r>
        <w:rPr>
          <w:rFonts w:ascii="Times New Roman" w:eastAsia="Times New Roman" w:hAnsi="Times New Roman" w:cs="Times New Roman"/>
        </w:rPr>
        <w:t xml:space="preserve">Alalade, Y. S. A. (2024). Macroeconomic variables and profitability of consumer goods manufacturing firms in Nigeria. </w:t>
      </w:r>
      <w:r>
        <w:rPr>
          <w:rFonts w:ascii="Times New Roman" w:eastAsia="Times New Roman" w:hAnsi="Times New Roman" w:cs="Times New Roman"/>
          <w:i/>
        </w:rPr>
        <w:t>Seybold Publications</w:t>
      </w:r>
      <w:r>
        <w:rPr>
          <w:rFonts w:ascii="Times New Roman" w:eastAsia="Times New Roman" w:hAnsi="Times New Roman" w:cs="Times New Roman"/>
        </w:rPr>
        <w:t xml:space="preserve">, </w:t>
      </w:r>
      <w:r>
        <w:rPr>
          <w:rFonts w:ascii="Times New Roman" w:eastAsia="Times New Roman" w:hAnsi="Times New Roman" w:cs="Times New Roman"/>
          <w:i/>
        </w:rPr>
        <w:t>10</w:t>
      </w:r>
      <w:r>
        <w:rPr>
          <w:rFonts w:ascii="Times New Roman" w:eastAsia="Times New Roman" w:hAnsi="Times New Roman" w:cs="Times New Roman"/>
        </w:rPr>
        <w:t xml:space="preserve">(5), 322–337. Retrieved from Seybold Publications </w:t>
      </w:r>
    </w:p>
    <w:p w:rsidR="00F65389" w:rsidRDefault="00601CBA">
      <w:pPr>
        <w:spacing w:before="240" w:line="240" w:lineRule="auto"/>
        <w:ind w:left="720" w:hanging="720"/>
        <w:jc w:val="both"/>
        <w:rPr>
          <w:rFonts w:ascii="Times New Roman" w:eastAsia="Times New Roman" w:hAnsi="Times New Roman" w:cs="Times New Roman"/>
        </w:rPr>
      </w:pPr>
      <w:r>
        <w:rPr>
          <w:rFonts w:ascii="Times New Roman" w:eastAsia="Times New Roman" w:hAnsi="Times New Roman" w:cs="Times New Roman"/>
        </w:rPr>
        <w:t xml:space="preserve">Aliyu, A. N. (2019). Analysis of debt financing on corporate financial performance. </w:t>
      </w:r>
      <w:r>
        <w:rPr>
          <w:rFonts w:ascii="Times New Roman" w:eastAsia="Times New Roman" w:hAnsi="Times New Roman" w:cs="Times New Roman"/>
          <w:i/>
        </w:rPr>
        <w:t>Lapai Journal of Economics</w:t>
      </w:r>
      <w:r>
        <w:rPr>
          <w:rFonts w:ascii="Times New Roman" w:eastAsia="Times New Roman" w:hAnsi="Times New Roman" w:cs="Times New Roman"/>
        </w:rPr>
        <w:t xml:space="preserve">, </w:t>
      </w:r>
      <w:r>
        <w:rPr>
          <w:rFonts w:ascii="Times New Roman" w:eastAsia="Times New Roman" w:hAnsi="Times New Roman" w:cs="Times New Roman"/>
          <w:i/>
        </w:rPr>
        <w:t>3</w:t>
      </w:r>
      <w:r>
        <w:rPr>
          <w:rFonts w:ascii="Times New Roman" w:eastAsia="Times New Roman" w:hAnsi="Times New Roman" w:cs="Times New Roman"/>
        </w:rPr>
        <w:t>(2), 25–39.</w:t>
      </w:r>
      <w:hyperlink r:id="rId17">
        <w:r>
          <w:rPr>
            <w:rFonts w:ascii="Times New Roman" w:eastAsia="Times New Roman" w:hAnsi="Times New Roman" w:cs="Times New Roman"/>
          </w:rPr>
          <w:t xml:space="preserve"> </w:t>
        </w:r>
      </w:hyperlink>
    </w:p>
    <w:p w:rsidR="00F65389" w:rsidRDefault="00601CBA">
      <w:pPr>
        <w:spacing w:before="240" w:line="240" w:lineRule="auto"/>
        <w:ind w:left="720" w:hanging="720"/>
        <w:jc w:val="both"/>
        <w:rPr>
          <w:rFonts w:ascii="Times New Roman" w:eastAsia="Times New Roman" w:hAnsi="Times New Roman" w:cs="Times New Roman"/>
        </w:rPr>
      </w:pPr>
      <w:r>
        <w:rPr>
          <w:rFonts w:ascii="Times New Roman" w:eastAsia="Times New Roman" w:hAnsi="Times New Roman" w:cs="Times New Roman"/>
        </w:rPr>
        <w:t xml:space="preserve">Alsubaihi, F. H. S. (2022). The effect of solvency on return on assets: An applied study in Iraqi insurance companies (2012–2020). </w:t>
      </w:r>
      <w:r>
        <w:rPr>
          <w:rFonts w:ascii="Times New Roman" w:eastAsia="Times New Roman" w:hAnsi="Times New Roman" w:cs="Times New Roman"/>
          <w:i/>
        </w:rPr>
        <w:t>NeuroQuantology</w:t>
      </w:r>
      <w:r>
        <w:rPr>
          <w:rFonts w:ascii="Times New Roman" w:eastAsia="Times New Roman" w:hAnsi="Times New Roman" w:cs="Times New Roman"/>
        </w:rPr>
        <w:t xml:space="preserve">, </w:t>
      </w:r>
      <w:r>
        <w:rPr>
          <w:rFonts w:ascii="Times New Roman" w:eastAsia="Times New Roman" w:hAnsi="Times New Roman" w:cs="Times New Roman"/>
          <w:i/>
        </w:rPr>
        <w:t>20</w:t>
      </w:r>
      <w:r>
        <w:rPr>
          <w:rFonts w:ascii="Times New Roman" w:eastAsia="Times New Roman" w:hAnsi="Times New Roman" w:cs="Times New Roman"/>
        </w:rPr>
        <w:t>(10), 141–155.</w:t>
      </w:r>
      <w:hyperlink r:id="rId18">
        <w:r>
          <w:rPr>
            <w:rFonts w:ascii="Times New Roman" w:eastAsia="Times New Roman" w:hAnsi="Times New Roman" w:cs="Times New Roman"/>
          </w:rPr>
          <w:t xml:space="preserve"> </w:t>
        </w:r>
      </w:hyperlink>
    </w:p>
    <w:p w:rsidR="00F65389" w:rsidRDefault="00601CBA">
      <w:pPr>
        <w:spacing w:before="240" w:line="240" w:lineRule="auto"/>
        <w:ind w:left="720" w:hanging="720"/>
        <w:jc w:val="both"/>
        <w:rPr>
          <w:rFonts w:ascii="Times New Roman" w:eastAsia="Times New Roman" w:hAnsi="Times New Roman" w:cs="Times New Roman"/>
        </w:rPr>
      </w:pPr>
      <w:r>
        <w:rPr>
          <w:rFonts w:ascii="Times New Roman" w:eastAsia="Times New Roman" w:hAnsi="Times New Roman" w:cs="Times New Roman"/>
        </w:rPr>
        <w:t xml:space="preserve">Altman, E. I., &amp; Iwanicz-Drozdowska, M. (2020). Financial distress prediction in an international context: A Z-Score and TIMES approach. </w:t>
      </w:r>
      <w:r>
        <w:rPr>
          <w:rFonts w:ascii="Times New Roman" w:eastAsia="Times New Roman" w:hAnsi="Times New Roman" w:cs="Times New Roman"/>
          <w:i/>
        </w:rPr>
        <w:t>Journal of International Financial Management &amp; Accounting</w:t>
      </w:r>
      <w:r>
        <w:rPr>
          <w:rFonts w:ascii="Times New Roman" w:eastAsia="Times New Roman" w:hAnsi="Times New Roman" w:cs="Times New Roman"/>
        </w:rPr>
        <w:t xml:space="preserve">, </w:t>
      </w:r>
      <w:r>
        <w:rPr>
          <w:rFonts w:ascii="Times New Roman" w:eastAsia="Times New Roman" w:hAnsi="Times New Roman" w:cs="Times New Roman"/>
          <w:i/>
        </w:rPr>
        <w:t>31</w:t>
      </w:r>
      <w:r>
        <w:rPr>
          <w:rFonts w:ascii="Times New Roman" w:eastAsia="Times New Roman" w:hAnsi="Times New Roman" w:cs="Times New Roman"/>
        </w:rPr>
        <w:t>(2), 145–186.</w:t>
      </w:r>
      <w:hyperlink r:id="rId19">
        <w:r>
          <w:rPr>
            <w:rFonts w:ascii="Times New Roman" w:eastAsia="Times New Roman" w:hAnsi="Times New Roman" w:cs="Times New Roman"/>
          </w:rPr>
          <w:t xml:space="preserve"> </w:t>
        </w:r>
      </w:hyperlink>
    </w:p>
    <w:p w:rsidR="00F65389" w:rsidRDefault="00601CBA">
      <w:pPr>
        <w:spacing w:line="240" w:lineRule="auto"/>
        <w:ind w:left="720" w:hanging="720"/>
        <w:jc w:val="both"/>
        <w:rPr>
          <w:rFonts w:ascii="Times New Roman" w:eastAsia="Times New Roman" w:hAnsi="Times New Roman" w:cs="Times New Roman"/>
        </w:rPr>
      </w:pPr>
      <w:r>
        <w:rPr>
          <w:rFonts w:ascii="Times New Roman" w:eastAsia="Times New Roman" w:hAnsi="Times New Roman" w:cs="Times New Roman"/>
        </w:rPr>
        <w:t xml:space="preserve">Amaechi, M. P., &amp; Victor, I. I. (2024). Influence of financial structure on performance of deposit money banks in Nigeria. </w:t>
      </w:r>
      <w:r>
        <w:rPr>
          <w:rFonts w:ascii="Times New Roman" w:eastAsia="Times New Roman" w:hAnsi="Times New Roman" w:cs="Times New Roman"/>
          <w:i/>
        </w:rPr>
        <w:t>World Journal of Finance and Investment Research</w:t>
      </w:r>
      <w:r>
        <w:rPr>
          <w:rFonts w:ascii="Times New Roman" w:eastAsia="Times New Roman" w:hAnsi="Times New Roman" w:cs="Times New Roman"/>
        </w:rPr>
        <w:t xml:space="preserve">, </w:t>
      </w:r>
      <w:r>
        <w:rPr>
          <w:rFonts w:ascii="Times New Roman" w:eastAsia="Times New Roman" w:hAnsi="Times New Roman" w:cs="Times New Roman"/>
          <w:i/>
        </w:rPr>
        <w:t>8</w:t>
      </w:r>
      <w:r>
        <w:rPr>
          <w:rFonts w:ascii="Times New Roman" w:eastAsia="Times New Roman" w:hAnsi="Times New Roman" w:cs="Times New Roman"/>
        </w:rPr>
        <w:t xml:space="preserve">(3), 35–54. Retrieved from IIARD Journals </w:t>
      </w:r>
    </w:p>
    <w:p w:rsidR="00F65389" w:rsidRDefault="00601CBA">
      <w:pPr>
        <w:spacing w:line="240" w:lineRule="auto"/>
        <w:ind w:left="720" w:hanging="720"/>
        <w:jc w:val="both"/>
        <w:rPr>
          <w:rFonts w:ascii="Times New Roman" w:eastAsia="Times New Roman" w:hAnsi="Times New Roman" w:cs="Times New Roman"/>
        </w:rPr>
      </w:pPr>
      <w:r>
        <w:rPr>
          <w:rFonts w:ascii="Times New Roman" w:eastAsia="Times New Roman" w:hAnsi="Times New Roman" w:cs="Times New Roman"/>
        </w:rPr>
        <w:t xml:space="preserve">Aminu, U., &amp; Adesanya, O. (2024). Transition from a consuming to a producing economy: Recipe for accelerated economic development for Africa. Available at ResearchGate </w:t>
      </w:r>
    </w:p>
    <w:p w:rsidR="00F65389" w:rsidRDefault="00601CBA">
      <w:pPr>
        <w:spacing w:before="240" w:line="240" w:lineRule="auto"/>
        <w:ind w:left="720" w:hanging="720"/>
        <w:jc w:val="both"/>
        <w:rPr>
          <w:rFonts w:ascii="Times New Roman" w:eastAsia="Times New Roman" w:hAnsi="Times New Roman" w:cs="Times New Roman"/>
        </w:rPr>
      </w:pPr>
      <w:r>
        <w:rPr>
          <w:rFonts w:ascii="Times New Roman" w:eastAsia="Times New Roman" w:hAnsi="Times New Roman" w:cs="Times New Roman"/>
        </w:rPr>
        <w:t xml:space="preserve">Anderson, M., &amp; Taylor, S. (2023). Testing pecking order theory in tech companies: Evidence from global markets. </w:t>
      </w:r>
      <w:r>
        <w:rPr>
          <w:rFonts w:ascii="Times New Roman" w:eastAsia="Times New Roman" w:hAnsi="Times New Roman" w:cs="Times New Roman"/>
          <w:i/>
        </w:rPr>
        <w:t>Journal of Banking &amp; Finance</w:t>
      </w:r>
      <w:r>
        <w:rPr>
          <w:rFonts w:ascii="Times New Roman" w:eastAsia="Times New Roman" w:hAnsi="Times New Roman" w:cs="Times New Roman"/>
        </w:rPr>
        <w:t xml:space="preserve">, </w:t>
      </w:r>
      <w:r>
        <w:rPr>
          <w:rFonts w:ascii="Times New Roman" w:eastAsia="Times New Roman" w:hAnsi="Times New Roman" w:cs="Times New Roman"/>
          <w:i/>
        </w:rPr>
        <w:t>146</w:t>
      </w:r>
      <w:r>
        <w:rPr>
          <w:rFonts w:ascii="Times New Roman" w:eastAsia="Times New Roman" w:hAnsi="Times New Roman" w:cs="Times New Roman"/>
        </w:rPr>
        <w:t>, Article 106739.</w:t>
      </w:r>
      <w:hyperlink r:id="rId20">
        <w:r>
          <w:rPr>
            <w:rFonts w:ascii="Times New Roman" w:eastAsia="Times New Roman" w:hAnsi="Times New Roman" w:cs="Times New Roman"/>
          </w:rPr>
          <w:t xml:space="preserve"> </w:t>
        </w:r>
      </w:hyperlink>
    </w:p>
    <w:p w:rsidR="00F65389" w:rsidRDefault="00601CBA">
      <w:pPr>
        <w:spacing w:before="240" w:line="240" w:lineRule="auto"/>
        <w:ind w:left="720" w:hanging="720"/>
        <w:jc w:val="both"/>
        <w:rPr>
          <w:rFonts w:ascii="Times New Roman" w:eastAsia="Times New Roman" w:hAnsi="Times New Roman" w:cs="Times New Roman"/>
        </w:rPr>
      </w:pPr>
      <w:r>
        <w:rPr>
          <w:rFonts w:ascii="Times New Roman" w:eastAsia="Times New Roman" w:hAnsi="Times New Roman" w:cs="Times New Roman"/>
        </w:rPr>
        <w:t xml:space="preserve">Aprilyani, T., Hidayat, R., &amp; Kusworo, A. D. B. (2024). The effect of solvency ratio and profitability on the financial performance of PT Charoen Pokphand Indonesia Tbk. </w:t>
      </w:r>
      <w:r>
        <w:rPr>
          <w:rFonts w:ascii="Times New Roman" w:eastAsia="Times New Roman" w:hAnsi="Times New Roman" w:cs="Times New Roman"/>
          <w:i/>
        </w:rPr>
        <w:t>Journal of Advances in Accounting, Economics, and Management</w:t>
      </w:r>
      <w:r>
        <w:rPr>
          <w:rFonts w:ascii="Times New Roman" w:eastAsia="Times New Roman" w:hAnsi="Times New Roman" w:cs="Times New Roman"/>
        </w:rPr>
        <w:t xml:space="preserve">, </w:t>
      </w:r>
      <w:r>
        <w:rPr>
          <w:rFonts w:ascii="Times New Roman" w:eastAsia="Times New Roman" w:hAnsi="Times New Roman" w:cs="Times New Roman"/>
          <w:i/>
        </w:rPr>
        <w:t>1</w:t>
      </w:r>
      <w:r>
        <w:rPr>
          <w:rFonts w:ascii="Times New Roman" w:eastAsia="Times New Roman" w:hAnsi="Times New Roman" w:cs="Times New Roman"/>
        </w:rPr>
        <w:t>(4), 1–17.</w:t>
      </w:r>
      <w:hyperlink r:id="rId21">
        <w:r>
          <w:rPr>
            <w:rFonts w:ascii="Times New Roman" w:eastAsia="Times New Roman" w:hAnsi="Times New Roman" w:cs="Times New Roman"/>
          </w:rPr>
          <w:t xml:space="preserve"> </w:t>
        </w:r>
      </w:hyperlink>
    </w:p>
    <w:p w:rsidR="00F65389" w:rsidRDefault="00601CBA">
      <w:pPr>
        <w:spacing w:line="240" w:lineRule="auto"/>
        <w:ind w:left="720" w:hanging="720"/>
        <w:jc w:val="both"/>
        <w:rPr>
          <w:rFonts w:ascii="Times New Roman" w:eastAsia="Times New Roman" w:hAnsi="Times New Roman" w:cs="Times New Roman"/>
        </w:rPr>
      </w:pPr>
      <w:r>
        <w:rPr>
          <w:rFonts w:ascii="Times New Roman" w:eastAsia="Times New Roman" w:hAnsi="Times New Roman" w:cs="Times New Roman"/>
        </w:rPr>
        <w:t xml:space="preserve">Aprilyani, T., Hidayat, R., &amp; Kusworo, A. D. B. (2024). The effect of solvency ratio and profitability on the financial performance of PT Charoen Pokphand Indonesia Tbk. </w:t>
      </w:r>
      <w:r>
        <w:rPr>
          <w:rFonts w:ascii="Times New Roman" w:eastAsia="Times New Roman" w:hAnsi="Times New Roman" w:cs="Times New Roman"/>
          <w:i/>
        </w:rPr>
        <w:t>Journal of Advances in Accounting, Economics, and Management</w:t>
      </w:r>
      <w:r>
        <w:rPr>
          <w:rFonts w:ascii="Times New Roman" w:eastAsia="Times New Roman" w:hAnsi="Times New Roman" w:cs="Times New Roman"/>
        </w:rPr>
        <w:t xml:space="preserve">, </w:t>
      </w:r>
      <w:r>
        <w:rPr>
          <w:rFonts w:ascii="Times New Roman" w:eastAsia="Times New Roman" w:hAnsi="Times New Roman" w:cs="Times New Roman"/>
          <w:i/>
        </w:rPr>
        <w:t>1</w:t>
      </w:r>
      <w:r>
        <w:rPr>
          <w:rFonts w:ascii="Times New Roman" w:eastAsia="Times New Roman" w:hAnsi="Times New Roman" w:cs="Times New Roman"/>
        </w:rPr>
        <w:t>(4), 1–17.</w:t>
      </w:r>
      <w:hyperlink r:id="rId22">
        <w:r>
          <w:rPr>
            <w:rFonts w:ascii="Times New Roman" w:eastAsia="Times New Roman" w:hAnsi="Times New Roman" w:cs="Times New Roman"/>
          </w:rPr>
          <w:t xml:space="preserve"> </w:t>
        </w:r>
      </w:hyperlink>
      <w:r>
        <w:rPr>
          <w:rFonts w:ascii="Times New Roman" w:eastAsia="Times New Roman" w:hAnsi="Times New Roman" w:cs="Times New Roman"/>
        </w:rPr>
        <w:t xml:space="preserve"> </w:t>
      </w:r>
    </w:p>
    <w:p w:rsidR="00F65389" w:rsidRDefault="00601CBA">
      <w:pPr>
        <w:spacing w:before="240" w:line="240" w:lineRule="auto"/>
        <w:ind w:left="720" w:hanging="720"/>
        <w:jc w:val="both"/>
        <w:rPr>
          <w:rFonts w:ascii="Times New Roman" w:eastAsia="Times New Roman" w:hAnsi="Times New Roman" w:cs="Times New Roman"/>
        </w:rPr>
      </w:pPr>
      <w:r>
        <w:rPr>
          <w:rFonts w:ascii="Times New Roman" w:eastAsia="Times New Roman" w:hAnsi="Times New Roman" w:cs="Times New Roman"/>
        </w:rPr>
        <w:t xml:space="preserve">Asiri, B. K., &amp; Hameed, S. A. (2024). The impact of financial ratios on firm performance: Evidence from emerging markets. </w:t>
      </w:r>
      <w:r>
        <w:rPr>
          <w:rFonts w:ascii="Times New Roman" w:eastAsia="Times New Roman" w:hAnsi="Times New Roman" w:cs="Times New Roman"/>
          <w:i/>
        </w:rPr>
        <w:t>Journal of Financial Research</w:t>
      </w:r>
      <w:r>
        <w:rPr>
          <w:rFonts w:ascii="Times New Roman" w:eastAsia="Times New Roman" w:hAnsi="Times New Roman" w:cs="Times New Roman"/>
        </w:rPr>
        <w:t xml:space="preserve">, </w:t>
      </w:r>
      <w:r>
        <w:rPr>
          <w:rFonts w:ascii="Times New Roman" w:eastAsia="Times New Roman" w:hAnsi="Times New Roman" w:cs="Times New Roman"/>
          <w:i/>
        </w:rPr>
        <w:t>47</w:t>
      </w:r>
      <w:r>
        <w:rPr>
          <w:rFonts w:ascii="Times New Roman" w:eastAsia="Times New Roman" w:hAnsi="Times New Roman" w:cs="Times New Roman"/>
        </w:rPr>
        <w:t>(1), 23–45.</w:t>
      </w:r>
      <w:hyperlink r:id="rId23">
        <w:r>
          <w:rPr>
            <w:rFonts w:ascii="Times New Roman" w:eastAsia="Times New Roman" w:hAnsi="Times New Roman" w:cs="Times New Roman"/>
          </w:rPr>
          <w:t xml:space="preserve"> </w:t>
        </w:r>
      </w:hyperlink>
    </w:p>
    <w:p w:rsidR="00F65389" w:rsidRDefault="00601CBA">
      <w:pPr>
        <w:spacing w:before="240" w:line="240" w:lineRule="auto"/>
        <w:ind w:left="720" w:hanging="720"/>
        <w:jc w:val="both"/>
        <w:rPr>
          <w:rFonts w:ascii="Times New Roman" w:eastAsia="Times New Roman" w:hAnsi="Times New Roman" w:cs="Times New Roman"/>
        </w:rPr>
      </w:pPr>
      <w:r>
        <w:rPr>
          <w:rFonts w:ascii="Times New Roman" w:eastAsia="Times New Roman" w:hAnsi="Times New Roman" w:cs="Times New Roman"/>
        </w:rPr>
        <w:t xml:space="preserve">Baby, M. K., &amp; Eshwari, D. (2023). The effect of capital structure on the profitability of FMCG companies. </w:t>
      </w:r>
      <w:r>
        <w:rPr>
          <w:rFonts w:ascii="Times New Roman" w:eastAsia="Times New Roman" w:hAnsi="Times New Roman" w:cs="Times New Roman"/>
          <w:i/>
        </w:rPr>
        <w:t>Springer Proceedings in Business</w:t>
      </w:r>
      <w:r>
        <w:rPr>
          <w:rFonts w:ascii="Times New Roman" w:eastAsia="Times New Roman" w:hAnsi="Times New Roman" w:cs="Times New Roman"/>
        </w:rPr>
        <w:t xml:space="preserve">, </w:t>
      </w:r>
      <w:r>
        <w:rPr>
          <w:rFonts w:ascii="Times New Roman" w:eastAsia="Times New Roman" w:hAnsi="Times New Roman" w:cs="Times New Roman"/>
          <w:i/>
        </w:rPr>
        <w:t>10</w:t>
      </w:r>
      <w:r>
        <w:rPr>
          <w:rFonts w:ascii="Times New Roman" w:eastAsia="Times New Roman" w:hAnsi="Times New Roman" w:cs="Times New Roman"/>
        </w:rPr>
        <w:t>(6), 190–215.</w:t>
      </w:r>
      <w:hyperlink r:id="rId24">
        <w:r>
          <w:rPr>
            <w:rFonts w:ascii="Times New Roman" w:eastAsia="Times New Roman" w:hAnsi="Times New Roman" w:cs="Times New Roman"/>
          </w:rPr>
          <w:t xml:space="preserve"> </w:t>
        </w:r>
      </w:hyperlink>
    </w:p>
    <w:p w:rsidR="00F65389" w:rsidRDefault="00601CBA">
      <w:pPr>
        <w:spacing w:before="240" w:line="240" w:lineRule="auto"/>
        <w:ind w:left="720" w:hanging="720"/>
        <w:jc w:val="both"/>
        <w:rPr>
          <w:rFonts w:ascii="Times New Roman" w:eastAsia="Times New Roman" w:hAnsi="Times New Roman" w:cs="Times New Roman"/>
        </w:rPr>
      </w:pPr>
      <w:r>
        <w:rPr>
          <w:rFonts w:ascii="Times New Roman" w:eastAsia="Times New Roman" w:hAnsi="Times New Roman" w:cs="Times New Roman"/>
        </w:rPr>
        <w:t xml:space="preserve">Bansal, R. (2020). A comparative financial study of FMCG companies. </w:t>
      </w:r>
      <w:r>
        <w:rPr>
          <w:rFonts w:ascii="Times New Roman" w:eastAsia="Times New Roman" w:hAnsi="Times New Roman" w:cs="Times New Roman"/>
          <w:i/>
        </w:rPr>
        <w:t>Journal of Finance and Investment Analysis</w:t>
      </w:r>
      <w:r>
        <w:rPr>
          <w:rFonts w:ascii="Times New Roman" w:eastAsia="Times New Roman" w:hAnsi="Times New Roman" w:cs="Times New Roman"/>
        </w:rPr>
        <w:t xml:space="preserve">, </w:t>
      </w:r>
      <w:r>
        <w:rPr>
          <w:rFonts w:ascii="Times New Roman" w:eastAsia="Times New Roman" w:hAnsi="Times New Roman" w:cs="Times New Roman"/>
          <w:i/>
        </w:rPr>
        <w:t>8</w:t>
      </w:r>
      <w:r>
        <w:rPr>
          <w:rFonts w:ascii="Times New Roman" w:eastAsia="Times New Roman" w:hAnsi="Times New Roman" w:cs="Times New Roman"/>
        </w:rPr>
        <w:t>(3), 56–70.</w:t>
      </w:r>
      <w:hyperlink r:id="rId25">
        <w:r>
          <w:rPr>
            <w:rFonts w:ascii="Times New Roman" w:eastAsia="Times New Roman" w:hAnsi="Times New Roman" w:cs="Times New Roman"/>
          </w:rPr>
          <w:t xml:space="preserve"> </w:t>
        </w:r>
      </w:hyperlink>
    </w:p>
    <w:p w:rsidR="00F65389" w:rsidRDefault="00601CBA">
      <w:pPr>
        <w:spacing w:before="240" w:line="240" w:lineRule="auto"/>
        <w:ind w:left="720" w:hanging="720"/>
        <w:jc w:val="both"/>
        <w:rPr>
          <w:rFonts w:ascii="Times New Roman" w:eastAsia="Times New Roman" w:hAnsi="Times New Roman" w:cs="Times New Roman"/>
        </w:rPr>
      </w:pPr>
      <w:r>
        <w:rPr>
          <w:rFonts w:ascii="Times New Roman" w:eastAsia="Times New Roman" w:hAnsi="Times New Roman" w:cs="Times New Roman"/>
        </w:rPr>
        <w:t xml:space="preserve">Bhatnagar, V. K. (2016). Effect of change in capital structure on profitability of FMCG sector companies. </w:t>
      </w:r>
      <w:r>
        <w:rPr>
          <w:rFonts w:ascii="Times New Roman" w:eastAsia="Times New Roman" w:hAnsi="Times New Roman" w:cs="Times New Roman"/>
          <w:i/>
        </w:rPr>
        <w:t>ResearchGate</w:t>
      </w:r>
      <w:r>
        <w:rPr>
          <w:rFonts w:ascii="Times New Roman" w:eastAsia="Times New Roman" w:hAnsi="Times New Roman" w:cs="Times New Roman"/>
        </w:rPr>
        <w:t>, 45–58.</w:t>
      </w:r>
      <w:hyperlink r:id="rId26">
        <w:r>
          <w:rPr>
            <w:rFonts w:ascii="Times New Roman" w:eastAsia="Times New Roman" w:hAnsi="Times New Roman" w:cs="Times New Roman"/>
          </w:rPr>
          <w:t xml:space="preserve"> </w:t>
        </w:r>
      </w:hyperlink>
    </w:p>
    <w:p w:rsidR="00F65389" w:rsidRDefault="00601CBA">
      <w:pPr>
        <w:spacing w:before="240" w:line="240" w:lineRule="auto"/>
        <w:ind w:left="720" w:hanging="720"/>
        <w:jc w:val="both"/>
        <w:rPr>
          <w:rFonts w:ascii="Times New Roman" w:eastAsia="Times New Roman" w:hAnsi="Times New Roman" w:cs="Times New Roman"/>
        </w:rPr>
      </w:pPr>
      <w:r>
        <w:rPr>
          <w:rFonts w:ascii="Times New Roman" w:eastAsia="Times New Roman" w:hAnsi="Times New Roman" w:cs="Times New Roman"/>
        </w:rPr>
        <w:t xml:space="preserve">Chen, Y., &amp; Brown, J. (2020). Financial crisis and pecking order: Evidence from Asian markets. </w:t>
      </w:r>
      <w:r>
        <w:rPr>
          <w:rFonts w:ascii="Times New Roman" w:eastAsia="Times New Roman" w:hAnsi="Times New Roman" w:cs="Times New Roman"/>
          <w:i/>
        </w:rPr>
        <w:t>Pacific-Basin Finance Journal</w:t>
      </w:r>
      <w:r>
        <w:rPr>
          <w:rFonts w:ascii="Times New Roman" w:eastAsia="Times New Roman" w:hAnsi="Times New Roman" w:cs="Times New Roman"/>
        </w:rPr>
        <w:t xml:space="preserve">, </w:t>
      </w:r>
      <w:r>
        <w:rPr>
          <w:rFonts w:ascii="Times New Roman" w:eastAsia="Times New Roman" w:hAnsi="Times New Roman" w:cs="Times New Roman"/>
          <w:i/>
        </w:rPr>
        <w:t>59</w:t>
      </w:r>
      <w:r>
        <w:rPr>
          <w:rFonts w:ascii="Times New Roman" w:eastAsia="Times New Roman" w:hAnsi="Times New Roman" w:cs="Times New Roman"/>
        </w:rPr>
        <w:t>, Article 101255.</w:t>
      </w:r>
      <w:hyperlink r:id="rId27">
        <w:r>
          <w:rPr>
            <w:rFonts w:ascii="Times New Roman" w:eastAsia="Times New Roman" w:hAnsi="Times New Roman" w:cs="Times New Roman"/>
          </w:rPr>
          <w:t xml:space="preserve"> </w:t>
        </w:r>
      </w:hyperlink>
    </w:p>
    <w:p w:rsidR="00F65389" w:rsidRDefault="00601CBA">
      <w:pPr>
        <w:spacing w:line="240" w:lineRule="auto"/>
        <w:ind w:left="720" w:hanging="720"/>
        <w:jc w:val="both"/>
        <w:rPr>
          <w:rFonts w:ascii="Times New Roman" w:eastAsia="Times New Roman" w:hAnsi="Times New Roman" w:cs="Times New Roman"/>
        </w:rPr>
      </w:pPr>
      <w:r>
        <w:rPr>
          <w:rFonts w:ascii="Times New Roman" w:eastAsia="Times New Roman" w:hAnsi="Times New Roman" w:cs="Times New Roman"/>
        </w:rPr>
        <w:t xml:space="preserve">Chiekezie, R. N., &amp; Anetoh, J. C. (2024). Threat of bankruptcy and earnings management of listed consumer goods firms in Nigeria. </w:t>
      </w:r>
      <w:r>
        <w:rPr>
          <w:rFonts w:ascii="Times New Roman" w:eastAsia="Times New Roman" w:hAnsi="Times New Roman" w:cs="Times New Roman"/>
          <w:i/>
        </w:rPr>
        <w:t>ResearchGate Publications</w:t>
      </w:r>
      <w:r>
        <w:rPr>
          <w:rFonts w:ascii="Times New Roman" w:eastAsia="Times New Roman" w:hAnsi="Times New Roman" w:cs="Times New Roman"/>
        </w:rPr>
        <w:t xml:space="preserve">, </w:t>
      </w:r>
      <w:r>
        <w:rPr>
          <w:rFonts w:ascii="Times New Roman" w:eastAsia="Times New Roman" w:hAnsi="Times New Roman" w:cs="Times New Roman"/>
          <w:i/>
        </w:rPr>
        <w:t>7</w:t>
      </w:r>
      <w:r>
        <w:rPr>
          <w:rFonts w:ascii="Times New Roman" w:eastAsia="Times New Roman" w:hAnsi="Times New Roman" w:cs="Times New Roman"/>
        </w:rPr>
        <w:t xml:space="preserve">(2), 67–88. Retrieved from ResearchGate </w:t>
      </w:r>
    </w:p>
    <w:p w:rsidR="00F65389" w:rsidRDefault="00601CBA">
      <w:pPr>
        <w:spacing w:before="240" w:line="240" w:lineRule="auto"/>
        <w:ind w:left="720" w:hanging="720"/>
        <w:jc w:val="both"/>
        <w:rPr>
          <w:rFonts w:ascii="Times New Roman" w:eastAsia="Times New Roman" w:hAnsi="Times New Roman" w:cs="Times New Roman"/>
        </w:rPr>
      </w:pPr>
      <w:r>
        <w:rPr>
          <w:rFonts w:ascii="Times New Roman" w:eastAsia="Times New Roman" w:hAnsi="Times New Roman" w:cs="Times New Roman"/>
        </w:rPr>
        <w:t xml:space="preserve">Echekoba, F., &amp; Ananwude, A. (2016). The effect of financial structure on the performance of Nigerian consumer goods firms. </w:t>
      </w:r>
      <w:r>
        <w:rPr>
          <w:rFonts w:ascii="Times New Roman" w:eastAsia="Times New Roman" w:hAnsi="Times New Roman" w:cs="Times New Roman"/>
          <w:i/>
        </w:rPr>
        <w:t>Journal of Scientific Research &amp; Reports</w:t>
      </w:r>
      <w:r>
        <w:rPr>
          <w:rFonts w:ascii="Times New Roman" w:eastAsia="Times New Roman" w:hAnsi="Times New Roman" w:cs="Times New Roman"/>
        </w:rPr>
        <w:t xml:space="preserve">, </w:t>
      </w:r>
      <w:r>
        <w:rPr>
          <w:rFonts w:ascii="Times New Roman" w:eastAsia="Times New Roman" w:hAnsi="Times New Roman" w:cs="Times New Roman"/>
          <w:i/>
        </w:rPr>
        <w:t>11</w:t>
      </w:r>
      <w:r>
        <w:rPr>
          <w:rFonts w:ascii="Times New Roman" w:eastAsia="Times New Roman" w:hAnsi="Times New Roman" w:cs="Times New Roman"/>
        </w:rPr>
        <w:t>(4), 1–15.</w:t>
      </w:r>
      <w:hyperlink r:id="rId28">
        <w:r>
          <w:rPr>
            <w:rFonts w:ascii="Times New Roman" w:eastAsia="Times New Roman" w:hAnsi="Times New Roman" w:cs="Times New Roman"/>
          </w:rPr>
          <w:t xml:space="preserve"> </w:t>
        </w:r>
      </w:hyperlink>
    </w:p>
    <w:p w:rsidR="00F65389" w:rsidRDefault="00601CBA">
      <w:pPr>
        <w:spacing w:line="240" w:lineRule="auto"/>
        <w:ind w:left="720" w:hanging="720"/>
        <w:jc w:val="both"/>
        <w:rPr>
          <w:rFonts w:ascii="Times New Roman" w:eastAsia="Times New Roman" w:hAnsi="Times New Roman" w:cs="Times New Roman"/>
        </w:rPr>
      </w:pPr>
      <w:r>
        <w:rPr>
          <w:rFonts w:ascii="Times New Roman" w:eastAsia="Times New Roman" w:hAnsi="Times New Roman" w:cs="Times New Roman"/>
        </w:rPr>
        <w:t xml:space="preserve">Edeh, I. T., Nwoha, C. E., &amp; Okoro, C. O. (2024). Financing decisions and shareholders' value creation of consumer goods manufacturing companies in Nigeria. </w:t>
      </w:r>
      <w:r>
        <w:rPr>
          <w:rFonts w:ascii="Times New Roman" w:eastAsia="Times New Roman" w:hAnsi="Times New Roman" w:cs="Times New Roman"/>
          <w:i/>
        </w:rPr>
        <w:t>SADI International Journal of Management and Administration</w:t>
      </w:r>
      <w:r>
        <w:rPr>
          <w:rFonts w:ascii="Times New Roman" w:eastAsia="Times New Roman" w:hAnsi="Times New Roman" w:cs="Times New Roman"/>
        </w:rPr>
        <w:t xml:space="preserve">, </w:t>
      </w:r>
      <w:r>
        <w:rPr>
          <w:rFonts w:ascii="Times New Roman" w:eastAsia="Times New Roman" w:hAnsi="Times New Roman" w:cs="Times New Roman"/>
          <w:i/>
        </w:rPr>
        <w:t>2</w:t>
      </w:r>
      <w:r>
        <w:rPr>
          <w:rFonts w:ascii="Times New Roman" w:eastAsia="Times New Roman" w:hAnsi="Times New Roman" w:cs="Times New Roman"/>
        </w:rPr>
        <w:t xml:space="preserve">(3), 45–58. Retrieved from SADI Journals </w:t>
      </w:r>
    </w:p>
    <w:p w:rsidR="00F65389" w:rsidRDefault="00601CBA">
      <w:pPr>
        <w:spacing w:before="240" w:line="240" w:lineRule="auto"/>
        <w:ind w:left="720" w:hanging="720"/>
        <w:jc w:val="both"/>
        <w:rPr>
          <w:rFonts w:ascii="Times New Roman" w:eastAsia="Times New Roman" w:hAnsi="Times New Roman" w:cs="Times New Roman"/>
        </w:rPr>
      </w:pPr>
      <w:r>
        <w:rPr>
          <w:rFonts w:ascii="Times New Roman" w:eastAsia="Times New Roman" w:hAnsi="Times New Roman" w:cs="Times New Roman"/>
        </w:rPr>
        <w:t xml:space="preserve">Effendie, J. M., Manafe, H. A., &amp; Man, S. (2022). Analysis of the effect of liquidity ratios, solvency and activity on the financial performance of the company (Literature review of corporate financial management). </w:t>
      </w:r>
      <w:r>
        <w:rPr>
          <w:rFonts w:ascii="Times New Roman" w:eastAsia="Times New Roman" w:hAnsi="Times New Roman" w:cs="Times New Roman"/>
          <w:i/>
        </w:rPr>
        <w:t>Dinasti International Journal of Economics, Finance and Accounting</w:t>
      </w:r>
      <w:r>
        <w:rPr>
          <w:rFonts w:ascii="Times New Roman" w:eastAsia="Times New Roman" w:hAnsi="Times New Roman" w:cs="Times New Roman"/>
        </w:rPr>
        <w:t xml:space="preserve">, </w:t>
      </w:r>
      <w:r>
        <w:rPr>
          <w:rFonts w:ascii="Times New Roman" w:eastAsia="Times New Roman" w:hAnsi="Times New Roman" w:cs="Times New Roman"/>
          <w:i/>
        </w:rPr>
        <w:t>3</w:t>
      </w:r>
      <w:r>
        <w:rPr>
          <w:rFonts w:ascii="Times New Roman" w:eastAsia="Times New Roman" w:hAnsi="Times New Roman" w:cs="Times New Roman"/>
        </w:rPr>
        <w:t>(5), 541–550.</w:t>
      </w:r>
      <w:hyperlink r:id="rId29">
        <w:r>
          <w:rPr>
            <w:rFonts w:ascii="Times New Roman" w:eastAsia="Times New Roman" w:hAnsi="Times New Roman" w:cs="Times New Roman"/>
          </w:rPr>
          <w:t xml:space="preserve"> </w:t>
        </w:r>
      </w:hyperlink>
    </w:p>
    <w:p w:rsidR="00F65389" w:rsidRDefault="00601CBA">
      <w:pPr>
        <w:spacing w:line="240" w:lineRule="auto"/>
        <w:ind w:left="720" w:hanging="720"/>
        <w:jc w:val="both"/>
        <w:rPr>
          <w:rFonts w:ascii="Times New Roman" w:eastAsia="Times New Roman" w:hAnsi="Times New Roman" w:cs="Times New Roman"/>
        </w:rPr>
      </w:pPr>
      <w:r>
        <w:rPr>
          <w:rFonts w:ascii="Times New Roman" w:eastAsia="Times New Roman" w:hAnsi="Times New Roman" w:cs="Times New Roman"/>
        </w:rPr>
        <w:t xml:space="preserve">Effendie, J. M., Manafe, H. A., &amp; Man, S. (2022). Analysis of the effect of liquidity ratios, solvency and activity on the financial performance of the company (Literature review of corporate financial management). </w:t>
      </w:r>
      <w:r>
        <w:rPr>
          <w:rFonts w:ascii="Times New Roman" w:eastAsia="Times New Roman" w:hAnsi="Times New Roman" w:cs="Times New Roman"/>
          <w:i/>
        </w:rPr>
        <w:t>Dinasti International Journal of Economics, Finance and Accounting</w:t>
      </w:r>
      <w:r>
        <w:rPr>
          <w:rFonts w:ascii="Times New Roman" w:eastAsia="Times New Roman" w:hAnsi="Times New Roman" w:cs="Times New Roman"/>
        </w:rPr>
        <w:t xml:space="preserve">, </w:t>
      </w:r>
      <w:r>
        <w:rPr>
          <w:rFonts w:ascii="Times New Roman" w:eastAsia="Times New Roman" w:hAnsi="Times New Roman" w:cs="Times New Roman"/>
          <w:i/>
        </w:rPr>
        <w:t>3</w:t>
      </w:r>
      <w:r>
        <w:rPr>
          <w:rFonts w:ascii="Times New Roman" w:eastAsia="Times New Roman" w:hAnsi="Times New Roman" w:cs="Times New Roman"/>
        </w:rPr>
        <w:t>(5), 541–550.</w:t>
      </w:r>
      <w:hyperlink r:id="rId30">
        <w:r>
          <w:rPr>
            <w:rFonts w:ascii="Times New Roman" w:eastAsia="Times New Roman" w:hAnsi="Times New Roman" w:cs="Times New Roman"/>
          </w:rPr>
          <w:t xml:space="preserve"> </w:t>
        </w:r>
      </w:hyperlink>
      <w:r>
        <w:rPr>
          <w:rFonts w:ascii="Times New Roman" w:eastAsia="Times New Roman" w:hAnsi="Times New Roman" w:cs="Times New Roman"/>
        </w:rPr>
        <w:t xml:space="preserve"> </w:t>
      </w:r>
    </w:p>
    <w:p w:rsidR="00F65389" w:rsidRDefault="00601CBA">
      <w:pPr>
        <w:spacing w:before="240" w:line="240" w:lineRule="auto"/>
        <w:ind w:left="720" w:hanging="720"/>
        <w:jc w:val="both"/>
        <w:rPr>
          <w:rFonts w:ascii="Times New Roman" w:eastAsia="Times New Roman" w:hAnsi="Times New Roman" w:cs="Times New Roman"/>
        </w:rPr>
      </w:pPr>
      <w:r>
        <w:rPr>
          <w:rFonts w:ascii="Times New Roman" w:eastAsia="Times New Roman" w:hAnsi="Times New Roman" w:cs="Times New Roman"/>
        </w:rPr>
        <w:t xml:space="preserve">Gallani, V., &amp; Shah, M. (2019). Decisions on capital structure: A study of leverage and profitability of selected FMCG companies in India. </w:t>
      </w:r>
      <w:r>
        <w:rPr>
          <w:rFonts w:ascii="Times New Roman" w:eastAsia="Times New Roman" w:hAnsi="Times New Roman" w:cs="Times New Roman"/>
          <w:i/>
        </w:rPr>
        <w:t>Annals of the Bhandarkar Oriental Research Institute</w:t>
      </w:r>
      <w:r>
        <w:rPr>
          <w:rFonts w:ascii="Times New Roman" w:eastAsia="Times New Roman" w:hAnsi="Times New Roman" w:cs="Times New Roman"/>
        </w:rPr>
        <w:t xml:space="preserve">, </w:t>
      </w:r>
      <w:r>
        <w:rPr>
          <w:rFonts w:ascii="Times New Roman" w:eastAsia="Times New Roman" w:hAnsi="Times New Roman" w:cs="Times New Roman"/>
          <w:i/>
        </w:rPr>
        <w:t>79</w:t>
      </w:r>
      <w:r>
        <w:rPr>
          <w:rFonts w:ascii="Times New Roman" w:eastAsia="Times New Roman" w:hAnsi="Times New Roman" w:cs="Times New Roman"/>
        </w:rPr>
        <w:t>(3), 42–54.</w:t>
      </w:r>
      <w:hyperlink r:id="rId31">
        <w:r>
          <w:rPr>
            <w:rFonts w:ascii="Times New Roman" w:eastAsia="Times New Roman" w:hAnsi="Times New Roman" w:cs="Times New Roman"/>
          </w:rPr>
          <w:t xml:space="preserve"> </w:t>
        </w:r>
      </w:hyperlink>
    </w:p>
    <w:p w:rsidR="00F65389" w:rsidRDefault="00601CBA">
      <w:pPr>
        <w:spacing w:before="240" w:line="240" w:lineRule="auto"/>
        <w:ind w:left="720" w:hanging="720"/>
        <w:jc w:val="both"/>
        <w:rPr>
          <w:rFonts w:ascii="Times New Roman" w:eastAsia="Times New Roman" w:hAnsi="Times New Roman" w:cs="Times New Roman"/>
        </w:rPr>
      </w:pPr>
      <w:r>
        <w:rPr>
          <w:rFonts w:ascii="Times New Roman" w:eastAsia="Times New Roman" w:hAnsi="Times New Roman" w:cs="Times New Roman"/>
        </w:rPr>
        <w:t xml:space="preserve">Hassan, M. K., &amp; Rhee, S. G. (2019). Times interest earned ratio and profitability: A study of consumer goods companies in emerging markets. </w:t>
      </w:r>
      <w:r>
        <w:rPr>
          <w:rFonts w:ascii="Times New Roman" w:eastAsia="Times New Roman" w:hAnsi="Times New Roman" w:cs="Times New Roman"/>
          <w:i/>
        </w:rPr>
        <w:t>The Financial Review</w:t>
      </w:r>
      <w:r>
        <w:rPr>
          <w:rFonts w:ascii="Times New Roman" w:eastAsia="Times New Roman" w:hAnsi="Times New Roman" w:cs="Times New Roman"/>
        </w:rPr>
        <w:t xml:space="preserve">, </w:t>
      </w:r>
      <w:r>
        <w:rPr>
          <w:rFonts w:ascii="Times New Roman" w:eastAsia="Times New Roman" w:hAnsi="Times New Roman" w:cs="Times New Roman"/>
          <w:i/>
        </w:rPr>
        <w:t>54</w:t>
      </w:r>
      <w:r>
        <w:rPr>
          <w:rFonts w:ascii="Times New Roman" w:eastAsia="Times New Roman" w:hAnsi="Times New Roman" w:cs="Times New Roman"/>
        </w:rPr>
        <w:t>(4), 789–817.</w:t>
      </w:r>
      <w:hyperlink r:id="rId32">
        <w:r>
          <w:rPr>
            <w:rFonts w:ascii="Times New Roman" w:eastAsia="Times New Roman" w:hAnsi="Times New Roman" w:cs="Times New Roman"/>
          </w:rPr>
          <w:t xml:space="preserve"> </w:t>
        </w:r>
      </w:hyperlink>
    </w:p>
    <w:p w:rsidR="00F65389" w:rsidRDefault="00601CBA">
      <w:pPr>
        <w:spacing w:before="240" w:line="240" w:lineRule="auto"/>
        <w:ind w:left="720" w:hanging="720"/>
        <w:jc w:val="both"/>
        <w:rPr>
          <w:rFonts w:ascii="Times New Roman" w:eastAsia="Times New Roman" w:hAnsi="Times New Roman" w:cs="Times New Roman"/>
        </w:rPr>
      </w:pPr>
      <w:r>
        <w:rPr>
          <w:rFonts w:ascii="Times New Roman" w:eastAsia="Times New Roman" w:hAnsi="Times New Roman" w:cs="Times New Roman"/>
        </w:rPr>
        <w:t xml:space="preserve">Hutabarat, F. M., &amp; Devina, T. (2015). Financial performance based on profitability, liquidity, and solvency: Impact on the stock price of companies in the consumer goods sector in Indonesia. </w:t>
      </w:r>
      <w:r>
        <w:rPr>
          <w:rFonts w:ascii="Times New Roman" w:eastAsia="Times New Roman" w:hAnsi="Times New Roman" w:cs="Times New Roman"/>
          <w:i/>
        </w:rPr>
        <w:t>Academic Research International</w:t>
      </w:r>
      <w:r>
        <w:rPr>
          <w:rFonts w:ascii="Times New Roman" w:eastAsia="Times New Roman" w:hAnsi="Times New Roman" w:cs="Times New Roman"/>
        </w:rPr>
        <w:t xml:space="preserve">, </w:t>
      </w:r>
      <w:r>
        <w:rPr>
          <w:rFonts w:ascii="Times New Roman" w:eastAsia="Times New Roman" w:hAnsi="Times New Roman" w:cs="Times New Roman"/>
          <w:i/>
        </w:rPr>
        <w:t>6</w:t>
      </w:r>
      <w:r>
        <w:rPr>
          <w:rFonts w:ascii="Times New Roman" w:eastAsia="Times New Roman" w:hAnsi="Times New Roman" w:cs="Times New Roman"/>
        </w:rPr>
        <w:t>(4), 100–115. Retrieved from</w:t>
      </w:r>
      <w:hyperlink r:id="rId33">
        <w:r>
          <w:rPr>
            <w:rFonts w:ascii="Times New Roman" w:eastAsia="Times New Roman" w:hAnsi="Times New Roman" w:cs="Times New Roman"/>
          </w:rPr>
          <w:t xml:space="preserve"> </w:t>
        </w:r>
      </w:hyperlink>
    </w:p>
    <w:p w:rsidR="00F65389" w:rsidRDefault="00601CBA">
      <w:pPr>
        <w:spacing w:line="240" w:lineRule="auto"/>
        <w:ind w:left="720" w:hanging="720"/>
        <w:jc w:val="both"/>
        <w:rPr>
          <w:rFonts w:ascii="Times New Roman" w:eastAsia="Times New Roman" w:hAnsi="Times New Roman" w:cs="Times New Roman"/>
        </w:rPr>
      </w:pPr>
      <w:r>
        <w:rPr>
          <w:rFonts w:ascii="Times New Roman" w:eastAsia="Times New Roman" w:hAnsi="Times New Roman" w:cs="Times New Roman"/>
        </w:rPr>
        <w:t xml:space="preserve">Ihenyen, C. J., Ogwu, F. E., &amp; Abraham, T. K. (2024). Manufacturing capacity utilization and growth of the manufacturing industry in Nigeria. </w:t>
      </w:r>
      <w:r>
        <w:rPr>
          <w:rFonts w:ascii="Times New Roman" w:eastAsia="Times New Roman" w:hAnsi="Times New Roman" w:cs="Times New Roman"/>
          <w:i/>
        </w:rPr>
        <w:t>World Journal of Finance and Investment Research</w:t>
      </w:r>
      <w:r>
        <w:rPr>
          <w:rFonts w:ascii="Times New Roman" w:eastAsia="Times New Roman" w:hAnsi="Times New Roman" w:cs="Times New Roman"/>
        </w:rPr>
        <w:t xml:space="preserve">, </w:t>
      </w:r>
      <w:r>
        <w:rPr>
          <w:rFonts w:ascii="Times New Roman" w:eastAsia="Times New Roman" w:hAnsi="Times New Roman" w:cs="Times New Roman"/>
          <w:i/>
        </w:rPr>
        <w:t>8</w:t>
      </w:r>
      <w:r>
        <w:rPr>
          <w:rFonts w:ascii="Times New Roman" w:eastAsia="Times New Roman" w:hAnsi="Times New Roman" w:cs="Times New Roman"/>
        </w:rPr>
        <w:t xml:space="preserve">(4), 54–68. Retrieved from IIARD Journals </w:t>
      </w:r>
    </w:p>
    <w:p w:rsidR="00F65389" w:rsidRDefault="00601CBA">
      <w:pPr>
        <w:spacing w:line="240" w:lineRule="auto"/>
        <w:ind w:left="720" w:hanging="720"/>
        <w:jc w:val="both"/>
        <w:rPr>
          <w:rFonts w:ascii="Times New Roman" w:eastAsia="Times New Roman" w:hAnsi="Times New Roman" w:cs="Times New Roman"/>
        </w:rPr>
      </w:pPr>
      <w:r>
        <w:rPr>
          <w:rFonts w:ascii="Times New Roman" w:eastAsia="Times New Roman" w:hAnsi="Times New Roman" w:cs="Times New Roman"/>
        </w:rPr>
        <w:t xml:space="preserve">Ik-Ugwoezuonu, L. (2024). International journal of advanced finance and accounting. </w:t>
      </w:r>
      <w:r>
        <w:rPr>
          <w:rFonts w:ascii="Times New Roman" w:eastAsia="Times New Roman" w:hAnsi="Times New Roman" w:cs="Times New Roman"/>
          <w:i/>
        </w:rPr>
        <w:t>Air Journal</w:t>
      </w:r>
      <w:r>
        <w:rPr>
          <w:rFonts w:ascii="Times New Roman" w:eastAsia="Times New Roman" w:hAnsi="Times New Roman" w:cs="Times New Roman"/>
        </w:rPr>
        <w:t xml:space="preserve">, </w:t>
      </w:r>
      <w:r>
        <w:rPr>
          <w:rFonts w:ascii="Times New Roman" w:eastAsia="Times New Roman" w:hAnsi="Times New Roman" w:cs="Times New Roman"/>
          <w:i/>
        </w:rPr>
        <w:t>5</w:t>
      </w:r>
      <w:r>
        <w:rPr>
          <w:rFonts w:ascii="Times New Roman" w:eastAsia="Times New Roman" w:hAnsi="Times New Roman" w:cs="Times New Roman"/>
        </w:rPr>
        <w:t xml:space="preserve">(2), 17–33. Retrieved from Air Journal </w:t>
      </w:r>
    </w:p>
    <w:p w:rsidR="00F65389" w:rsidRDefault="00601CBA">
      <w:pPr>
        <w:spacing w:before="240" w:line="240" w:lineRule="auto"/>
        <w:ind w:left="720" w:hanging="720"/>
        <w:jc w:val="both"/>
        <w:rPr>
          <w:rFonts w:ascii="Times New Roman" w:eastAsia="Times New Roman" w:hAnsi="Times New Roman" w:cs="Times New Roman"/>
        </w:rPr>
      </w:pPr>
      <w:r>
        <w:rPr>
          <w:rFonts w:ascii="Times New Roman" w:eastAsia="Times New Roman" w:hAnsi="Times New Roman" w:cs="Times New Roman"/>
        </w:rPr>
        <w:t xml:space="preserve">Ina, I., Octavia, A. D., &amp; Fauziah, T. (2024). Financial statement analysis of PT Unilever Indonesia Tbk using debt-to-asset ratio and return on assets. </w:t>
      </w:r>
      <w:r>
        <w:rPr>
          <w:rFonts w:ascii="Times New Roman" w:eastAsia="Times New Roman" w:hAnsi="Times New Roman" w:cs="Times New Roman"/>
          <w:i/>
        </w:rPr>
        <w:t>Journal of Applied Finance and Business Studies</w:t>
      </w:r>
      <w:r>
        <w:rPr>
          <w:rFonts w:ascii="Times New Roman" w:eastAsia="Times New Roman" w:hAnsi="Times New Roman" w:cs="Times New Roman"/>
        </w:rPr>
        <w:t xml:space="preserve">, </w:t>
      </w:r>
      <w:r>
        <w:rPr>
          <w:rFonts w:ascii="Times New Roman" w:eastAsia="Times New Roman" w:hAnsi="Times New Roman" w:cs="Times New Roman"/>
          <w:i/>
        </w:rPr>
        <w:t>18</w:t>
      </w:r>
      <w:r>
        <w:rPr>
          <w:rFonts w:ascii="Times New Roman" w:eastAsia="Times New Roman" w:hAnsi="Times New Roman" w:cs="Times New Roman"/>
        </w:rPr>
        <w:t>(4), 100–120.</w:t>
      </w:r>
      <w:hyperlink r:id="rId34">
        <w:r>
          <w:rPr>
            <w:rFonts w:ascii="Times New Roman" w:eastAsia="Times New Roman" w:hAnsi="Times New Roman" w:cs="Times New Roman"/>
          </w:rPr>
          <w:t xml:space="preserve"> </w:t>
        </w:r>
      </w:hyperlink>
    </w:p>
    <w:p w:rsidR="00F65389" w:rsidRDefault="00601CBA">
      <w:pPr>
        <w:spacing w:before="240" w:line="240" w:lineRule="auto"/>
        <w:ind w:left="720" w:hanging="720"/>
        <w:jc w:val="both"/>
        <w:rPr>
          <w:rFonts w:ascii="Times New Roman" w:eastAsia="Times New Roman" w:hAnsi="Times New Roman" w:cs="Times New Roman"/>
        </w:rPr>
      </w:pPr>
      <w:r>
        <w:rPr>
          <w:rFonts w:ascii="Times New Roman" w:eastAsia="Times New Roman" w:hAnsi="Times New Roman" w:cs="Times New Roman"/>
        </w:rPr>
        <w:t xml:space="preserve">Khidmat, W., &amp; Rehman, M. (2014). Impact of liquidity and solvency on profitability in the chemical sector of Pakistan. </w:t>
      </w:r>
      <w:r>
        <w:rPr>
          <w:rFonts w:ascii="Times New Roman" w:eastAsia="Times New Roman" w:hAnsi="Times New Roman" w:cs="Times New Roman"/>
          <w:i/>
        </w:rPr>
        <w:t>Economics Management Innovation</w:t>
      </w:r>
      <w:r>
        <w:rPr>
          <w:rFonts w:ascii="Times New Roman" w:eastAsia="Times New Roman" w:hAnsi="Times New Roman" w:cs="Times New Roman"/>
        </w:rPr>
        <w:t xml:space="preserve">, </w:t>
      </w:r>
      <w:r>
        <w:rPr>
          <w:rFonts w:ascii="Times New Roman" w:eastAsia="Times New Roman" w:hAnsi="Times New Roman" w:cs="Times New Roman"/>
          <w:i/>
        </w:rPr>
        <w:t>6</w:t>
      </w:r>
      <w:r>
        <w:rPr>
          <w:rFonts w:ascii="Times New Roman" w:eastAsia="Times New Roman" w:hAnsi="Times New Roman" w:cs="Times New Roman"/>
        </w:rPr>
        <w:t>(3), 45–60. Retrieved from</w:t>
      </w:r>
      <w:hyperlink r:id="rId35">
        <w:r>
          <w:rPr>
            <w:rFonts w:ascii="Times New Roman" w:eastAsia="Times New Roman" w:hAnsi="Times New Roman" w:cs="Times New Roman"/>
          </w:rPr>
          <w:t xml:space="preserve"> </w:t>
        </w:r>
      </w:hyperlink>
    </w:p>
    <w:p w:rsidR="00F65389" w:rsidRDefault="00601CBA">
      <w:pPr>
        <w:spacing w:before="240" w:line="240" w:lineRule="auto"/>
        <w:ind w:left="720" w:hanging="720"/>
        <w:jc w:val="both"/>
        <w:rPr>
          <w:rFonts w:ascii="Times New Roman" w:eastAsia="Times New Roman" w:hAnsi="Times New Roman" w:cs="Times New Roman"/>
        </w:rPr>
      </w:pPr>
      <w:r>
        <w:rPr>
          <w:rFonts w:ascii="Times New Roman" w:eastAsia="Times New Roman" w:hAnsi="Times New Roman" w:cs="Times New Roman"/>
        </w:rPr>
        <w:t xml:space="preserve">Khoiriah, N. (2022). Debt-to-asset ratio and total asset turnover on return on equity in manufacturing companies. </w:t>
      </w:r>
      <w:r>
        <w:rPr>
          <w:rFonts w:ascii="Times New Roman" w:eastAsia="Times New Roman" w:hAnsi="Times New Roman" w:cs="Times New Roman"/>
          <w:i/>
        </w:rPr>
        <w:t>Budapest International Research and Critics Institute Journal</w:t>
      </w:r>
      <w:r>
        <w:rPr>
          <w:rFonts w:ascii="Times New Roman" w:eastAsia="Times New Roman" w:hAnsi="Times New Roman" w:cs="Times New Roman"/>
        </w:rPr>
        <w:t xml:space="preserve">, </w:t>
      </w:r>
      <w:r>
        <w:rPr>
          <w:rFonts w:ascii="Times New Roman" w:eastAsia="Times New Roman" w:hAnsi="Times New Roman" w:cs="Times New Roman"/>
          <w:i/>
        </w:rPr>
        <w:t>9</w:t>
      </w:r>
      <w:r>
        <w:rPr>
          <w:rFonts w:ascii="Times New Roman" w:eastAsia="Times New Roman" w:hAnsi="Times New Roman" w:cs="Times New Roman"/>
        </w:rPr>
        <w:t>(3), 290–310.</w:t>
      </w:r>
      <w:hyperlink r:id="rId36">
        <w:r>
          <w:rPr>
            <w:rFonts w:ascii="Times New Roman" w:eastAsia="Times New Roman" w:hAnsi="Times New Roman" w:cs="Times New Roman"/>
          </w:rPr>
          <w:t xml:space="preserve"> </w:t>
        </w:r>
      </w:hyperlink>
    </w:p>
    <w:p w:rsidR="00F65389" w:rsidRDefault="00601CBA">
      <w:pPr>
        <w:spacing w:before="240" w:line="240" w:lineRule="auto"/>
        <w:ind w:left="720" w:hanging="720"/>
        <w:jc w:val="both"/>
        <w:rPr>
          <w:rFonts w:ascii="Times New Roman" w:eastAsia="Times New Roman" w:hAnsi="Times New Roman" w:cs="Times New Roman"/>
        </w:rPr>
      </w:pPr>
      <w:r>
        <w:rPr>
          <w:rFonts w:ascii="Times New Roman" w:eastAsia="Times New Roman" w:hAnsi="Times New Roman" w:cs="Times New Roman"/>
        </w:rPr>
        <w:t xml:space="preserve">Kim, H., &amp; Lee, J. (2021). Revisiting the trade-off theory: Evidence from post-pandemic capital structures. </w:t>
      </w:r>
      <w:r>
        <w:rPr>
          <w:rFonts w:ascii="Times New Roman" w:eastAsia="Times New Roman" w:hAnsi="Times New Roman" w:cs="Times New Roman"/>
          <w:i/>
        </w:rPr>
        <w:t>Journal of Financial Economics</w:t>
      </w:r>
      <w:r>
        <w:rPr>
          <w:rFonts w:ascii="Times New Roman" w:eastAsia="Times New Roman" w:hAnsi="Times New Roman" w:cs="Times New Roman"/>
        </w:rPr>
        <w:t xml:space="preserve">, </w:t>
      </w:r>
      <w:r>
        <w:rPr>
          <w:rFonts w:ascii="Times New Roman" w:eastAsia="Times New Roman" w:hAnsi="Times New Roman" w:cs="Times New Roman"/>
          <w:i/>
        </w:rPr>
        <w:t>142</w:t>
      </w:r>
      <w:r>
        <w:rPr>
          <w:rFonts w:ascii="Times New Roman" w:eastAsia="Times New Roman" w:hAnsi="Times New Roman" w:cs="Times New Roman"/>
        </w:rPr>
        <w:t>(2), 771–793.</w:t>
      </w:r>
      <w:hyperlink r:id="rId37">
        <w:r>
          <w:rPr>
            <w:rFonts w:ascii="Times New Roman" w:eastAsia="Times New Roman" w:hAnsi="Times New Roman" w:cs="Times New Roman"/>
          </w:rPr>
          <w:t xml:space="preserve"> </w:t>
        </w:r>
      </w:hyperlink>
    </w:p>
    <w:p w:rsidR="00F65389" w:rsidRDefault="00601CBA">
      <w:pPr>
        <w:spacing w:line="240" w:lineRule="auto"/>
        <w:ind w:left="720" w:hanging="720"/>
        <w:jc w:val="both"/>
        <w:rPr>
          <w:rFonts w:ascii="Times New Roman" w:eastAsia="Times New Roman" w:hAnsi="Times New Roman" w:cs="Times New Roman"/>
        </w:rPr>
      </w:pPr>
      <w:r>
        <w:rPr>
          <w:rFonts w:ascii="Times New Roman" w:eastAsia="Times New Roman" w:hAnsi="Times New Roman" w:cs="Times New Roman"/>
        </w:rPr>
        <w:t xml:space="preserve">Kongkuah, M., Yao, H., &amp; Yilanci, V. (2022). The relationship between energy consumption, economic growth, and CO2 emissions in China: The role of urbanisation and international trade. </w:t>
      </w:r>
      <w:r>
        <w:rPr>
          <w:rFonts w:ascii="Times New Roman" w:eastAsia="Times New Roman" w:hAnsi="Times New Roman" w:cs="Times New Roman"/>
          <w:i/>
        </w:rPr>
        <w:t>Environment, Development and Sustainability</w:t>
      </w:r>
      <w:r>
        <w:rPr>
          <w:rFonts w:ascii="Times New Roman" w:eastAsia="Times New Roman" w:hAnsi="Times New Roman" w:cs="Times New Roman"/>
        </w:rPr>
        <w:t xml:space="preserve">, </w:t>
      </w:r>
      <w:r>
        <w:rPr>
          <w:rFonts w:ascii="Times New Roman" w:eastAsia="Times New Roman" w:hAnsi="Times New Roman" w:cs="Times New Roman"/>
          <w:i/>
        </w:rPr>
        <w:t>24</w:t>
      </w:r>
      <w:r>
        <w:rPr>
          <w:rFonts w:ascii="Times New Roman" w:eastAsia="Times New Roman" w:hAnsi="Times New Roman" w:cs="Times New Roman"/>
        </w:rPr>
        <w:t>(7), 1067–1083.</w:t>
      </w:r>
      <w:hyperlink r:id="rId38">
        <w:r>
          <w:rPr>
            <w:rFonts w:ascii="Times New Roman" w:eastAsia="Times New Roman" w:hAnsi="Times New Roman" w:cs="Times New Roman"/>
          </w:rPr>
          <w:t xml:space="preserve"> </w:t>
        </w:r>
      </w:hyperlink>
      <w:r>
        <w:rPr>
          <w:rFonts w:ascii="Times New Roman" w:eastAsia="Times New Roman" w:hAnsi="Times New Roman" w:cs="Times New Roman"/>
        </w:rPr>
        <w:t xml:space="preserve"> </w:t>
      </w:r>
    </w:p>
    <w:p w:rsidR="00F65389" w:rsidRDefault="00601CBA">
      <w:pPr>
        <w:spacing w:before="240" w:line="240" w:lineRule="auto"/>
        <w:ind w:left="720" w:hanging="720"/>
        <w:jc w:val="both"/>
        <w:rPr>
          <w:rFonts w:ascii="Times New Roman" w:eastAsia="Times New Roman" w:hAnsi="Times New Roman" w:cs="Times New Roman"/>
        </w:rPr>
      </w:pPr>
      <w:r>
        <w:rPr>
          <w:rFonts w:ascii="Times New Roman" w:eastAsia="Times New Roman" w:hAnsi="Times New Roman" w:cs="Times New Roman"/>
        </w:rPr>
        <w:t xml:space="preserve">Kumar, S., &amp; Sharma, A. K. (2022). Determinants of firm profitability: A comprehensive analysis of ROA in developing markets. </w:t>
      </w:r>
      <w:r>
        <w:rPr>
          <w:rFonts w:ascii="Times New Roman" w:eastAsia="Times New Roman" w:hAnsi="Times New Roman" w:cs="Times New Roman"/>
          <w:i/>
        </w:rPr>
        <w:t>International Journal of Finance &amp; Economics</w:t>
      </w:r>
      <w:r>
        <w:rPr>
          <w:rFonts w:ascii="Times New Roman" w:eastAsia="Times New Roman" w:hAnsi="Times New Roman" w:cs="Times New Roman"/>
        </w:rPr>
        <w:t xml:space="preserve">, </w:t>
      </w:r>
      <w:r>
        <w:rPr>
          <w:rFonts w:ascii="Times New Roman" w:eastAsia="Times New Roman" w:hAnsi="Times New Roman" w:cs="Times New Roman"/>
          <w:i/>
        </w:rPr>
        <w:t>27</w:t>
      </w:r>
      <w:r>
        <w:rPr>
          <w:rFonts w:ascii="Times New Roman" w:eastAsia="Times New Roman" w:hAnsi="Times New Roman" w:cs="Times New Roman"/>
        </w:rPr>
        <w:t>(4), 4112–4128.</w:t>
      </w:r>
      <w:hyperlink r:id="rId39">
        <w:r>
          <w:rPr>
            <w:rFonts w:ascii="Times New Roman" w:eastAsia="Times New Roman" w:hAnsi="Times New Roman" w:cs="Times New Roman"/>
          </w:rPr>
          <w:t xml:space="preserve"> </w:t>
        </w:r>
      </w:hyperlink>
    </w:p>
    <w:p w:rsidR="00F65389" w:rsidRDefault="00601CBA">
      <w:pPr>
        <w:spacing w:before="240" w:line="240" w:lineRule="auto"/>
        <w:ind w:left="720" w:hanging="720"/>
        <w:jc w:val="both"/>
        <w:rPr>
          <w:rFonts w:ascii="Times New Roman" w:eastAsia="Times New Roman" w:hAnsi="Times New Roman" w:cs="Times New Roman"/>
        </w:rPr>
      </w:pPr>
      <w:r>
        <w:rPr>
          <w:rFonts w:ascii="Times New Roman" w:eastAsia="Times New Roman" w:hAnsi="Times New Roman" w:cs="Times New Roman"/>
        </w:rPr>
        <w:t xml:space="preserve">Kumar, S., Meher, B. K., Kumari, P., &amp; Birau, R. (2024). Investigating the effects of financial leverage, net interest margin, and solvency ratios on earnings per share in Indian banks. </w:t>
      </w:r>
      <w:r>
        <w:rPr>
          <w:rFonts w:ascii="Times New Roman" w:eastAsia="Times New Roman" w:hAnsi="Times New Roman" w:cs="Times New Roman"/>
          <w:i/>
        </w:rPr>
        <w:t>Revista de Științe Politice</w:t>
      </w:r>
      <w:r>
        <w:rPr>
          <w:rFonts w:ascii="Times New Roman" w:eastAsia="Times New Roman" w:hAnsi="Times New Roman" w:cs="Times New Roman"/>
        </w:rPr>
        <w:t xml:space="preserve">, </w:t>
      </w:r>
      <w:r>
        <w:rPr>
          <w:rFonts w:ascii="Times New Roman" w:eastAsia="Times New Roman" w:hAnsi="Times New Roman" w:cs="Times New Roman"/>
          <w:i/>
        </w:rPr>
        <w:t>82</w:t>
      </w:r>
      <w:r>
        <w:rPr>
          <w:rFonts w:ascii="Times New Roman" w:eastAsia="Times New Roman" w:hAnsi="Times New Roman" w:cs="Times New Roman"/>
        </w:rPr>
        <w:t>, 78–94. Retrieved from</w:t>
      </w:r>
      <w:hyperlink r:id="rId40">
        <w:r>
          <w:rPr>
            <w:rFonts w:ascii="Times New Roman" w:eastAsia="Times New Roman" w:hAnsi="Times New Roman" w:cs="Times New Roman"/>
          </w:rPr>
          <w:t xml:space="preserve"> </w:t>
        </w:r>
      </w:hyperlink>
    </w:p>
    <w:p w:rsidR="00F65389" w:rsidRDefault="00601CBA">
      <w:pPr>
        <w:spacing w:before="240" w:line="240" w:lineRule="auto"/>
        <w:ind w:left="720" w:hanging="720"/>
        <w:jc w:val="both"/>
        <w:rPr>
          <w:rFonts w:ascii="Times New Roman" w:eastAsia="Times New Roman" w:hAnsi="Times New Roman" w:cs="Times New Roman"/>
          <w:b/>
        </w:rPr>
      </w:pPr>
      <w:r>
        <w:rPr>
          <w:rFonts w:ascii="Times New Roman" w:eastAsia="Times New Roman" w:hAnsi="Times New Roman" w:cs="Times New Roman"/>
        </w:rPr>
        <w:t xml:space="preserve">Kyule, J. M. (2015). </w:t>
      </w:r>
      <w:r>
        <w:rPr>
          <w:rFonts w:ascii="Times New Roman" w:eastAsia="Times New Roman" w:hAnsi="Times New Roman" w:cs="Times New Roman"/>
          <w:i/>
        </w:rPr>
        <w:t>Impact of liquidity and solvency on financial performance of firms listed at the Nairobi Securities Exchange</w:t>
      </w:r>
      <w:r>
        <w:rPr>
          <w:rFonts w:ascii="Times New Roman" w:eastAsia="Times New Roman" w:hAnsi="Times New Roman" w:cs="Times New Roman"/>
        </w:rPr>
        <w:t xml:space="preserve"> (Master's Dissertation). University of Nairobi.</w:t>
      </w:r>
    </w:p>
    <w:p w:rsidR="00F65389" w:rsidRDefault="00601CBA">
      <w:pPr>
        <w:spacing w:line="240" w:lineRule="auto"/>
        <w:ind w:left="720" w:hanging="720"/>
        <w:jc w:val="both"/>
        <w:rPr>
          <w:rFonts w:ascii="Times New Roman" w:eastAsia="Times New Roman" w:hAnsi="Times New Roman" w:cs="Times New Roman"/>
        </w:rPr>
      </w:pPr>
      <w:r>
        <w:rPr>
          <w:rFonts w:ascii="Times New Roman" w:eastAsia="Times New Roman" w:hAnsi="Times New Roman" w:cs="Times New Roman"/>
        </w:rPr>
        <w:t xml:space="preserve">Kyule, J. M. (2015). </w:t>
      </w:r>
      <w:r>
        <w:rPr>
          <w:rFonts w:ascii="Times New Roman" w:eastAsia="Times New Roman" w:hAnsi="Times New Roman" w:cs="Times New Roman"/>
          <w:i/>
        </w:rPr>
        <w:t>Impact of liquidity and solvency on financial performance of firms listed at the Nairobi Securities Exchange</w:t>
      </w:r>
      <w:r>
        <w:rPr>
          <w:rFonts w:ascii="Times New Roman" w:eastAsia="Times New Roman" w:hAnsi="Times New Roman" w:cs="Times New Roman"/>
        </w:rPr>
        <w:t xml:space="preserve"> (Master's Dissertation). University of Nairobi. </w:t>
      </w:r>
    </w:p>
    <w:p w:rsidR="00F65389" w:rsidRDefault="00601CBA">
      <w:pPr>
        <w:spacing w:before="240" w:line="240" w:lineRule="auto"/>
        <w:ind w:left="720" w:hanging="720"/>
        <w:jc w:val="both"/>
        <w:rPr>
          <w:rFonts w:ascii="Times New Roman" w:eastAsia="Times New Roman" w:hAnsi="Times New Roman" w:cs="Times New Roman"/>
        </w:rPr>
      </w:pPr>
      <w:r>
        <w:rPr>
          <w:rFonts w:ascii="Times New Roman" w:eastAsia="Times New Roman" w:hAnsi="Times New Roman" w:cs="Times New Roman"/>
        </w:rPr>
        <w:t xml:space="preserve">Lee, J., &amp; Park, S. (2020). The role of ROA in predicting corporate financial distress: Global evidence during economic uncertainty. </w:t>
      </w:r>
      <w:r>
        <w:rPr>
          <w:rFonts w:ascii="Times New Roman" w:eastAsia="Times New Roman" w:hAnsi="Times New Roman" w:cs="Times New Roman"/>
          <w:i/>
        </w:rPr>
        <w:t>Journal of Applied Business Research</w:t>
      </w:r>
      <w:r>
        <w:rPr>
          <w:rFonts w:ascii="Times New Roman" w:eastAsia="Times New Roman" w:hAnsi="Times New Roman" w:cs="Times New Roman"/>
        </w:rPr>
        <w:t xml:space="preserve">, </w:t>
      </w:r>
      <w:r>
        <w:rPr>
          <w:rFonts w:ascii="Times New Roman" w:eastAsia="Times New Roman" w:hAnsi="Times New Roman" w:cs="Times New Roman"/>
          <w:i/>
        </w:rPr>
        <w:t>36</w:t>
      </w:r>
      <w:r>
        <w:rPr>
          <w:rFonts w:ascii="Times New Roman" w:eastAsia="Times New Roman" w:hAnsi="Times New Roman" w:cs="Times New Roman"/>
        </w:rPr>
        <w:t>(1), 42-55.</w:t>
      </w:r>
      <w:hyperlink r:id="rId41">
        <w:r>
          <w:rPr>
            <w:rFonts w:ascii="Times New Roman" w:eastAsia="Times New Roman" w:hAnsi="Times New Roman" w:cs="Times New Roman"/>
          </w:rPr>
          <w:t xml:space="preserve"> </w:t>
        </w:r>
      </w:hyperlink>
    </w:p>
    <w:p w:rsidR="00F65389" w:rsidRDefault="00601CBA">
      <w:pPr>
        <w:spacing w:before="240" w:line="240" w:lineRule="auto"/>
        <w:ind w:left="720" w:hanging="720"/>
        <w:jc w:val="both"/>
        <w:rPr>
          <w:rFonts w:ascii="Times New Roman" w:eastAsia="Times New Roman" w:hAnsi="Times New Roman" w:cs="Times New Roman"/>
        </w:rPr>
      </w:pPr>
      <w:r>
        <w:rPr>
          <w:rFonts w:ascii="Times New Roman" w:eastAsia="Times New Roman" w:hAnsi="Times New Roman" w:cs="Times New Roman"/>
        </w:rPr>
        <w:t xml:space="preserve">Li, K., &amp; Zhang, W. (2024). Information asymmetry and financing choices: New evidence on pecking order theory. </w:t>
      </w:r>
      <w:r>
        <w:rPr>
          <w:rFonts w:ascii="Times New Roman" w:eastAsia="Times New Roman" w:hAnsi="Times New Roman" w:cs="Times New Roman"/>
          <w:i/>
        </w:rPr>
        <w:t>Journal of Financial Economics</w:t>
      </w:r>
      <w:r>
        <w:rPr>
          <w:rFonts w:ascii="Times New Roman" w:eastAsia="Times New Roman" w:hAnsi="Times New Roman" w:cs="Times New Roman"/>
        </w:rPr>
        <w:t xml:space="preserve">, </w:t>
      </w:r>
      <w:r>
        <w:rPr>
          <w:rFonts w:ascii="Times New Roman" w:eastAsia="Times New Roman" w:hAnsi="Times New Roman" w:cs="Times New Roman"/>
          <w:i/>
        </w:rPr>
        <w:t>151</w:t>
      </w:r>
      <w:r>
        <w:rPr>
          <w:rFonts w:ascii="Times New Roman" w:eastAsia="Times New Roman" w:hAnsi="Times New Roman" w:cs="Times New Roman"/>
        </w:rPr>
        <w:t>(1), 105–127.</w:t>
      </w:r>
      <w:hyperlink r:id="rId42">
        <w:r>
          <w:rPr>
            <w:rFonts w:ascii="Times New Roman" w:eastAsia="Times New Roman" w:hAnsi="Times New Roman" w:cs="Times New Roman"/>
          </w:rPr>
          <w:t xml:space="preserve"> </w:t>
        </w:r>
      </w:hyperlink>
    </w:p>
    <w:p w:rsidR="00F65389" w:rsidRDefault="00601CBA">
      <w:pPr>
        <w:spacing w:before="240" w:line="240" w:lineRule="auto"/>
        <w:ind w:left="720" w:hanging="720"/>
        <w:jc w:val="both"/>
        <w:rPr>
          <w:rFonts w:ascii="Times New Roman" w:eastAsia="Times New Roman" w:hAnsi="Times New Roman" w:cs="Times New Roman"/>
        </w:rPr>
      </w:pPr>
      <w:r>
        <w:rPr>
          <w:rFonts w:ascii="Times New Roman" w:eastAsia="Times New Roman" w:hAnsi="Times New Roman" w:cs="Times New Roman"/>
        </w:rPr>
        <w:t xml:space="preserve">Manurung, Y. L., &amp; Atmoko, A. D. (2021). Debt-to-equity ratio and its effect on profitability in consumer goods sector companies. </w:t>
      </w:r>
      <w:r>
        <w:rPr>
          <w:rFonts w:ascii="Times New Roman" w:eastAsia="Times New Roman" w:hAnsi="Times New Roman" w:cs="Times New Roman"/>
          <w:i/>
        </w:rPr>
        <w:t>Jurnal Riset Akuntansi</w:t>
      </w:r>
      <w:r>
        <w:rPr>
          <w:rFonts w:ascii="Times New Roman" w:eastAsia="Times New Roman" w:hAnsi="Times New Roman" w:cs="Times New Roman"/>
        </w:rPr>
        <w:t xml:space="preserve">, </w:t>
      </w:r>
      <w:r>
        <w:rPr>
          <w:rFonts w:ascii="Times New Roman" w:eastAsia="Times New Roman" w:hAnsi="Times New Roman" w:cs="Times New Roman"/>
          <w:i/>
        </w:rPr>
        <w:t>12</w:t>
      </w:r>
      <w:r>
        <w:rPr>
          <w:rFonts w:ascii="Times New Roman" w:eastAsia="Times New Roman" w:hAnsi="Times New Roman" w:cs="Times New Roman"/>
        </w:rPr>
        <w:t>(3), 95–110.</w:t>
      </w:r>
      <w:hyperlink r:id="rId43">
        <w:r>
          <w:rPr>
            <w:rFonts w:ascii="Times New Roman" w:eastAsia="Times New Roman" w:hAnsi="Times New Roman" w:cs="Times New Roman"/>
          </w:rPr>
          <w:t xml:space="preserve"> </w:t>
        </w:r>
      </w:hyperlink>
    </w:p>
    <w:p w:rsidR="00F65389" w:rsidRDefault="00601CBA">
      <w:pPr>
        <w:spacing w:before="240" w:line="240" w:lineRule="auto"/>
        <w:ind w:left="720" w:hanging="720"/>
        <w:jc w:val="both"/>
        <w:rPr>
          <w:rFonts w:ascii="Times New Roman" w:eastAsia="Times New Roman" w:hAnsi="Times New Roman" w:cs="Times New Roman"/>
        </w:rPr>
      </w:pPr>
      <w:r>
        <w:rPr>
          <w:rFonts w:ascii="Times New Roman" w:eastAsia="Times New Roman" w:hAnsi="Times New Roman" w:cs="Times New Roman"/>
        </w:rPr>
        <w:t xml:space="preserve">Martinez-Garcia, E., &amp; Lopez-Iturriaga, F. J. (2021). Pecking order versus market timing: Evidence from emerging economies. </w:t>
      </w:r>
      <w:r>
        <w:rPr>
          <w:rFonts w:ascii="Times New Roman" w:eastAsia="Times New Roman" w:hAnsi="Times New Roman" w:cs="Times New Roman"/>
          <w:i/>
        </w:rPr>
        <w:t>Journal of International Money and Finance</w:t>
      </w:r>
      <w:r>
        <w:rPr>
          <w:rFonts w:ascii="Times New Roman" w:eastAsia="Times New Roman" w:hAnsi="Times New Roman" w:cs="Times New Roman"/>
        </w:rPr>
        <w:t xml:space="preserve">, </w:t>
      </w:r>
      <w:r>
        <w:rPr>
          <w:rFonts w:ascii="Times New Roman" w:eastAsia="Times New Roman" w:hAnsi="Times New Roman" w:cs="Times New Roman"/>
          <w:i/>
        </w:rPr>
        <w:t>112</w:t>
      </w:r>
      <w:r>
        <w:rPr>
          <w:rFonts w:ascii="Times New Roman" w:eastAsia="Times New Roman" w:hAnsi="Times New Roman" w:cs="Times New Roman"/>
        </w:rPr>
        <w:t>, Article 102341.</w:t>
      </w:r>
      <w:hyperlink r:id="rId44">
        <w:r>
          <w:rPr>
            <w:rFonts w:ascii="Times New Roman" w:eastAsia="Times New Roman" w:hAnsi="Times New Roman" w:cs="Times New Roman"/>
          </w:rPr>
          <w:t xml:space="preserve"> </w:t>
        </w:r>
      </w:hyperlink>
    </w:p>
    <w:p w:rsidR="00F65389" w:rsidRDefault="00601CBA">
      <w:pPr>
        <w:spacing w:before="240" w:line="240" w:lineRule="auto"/>
        <w:ind w:left="720" w:hanging="720"/>
        <w:jc w:val="both"/>
        <w:rPr>
          <w:rFonts w:ascii="Times New Roman" w:eastAsia="Times New Roman" w:hAnsi="Times New Roman" w:cs="Times New Roman"/>
        </w:rPr>
      </w:pPr>
      <w:r>
        <w:rPr>
          <w:rFonts w:ascii="Times New Roman" w:eastAsia="Times New Roman" w:hAnsi="Times New Roman" w:cs="Times New Roman"/>
        </w:rPr>
        <w:t xml:space="preserve">Martinez-Sola, C., &amp; García-Teruel, P. J. (2022). Interest coverage metrics and firm performance: A global study of manufacturing firms. </w:t>
      </w:r>
      <w:r>
        <w:rPr>
          <w:rFonts w:ascii="Times New Roman" w:eastAsia="Times New Roman" w:hAnsi="Times New Roman" w:cs="Times New Roman"/>
          <w:i/>
        </w:rPr>
        <w:t>International Review of Financial Analysis</w:t>
      </w:r>
      <w:r>
        <w:rPr>
          <w:rFonts w:ascii="Times New Roman" w:eastAsia="Times New Roman" w:hAnsi="Times New Roman" w:cs="Times New Roman"/>
        </w:rPr>
        <w:t xml:space="preserve">, </w:t>
      </w:r>
      <w:r>
        <w:rPr>
          <w:rFonts w:ascii="Times New Roman" w:eastAsia="Times New Roman" w:hAnsi="Times New Roman" w:cs="Times New Roman"/>
          <w:i/>
        </w:rPr>
        <w:t>83</w:t>
      </w:r>
      <w:r>
        <w:rPr>
          <w:rFonts w:ascii="Times New Roman" w:eastAsia="Times New Roman" w:hAnsi="Times New Roman" w:cs="Times New Roman"/>
        </w:rPr>
        <w:t>, Article 102329.</w:t>
      </w:r>
      <w:hyperlink r:id="rId45">
        <w:r>
          <w:rPr>
            <w:rFonts w:ascii="Times New Roman" w:eastAsia="Times New Roman" w:hAnsi="Times New Roman" w:cs="Times New Roman"/>
          </w:rPr>
          <w:t xml:space="preserve"> </w:t>
        </w:r>
      </w:hyperlink>
    </w:p>
    <w:p w:rsidR="00F65389" w:rsidRDefault="00601CBA">
      <w:pPr>
        <w:spacing w:before="240" w:line="240" w:lineRule="auto"/>
        <w:ind w:left="720" w:hanging="720"/>
        <w:jc w:val="both"/>
        <w:rPr>
          <w:rFonts w:ascii="Times New Roman" w:eastAsia="Times New Roman" w:hAnsi="Times New Roman" w:cs="Times New Roman"/>
        </w:rPr>
      </w:pPr>
      <w:r>
        <w:rPr>
          <w:rFonts w:ascii="Times New Roman" w:eastAsia="Times New Roman" w:hAnsi="Times New Roman" w:cs="Times New Roman"/>
        </w:rPr>
        <w:t xml:space="preserve">Meliani, S., Harnaen, Y. N., Saputra, Z., Mareta, F., &amp; Paulina, E. (2021). The effect of liquidity ratios, solvency and activities on financial results as measured by ROE in manufacturing companies in the food and beverage sub-sector listed on the IDX for the 2017–2019 period. In </w:t>
      </w:r>
      <w:r>
        <w:rPr>
          <w:rFonts w:ascii="Times New Roman" w:eastAsia="Times New Roman" w:hAnsi="Times New Roman" w:cs="Times New Roman"/>
          <w:i/>
        </w:rPr>
        <w:t>1st ICEMAC 2020: International Conference on Economics, Management, and Accounting</w:t>
      </w:r>
      <w:r>
        <w:rPr>
          <w:rFonts w:ascii="Times New Roman" w:eastAsia="Times New Roman" w:hAnsi="Times New Roman" w:cs="Times New Roman"/>
        </w:rPr>
        <w:t xml:space="preserve"> (pp. 1–9). NST Proceedings.</w:t>
      </w:r>
      <w:hyperlink r:id="rId46">
        <w:r>
          <w:rPr>
            <w:rFonts w:ascii="Times New Roman" w:eastAsia="Times New Roman" w:hAnsi="Times New Roman" w:cs="Times New Roman"/>
          </w:rPr>
          <w:t xml:space="preserve"> </w:t>
        </w:r>
      </w:hyperlink>
    </w:p>
    <w:p w:rsidR="00F65389" w:rsidRDefault="00601CBA">
      <w:pPr>
        <w:spacing w:line="240" w:lineRule="auto"/>
        <w:ind w:left="720" w:hanging="720"/>
        <w:jc w:val="both"/>
        <w:rPr>
          <w:rFonts w:ascii="Times New Roman" w:eastAsia="Times New Roman" w:hAnsi="Times New Roman" w:cs="Times New Roman"/>
        </w:rPr>
      </w:pPr>
      <w:r>
        <w:rPr>
          <w:rFonts w:ascii="Times New Roman" w:eastAsia="Times New Roman" w:hAnsi="Times New Roman" w:cs="Times New Roman"/>
        </w:rPr>
        <w:t xml:space="preserve">Meliani, S., Harnaen, Y. N., Saputra, Z., Mareta, F., &amp; Paulina, E. (2021). The effect of liquidity ratios, solvency and activities on financial results as measured by ROE in manufacturing companies in the food and beverage sub-sector listed on the IDX for the 2017–2019 period. In </w:t>
      </w:r>
      <w:r>
        <w:rPr>
          <w:rFonts w:ascii="Times New Roman" w:eastAsia="Times New Roman" w:hAnsi="Times New Roman" w:cs="Times New Roman"/>
          <w:i/>
        </w:rPr>
        <w:t>1st ICEMAC 2020: International Conference on Economics, Management, and Accounting</w:t>
      </w:r>
      <w:r>
        <w:rPr>
          <w:rFonts w:ascii="Times New Roman" w:eastAsia="Times New Roman" w:hAnsi="Times New Roman" w:cs="Times New Roman"/>
        </w:rPr>
        <w:t xml:space="preserve"> (pp. 1–9). NST Proceedings.</w:t>
      </w:r>
      <w:hyperlink r:id="rId47">
        <w:r>
          <w:rPr>
            <w:rFonts w:ascii="Times New Roman" w:eastAsia="Times New Roman" w:hAnsi="Times New Roman" w:cs="Times New Roman"/>
          </w:rPr>
          <w:t xml:space="preserve"> </w:t>
        </w:r>
      </w:hyperlink>
      <w:r>
        <w:rPr>
          <w:rFonts w:ascii="Times New Roman" w:eastAsia="Times New Roman" w:hAnsi="Times New Roman" w:cs="Times New Roman"/>
        </w:rPr>
        <w:t xml:space="preserve"> </w:t>
      </w:r>
    </w:p>
    <w:p w:rsidR="00F65389" w:rsidRDefault="00601CBA">
      <w:pPr>
        <w:spacing w:line="240" w:lineRule="auto"/>
        <w:ind w:left="720" w:hanging="720"/>
        <w:jc w:val="both"/>
        <w:rPr>
          <w:rFonts w:ascii="Times New Roman" w:eastAsia="Times New Roman" w:hAnsi="Times New Roman" w:cs="Times New Roman"/>
        </w:rPr>
      </w:pPr>
      <w:r>
        <w:rPr>
          <w:rFonts w:ascii="Times New Roman" w:eastAsia="Times New Roman" w:hAnsi="Times New Roman" w:cs="Times New Roman"/>
        </w:rPr>
        <w:t xml:space="preserve">Nairametrics. (2024, November). </w:t>
      </w:r>
      <w:r>
        <w:rPr>
          <w:rFonts w:ascii="Times New Roman" w:eastAsia="Times New Roman" w:hAnsi="Times New Roman" w:cs="Times New Roman"/>
          <w:i/>
        </w:rPr>
        <w:t>Nairametrics report on Nestlé Nigeria's financial performance</w:t>
      </w:r>
      <w:r>
        <w:rPr>
          <w:rFonts w:ascii="Times New Roman" w:eastAsia="Times New Roman" w:hAnsi="Times New Roman" w:cs="Times New Roman"/>
        </w:rPr>
        <w:t xml:space="preserve">. Nestlé Nigeria. (2024). </w:t>
      </w:r>
      <w:r>
        <w:rPr>
          <w:rFonts w:ascii="Times New Roman" w:eastAsia="Times New Roman" w:hAnsi="Times New Roman" w:cs="Times New Roman"/>
          <w:i/>
        </w:rPr>
        <w:t>Nestlé Nigeria Q1 2024 financial report</w:t>
      </w:r>
      <w:r>
        <w:rPr>
          <w:rFonts w:ascii="Times New Roman" w:eastAsia="Times New Roman" w:hAnsi="Times New Roman" w:cs="Times New Roman"/>
        </w:rPr>
        <w:t xml:space="preserve">. Nigerian Exchange Group. </w:t>
      </w:r>
    </w:p>
    <w:p w:rsidR="00F65389" w:rsidRDefault="00601CBA">
      <w:pPr>
        <w:spacing w:line="240" w:lineRule="auto"/>
        <w:ind w:left="720" w:hanging="720"/>
        <w:jc w:val="both"/>
        <w:rPr>
          <w:rFonts w:ascii="Times New Roman" w:eastAsia="Times New Roman" w:hAnsi="Times New Roman" w:cs="Times New Roman"/>
        </w:rPr>
      </w:pPr>
      <w:r>
        <w:rPr>
          <w:rFonts w:ascii="Times New Roman" w:eastAsia="Times New Roman" w:hAnsi="Times New Roman" w:cs="Times New Roman"/>
        </w:rPr>
        <w:t xml:space="preserve">Ndu, B. C., &amp; Ifurueze, M. S. (2024). Firm attributes and cash holdings of listed pharmaceutical firms in Nigeria. </w:t>
      </w:r>
      <w:r>
        <w:rPr>
          <w:rFonts w:ascii="Times New Roman" w:eastAsia="Times New Roman" w:hAnsi="Times New Roman" w:cs="Times New Roman"/>
          <w:i/>
        </w:rPr>
        <w:t>Journal of Global Accounting</w:t>
      </w:r>
      <w:r>
        <w:rPr>
          <w:rFonts w:ascii="Times New Roman" w:eastAsia="Times New Roman" w:hAnsi="Times New Roman" w:cs="Times New Roman"/>
        </w:rPr>
        <w:t xml:space="preserve">, </w:t>
      </w:r>
      <w:r>
        <w:rPr>
          <w:rFonts w:ascii="Times New Roman" w:eastAsia="Times New Roman" w:hAnsi="Times New Roman" w:cs="Times New Roman"/>
          <w:i/>
        </w:rPr>
        <w:t>7</w:t>
      </w:r>
      <w:r>
        <w:rPr>
          <w:rFonts w:ascii="Times New Roman" w:eastAsia="Times New Roman" w:hAnsi="Times New Roman" w:cs="Times New Roman"/>
        </w:rPr>
        <w:t>(2), 125–143.</w:t>
      </w:r>
      <w:hyperlink r:id="rId48">
        <w:r>
          <w:rPr>
            <w:rFonts w:ascii="Times New Roman" w:eastAsia="Times New Roman" w:hAnsi="Times New Roman" w:cs="Times New Roman"/>
          </w:rPr>
          <w:t xml:space="preserve"> </w:t>
        </w:r>
      </w:hyperlink>
      <w:r>
        <w:rPr>
          <w:rFonts w:ascii="Times New Roman" w:eastAsia="Times New Roman" w:hAnsi="Times New Roman" w:cs="Times New Roman"/>
        </w:rPr>
        <w:t xml:space="preserve"> </w:t>
      </w:r>
    </w:p>
    <w:p w:rsidR="00F65389" w:rsidRDefault="00601CBA">
      <w:pPr>
        <w:spacing w:line="240" w:lineRule="auto"/>
        <w:ind w:left="720" w:hanging="720"/>
        <w:jc w:val="both"/>
        <w:rPr>
          <w:rFonts w:ascii="Times New Roman" w:eastAsia="Times New Roman" w:hAnsi="Times New Roman" w:cs="Times New Roman"/>
        </w:rPr>
      </w:pPr>
      <w:r>
        <w:rPr>
          <w:rFonts w:ascii="Times New Roman" w:eastAsia="Times New Roman" w:hAnsi="Times New Roman" w:cs="Times New Roman"/>
        </w:rPr>
        <w:t xml:space="preserve">Oguntuase, A. T., Oyeneye, T. E., &amp; Olabisi, J. (2024). Liquidity management and financial performance of Nigerian listed consumer goods manufacturing firms. </w:t>
      </w:r>
      <w:r>
        <w:rPr>
          <w:rFonts w:ascii="Times New Roman" w:eastAsia="Times New Roman" w:hAnsi="Times New Roman" w:cs="Times New Roman"/>
          <w:i/>
        </w:rPr>
        <w:t>Emerging Markets Journal</w:t>
      </w:r>
      <w:r>
        <w:rPr>
          <w:rFonts w:ascii="Times New Roman" w:eastAsia="Times New Roman" w:hAnsi="Times New Roman" w:cs="Times New Roman"/>
        </w:rPr>
        <w:t xml:space="preserve">, </w:t>
      </w:r>
      <w:r>
        <w:rPr>
          <w:rFonts w:ascii="Times New Roman" w:eastAsia="Times New Roman" w:hAnsi="Times New Roman" w:cs="Times New Roman"/>
          <w:i/>
        </w:rPr>
        <w:t>10</w:t>
      </w:r>
      <w:r>
        <w:rPr>
          <w:rFonts w:ascii="Times New Roman" w:eastAsia="Times New Roman" w:hAnsi="Times New Roman" w:cs="Times New Roman"/>
        </w:rPr>
        <w:t xml:space="preserve">(8), 35–50. Retrieved from EMI Journal </w:t>
      </w:r>
    </w:p>
    <w:p w:rsidR="00F65389" w:rsidRDefault="00601CBA">
      <w:pPr>
        <w:spacing w:before="240" w:line="240" w:lineRule="auto"/>
        <w:ind w:left="720" w:hanging="720"/>
        <w:jc w:val="both"/>
        <w:rPr>
          <w:rFonts w:ascii="Times New Roman" w:eastAsia="Times New Roman" w:hAnsi="Times New Roman" w:cs="Times New Roman"/>
        </w:rPr>
      </w:pPr>
      <w:r>
        <w:rPr>
          <w:rFonts w:ascii="Times New Roman" w:eastAsia="Times New Roman" w:hAnsi="Times New Roman" w:cs="Times New Roman"/>
        </w:rPr>
        <w:t xml:space="preserve">Oke, M. O., &amp; Fadaka, B. F. (2021). Capital structure and firm performance: Evidence from Nigerian consumer goods manufacturing firms. </w:t>
      </w:r>
      <w:r>
        <w:rPr>
          <w:rFonts w:ascii="Times New Roman" w:eastAsia="Times New Roman" w:hAnsi="Times New Roman" w:cs="Times New Roman"/>
          <w:i/>
        </w:rPr>
        <w:t>Academy of Accounting and Financial Studies Journal</w:t>
      </w:r>
      <w:r>
        <w:rPr>
          <w:rFonts w:ascii="Times New Roman" w:eastAsia="Times New Roman" w:hAnsi="Times New Roman" w:cs="Times New Roman"/>
        </w:rPr>
        <w:t xml:space="preserve">, </w:t>
      </w:r>
      <w:r>
        <w:rPr>
          <w:rFonts w:ascii="Times New Roman" w:eastAsia="Times New Roman" w:hAnsi="Times New Roman" w:cs="Times New Roman"/>
          <w:i/>
        </w:rPr>
        <w:t>25</w:t>
      </w:r>
      <w:r>
        <w:rPr>
          <w:rFonts w:ascii="Times New Roman" w:eastAsia="Times New Roman" w:hAnsi="Times New Roman" w:cs="Times New Roman"/>
        </w:rPr>
        <w:t>(6), 1–15.</w:t>
      </w:r>
      <w:hyperlink r:id="rId49">
        <w:r>
          <w:rPr>
            <w:rFonts w:ascii="Times New Roman" w:eastAsia="Times New Roman" w:hAnsi="Times New Roman" w:cs="Times New Roman"/>
          </w:rPr>
          <w:t xml:space="preserve"> </w:t>
        </w:r>
      </w:hyperlink>
    </w:p>
    <w:p w:rsidR="00F65389" w:rsidRDefault="00601CBA">
      <w:pPr>
        <w:spacing w:line="240" w:lineRule="auto"/>
        <w:ind w:left="720" w:hanging="720"/>
        <w:jc w:val="both"/>
        <w:rPr>
          <w:rFonts w:ascii="Times New Roman" w:eastAsia="Times New Roman" w:hAnsi="Times New Roman" w:cs="Times New Roman"/>
        </w:rPr>
      </w:pPr>
      <w:r>
        <w:rPr>
          <w:rFonts w:ascii="Times New Roman" w:eastAsia="Times New Roman" w:hAnsi="Times New Roman" w:cs="Times New Roman"/>
        </w:rPr>
        <w:t xml:space="preserve">Onwaeze, O., &amp; Osuji, C. C. (2024). Tax shields and financial performance of listed manufacturing firms in Nigeria. </w:t>
      </w:r>
      <w:r>
        <w:rPr>
          <w:rFonts w:ascii="Times New Roman" w:eastAsia="Times New Roman" w:hAnsi="Times New Roman" w:cs="Times New Roman"/>
          <w:i/>
        </w:rPr>
        <w:t>Journal of Advanced Finance and Management</w:t>
      </w:r>
      <w:r>
        <w:rPr>
          <w:rFonts w:ascii="Times New Roman" w:eastAsia="Times New Roman" w:hAnsi="Times New Roman" w:cs="Times New Roman"/>
        </w:rPr>
        <w:t xml:space="preserve">, </w:t>
      </w:r>
      <w:r>
        <w:rPr>
          <w:rFonts w:ascii="Times New Roman" w:eastAsia="Times New Roman" w:hAnsi="Times New Roman" w:cs="Times New Roman"/>
          <w:i/>
        </w:rPr>
        <w:t>10</w:t>
      </w:r>
      <w:r>
        <w:rPr>
          <w:rFonts w:ascii="Times New Roman" w:eastAsia="Times New Roman" w:hAnsi="Times New Roman" w:cs="Times New Roman"/>
        </w:rPr>
        <w:t xml:space="preserve">(6), 83–104. Retrieved from IIARD Journals </w:t>
      </w:r>
    </w:p>
    <w:p w:rsidR="00F65389" w:rsidRDefault="00601CBA">
      <w:pPr>
        <w:spacing w:before="240" w:line="240" w:lineRule="auto"/>
        <w:ind w:left="720" w:hanging="720"/>
        <w:jc w:val="both"/>
        <w:rPr>
          <w:rFonts w:ascii="Times New Roman" w:eastAsia="Times New Roman" w:hAnsi="Times New Roman" w:cs="Times New Roman"/>
        </w:rPr>
      </w:pPr>
      <w:r>
        <w:rPr>
          <w:rFonts w:ascii="Times New Roman" w:eastAsia="Times New Roman" w:hAnsi="Times New Roman" w:cs="Times New Roman"/>
        </w:rPr>
        <w:t xml:space="preserve">Patel, R., &amp; Johnson, K. (2022). Pecking order dynamics in emerging markets: A comparative analysis. </w:t>
      </w:r>
      <w:r>
        <w:rPr>
          <w:rFonts w:ascii="Times New Roman" w:eastAsia="Times New Roman" w:hAnsi="Times New Roman" w:cs="Times New Roman"/>
          <w:i/>
        </w:rPr>
        <w:t>International Review of Financial Analysis</w:t>
      </w:r>
      <w:r>
        <w:rPr>
          <w:rFonts w:ascii="Times New Roman" w:eastAsia="Times New Roman" w:hAnsi="Times New Roman" w:cs="Times New Roman"/>
        </w:rPr>
        <w:t xml:space="preserve">, </w:t>
      </w:r>
      <w:r>
        <w:rPr>
          <w:rFonts w:ascii="Times New Roman" w:eastAsia="Times New Roman" w:hAnsi="Times New Roman" w:cs="Times New Roman"/>
          <w:i/>
        </w:rPr>
        <w:t>80</w:t>
      </w:r>
      <w:r>
        <w:rPr>
          <w:rFonts w:ascii="Times New Roman" w:eastAsia="Times New Roman" w:hAnsi="Times New Roman" w:cs="Times New Roman"/>
        </w:rPr>
        <w:t>, Article 101982.</w:t>
      </w:r>
      <w:hyperlink r:id="rId50">
        <w:r>
          <w:rPr>
            <w:rFonts w:ascii="Times New Roman" w:eastAsia="Times New Roman" w:hAnsi="Times New Roman" w:cs="Times New Roman"/>
          </w:rPr>
          <w:t xml:space="preserve"> </w:t>
        </w:r>
      </w:hyperlink>
    </w:p>
    <w:p w:rsidR="00F65389" w:rsidRDefault="00601CBA">
      <w:pPr>
        <w:spacing w:before="240" w:line="240" w:lineRule="auto"/>
        <w:ind w:left="720" w:hanging="720"/>
        <w:jc w:val="both"/>
        <w:rPr>
          <w:rFonts w:ascii="Times New Roman" w:eastAsia="Times New Roman" w:hAnsi="Times New Roman" w:cs="Times New Roman"/>
        </w:rPr>
      </w:pPr>
      <w:r>
        <w:rPr>
          <w:rFonts w:ascii="Times New Roman" w:eastAsia="Times New Roman" w:hAnsi="Times New Roman" w:cs="Times New Roman"/>
        </w:rPr>
        <w:t xml:space="preserve">Patel, R., Singhai, M., &amp; Dwivedi, P. (2018). Rating and financial performance of selected Indian FMCG companies: An exploratory study. </w:t>
      </w:r>
      <w:r>
        <w:rPr>
          <w:rFonts w:ascii="Times New Roman" w:eastAsia="Times New Roman" w:hAnsi="Times New Roman" w:cs="Times New Roman"/>
          <w:i/>
        </w:rPr>
        <w:t>Research Journal of Business and Management</w:t>
      </w:r>
      <w:r>
        <w:rPr>
          <w:rFonts w:ascii="Times New Roman" w:eastAsia="Times New Roman" w:hAnsi="Times New Roman" w:cs="Times New Roman"/>
        </w:rPr>
        <w:t xml:space="preserve">, </w:t>
      </w:r>
      <w:r>
        <w:rPr>
          <w:rFonts w:ascii="Times New Roman" w:eastAsia="Times New Roman" w:hAnsi="Times New Roman" w:cs="Times New Roman"/>
          <w:i/>
        </w:rPr>
        <w:t>12</w:t>
      </w:r>
      <w:r>
        <w:rPr>
          <w:rFonts w:ascii="Times New Roman" w:eastAsia="Times New Roman" w:hAnsi="Times New Roman" w:cs="Times New Roman"/>
        </w:rPr>
        <w:t>(2), 72–86.</w:t>
      </w:r>
      <w:hyperlink r:id="rId51">
        <w:r>
          <w:rPr>
            <w:rFonts w:ascii="Times New Roman" w:eastAsia="Times New Roman" w:hAnsi="Times New Roman" w:cs="Times New Roman"/>
          </w:rPr>
          <w:t xml:space="preserve"> </w:t>
        </w:r>
      </w:hyperlink>
    </w:p>
    <w:p w:rsidR="00F65389" w:rsidRDefault="00601CBA">
      <w:pPr>
        <w:spacing w:before="240" w:line="240" w:lineRule="auto"/>
        <w:ind w:left="720" w:hanging="720"/>
        <w:jc w:val="both"/>
        <w:rPr>
          <w:rFonts w:ascii="Times New Roman" w:eastAsia="Times New Roman" w:hAnsi="Times New Roman" w:cs="Times New Roman"/>
        </w:rPr>
      </w:pPr>
      <w:r>
        <w:rPr>
          <w:rFonts w:ascii="Times New Roman" w:eastAsia="Times New Roman" w:hAnsi="Times New Roman" w:cs="Times New Roman"/>
        </w:rPr>
        <w:t xml:space="preserve">Patra, A. (2023). The capital structure and its impact on the profitability of FMCG companies in India. </w:t>
      </w:r>
      <w:r>
        <w:rPr>
          <w:rFonts w:ascii="Times New Roman" w:eastAsia="Times New Roman" w:hAnsi="Times New Roman" w:cs="Times New Roman"/>
          <w:i/>
        </w:rPr>
        <w:t>International Journal of Economics and Financial Management</w:t>
      </w:r>
      <w:r>
        <w:rPr>
          <w:rFonts w:ascii="Times New Roman" w:eastAsia="Times New Roman" w:hAnsi="Times New Roman" w:cs="Times New Roman"/>
        </w:rPr>
        <w:t xml:space="preserve">, </w:t>
      </w:r>
      <w:r>
        <w:rPr>
          <w:rFonts w:ascii="Times New Roman" w:eastAsia="Times New Roman" w:hAnsi="Times New Roman" w:cs="Times New Roman"/>
          <w:i/>
        </w:rPr>
        <w:t>15</w:t>
      </w:r>
      <w:r>
        <w:rPr>
          <w:rFonts w:ascii="Times New Roman" w:eastAsia="Times New Roman" w:hAnsi="Times New Roman" w:cs="Times New Roman"/>
        </w:rPr>
        <w:t>(5), 80–95.</w:t>
      </w:r>
      <w:hyperlink r:id="rId52">
        <w:r>
          <w:rPr>
            <w:rFonts w:ascii="Times New Roman" w:eastAsia="Times New Roman" w:hAnsi="Times New Roman" w:cs="Times New Roman"/>
          </w:rPr>
          <w:t xml:space="preserve"> </w:t>
        </w:r>
      </w:hyperlink>
    </w:p>
    <w:p w:rsidR="00F65389" w:rsidRDefault="00601CBA">
      <w:pPr>
        <w:spacing w:before="240" w:line="240" w:lineRule="auto"/>
        <w:ind w:left="720" w:hanging="720"/>
        <w:jc w:val="both"/>
        <w:rPr>
          <w:rFonts w:ascii="Times New Roman" w:eastAsia="Times New Roman" w:hAnsi="Times New Roman" w:cs="Times New Roman"/>
        </w:rPr>
      </w:pPr>
      <w:r>
        <w:rPr>
          <w:rFonts w:ascii="Times New Roman" w:eastAsia="Times New Roman" w:hAnsi="Times New Roman" w:cs="Times New Roman"/>
        </w:rPr>
        <w:t xml:space="preserve">Peswani, S. (2021). The impact of financial leverage on corporate financial performance. </w:t>
      </w:r>
      <w:r>
        <w:rPr>
          <w:rFonts w:ascii="Times New Roman" w:eastAsia="Times New Roman" w:hAnsi="Times New Roman" w:cs="Times New Roman"/>
          <w:i/>
        </w:rPr>
        <w:t>International Journal of Economics and Management Studies</w:t>
      </w:r>
      <w:r>
        <w:rPr>
          <w:rFonts w:ascii="Times New Roman" w:eastAsia="Times New Roman" w:hAnsi="Times New Roman" w:cs="Times New Roman"/>
        </w:rPr>
        <w:t xml:space="preserve">, </w:t>
      </w:r>
      <w:r>
        <w:rPr>
          <w:rFonts w:ascii="Times New Roman" w:eastAsia="Times New Roman" w:hAnsi="Times New Roman" w:cs="Times New Roman"/>
          <w:i/>
        </w:rPr>
        <w:t>8</w:t>
      </w:r>
      <w:r>
        <w:rPr>
          <w:rFonts w:ascii="Times New Roman" w:eastAsia="Times New Roman" w:hAnsi="Times New Roman" w:cs="Times New Roman"/>
        </w:rPr>
        <w:t>(2), 115–130.</w:t>
      </w:r>
      <w:hyperlink r:id="rId53">
        <w:r>
          <w:rPr>
            <w:rFonts w:ascii="Times New Roman" w:eastAsia="Times New Roman" w:hAnsi="Times New Roman" w:cs="Times New Roman"/>
          </w:rPr>
          <w:t xml:space="preserve"> </w:t>
        </w:r>
      </w:hyperlink>
    </w:p>
    <w:p w:rsidR="00F65389" w:rsidRDefault="00601CBA">
      <w:pPr>
        <w:spacing w:before="240" w:line="240" w:lineRule="auto"/>
        <w:ind w:left="720" w:hanging="720"/>
        <w:jc w:val="both"/>
        <w:rPr>
          <w:rFonts w:ascii="Times New Roman" w:eastAsia="Times New Roman" w:hAnsi="Times New Roman" w:cs="Times New Roman"/>
        </w:rPr>
      </w:pPr>
      <w:r>
        <w:rPr>
          <w:rFonts w:ascii="Times New Roman" w:eastAsia="Times New Roman" w:hAnsi="Times New Roman" w:cs="Times New Roman"/>
        </w:rPr>
        <w:t xml:space="preserve">Prasetiyo, Y. (2022). Analysis of company size, profitability, and solvency on firm value at BUMN IDX20. </w:t>
      </w:r>
      <w:r>
        <w:rPr>
          <w:rFonts w:ascii="Times New Roman" w:eastAsia="Times New Roman" w:hAnsi="Times New Roman" w:cs="Times New Roman"/>
          <w:i/>
        </w:rPr>
        <w:t>Formosa Journal of Science and Technology</w:t>
      </w:r>
      <w:r>
        <w:rPr>
          <w:rFonts w:ascii="Times New Roman" w:eastAsia="Times New Roman" w:hAnsi="Times New Roman" w:cs="Times New Roman"/>
        </w:rPr>
        <w:t xml:space="preserve">, </w:t>
      </w:r>
      <w:r>
        <w:rPr>
          <w:rFonts w:ascii="Times New Roman" w:eastAsia="Times New Roman" w:hAnsi="Times New Roman" w:cs="Times New Roman"/>
          <w:i/>
        </w:rPr>
        <w:t>1</w:t>
      </w:r>
      <w:r>
        <w:rPr>
          <w:rFonts w:ascii="Times New Roman" w:eastAsia="Times New Roman" w:hAnsi="Times New Roman" w:cs="Times New Roman"/>
        </w:rPr>
        <w:t>(7), 853–864.</w:t>
      </w:r>
      <w:hyperlink r:id="rId54">
        <w:r>
          <w:rPr>
            <w:rFonts w:ascii="Times New Roman" w:eastAsia="Times New Roman" w:hAnsi="Times New Roman" w:cs="Times New Roman"/>
          </w:rPr>
          <w:t xml:space="preserve"> </w:t>
        </w:r>
      </w:hyperlink>
    </w:p>
    <w:p w:rsidR="00F65389" w:rsidRDefault="00601CBA">
      <w:pPr>
        <w:spacing w:line="240" w:lineRule="auto"/>
        <w:ind w:left="720" w:hanging="720"/>
        <w:jc w:val="both"/>
        <w:rPr>
          <w:rFonts w:ascii="Times New Roman" w:eastAsia="Times New Roman" w:hAnsi="Times New Roman" w:cs="Times New Roman"/>
        </w:rPr>
      </w:pPr>
      <w:r>
        <w:rPr>
          <w:rFonts w:ascii="Times New Roman" w:eastAsia="Times New Roman" w:hAnsi="Times New Roman" w:cs="Times New Roman"/>
        </w:rPr>
        <w:t xml:space="preserve">Prasetiyo, Y. (2022). Analysis of company size, profitability, and solvency on firm value at BUMN IDX20. </w:t>
      </w:r>
      <w:r>
        <w:rPr>
          <w:rFonts w:ascii="Times New Roman" w:eastAsia="Times New Roman" w:hAnsi="Times New Roman" w:cs="Times New Roman"/>
          <w:i/>
        </w:rPr>
        <w:t>Formosa Journal of Science and Technology</w:t>
      </w:r>
      <w:r>
        <w:rPr>
          <w:rFonts w:ascii="Times New Roman" w:eastAsia="Times New Roman" w:hAnsi="Times New Roman" w:cs="Times New Roman"/>
        </w:rPr>
        <w:t xml:space="preserve">, </w:t>
      </w:r>
      <w:r>
        <w:rPr>
          <w:rFonts w:ascii="Times New Roman" w:eastAsia="Times New Roman" w:hAnsi="Times New Roman" w:cs="Times New Roman"/>
          <w:i/>
        </w:rPr>
        <w:t>1</w:t>
      </w:r>
      <w:r>
        <w:rPr>
          <w:rFonts w:ascii="Times New Roman" w:eastAsia="Times New Roman" w:hAnsi="Times New Roman" w:cs="Times New Roman"/>
        </w:rPr>
        <w:t>(7), 853–864.</w:t>
      </w:r>
      <w:hyperlink r:id="rId55">
        <w:r>
          <w:rPr>
            <w:rFonts w:ascii="Times New Roman" w:eastAsia="Times New Roman" w:hAnsi="Times New Roman" w:cs="Times New Roman"/>
          </w:rPr>
          <w:t xml:space="preserve"> </w:t>
        </w:r>
      </w:hyperlink>
      <w:r>
        <w:rPr>
          <w:rFonts w:ascii="Times New Roman" w:eastAsia="Times New Roman" w:hAnsi="Times New Roman" w:cs="Times New Roman"/>
        </w:rPr>
        <w:t xml:space="preserve"> </w:t>
      </w:r>
    </w:p>
    <w:p w:rsidR="00F65389" w:rsidRDefault="00601CBA">
      <w:pPr>
        <w:spacing w:before="240" w:line="240" w:lineRule="auto"/>
        <w:ind w:left="720" w:hanging="720"/>
        <w:jc w:val="both"/>
        <w:rPr>
          <w:rFonts w:ascii="Times New Roman" w:eastAsia="Times New Roman" w:hAnsi="Times New Roman" w:cs="Times New Roman"/>
        </w:rPr>
      </w:pPr>
      <w:r>
        <w:rPr>
          <w:rFonts w:ascii="Times New Roman" w:eastAsia="Times New Roman" w:hAnsi="Times New Roman" w:cs="Times New Roman"/>
        </w:rPr>
        <w:t xml:space="preserve">Rodriguez-Fernandez, M., &amp; Gaspar-González, A. I. (2021). ROA dynamics and sustainability performance: New evidence from ESG implementation. </w:t>
      </w:r>
      <w:r>
        <w:rPr>
          <w:rFonts w:ascii="Times New Roman" w:eastAsia="Times New Roman" w:hAnsi="Times New Roman" w:cs="Times New Roman"/>
          <w:i/>
        </w:rPr>
        <w:t>Sustainability</w:t>
      </w:r>
      <w:r>
        <w:rPr>
          <w:rFonts w:ascii="Times New Roman" w:eastAsia="Times New Roman" w:hAnsi="Times New Roman" w:cs="Times New Roman"/>
        </w:rPr>
        <w:t xml:space="preserve">, </w:t>
      </w:r>
      <w:r>
        <w:rPr>
          <w:rFonts w:ascii="Times New Roman" w:eastAsia="Times New Roman" w:hAnsi="Times New Roman" w:cs="Times New Roman"/>
          <w:i/>
        </w:rPr>
        <w:t>13</w:t>
      </w:r>
      <w:r>
        <w:rPr>
          <w:rFonts w:ascii="Times New Roman" w:eastAsia="Times New Roman" w:hAnsi="Times New Roman" w:cs="Times New Roman"/>
        </w:rPr>
        <w:t>(9), 4875.</w:t>
      </w:r>
      <w:hyperlink r:id="rId56">
        <w:r>
          <w:rPr>
            <w:rFonts w:ascii="Times New Roman" w:eastAsia="Times New Roman" w:hAnsi="Times New Roman" w:cs="Times New Roman"/>
          </w:rPr>
          <w:t xml:space="preserve"> </w:t>
        </w:r>
      </w:hyperlink>
    </w:p>
    <w:p w:rsidR="00F65389" w:rsidRDefault="00601CBA">
      <w:pPr>
        <w:spacing w:before="240" w:line="240" w:lineRule="auto"/>
        <w:ind w:left="720" w:hanging="720"/>
        <w:jc w:val="both"/>
        <w:rPr>
          <w:rFonts w:ascii="Times New Roman" w:eastAsia="Times New Roman" w:hAnsi="Times New Roman" w:cs="Times New Roman"/>
        </w:rPr>
      </w:pPr>
      <w:r>
        <w:rPr>
          <w:rFonts w:ascii="Times New Roman" w:eastAsia="Times New Roman" w:hAnsi="Times New Roman" w:cs="Times New Roman"/>
        </w:rPr>
        <w:t xml:space="preserve">Rudianto, D. (2014). Effect of corporate financial performance using ratio analysis on stock return in consumer goods sector companies. </w:t>
      </w:r>
      <w:r>
        <w:rPr>
          <w:rFonts w:ascii="Times New Roman" w:eastAsia="Times New Roman" w:hAnsi="Times New Roman" w:cs="Times New Roman"/>
          <w:i/>
        </w:rPr>
        <w:t>Business and Management Review</w:t>
      </w:r>
      <w:r>
        <w:rPr>
          <w:rFonts w:ascii="Times New Roman" w:eastAsia="Times New Roman" w:hAnsi="Times New Roman" w:cs="Times New Roman"/>
        </w:rPr>
        <w:t xml:space="preserve">, </w:t>
      </w:r>
      <w:r>
        <w:rPr>
          <w:rFonts w:ascii="Times New Roman" w:eastAsia="Times New Roman" w:hAnsi="Times New Roman" w:cs="Times New Roman"/>
          <w:i/>
        </w:rPr>
        <w:t>8</w:t>
      </w:r>
      <w:r>
        <w:rPr>
          <w:rFonts w:ascii="Times New Roman" w:eastAsia="Times New Roman" w:hAnsi="Times New Roman" w:cs="Times New Roman"/>
        </w:rPr>
        <w:t>(1), 70–89.</w:t>
      </w:r>
      <w:hyperlink r:id="rId57">
        <w:r>
          <w:rPr>
            <w:rFonts w:ascii="Times New Roman" w:eastAsia="Times New Roman" w:hAnsi="Times New Roman" w:cs="Times New Roman"/>
          </w:rPr>
          <w:t xml:space="preserve"> </w:t>
        </w:r>
      </w:hyperlink>
    </w:p>
    <w:p w:rsidR="00F65389" w:rsidRDefault="00601CBA">
      <w:pPr>
        <w:spacing w:before="240" w:line="240" w:lineRule="auto"/>
        <w:ind w:left="720" w:hanging="720"/>
        <w:jc w:val="both"/>
        <w:rPr>
          <w:rFonts w:ascii="Times New Roman" w:eastAsia="Times New Roman" w:hAnsi="Times New Roman" w:cs="Times New Roman"/>
          <w:b/>
        </w:rPr>
      </w:pPr>
      <w:r>
        <w:rPr>
          <w:rFonts w:ascii="Times New Roman" w:eastAsia="Times New Roman" w:hAnsi="Times New Roman" w:cs="Times New Roman"/>
        </w:rPr>
        <w:t xml:space="preserve">Ryanto, F. R., &amp; Tarigan, I. P. (2024). The impact of leverage and asset growth on financial performance of consumer goods companies. </w:t>
      </w:r>
      <w:r>
        <w:rPr>
          <w:rFonts w:ascii="Times New Roman" w:eastAsia="Times New Roman" w:hAnsi="Times New Roman" w:cs="Times New Roman"/>
          <w:i/>
        </w:rPr>
        <w:t>Journal of Humanities and Social Sciences</w:t>
      </w:r>
      <w:r>
        <w:rPr>
          <w:rFonts w:ascii="Times New Roman" w:eastAsia="Times New Roman" w:hAnsi="Times New Roman" w:cs="Times New Roman"/>
        </w:rPr>
        <w:t xml:space="preserve">, </w:t>
      </w:r>
      <w:r>
        <w:rPr>
          <w:rFonts w:ascii="Times New Roman" w:eastAsia="Times New Roman" w:hAnsi="Times New Roman" w:cs="Times New Roman"/>
          <w:i/>
        </w:rPr>
        <w:t>22</w:t>
      </w:r>
      <w:r>
        <w:rPr>
          <w:rFonts w:ascii="Times New Roman" w:eastAsia="Times New Roman" w:hAnsi="Times New Roman" w:cs="Times New Roman"/>
        </w:rPr>
        <w:t>(1), 123–135.</w:t>
      </w:r>
      <w:hyperlink r:id="rId58">
        <w:r>
          <w:rPr>
            <w:rFonts w:ascii="Times New Roman" w:eastAsia="Times New Roman" w:hAnsi="Times New Roman" w:cs="Times New Roman"/>
          </w:rPr>
          <w:t xml:space="preserve"> </w:t>
        </w:r>
      </w:hyperlink>
    </w:p>
    <w:p w:rsidR="00F65389" w:rsidRDefault="00601CBA">
      <w:pPr>
        <w:spacing w:before="240" w:line="240" w:lineRule="auto"/>
        <w:ind w:left="720" w:hanging="720"/>
        <w:jc w:val="both"/>
        <w:rPr>
          <w:rFonts w:ascii="Times New Roman" w:eastAsia="Times New Roman" w:hAnsi="Times New Roman" w:cs="Times New Roman"/>
        </w:rPr>
      </w:pPr>
      <w:r>
        <w:rPr>
          <w:rFonts w:ascii="Times New Roman" w:eastAsia="Times New Roman" w:hAnsi="Times New Roman" w:cs="Times New Roman"/>
        </w:rPr>
        <w:t xml:space="preserve">Sahni, D., &amp; Sharma, U. (2017). The relationship between capital structure and profitability: A case study of selected FMCG companies in India. </w:t>
      </w:r>
      <w:r>
        <w:rPr>
          <w:rFonts w:ascii="Times New Roman" w:eastAsia="Times New Roman" w:hAnsi="Times New Roman" w:cs="Times New Roman"/>
          <w:i/>
        </w:rPr>
        <w:t>IOSR Journal of Business and Management</w:t>
      </w:r>
      <w:r>
        <w:rPr>
          <w:rFonts w:ascii="Times New Roman" w:eastAsia="Times New Roman" w:hAnsi="Times New Roman" w:cs="Times New Roman"/>
        </w:rPr>
        <w:t xml:space="preserve">, </w:t>
      </w:r>
      <w:r>
        <w:rPr>
          <w:rFonts w:ascii="Times New Roman" w:eastAsia="Times New Roman" w:hAnsi="Times New Roman" w:cs="Times New Roman"/>
          <w:i/>
        </w:rPr>
        <w:t>19</w:t>
      </w:r>
      <w:r>
        <w:rPr>
          <w:rFonts w:ascii="Times New Roman" w:eastAsia="Times New Roman" w:hAnsi="Times New Roman" w:cs="Times New Roman"/>
        </w:rPr>
        <w:t>(9), 31–40.</w:t>
      </w:r>
      <w:hyperlink r:id="rId59">
        <w:r>
          <w:rPr>
            <w:rFonts w:ascii="Times New Roman" w:eastAsia="Times New Roman" w:hAnsi="Times New Roman" w:cs="Times New Roman"/>
          </w:rPr>
          <w:t xml:space="preserve"> </w:t>
        </w:r>
      </w:hyperlink>
    </w:p>
    <w:p w:rsidR="00F65389" w:rsidRDefault="00601CBA">
      <w:pPr>
        <w:spacing w:before="240" w:line="240" w:lineRule="auto"/>
        <w:ind w:left="720" w:hanging="720"/>
        <w:jc w:val="both"/>
        <w:rPr>
          <w:rFonts w:ascii="Times New Roman" w:eastAsia="Times New Roman" w:hAnsi="Times New Roman" w:cs="Times New Roman"/>
        </w:rPr>
      </w:pPr>
      <w:r>
        <w:rPr>
          <w:rFonts w:ascii="Times New Roman" w:eastAsia="Times New Roman" w:hAnsi="Times New Roman" w:cs="Times New Roman"/>
        </w:rPr>
        <w:t xml:space="preserve">Salih, R. H., Sangawi, S. S., Salih, K. H., &amp; Ahmed, A. M. (2023). The impact of current and profitability ratios on solvency ratios: An applied study in the Tehran Stock Exchange. </w:t>
      </w:r>
      <w:r>
        <w:rPr>
          <w:rFonts w:ascii="Times New Roman" w:eastAsia="Times New Roman" w:hAnsi="Times New Roman" w:cs="Times New Roman"/>
          <w:i/>
        </w:rPr>
        <w:t>International Journal of Financial Research</w:t>
      </w:r>
      <w:r>
        <w:rPr>
          <w:rFonts w:ascii="Times New Roman" w:eastAsia="Times New Roman" w:hAnsi="Times New Roman" w:cs="Times New Roman"/>
        </w:rPr>
        <w:t xml:space="preserve">, </w:t>
      </w:r>
      <w:r>
        <w:rPr>
          <w:rFonts w:ascii="Times New Roman" w:eastAsia="Times New Roman" w:hAnsi="Times New Roman" w:cs="Times New Roman"/>
          <w:i/>
        </w:rPr>
        <w:t>15</w:t>
      </w:r>
      <w:r>
        <w:rPr>
          <w:rFonts w:ascii="Times New Roman" w:eastAsia="Times New Roman" w:hAnsi="Times New Roman" w:cs="Times New Roman"/>
        </w:rPr>
        <w:t xml:space="preserve">(2), 100–115. </w:t>
      </w:r>
    </w:p>
    <w:p w:rsidR="00F65389" w:rsidRDefault="00601CBA">
      <w:pPr>
        <w:spacing w:before="240" w:line="240" w:lineRule="auto"/>
        <w:ind w:left="720" w:hanging="720"/>
        <w:jc w:val="both"/>
        <w:rPr>
          <w:rFonts w:ascii="Times New Roman" w:eastAsia="Times New Roman" w:hAnsi="Times New Roman" w:cs="Times New Roman"/>
        </w:rPr>
      </w:pPr>
      <w:r>
        <w:rPr>
          <w:rFonts w:ascii="Times New Roman" w:eastAsia="Times New Roman" w:hAnsi="Times New Roman" w:cs="Times New Roman"/>
        </w:rPr>
        <w:t xml:space="preserve">Santos, M. A., &amp; Silva, E. S. (2022). Capital structure decisions during economic crises: Testing trade-off theory in Latin American markets. </w:t>
      </w:r>
      <w:r>
        <w:rPr>
          <w:rFonts w:ascii="Times New Roman" w:eastAsia="Times New Roman" w:hAnsi="Times New Roman" w:cs="Times New Roman"/>
          <w:i/>
        </w:rPr>
        <w:t>Journal of International Financial Markets, Institutions and Money</w:t>
      </w:r>
      <w:r>
        <w:rPr>
          <w:rFonts w:ascii="Times New Roman" w:eastAsia="Times New Roman" w:hAnsi="Times New Roman" w:cs="Times New Roman"/>
        </w:rPr>
        <w:t xml:space="preserve">, </w:t>
      </w:r>
      <w:r>
        <w:rPr>
          <w:rFonts w:ascii="Times New Roman" w:eastAsia="Times New Roman" w:hAnsi="Times New Roman" w:cs="Times New Roman"/>
          <w:i/>
        </w:rPr>
        <w:t>77</w:t>
      </w:r>
      <w:r>
        <w:rPr>
          <w:rFonts w:ascii="Times New Roman" w:eastAsia="Times New Roman" w:hAnsi="Times New Roman" w:cs="Times New Roman"/>
        </w:rPr>
        <w:t>, Article 101533.</w:t>
      </w:r>
      <w:hyperlink r:id="rId60">
        <w:r>
          <w:rPr>
            <w:rFonts w:ascii="Times New Roman" w:eastAsia="Times New Roman" w:hAnsi="Times New Roman" w:cs="Times New Roman"/>
          </w:rPr>
          <w:t xml:space="preserve"> </w:t>
        </w:r>
      </w:hyperlink>
    </w:p>
    <w:p w:rsidR="00F65389" w:rsidRDefault="00601CBA">
      <w:pPr>
        <w:spacing w:before="240" w:line="240" w:lineRule="auto"/>
        <w:ind w:left="720" w:hanging="720"/>
        <w:jc w:val="both"/>
        <w:rPr>
          <w:rFonts w:ascii="Times New Roman" w:eastAsia="Times New Roman" w:hAnsi="Times New Roman" w:cs="Times New Roman"/>
        </w:rPr>
      </w:pPr>
      <w:r>
        <w:rPr>
          <w:rFonts w:ascii="Times New Roman" w:eastAsia="Times New Roman" w:hAnsi="Times New Roman" w:cs="Times New Roman"/>
        </w:rPr>
        <w:t xml:space="preserve">Sharma, P., &amp; Gupta, R. (2023). Predictive power of interest coverage ratios in corporate financial distress: Evidence from emerging markets. </w:t>
      </w:r>
      <w:r>
        <w:rPr>
          <w:rFonts w:ascii="Times New Roman" w:eastAsia="Times New Roman" w:hAnsi="Times New Roman" w:cs="Times New Roman"/>
          <w:i/>
        </w:rPr>
        <w:t>Journal of Financial Stability</w:t>
      </w:r>
      <w:r>
        <w:rPr>
          <w:rFonts w:ascii="Times New Roman" w:eastAsia="Times New Roman" w:hAnsi="Times New Roman" w:cs="Times New Roman"/>
        </w:rPr>
        <w:t xml:space="preserve">, </w:t>
      </w:r>
      <w:r>
        <w:rPr>
          <w:rFonts w:ascii="Times New Roman" w:eastAsia="Times New Roman" w:hAnsi="Times New Roman" w:cs="Times New Roman"/>
          <w:i/>
        </w:rPr>
        <w:t>64</w:t>
      </w:r>
      <w:r>
        <w:rPr>
          <w:rFonts w:ascii="Times New Roman" w:eastAsia="Times New Roman" w:hAnsi="Times New Roman" w:cs="Times New Roman"/>
        </w:rPr>
        <w:t>, Article 101208.</w:t>
      </w:r>
      <w:hyperlink r:id="rId61">
        <w:r>
          <w:rPr>
            <w:rFonts w:ascii="Times New Roman" w:eastAsia="Times New Roman" w:hAnsi="Times New Roman" w:cs="Times New Roman"/>
          </w:rPr>
          <w:t xml:space="preserve"> </w:t>
        </w:r>
      </w:hyperlink>
    </w:p>
    <w:p w:rsidR="00F65389" w:rsidRDefault="00601CBA">
      <w:pPr>
        <w:spacing w:before="240" w:line="240" w:lineRule="auto"/>
        <w:ind w:left="720" w:hanging="720"/>
        <w:jc w:val="both"/>
        <w:rPr>
          <w:rFonts w:ascii="Times New Roman" w:eastAsia="Times New Roman" w:hAnsi="Times New Roman" w:cs="Times New Roman"/>
          <w:b/>
        </w:rPr>
      </w:pPr>
      <w:r>
        <w:rPr>
          <w:rFonts w:ascii="Times New Roman" w:eastAsia="Times New Roman" w:hAnsi="Times New Roman" w:cs="Times New Roman"/>
        </w:rPr>
        <w:t xml:space="preserve">Suhendry, W., Toni, N., &amp; Simorangkir, E. N. (2021). Debt-to-equity ratio and debt-to-asset ratio on company value in consumer goods industrial companies. </w:t>
      </w:r>
      <w:r>
        <w:rPr>
          <w:rFonts w:ascii="Times New Roman" w:eastAsia="Times New Roman" w:hAnsi="Times New Roman" w:cs="Times New Roman"/>
          <w:i/>
        </w:rPr>
        <w:t>International Journal of Financial Research</w:t>
      </w:r>
      <w:r>
        <w:rPr>
          <w:rFonts w:ascii="Times New Roman" w:eastAsia="Times New Roman" w:hAnsi="Times New Roman" w:cs="Times New Roman"/>
        </w:rPr>
        <w:t xml:space="preserve">, </w:t>
      </w:r>
      <w:r>
        <w:rPr>
          <w:rFonts w:ascii="Times New Roman" w:eastAsia="Times New Roman" w:hAnsi="Times New Roman" w:cs="Times New Roman"/>
          <w:i/>
        </w:rPr>
        <w:t>12</w:t>
      </w:r>
      <w:r>
        <w:rPr>
          <w:rFonts w:ascii="Times New Roman" w:eastAsia="Times New Roman" w:hAnsi="Times New Roman" w:cs="Times New Roman"/>
        </w:rPr>
        <w:t>(3), 225–236.</w:t>
      </w:r>
      <w:hyperlink r:id="rId62">
        <w:r>
          <w:rPr>
            <w:rFonts w:ascii="Times New Roman" w:eastAsia="Times New Roman" w:hAnsi="Times New Roman" w:cs="Times New Roman"/>
          </w:rPr>
          <w:t xml:space="preserve"> </w:t>
        </w:r>
      </w:hyperlink>
    </w:p>
    <w:p w:rsidR="00F65389" w:rsidRDefault="00601CBA">
      <w:pPr>
        <w:spacing w:before="240" w:line="240" w:lineRule="auto"/>
        <w:ind w:left="720" w:hanging="720"/>
        <w:jc w:val="both"/>
        <w:rPr>
          <w:rFonts w:ascii="Times New Roman" w:eastAsia="Times New Roman" w:hAnsi="Times New Roman" w:cs="Times New Roman"/>
          <w:b/>
        </w:rPr>
      </w:pPr>
      <w:r>
        <w:rPr>
          <w:rFonts w:ascii="Times New Roman" w:eastAsia="Times New Roman" w:hAnsi="Times New Roman" w:cs="Times New Roman"/>
        </w:rPr>
        <w:t xml:space="preserve">Tarihoran, D. V., &amp; Endri, E. (2021). Analysis of factors affecting the profitability in consumer goods sector companies listed on the Indonesia Stock Exchange (2015–2020). </w:t>
      </w:r>
      <w:r>
        <w:rPr>
          <w:rFonts w:ascii="Times New Roman" w:eastAsia="Times New Roman" w:hAnsi="Times New Roman" w:cs="Times New Roman"/>
          <w:i/>
        </w:rPr>
        <w:t>Journal Research of Social Science and Economic Management</w:t>
      </w:r>
      <w:r>
        <w:rPr>
          <w:rFonts w:ascii="Times New Roman" w:eastAsia="Times New Roman" w:hAnsi="Times New Roman" w:cs="Times New Roman"/>
        </w:rPr>
        <w:t xml:space="preserve">, </w:t>
      </w:r>
      <w:r>
        <w:rPr>
          <w:rFonts w:ascii="Times New Roman" w:eastAsia="Times New Roman" w:hAnsi="Times New Roman" w:cs="Times New Roman"/>
          <w:i/>
        </w:rPr>
        <w:t>10</w:t>
      </w:r>
      <w:r>
        <w:rPr>
          <w:rFonts w:ascii="Times New Roman" w:eastAsia="Times New Roman" w:hAnsi="Times New Roman" w:cs="Times New Roman"/>
        </w:rPr>
        <w:t>(2), 150–165.</w:t>
      </w:r>
      <w:hyperlink r:id="rId63">
        <w:r>
          <w:rPr>
            <w:rFonts w:ascii="Times New Roman" w:eastAsia="Times New Roman" w:hAnsi="Times New Roman" w:cs="Times New Roman"/>
          </w:rPr>
          <w:t xml:space="preserve"> </w:t>
        </w:r>
      </w:hyperlink>
    </w:p>
    <w:p w:rsidR="00F65389" w:rsidRDefault="00601CBA">
      <w:pPr>
        <w:spacing w:before="240" w:line="240" w:lineRule="auto"/>
        <w:ind w:left="720" w:hanging="720"/>
        <w:jc w:val="both"/>
        <w:rPr>
          <w:rFonts w:ascii="Times New Roman" w:eastAsia="Times New Roman" w:hAnsi="Times New Roman" w:cs="Times New Roman"/>
        </w:rPr>
      </w:pPr>
      <w:r>
        <w:rPr>
          <w:rFonts w:ascii="Times New Roman" w:eastAsia="Times New Roman" w:hAnsi="Times New Roman" w:cs="Times New Roman"/>
        </w:rPr>
        <w:t xml:space="preserve">Thompson, R. B., &amp; Wilson, M. (2019). Modern perspectives on trade-off theory: A systematic review. </w:t>
      </w:r>
      <w:r>
        <w:rPr>
          <w:rFonts w:ascii="Times New Roman" w:eastAsia="Times New Roman" w:hAnsi="Times New Roman" w:cs="Times New Roman"/>
          <w:i/>
        </w:rPr>
        <w:t>Review of Financial Economics</w:t>
      </w:r>
      <w:r>
        <w:rPr>
          <w:rFonts w:ascii="Times New Roman" w:eastAsia="Times New Roman" w:hAnsi="Times New Roman" w:cs="Times New Roman"/>
        </w:rPr>
        <w:t xml:space="preserve">, </w:t>
      </w:r>
      <w:r>
        <w:rPr>
          <w:rFonts w:ascii="Times New Roman" w:eastAsia="Times New Roman" w:hAnsi="Times New Roman" w:cs="Times New Roman"/>
          <w:i/>
        </w:rPr>
        <w:t>37</w:t>
      </w:r>
      <w:r>
        <w:rPr>
          <w:rFonts w:ascii="Times New Roman" w:eastAsia="Times New Roman" w:hAnsi="Times New Roman" w:cs="Times New Roman"/>
        </w:rPr>
        <w:t>(2), 234–265.</w:t>
      </w:r>
      <w:hyperlink r:id="rId64">
        <w:r>
          <w:rPr>
            <w:rFonts w:ascii="Times New Roman" w:eastAsia="Times New Roman" w:hAnsi="Times New Roman" w:cs="Times New Roman"/>
          </w:rPr>
          <w:t xml:space="preserve"> </w:t>
        </w:r>
      </w:hyperlink>
    </w:p>
    <w:p w:rsidR="00F65389" w:rsidRDefault="00601CBA">
      <w:pPr>
        <w:spacing w:before="240" w:line="240" w:lineRule="auto"/>
        <w:ind w:left="720" w:hanging="720"/>
        <w:jc w:val="both"/>
        <w:rPr>
          <w:rFonts w:ascii="Times New Roman" w:eastAsia="Times New Roman" w:hAnsi="Times New Roman" w:cs="Times New Roman"/>
          <w:b/>
        </w:rPr>
      </w:pPr>
      <w:r>
        <w:rPr>
          <w:rFonts w:ascii="Times New Roman" w:eastAsia="Times New Roman" w:hAnsi="Times New Roman" w:cs="Times New Roman"/>
        </w:rPr>
        <w:t xml:space="preserve">Toni, N., &amp; Simorangkir, E. N. (2021). Effect of debt-to-equity ratio on company value in consumer goods industrial companies. </w:t>
      </w:r>
      <w:r>
        <w:rPr>
          <w:rFonts w:ascii="Times New Roman" w:eastAsia="Times New Roman" w:hAnsi="Times New Roman" w:cs="Times New Roman"/>
          <w:i/>
        </w:rPr>
        <w:t>Journal of Economics and Management Research</w:t>
      </w:r>
      <w:r>
        <w:rPr>
          <w:rFonts w:ascii="Times New Roman" w:eastAsia="Times New Roman" w:hAnsi="Times New Roman" w:cs="Times New Roman"/>
        </w:rPr>
        <w:t xml:space="preserve">, </w:t>
      </w:r>
      <w:r>
        <w:rPr>
          <w:rFonts w:ascii="Times New Roman" w:eastAsia="Times New Roman" w:hAnsi="Times New Roman" w:cs="Times New Roman"/>
          <w:i/>
        </w:rPr>
        <w:t>18</w:t>
      </w:r>
      <w:r>
        <w:rPr>
          <w:rFonts w:ascii="Times New Roman" w:eastAsia="Times New Roman" w:hAnsi="Times New Roman" w:cs="Times New Roman"/>
        </w:rPr>
        <w:t>(4), 91–110.</w:t>
      </w:r>
      <w:hyperlink r:id="rId65">
        <w:r>
          <w:rPr>
            <w:rFonts w:ascii="Times New Roman" w:eastAsia="Times New Roman" w:hAnsi="Times New Roman" w:cs="Times New Roman"/>
          </w:rPr>
          <w:t xml:space="preserve"> </w:t>
        </w:r>
      </w:hyperlink>
    </w:p>
    <w:p w:rsidR="00F65389" w:rsidRDefault="00601CBA">
      <w:pPr>
        <w:spacing w:before="240" w:line="240" w:lineRule="auto"/>
        <w:ind w:left="720" w:hanging="720"/>
        <w:jc w:val="both"/>
        <w:rPr>
          <w:rFonts w:ascii="Times New Roman" w:eastAsia="Times New Roman" w:hAnsi="Times New Roman" w:cs="Times New Roman"/>
        </w:rPr>
      </w:pPr>
      <w:r>
        <w:rPr>
          <w:rFonts w:ascii="Times New Roman" w:eastAsia="Times New Roman" w:hAnsi="Times New Roman" w:cs="Times New Roman"/>
        </w:rPr>
        <w:t xml:space="preserve">Umenzekwe, P. C., Okonewa, O., &amp; Uche, C. G. (2022). Effect of firm solvency on financial performance of ICT firms listed on the Nigerian Exchange Group. </w:t>
      </w:r>
      <w:r>
        <w:rPr>
          <w:rFonts w:ascii="Times New Roman" w:eastAsia="Times New Roman" w:hAnsi="Times New Roman" w:cs="Times New Roman"/>
          <w:i/>
        </w:rPr>
        <w:t>Journal of Global Accounting</w:t>
      </w:r>
      <w:r>
        <w:rPr>
          <w:rFonts w:ascii="Times New Roman" w:eastAsia="Times New Roman" w:hAnsi="Times New Roman" w:cs="Times New Roman"/>
        </w:rPr>
        <w:t xml:space="preserve">, </w:t>
      </w:r>
      <w:r>
        <w:rPr>
          <w:rFonts w:ascii="Times New Roman" w:eastAsia="Times New Roman" w:hAnsi="Times New Roman" w:cs="Times New Roman"/>
          <w:i/>
        </w:rPr>
        <w:t>8</w:t>
      </w:r>
      <w:r>
        <w:rPr>
          <w:rFonts w:ascii="Times New Roman" w:eastAsia="Times New Roman" w:hAnsi="Times New Roman" w:cs="Times New Roman"/>
        </w:rPr>
        <w:t>(3), 24–36.</w:t>
      </w:r>
      <w:hyperlink r:id="rId66">
        <w:r>
          <w:rPr>
            <w:rFonts w:ascii="Times New Roman" w:eastAsia="Times New Roman" w:hAnsi="Times New Roman" w:cs="Times New Roman"/>
          </w:rPr>
          <w:t xml:space="preserve"> </w:t>
        </w:r>
      </w:hyperlink>
    </w:p>
    <w:p w:rsidR="00F65389" w:rsidRDefault="00601CBA">
      <w:pPr>
        <w:spacing w:before="240" w:line="240" w:lineRule="auto"/>
        <w:ind w:left="720" w:hanging="720"/>
        <w:jc w:val="both"/>
        <w:rPr>
          <w:rFonts w:ascii="Times New Roman" w:eastAsia="Times New Roman" w:hAnsi="Times New Roman" w:cs="Times New Roman"/>
        </w:rPr>
      </w:pPr>
      <w:r>
        <w:rPr>
          <w:rFonts w:ascii="Times New Roman" w:eastAsia="Times New Roman" w:hAnsi="Times New Roman" w:cs="Times New Roman"/>
        </w:rPr>
        <w:t xml:space="preserve">Umenzekwe, P. C., Okonewa, O., &amp; Uche, C. G. (2022). Effect of firm solvency on financial performance of ICT firms listed on the Nigerian Exchange Group. </w:t>
      </w:r>
      <w:r>
        <w:rPr>
          <w:rFonts w:ascii="Times New Roman" w:eastAsia="Times New Roman" w:hAnsi="Times New Roman" w:cs="Times New Roman"/>
          <w:i/>
        </w:rPr>
        <w:t>Journal of Global Accounting</w:t>
      </w:r>
      <w:r>
        <w:rPr>
          <w:rFonts w:ascii="Times New Roman" w:eastAsia="Times New Roman" w:hAnsi="Times New Roman" w:cs="Times New Roman"/>
        </w:rPr>
        <w:t xml:space="preserve">, </w:t>
      </w:r>
      <w:r>
        <w:rPr>
          <w:rFonts w:ascii="Times New Roman" w:eastAsia="Times New Roman" w:hAnsi="Times New Roman" w:cs="Times New Roman"/>
          <w:i/>
        </w:rPr>
        <w:t>8</w:t>
      </w:r>
      <w:r>
        <w:rPr>
          <w:rFonts w:ascii="Times New Roman" w:eastAsia="Times New Roman" w:hAnsi="Times New Roman" w:cs="Times New Roman"/>
        </w:rPr>
        <w:t>(3), 24–36.</w:t>
      </w:r>
      <w:hyperlink r:id="rId67">
        <w:r>
          <w:rPr>
            <w:rFonts w:ascii="Times New Roman" w:eastAsia="Times New Roman" w:hAnsi="Times New Roman" w:cs="Times New Roman"/>
          </w:rPr>
          <w:t xml:space="preserve"> </w:t>
        </w:r>
      </w:hyperlink>
    </w:p>
    <w:p w:rsidR="00F65389" w:rsidRDefault="00601CBA">
      <w:pPr>
        <w:spacing w:line="240" w:lineRule="auto"/>
        <w:ind w:left="720" w:hanging="720"/>
        <w:jc w:val="both"/>
        <w:rPr>
          <w:rFonts w:ascii="Times New Roman" w:eastAsia="Times New Roman" w:hAnsi="Times New Roman" w:cs="Times New Roman"/>
        </w:rPr>
      </w:pPr>
      <w:r>
        <w:rPr>
          <w:rFonts w:ascii="Times New Roman" w:eastAsia="Times New Roman" w:hAnsi="Times New Roman" w:cs="Times New Roman"/>
        </w:rPr>
        <w:t xml:space="preserve">Umenzekwe, P. C., Okonewa, O., &amp; Uche, C. G. (2022). Effect of firm solvency on financial performance of ICT firms listed on the Nigerian Exchange Group. </w:t>
      </w:r>
      <w:r>
        <w:rPr>
          <w:rFonts w:ascii="Times New Roman" w:eastAsia="Times New Roman" w:hAnsi="Times New Roman" w:cs="Times New Roman"/>
          <w:i/>
        </w:rPr>
        <w:t>Journal of Global Accounting</w:t>
      </w:r>
      <w:r>
        <w:rPr>
          <w:rFonts w:ascii="Times New Roman" w:eastAsia="Times New Roman" w:hAnsi="Times New Roman" w:cs="Times New Roman"/>
        </w:rPr>
        <w:t xml:space="preserve">, </w:t>
      </w:r>
      <w:r>
        <w:rPr>
          <w:rFonts w:ascii="Times New Roman" w:eastAsia="Times New Roman" w:hAnsi="Times New Roman" w:cs="Times New Roman"/>
          <w:i/>
        </w:rPr>
        <w:t>8</w:t>
      </w:r>
      <w:r>
        <w:rPr>
          <w:rFonts w:ascii="Times New Roman" w:eastAsia="Times New Roman" w:hAnsi="Times New Roman" w:cs="Times New Roman"/>
        </w:rPr>
        <w:t>(3), 24–36.</w:t>
      </w:r>
      <w:hyperlink r:id="rId68">
        <w:r>
          <w:rPr>
            <w:rFonts w:ascii="Times New Roman" w:eastAsia="Times New Roman" w:hAnsi="Times New Roman" w:cs="Times New Roman"/>
          </w:rPr>
          <w:t xml:space="preserve"> </w:t>
        </w:r>
      </w:hyperlink>
      <w:r>
        <w:rPr>
          <w:rFonts w:ascii="Times New Roman" w:eastAsia="Times New Roman" w:hAnsi="Times New Roman" w:cs="Times New Roman"/>
        </w:rPr>
        <w:t xml:space="preserve"> </w:t>
      </w:r>
    </w:p>
    <w:p w:rsidR="00F65389" w:rsidRDefault="00601CBA">
      <w:pPr>
        <w:spacing w:before="240" w:line="240" w:lineRule="auto"/>
        <w:ind w:left="720" w:hanging="720"/>
        <w:jc w:val="both"/>
        <w:rPr>
          <w:rFonts w:ascii="Times New Roman" w:eastAsia="Times New Roman" w:hAnsi="Times New Roman" w:cs="Times New Roman"/>
        </w:rPr>
      </w:pPr>
      <w:r>
        <w:rPr>
          <w:rFonts w:ascii="Times New Roman" w:eastAsia="Times New Roman" w:hAnsi="Times New Roman" w:cs="Times New Roman"/>
        </w:rPr>
        <w:t xml:space="preserve">Wang, L., &amp; Chen, X. (2023). Dynamic trade-off theory in emerging markets: Evidence from Asian economies. </w:t>
      </w:r>
      <w:r>
        <w:rPr>
          <w:rFonts w:ascii="Times New Roman" w:eastAsia="Times New Roman" w:hAnsi="Times New Roman" w:cs="Times New Roman"/>
          <w:i/>
        </w:rPr>
        <w:t>Journal of Corporate Finance</w:t>
      </w:r>
      <w:r>
        <w:rPr>
          <w:rFonts w:ascii="Times New Roman" w:eastAsia="Times New Roman" w:hAnsi="Times New Roman" w:cs="Times New Roman"/>
        </w:rPr>
        <w:t xml:space="preserve">, </w:t>
      </w:r>
      <w:r>
        <w:rPr>
          <w:rFonts w:ascii="Times New Roman" w:eastAsia="Times New Roman" w:hAnsi="Times New Roman" w:cs="Times New Roman"/>
          <w:i/>
        </w:rPr>
        <w:t>78</w:t>
      </w:r>
      <w:r>
        <w:rPr>
          <w:rFonts w:ascii="Times New Roman" w:eastAsia="Times New Roman" w:hAnsi="Times New Roman" w:cs="Times New Roman"/>
        </w:rPr>
        <w:t>, Article 102341.</w:t>
      </w:r>
      <w:hyperlink r:id="rId69">
        <w:r>
          <w:rPr>
            <w:rFonts w:ascii="Times New Roman" w:eastAsia="Times New Roman" w:hAnsi="Times New Roman" w:cs="Times New Roman"/>
          </w:rPr>
          <w:t xml:space="preserve"> </w:t>
        </w:r>
      </w:hyperlink>
    </w:p>
    <w:p w:rsidR="00F65389" w:rsidRDefault="00601CBA">
      <w:pPr>
        <w:spacing w:before="240" w:line="240" w:lineRule="auto"/>
        <w:ind w:left="720" w:hanging="720"/>
        <w:jc w:val="both"/>
        <w:rPr>
          <w:rFonts w:ascii="Times New Roman" w:eastAsia="Times New Roman" w:hAnsi="Times New Roman" w:cs="Times New Roman"/>
          <w:b/>
        </w:rPr>
      </w:pPr>
      <w:r>
        <w:rPr>
          <w:rFonts w:ascii="Times New Roman" w:eastAsia="Times New Roman" w:hAnsi="Times New Roman" w:cs="Times New Roman"/>
        </w:rPr>
        <w:t xml:space="preserve">Wong, K. P., &amp; Liu, Y. (2021). Interest coverage ratios and capital structure decisions: New evidence from developing economies. </w:t>
      </w:r>
      <w:r>
        <w:rPr>
          <w:rFonts w:ascii="Times New Roman" w:eastAsia="Times New Roman" w:hAnsi="Times New Roman" w:cs="Times New Roman"/>
          <w:i/>
        </w:rPr>
        <w:t>Journal of Corporate Finance</w:t>
      </w:r>
      <w:r>
        <w:rPr>
          <w:rFonts w:ascii="Times New Roman" w:eastAsia="Times New Roman" w:hAnsi="Times New Roman" w:cs="Times New Roman"/>
        </w:rPr>
        <w:t xml:space="preserve">, </w:t>
      </w:r>
      <w:r>
        <w:rPr>
          <w:rFonts w:ascii="Times New Roman" w:eastAsia="Times New Roman" w:hAnsi="Times New Roman" w:cs="Times New Roman"/>
          <w:i/>
        </w:rPr>
        <w:t>66</w:t>
      </w:r>
      <w:r>
        <w:rPr>
          <w:rFonts w:ascii="Times New Roman" w:eastAsia="Times New Roman" w:hAnsi="Times New Roman" w:cs="Times New Roman"/>
        </w:rPr>
        <w:t>, Article 101856.</w:t>
      </w:r>
      <w:hyperlink r:id="rId70">
        <w:r>
          <w:rPr>
            <w:rFonts w:ascii="Times New Roman" w:eastAsia="Times New Roman" w:hAnsi="Times New Roman" w:cs="Times New Roman"/>
          </w:rPr>
          <w:t xml:space="preserve"> </w:t>
        </w:r>
      </w:hyperlink>
    </w:p>
    <w:p w:rsidR="00F65389" w:rsidRDefault="00601CBA">
      <w:pPr>
        <w:spacing w:before="240" w:line="240" w:lineRule="auto"/>
        <w:ind w:left="720" w:hanging="720"/>
        <w:jc w:val="both"/>
        <w:rPr>
          <w:rFonts w:ascii="Times New Roman" w:eastAsia="Times New Roman" w:hAnsi="Times New Roman" w:cs="Times New Roman"/>
        </w:rPr>
      </w:pPr>
      <w:r>
        <w:rPr>
          <w:rFonts w:ascii="Times New Roman" w:eastAsia="Times New Roman" w:hAnsi="Times New Roman" w:cs="Times New Roman"/>
        </w:rPr>
        <w:t xml:space="preserve">Yameen, M., &amp; Pervez, A. (2016). Impact of liquidity, solvency and efficiency on profitability of Steel Authority of India Limited. </w:t>
      </w:r>
      <w:r>
        <w:rPr>
          <w:rFonts w:ascii="Times New Roman" w:eastAsia="Times New Roman" w:hAnsi="Times New Roman" w:cs="Times New Roman"/>
          <w:i/>
        </w:rPr>
        <w:t>International Journal of Accounting Research</w:t>
      </w:r>
      <w:r>
        <w:rPr>
          <w:rFonts w:ascii="Times New Roman" w:eastAsia="Times New Roman" w:hAnsi="Times New Roman" w:cs="Times New Roman"/>
        </w:rPr>
        <w:t xml:space="preserve">, </w:t>
      </w:r>
      <w:r>
        <w:rPr>
          <w:rFonts w:ascii="Times New Roman" w:eastAsia="Times New Roman" w:hAnsi="Times New Roman" w:cs="Times New Roman"/>
          <w:i/>
        </w:rPr>
        <w:t>2</w:t>
      </w:r>
      <w:r>
        <w:rPr>
          <w:rFonts w:ascii="Times New Roman" w:eastAsia="Times New Roman" w:hAnsi="Times New Roman" w:cs="Times New Roman"/>
        </w:rPr>
        <w:t>(12), 32–41.</w:t>
      </w:r>
    </w:p>
    <w:p w:rsidR="00F65389" w:rsidRDefault="00601CBA">
      <w:pPr>
        <w:spacing w:line="240" w:lineRule="auto"/>
        <w:ind w:left="720" w:hanging="720"/>
        <w:jc w:val="both"/>
        <w:rPr>
          <w:rFonts w:ascii="Times New Roman" w:eastAsia="Times New Roman" w:hAnsi="Times New Roman" w:cs="Times New Roman"/>
        </w:rPr>
      </w:pPr>
      <w:r>
        <w:rPr>
          <w:rFonts w:ascii="Times New Roman" w:eastAsia="Times New Roman" w:hAnsi="Times New Roman" w:cs="Times New Roman"/>
        </w:rPr>
        <w:t xml:space="preserve">Yameen, M., &amp; Pervez, A. (2016). Impact of liquidity, solvency and efficiency on profitability of Steel Authority of India Limited. </w:t>
      </w:r>
      <w:r>
        <w:rPr>
          <w:rFonts w:ascii="Times New Roman" w:eastAsia="Times New Roman" w:hAnsi="Times New Roman" w:cs="Times New Roman"/>
          <w:i/>
        </w:rPr>
        <w:t>International Journal of Accounting Research</w:t>
      </w:r>
      <w:r>
        <w:rPr>
          <w:rFonts w:ascii="Times New Roman" w:eastAsia="Times New Roman" w:hAnsi="Times New Roman" w:cs="Times New Roman"/>
        </w:rPr>
        <w:t xml:space="preserve">, </w:t>
      </w:r>
      <w:r>
        <w:rPr>
          <w:rFonts w:ascii="Times New Roman" w:eastAsia="Times New Roman" w:hAnsi="Times New Roman" w:cs="Times New Roman"/>
          <w:i/>
        </w:rPr>
        <w:t>2</w:t>
      </w:r>
      <w:r>
        <w:rPr>
          <w:rFonts w:ascii="Times New Roman" w:eastAsia="Times New Roman" w:hAnsi="Times New Roman" w:cs="Times New Roman"/>
        </w:rPr>
        <w:t xml:space="preserve">(12), 32–41. </w:t>
      </w:r>
    </w:p>
    <w:p w:rsidR="00F65389" w:rsidRDefault="00601CBA">
      <w:pPr>
        <w:spacing w:before="240" w:line="240" w:lineRule="auto"/>
        <w:ind w:left="720" w:hanging="720"/>
        <w:jc w:val="both"/>
        <w:rPr>
          <w:rFonts w:ascii="Times New Roman" w:eastAsia="Times New Roman" w:hAnsi="Times New Roman" w:cs="Times New Roman"/>
        </w:rPr>
      </w:pPr>
      <w:r>
        <w:rPr>
          <w:rFonts w:ascii="Times New Roman" w:eastAsia="Times New Roman" w:hAnsi="Times New Roman" w:cs="Times New Roman"/>
        </w:rPr>
        <w:t xml:space="preserve">Yenni, A., Arifin, E., Gunawan, L., Pakpahan, H., &amp; Siregar. (2022). The impact of solvency and working capital on profitability. </w:t>
      </w:r>
      <w:r>
        <w:rPr>
          <w:rFonts w:ascii="Times New Roman" w:eastAsia="Times New Roman" w:hAnsi="Times New Roman" w:cs="Times New Roman"/>
          <w:i/>
        </w:rPr>
        <w:t>Journal of Industrial Engineering &amp; Management Research</w:t>
      </w:r>
      <w:r>
        <w:rPr>
          <w:rFonts w:ascii="Times New Roman" w:eastAsia="Times New Roman" w:hAnsi="Times New Roman" w:cs="Times New Roman"/>
        </w:rPr>
        <w:t xml:space="preserve">, </w:t>
      </w:r>
      <w:r>
        <w:rPr>
          <w:rFonts w:ascii="Times New Roman" w:eastAsia="Times New Roman" w:hAnsi="Times New Roman" w:cs="Times New Roman"/>
          <w:i/>
        </w:rPr>
        <w:t>2</w:t>
      </w:r>
      <w:r>
        <w:rPr>
          <w:rFonts w:ascii="Times New Roman" w:eastAsia="Times New Roman" w:hAnsi="Times New Roman" w:cs="Times New Roman"/>
        </w:rPr>
        <w:t>(4), 15–38.</w:t>
      </w:r>
      <w:hyperlink r:id="rId71">
        <w:r>
          <w:rPr>
            <w:rFonts w:ascii="Times New Roman" w:eastAsia="Times New Roman" w:hAnsi="Times New Roman" w:cs="Times New Roman"/>
          </w:rPr>
          <w:t xml:space="preserve"> </w:t>
        </w:r>
      </w:hyperlink>
    </w:p>
    <w:p w:rsidR="00F65389" w:rsidRDefault="00601CBA">
      <w:pPr>
        <w:spacing w:line="240" w:lineRule="auto"/>
        <w:ind w:left="720" w:hanging="720"/>
        <w:jc w:val="both"/>
        <w:rPr>
          <w:rFonts w:ascii="Times New Roman" w:eastAsia="Times New Roman" w:hAnsi="Times New Roman" w:cs="Times New Roman"/>
        </w:rPr>
      </w:pPr>
      <w:r>
        <w:rPr>
          <w:rFonts w:ascii="Times New Roman" w:eastAsia="Times New Roman" w:hAnsi="Times New Roman" w:cs="Times New Roman"/>
        </w:rPr>
        <w:t xml:space="preserve">Yenni, A., Arifin, E., Gunawan, L., Pakpahan, H., &amp; Siregar. (2022). The impact of solvency and working capital on profitability. </w:t>
      </w:r>
      <w:r>
        <w:rPr>
          <w:rFonts w:ascii="Times New Roman" w:eastAsia="Times New Roman" w:hAnsi="Times New Roman" w:cs="Times New Roman"/>
          <w:i/>
        </w:rPr>
        <w:t>Journal of Industrial Engineering &amp; Management Research</w:t>
      </w:r>
      <w:r>
        <w:rPr>
          <w:rFonts w:ascii="Times New Roman" w:eastAsia="Times New Roman" w:hAnsi="Times New Roman" w:cs="Times New Roman"/>
        </w:rPr>
        <w:t xml:space="preserve">, </w:t>
      </w:r>
      <w:r>
        <w:rPr>
          <w:rFonts w:ascii="Times New Roman" w:eastAsia="Times New Roman" w:hAnsi="Times New Roman" w:cs="Times New Roman"/>
          <w:i/>
        </w:rPr>
        <w:t>2</w:t>
      </w:r>
      <w:r>
        <w:rPr>
          <w:rFonts w:ascii="Times New Roman" w:eastAsia="Times New Roman" w:hAnsi="Times New Roman" w:cs="Times New Roman"/>
        </w:rPr>
        <w:t>(4), 15–38.</w:t>
      </w:r>
      <w:hyperlink r:id="rId72">
        <w:r>
          <w:rPr>
            <w:rFonts w:ascii="Times New Roman" w:eastAsia="Times New Roman" w:hAnsi="Times New Roman" w:cs="Times New Roman"/>
          </w:rPr>
          <w:t xml:space="preserve"> </w:t>
        </w:r>
      </w:hyperlink>
      <w:r>
        <w:rPr>
          <w:rFonts w:ascii="Times New Roman" w:eastAsia="Times New Roman" w:hAnsi="Times New Roman" w:cs="Times New Roman"/>
        </w:rPr>
        <w:t xml:space="preserve"> </w:t>
      </w:r>
    </w:p>
    <w:p w:rsidR="00F65389" w:rsidRDefault="00601CBA">
      <w:pPr>
        <w:spacing w:before="240" w:line="240" w:lineRule="auto"/>
        <w:ind w:left="720" w:hanging="720"/>
        <w:jc w:val="both"/>
        <w:rPr>
          <w:rFonts w:ascii="Times New Roman" w:eastAsia="Times New Roman" w:hAnsi="Times New Roman" w:cs="Times New Roman"/>
          <w:b/>
        </w:rPr>
      </w:pPr>
      <w:r>
        <w:rPr>
          <w:rFonts w:ascii="Times New Roman" w:eastAsia="Times New Roman" w:hAnsi="Times New Roman" w:cs="Times New Roman"/>
        </w:rPr>
        <w:t xml:space="preserve">Zhang, Y., &amp; Liu, H. (2023). Corporate performance measurement in the digital age: A machine learning approach to ROA prediction. </w:t>
      </w:r>
      <w:r>
        <w:rPr>
          <w:rFonts w:ascii="Times New Roman" w:eastAsia="Times New Roman" w:hAnsi="Times New Roman" w:cs="Times New Roman"/>
          <w:i/>
        </w:rPr>
        <w:t>Journal of Business Research</w:t>
      </w:r>
      <w:r>
        <w:rPr>
          <w:rFonts w:ascii="Times New Roman" w:eastAsia="Times New Roman" w:hAnsi="Times New Roman" w:cs="Times New Roman"/>
        </w:rPr>
        <w:t xml:space="preserve">, </w:t>
      </w:r>
      <w:r>
        <w:rPr>
          <w:rFonts w:ascii="Times New Roman" w:eastAsia="Times New Roman" w:hAnsi="Times New Roman" w:cs="Times New Roman"/>
          <w:i/>
        </w:rPr>
        <w:t>158</w:t>
      </w:r>
      <w:r>
        <w:rPr>
          <w:rFonts w:ascii="Times New Roman" w:eastAsia="Times New Roman" w:hAnsi="Times New Roman" w:cs="Times New Roman"/>
        </w:rPr>
        <w:t>, Article 113621.</w:t>
      </w:r>
      <w:hyperlink r:id="rId73">
        <w:r>
          <w:rPr>
            <w:rFonts w:ascii="Times New Roman" w:eastAsia="Times New Roman" w:hAnsi="Times New Roman" w:cs="Times New Roman"/>
          </w:rPr>
          <w:t xml:space="preserve"> </w:t>
        </w:r>
      </w:hyperlink>
    </w:p>
    <w:p w:rsidR="00F65389" w:rsidRDefault="00F65389">
      <w:pPr>
        <w:ind w:hanging="720"/>
        <w:rPr>
          <w:rFonts w:ascii="Times New Roman" w:eastAsia="Times New Roman" w:hAnsi="Times New Roman" w:cs="Times New Roman"/>
        </w:rPr>
      </w:pPr>
    </w:p>
    <w:p w:rsidR="00F65389" w:rsidRDefault="00F65389">
      <w:pPr>
        <w:rPr>
          <w:rFonts w:ascii="Times New Roman" w:eastAsia="Times New Roman" w:hAnsi="Times New Roman" w:cs="Times New Roman"/>
        </w:rPr>
      </w:pPr>
    </w:p>
    <w:p w:rsidR="00F65389" w:rsidRDefault="00F65389">
      <w:pPr>
        <w:rPr>
          <w:rFonts w:ascii="Times New Roman" w:eastAsia="Times New Roman" w:hAnsi="Times New Roman" w:cs="Times New Roman"/>
        </w:rPr>
      </w:pPr>
    </w:p>
    <w:p w:rsidR="00F65389" w:rsidRDefault="00F65389">
      <w:pPr>
        <w:rPr>
          <w:rFonts w:ascii="Times New Roman" w:eastAsia="Times New Roman" w:hAnsi="Times New Roman" w:cs="Times New Roman"/>
        </w:rPr>
      </w:pPr>
    </w:p>
    <w:p w:rsidR="00F65389" w:rsidRDefault="00F65389">
      <w:pPr>
        <w:rPr>
          <w:rFonts w:ascii="Times New Roman" w:eastAsia="Times New Roman" w:hAnsi="Times New Roman" w:cs="Times New Roman"/>
        </w:rPr>
      </w:pPr>
    </w:p>
    <w:p w:rsidR="00F65389" w:rsidRDefault="00F65389">
      <w:pPr>
        <w:rPr>
          <w:rFonts w:ascii="Times New Roman" w:eastAsia="Times New Roman" w:hAnsi="Times New Roman" w:cs="Times New Roman"/>
        </w:rPr>
      </w:pPr>
    </w:p>
    <w:sectPr w:rsidR="00F65389">
      <w:pgSz w:w="12240" w:h="15840"/>
      <w:pgMar w:top="1440" w:right="1440" w:bottom="1440" w:left="1440" w:header="708" w:footer="7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7108" w:rsidRDefault="00017108">
      <w:pPr>
        <w:spacing w:after="0" w:line="240" w:lineRule="auto"/>
      </w:pPr>
      <w:r>
        <w:separator/>
      </w:r>
    </w:p>
  </w:endnote>
  <w:endnote w:type="continuationSeparator" w:id="0">
    <w:p w:rsidR="00017108" w:rsidRDefault="000171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Gungsuh">
    <w:charset w:val="81"/>
    <w:family w:val="roman"/>
    <w:pitch w:val="variable"/>
    <w:sig w:usb0="B00002AF" w:usb1="69D77CFB" w:usb2="00000030" w:usb3="00000000" w:csb0="0008009F" w:csb1="00000000"/>
  </w:font>
  <w:font w:name="Cambria Math">
    <w:panose1 w:val="02040503050406030204"/>
    <w:charset w:val="00"/>
    <w:family w:val="roman"/>
    <w:pitch w:val="variable"/>
    <w:sig w:usb0="E00002FF" w:usb1="420024FF" w:usb2="00000000" w:usb3="00000000" w:csb0="0000019F" w:csb1="00000000"/>
  </w:font>
  <w:font w:name="Cardo">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1CBA" w:rsidRDefault="00601CBA">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7108" w:rsidRDefault="00017108">
      <w:pPr>
        <w:spacing w:after="0" w:line="240" w:lineRule="auto"/>
      </w:pPr>
      <w:r>
        <w:separator/>
      </w:r>
    </w:p>
  </w:footnote>
  <w:footnote w:type="continuationSeparator" w:id="0">
    <w:p w:rsidR="00017108" w:rsidRDefault="0001710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1CBA" w:rsidRDefault="00601CBA">
    <w:pPr>
      <w:pBdr>
        <w:top w:val="nil"/>
        <w:left w:val="nil"/>
        <w:bottom w:val="nil"/>
        <w:right w:val="nil"/>
        <w:between w:val="nil"/>
      </w:pBdr>
      <w:tabs>
        <w:tab w:val="center" w:pos="4680"/>
        <w:tab w:val="right" w:pos="9360"/>
      </w:tabs>
      <w:spacing w:after="0" w:line="240" w:lineRule="auto"/>
      <w:jc w:val="right"/>
      <w:rPr>
        <w:rFonts w:ascii="Cambria" w:eastAsia="Cambria" w:hAnsi="Cambria" w:cs="Cambria"/>
        <w:color w:val="000000"/>
      </w:rPr>
    </w:pPr>
    <w:r>
      <w:rPr>
        <w:rFonts w:ascii="Cambria" w:eastAsia="Cambria" w:hAnsi="Cambria" w:cs="Cambria"/>
        <w:color w:val="000000"/>
      </w:rPr>
      <w:fldChar w:fldCharType="begin"/>
    </w:r>
    <w:r>
      <w:rPr>
        <w:rFonts w:ascii="Cambria" w:eastAsia="Cambria" w:hAnsi="Cambria" w:cs="Cambria"/>
        <w:color w:val="000000"/>
      </w:rPr>
      <w:instrText>PAGE</w:instrText>
    </w:r>
    <w:r>
      <w:rPr>
        <w:rFonts w:ascii="Cambria" w:eastAsia="Cambria" w:hAnsi="Cambria" w:cs="Cambria"/>
        <w:color w:val="000000"/>
      </w:rPr>
      <w:fldChar w:fldCharType="separate"/>
    </w:r>
    <w:r w:rsidR="00BF325B">
      <w:rPr>
        <w:rFonts w:ascii="Cambria" w:eastAsia="Cambria" w:hAnsi="Cambria" w:cs="Cambria"/>
        <w:noProof/>
        <w:color w:val="000000"/>
      </w:rPr>
      <w:t>1</w:t>
    </w:r>
    <w:r>
      <w:rPr>
        <w:rFonts w:ascii="Cambria" w:eastAsia="Cambria" w:hAnsi="Cambria" w:cs="Cambria"/>
        <w:color w:val="000000"/>
      </w:rPr>
      <w:fldChar w:fldCharType="end"/>
    </w:r>
  </w:p>
  <w:p w:rsidR="00601CBA" w:rsidRDefault="00601CBA">
    <w:pPr>
      <w:pBdr>
        <w:top w:val="nil"/>
        <w:left w:val="nil"/>
        <w:bottom w:val="nil"/>
        <w:right w:val="nil"/>
        <w:between w:val="nil"/>
      </w:pBdr>
      <w:tabs>
        <w:tab w:val="center" w:pos="4680"/>
        <w:tab w:val="right" w:pos="9360"/>
      </w:tabs>
      <w:spacing w:after="0" w:line="240" w:lineRule="auto"/>
      <w:rPr>
        <w:rFonts w:ascii="Cambria" w:eastAsia="Cambria" w:hAnsi="Cambria" w:cs="Cambria"/>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EB479F"/>
    <w:multiLevelType w:val="multilevel"/>
    <w:tmpl w:val="BD2A860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nsid w:val="1718338F"/>
    <w:multiLevelType w:val="multilevel"/>
    <w:tmpl w:val="435684F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nsid w:val="2C160837"/>
    <w:multiLevelType w:val="multilevel"/>
    <w:tmpl w:val="AA449CCA"/>
    <w:lvl w:ilvl="0">
      <w:start w:val="1"/>
      <w:numFmt w:val="decimal"/>
      <w:lvlText w:val="%1."/>
      <w:lvlJc w:val="left"/>
      <w:pPr>
        <w:ind w:left="720" w:hanging="720"/>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lowerLetter"/>
      <w:lvlText w:val="%2"/>
      <w:lvlJc w:val="left"/>
      <w:pPr>
        <w:ind w:left="1440" w:hanging="1440"/>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lowerRoman"/>
      <w:lvlText w:val="%3"/>
      <w:lvlJc w:val="left"/>
      <w:pPr>
        <w:ind w:left="2160" w:hanging="2160"/>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decimal"/>
      <w:lvlText w:val="%4"/>
      <w:lvlJc w:val="left"/>
      <w:pPr>
        <w:ind w:left="2880" w:hanging="2880"/>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lowerLetter"/>
      <w:lvlText w:val="%5"/>
      <w:lvlJc w:val="left"/>
      <w:pPr>
        <w:ind w:left="3600" w:hanging="3600"/>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lowerRoman"/>
      <w:lvlText w:val="%6"/>
      <w:lvlJc w:val="left"/>
      <w:pPr>
        <w:ind w:left="4320" w:hanging="4320"/>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decimal"/>
      <w:lvlText w:val="%7"/>
      <w:lvlJc w:val="left"/>
      <w:pPr>
        <w:ind w:left="5040" w:hanging="5040"/>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lowerLetter"/>
      <w:lvlText w:val="%8"/>
      <w:lvlJc w:val="left"/>
      <w:pPr>
        <w:ind w:left="5760" w:hanging="5760"/>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lowerRoman"/>
      <w:lvlText w:val="%9"/>
      <w:lvlJc w:val="left"/>
      <w:pPr>
        <w:ind w:left="6480" w:hanging="6480"/>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3">
    <w:nsid w:val="2EC738F0"/>
    <w:multiLevelType w:val="multilevel"/>
    <w:tmpl w:val="0D2CCCE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nsid w:val="420C1636"/>
    <w:multiLevelType w:val="multilevel"/>
    <w:tmpl w:val="73948E80"/>
    <w:lvl w:ilvl="0">
      <w:start w:val="1"/>
      <w:numFmt w:val="decimal"/>
      <w:lvlText w:val="%1."/>
      <w:lvlJc w:val="left"/>
      <w:pPr>
        <w:ind w:left="360" w:hanging="360"/>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lowerLetter"/>
      <w:lvlText w:val="%2"/>
      <w:lvlJc w:val="left"/>
      <w:pPr>
        <w:ind w:left="1080" w:hanging="1080"/>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lowerRoman"/>
      <w:lvlText w:val="%3"/>
      <w:lvlJc w:val="left"/>
      <w:pPr>
        <w:ind w:left="1800" w:hanging="1800"/>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decimal"/>
      <w:lvlText w:val="%4"/>
      <w:lvlJc w:val="left"/>
      <w:pPr>
        <w:ind w:left="2520" w:hanging="2520"/>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lowerLetter"/>
      <w:lvlText w:val="%5"/>
      <w:lvlJc w:val="left"/>
      <w:pPr>
        <w:ind w:left="3240" w:hanging="3240"/>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lowerRoman"/>
      <w:lvlText w:val="%6"/>
      <w:lvlJc w:val="left"/>
      <w:pPr>
        <w:ind w:left="3960" w:hanging="3960"/>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decimal"/>
      <w:lvlText w:val="%7"/>
      <w:lvlJc w:val="left"/>
      <w:pPr>
        <w:ind w:left="4680" w:hanging="4680"/>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lowerLetter"/>
      <w:lvlText w:val="%8"/>
      <w:lvlJc w:val="left"/>
      <w:pPr>
        <w:ind w:left="5400" w:hanging="5400"/>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lowerRoman"/>
      <w:lvlText w:val="%9"/>
      <w:lvlJc w:val="left"/>
      <w:pPr>
        <w:ind w:left="6120" w:hanging="6120"/>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5">
    <w:nsid w:val="43206C16"/>
    <w:multiLevelType w:val="hybridMultilevel"/>
    <w:tmpl w:val="911A3B9E"/>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
    <w:nsid w:val="4E7F1E51"/>
    <w:multiLevelType w:val="multilevel"/>
    <w:tmpl w:val="6F103F16"/>
    <w:lvl w:ilvl="0">
      <w:start w:val="1"/>
      <w:numFmt w:val="decimal"/>
      <w:lvlText w:val="%1."/>
      <w:lvlJc w:val="left"/>
      <w:pPr>
        <w:ind w:left="720" w:hanging="720"/>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lowerLetter"/>
      <w:lvlText w:val="%2"/>
      <w:lvlJc w:val="left"/>
      <w:pPr>
        <w:ind w:left="1440" w:hanging="1440"/>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lowerRoman"/>
      <w:lvlText w:val="%3"/>
      <w:lvlJc w:val="left"/>
      <w:pPr>
        <w:ind w:left="2160" w:hanging="2160"/>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decimal"/>
      <w:lvlText w:val="%4"/>
      <w:lvlJc w:val="left"/>
      <w:pPr>
        <w:ind w:left="2880" w:hanging="2880"/>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lowerLetter"/>
      <w:lvlText w:val="%5"/>
      <w:lvlJc w:val="left"/>
      <w:pPr>
        <w:ind w:left="3600" w:hanging="3600"/>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lowerRoman"/>
      <w:lvlText w:val="%6"/>
      <w:lvlJc w:val="left"/>
      <w:pPr>
        <w:ind w:left="4320" w:hanging="4320"/>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decimal"/>
      <w:lvlText w:val="%7"/>
      <w:lvlJc w:val="left"/>
      <w:pPr>
        <w:ind w:left="5040" w:hanging="5040"/>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lowerLetter"/>
      <w:lvlText w:val="%8"/>
      <w:lvlJc w:val="left"/>
      <w:pPr>
        <w:ind w:left="5760" w:hanging="5760"/>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lowerRoman"/>
      <w:lvlText w:val="%9"/>
      <w:lvlJc w:val="left"/>
      <w:pPr>
        <w:ind w:left="6480" w:hanging="6480"/>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7">
    <w:nsid w:val="6ADB3057"/>
    <w:multiLevelType w:val="multilevel"/>
    <w:tmpl w:val="652A977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2"/>
  </w:num>
  <w:num w:numId="2">
    <w:abstractNumId w:val="6"/>
  </w:num>
  <w:num w:numId="3">
    <w:abstractNumId w:val="4"/>
  </w:num>
  <w:num w:numId="4">
    <w:abstractNumId w:val="1"/>
  </w:num>
  <w:num w:numId="5">
    <w:abstractNumId w:val="0"/>
  </w:num>
  <w:num w:numId="6">
    <w:abstractNumId w:val="3"/>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5389"/>
    <w:rsid w:val="00017108"/>
    <w:rsid w:val="003B7B80"/>
    <w:rsid w:val="005B419C"/>
    <w:rsid w:val="00601CBA"/>
    <w:rsid w:val="0066584F"/>
    <w:rsid w:val="009B6535"/>
    <w:rsid w:val="009D1D95"/>
    <w:rsid w:val="00BF325B"/>
    <w:rsid w:val="00F653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70D9E5A-B917-41A4-BDBD-41EE86BB1C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4"/>
        <w:szCs w:val="24"/>
        <w:lang w:val="en" w:eastAsia="en-US" w:bidi="ar-SA"/>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360" w:after="80"/>
      <w:outlineLvl w:val="0"/>
    </w:pPr>
    <w:rPr>
      <w:color w:val="2F5496"/>
      <w:sz w:val="40"/>
      <w:szCs w:val="40"/>
    </w:rPr>
  </w:style>
  <w:style w:type="paragraph" w:styleId="Heading2">
    <w:name w:val="heading 2"/>
    <w:basedOn w:val="Normal"/>
    <w:next w:val="Normal"/>
    <w:pPr>
      <w:keepNext/>
      <w:keepLines/>
      <w:spacing w:before="160" w:after="80"/>
      <w:outlineLvl w:val="1"/>
    </w:pPr>
    <w:rPr>
      <w:color w:val="2F5496"/>
      <w:sz w:val="32"/>
      <w:szCs w:val="32"/>
    </w:rPr>
  </w:style>
  <w:style w:type="paragraph" w:styleId="Heading3">
    <w:name w:val="heading 3"/>
    <w:basedOn w:val="Normal"/>
    <w:next w:val="Normal"/>
    <w:pPr>
      <w:keepNext/>
      <w:keepLines/>
      <w:spacing w:before="160" w:after="80"/>
      <w:outlineLvl w:val="2"/>
    </w:pPr>
    <w:rPr>
      <w:color w:val="2F5496"/>
      <w:sz w:val="28"/>
      <w:szCs w:val="28"/>
    </w:rPr>
  </w:style>
  <w:style w:type="paragraph" w:styleId="Heading4">
    <w:name w:val="heading 4"/>
    <w:basedOn w:val="Normal"/>
    <w:next w:val="Normal"/>
    <w:pPr>
      <w:keepNext/>
      <w:keepLines/>
      <w:spacing w:before="80" w:after="40"/>
      <w:outlineLvl w:val="3"/>
    </w:pPr>
    <w:rPr>
      <w:i/>
      <w:color w:val="2F5496"/>
    </w:rPr>
  </w:style>
  <w:style w:type="paragraph" w:styleId="Heading5">
    <w:name w:val="heading 5"/>
    <w:basedOn w:val="Normal"/>
    <w:next w:val="Normal"/>
    <w:pPr>
      <w:keepNext/>
      <w:keepLines/>
      <w:spacing w:before="80" w:after="40"/>
      <w:outlineLvl w:val="4"/>
    </w:pPr>
    <w:rPr>
      <w:color w:val="2F5496"/>
    </w:rPr>
  </w:style>
  <w:style w:type="paragraph" w:styleId="Heading6">
    <w:name w:val="heading 6"/>
    <w:basedOn w:val="Normal"/>
    <w:next w:val="Normal"/>
    <w:pPr>
      <w:keepNext/>
      <w:keepLines/>
      <w:spacing w:before="40" w:after="0"/>
      <w:outlineLvl w:val="5"/>
    </w:pPr>
    <w:rPr>
      <w:i/>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spacing w:after="80" w:line="240" w:lineRule="auto"/>
    </w:pPr>
    <w:rPr>
      <w:sz w:val="56"/>
      <w:szCs w:val="56"/>
    </w:rPr>
  </w:style>
  <w:style w:type="paragraph" w:styleId="Subtitle">
    <w:name w:val="Subtitle"/>
    <w:basedOn w:val="Normal"/>
    <w:next w:val="Normal"/>
    <w:rPr>
      <w:color w:val="595959"/>
      <w:sz w:val="28"/>
      <w:szCs w:val="28"/>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table" w:customStyle="1" w:styleId="a1">
    <w:basedOn w:val="TableNormal0"/>
    <w:tblPr>
      <w:tblStyleRowBandSize w:val="1"/>
      <w:tblStyleColBandSize w:val="1"/>
      <w:tblCellMar>
        <w:top w:w="0" w:type="dxa"/>
        <w:left w:w="115" w:type="dxa"/>
        <w:bottom w:w="0" w:type="dxa"/>
        <w:right w:w="115" w:type="dxa"/>
      </w:tblCellMar>
    </w:tblPr>
  </w:style>
  <w:style w:type="table" w:customStyle="1" w:styleId="a2">
    <w:basedOn w:val="TableNormal0"/>
    <w:tblPr>
      <w:tblStyleRowBandSize w:val="1"/>
      <w:tblStyleColBandSize w:val="1"/>
      <w:tblCellMar>
        <w:top w:w="0" w:type="dxa"/>
        <w:left w:w="115" w:type="dxa"/>
        <w:bottom w:w="0" w:type="dxa"/>
        <w:right w:w="115" w:type="dxa"/>
      </w:tblCellMar>
    </w:tblPr>
  </w:style>
  <w:style w:type="table" w:customStyle="1" w:styleId="a3">
    <w:basedOn w:val="TableNormal0"/>
    <w:tblPr>
      <w:tblStyleRowBandSize w:val="1"/>
      <w:tblStyleColBandSize w:val="1"/>
      <w:tblCellMar>
        <w:top w:w="0" w:type="dxa"/>
        <w:left w:w="115" w:type="dxa"/>
        <w:bottom w:w="0" w:type="dxa"/>
        <w:right w:w="115" w:type="dxa"/>
      </w:tblCellMar>
    </w:tblPr>
  </w:style>
  <w:style w:type="table" w:customStyle="1" w:styleId="a4">
    <w:basedOn w:val="TableNormal0"/>
    <w:tblPr>
      <w:tblStyleRowBandSize w:val="1"/>
      <w:tblStyleColBandSize w:val="1"/>
      <w:tblCellMar>
        <w:top w:w="0" w:type="dxa"/>
        <w:left w:w="115" w:type="dxa"/>
        <w:bottom w:w="0" w:type="dxa"/>
        <w:right w:w="115" w:type="dxa"/>
      </w:tblCellMar>
    </w:tblPr>
  </w:style>
  <w:style w:type="table" w:customStyle="1" w:styleId="a5">
    <w:basedOn w:val="TableNormal0"/>
    <w:tblPr>
      <w:tblStyleRowBandSize w:val="1"/>
      <w:tblStyleColBandSize w:val="1"/>
      <w:tblCellMar>
        <w:top w:w="0" w:type="dxa"/>
        <w:left w:w="115" w:type="dxa"/>
        <w:bottom w:w="0" w:type="dxa"/>
        <w:right w:w="115" w:type="dxa"/>
      </w:tblCellMar>
    </w:tblPr>
  </w:style>
  <w:style w:type="paragraph" w:styleId="ListParagraph">
    <w:name w:val="List Paragraph"/>
    <w:basedOn w:val="Normal"/>
    <w:uiPriority w:val="34"/>
    <w:qFormat/>
    <w:rsid w:val="00601CBA"/>
    <w:pPr>
      <w:ind w:left="720"/>
      <w:contextualSpacing/>
    </w:pPr>
  </w:style>
  <w:style w:type="table" w:styleId="TableGrid">
    <w:name w:val="Table Grid"/>
    <w:basedOn w:val="TableNormal"/>
    <w:uiPriority w:val="39"/>
    <w:rsid w:val="00601C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5B419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419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3" Type="http://schemas.openxmlformats.org/officeDocument/2006/relationships/image" Target="media/image2.jpg"/><Relationship Id="rId18" Type="http://schemas.openxmlformats.org/officeDocument/2006/relationships/hyperlink" Target="https://doi.org/10.14704/nq.2022.20.10.NQ22492" TargetMode="External"/><Relationship Id="rId26" Type="http://schemas.openxmlformats.org/officeDocument/2006/relationships/hyperlink" Target="https://www.researchgate.net/publication/311802773_Effect_of_Change_in_Capital_Structure_on_Profitability_of_FMCG_Sector_Companies" TargetMode="External"/><Relationship Id="rId39" Type="http://schemas.openxmlformats.org/officeDocument/2006/relationships/hyperlink" Target="https://doi.org/10.1002/ijfe.2017" TargetMode="External"/><Relationship Id="rId21" Type="http://schemas.openxmlformats.org/officeDocument/2006/relationships/hyperlink" Target="https://doi.org/10.47134/aaem.v1i4.309" TargetMode="External"/><Relationship Id="rId34" Type="http://schemas.openxmlformats.org/officeDocument/2006/relationships/hyperlink" Target="https://doi.org/10.7206/cemj.2755-3351.21" TargetMode="External"/><Relationship Id="rId42" Type="http://schemas.openxmlformats.org/officeDocument/2006/relationships/hyperlink" Target="https://doi.org/10.1016/j.jfineco.2023.101122" TargetMode="External"/><Relationship Id="rId47" Type="http://schemas.openxmlformats.org/officeDocument/2006/relationships/hyperlink" Target="https://doi.org/10.11594/nstp.2021.1024" TargetMode="External"/><Relationship Id="rId50" Type="http://schemas.openxmlformats.org/officeDocument/2006/relationships/hyperlink" Target="https://doi.org/10.1016/j.irfa.2022.101982" TargetMode="External"/><Relationship Id="rId55" Type="http://schemas.openxmlformats.org/officeDocument/2006/relationships/hyperlink" Target="https://doi.org/10.55927/fjst.v1i7.1794" TargetMode="External"/><Relationship Id="rId63" Type="http://schemas.openxmlformats.org/officeDocument/2006/relationships/hyperlink" Target="https://doi.org/10.31250/jrss.v1i1.3927" TargetMode="External"/><Relationship Id="rId68" Type="http://schemas.openxmlformats.org/officeDocument/2006/relationships/hyperlink" Target="https://journals.unizik.edu.ng/joga" TargetMode="External"/><Relationship Id="rId7" Type="http://schemas.openxmlformats.org/officeDocument/2006/relationships/header" Target="header1.xml"/><Relationship Id="rId71" Type="http://schemas.openxmlformats.org/officeDocument/2006/relationships/hyperlink" Target="https://doi.org/10.7777/jiemar.v2i4" TargetMode="External"/><Relationship Id="rId2" Type="http://schemas.openxmlformats.org/officeDocument/2006/relationships/styles" Target="styles.xml"/><Relationship Id="rId16" Type="http://schemas.openxmlformats.org/officeDocument/2006/relationships/hyperlink" Target="https://doi.org/10.1111/j.1475-6803.2010.01254.x" TargetMode="External"/><Relationship Id="rId29" Type="http://schemas.openxmlformats.org/officeDocument/2006/relationships/hyperlink" Target="https://doi.org/10.38035/dijefa.v3i5" TargetMode="External"/><Relationship Id="rId11" Type="http://schemas.openxmlformats.org/officeDocument/2006/relationships/image" Target="media/image10.png"/><Relationship Id="rId24" Type="http://schemas.openxmlformats.org/officeDocument/2006/relationships/hyperlink" Target="https://doi.org/10.1007/978-981-19-8480-1_16" TargetMode="External"/><Relationship Id="rId32" Type="http://schemas.openxmlformats.org/officeDocument/2006/relationships/hyperlink" Target="https://doi.org/10.1111/finr.12231" TargetMode="External"/><Relationship Id="rId37" Type="http://schemas.openxmlformats.org/officeDocument/2006/relationships/hyperlink" Target="https://doi.org/10.3389/fenvs.2021.661523" TargetMode="External"/><Relationship Id="rId40" Type="http://schemas.openxmlformats.org/officeDocument/2006/relationships/hyperlink" Target="https://cis01.ucv.ro/revistadestiintepolitice/files/numarul82_2024/8.pdf" TargetMode="External"/><Relationship Id="rId45" Type="http://schemas.openxmlformats.org/officeDocument/2006/relationships/hyperlink" Target="https://doi.org/10.1016/j.irfa.2022.102329" TargetMode="External"/><Relationship Id="rId53" Type="http://schemas.openxmlformats.org/officeDocument/2006/relationships/hyperlink" Target="https://www.researchgate.net/publication/361863759_The_Impact_of_Financial_Leverage_on_Corporate_Financial_Performance" TargetMode="External"/><Relationship Id="rId58" Type="http://schemas.openxmlformats.org/officeDocument/2006/relationships/hyperlink" Target="https://doi.org/10.5281/zenodo.5725349" TargetMode="External"/><Relationship Id="rId66" Type="http://schemas.openxmlformats.org/officeDocument/2006/relationships/hyperlink" Target="https://journals.unizik.edu.ng/joga" TargetMode="External"/><Relationship Id="rId7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doi.org/10.7206/cemj.2755-3351.47" TargetMode="External"/><Relationship Id="rId23" Type="http://schemas.openxmlformats.org/officeDocument/2006/relationships/hyperlink" Target="https://doi.org/10.1111/j.1475-6803.2010.01254.x" TargetMode="External"/><Relationship Id="rId28" Type="http://schemas.openxmlformats.org/officeDocument/2006/relationships/hyperlink" Target="https://doi.org/10.9734/JSRR/2016/23486" TargetMode="External"/><Relationship Id="rId36" Type="http://schemas.openxmlformats.org/officeDocument/2006/relationships/hyperlink" Target="https://doi.org/10.33258/birci.v5i1.1905" TargetMode="External"/><Relationship Id="rId49" Type="http://schemas.openxmlformats.org/officeDocument/2006/relationships/hyperlink" Target="https://doi.org/10.5281/zenodo.5725349" TargetMode="External"/><Relationship Id="rId57" Type="http://schemas.openxmlformats.org/officeDocument/2006/relationships/hyperlink" Target="https://www.researchgate.net/publication/361863759_Effect_of_Corporate_Financial_Performance_Using_Ratio_Analysis_on_Stock_Return_in_Consumer_Goods_Sector_Companies" TargetMode="External"/><Relationship Id="rId61" Type="http://schemas.openxmlformats.org/officeDocument/2006/relationships/hyperlink" Target="https://doi.org/10.1016/j.jfs.2023.101208" TargetMode="External"/><Relationship Id="rId10" Type="http://schemas.microsoft.com/office/2007/relationships/hdphoto" Target="media/hdphoto1.wdp"/><Relationship Id="rId19" Type="http://schemas.openxmlformats.org/officeDocument/2006/relationships/hyperlink" Target="https://doi.org/10.1111/jifm.12031" TargetMode="External"/><Relationship Id="rId31" Type="http://schemas.openxmlformats.org/officeDocument/2006/relationships/hyperlink" Target="https://www.researchgate.net/publication/350983643_Decisions_on_Capital_Structure_A_study_of_Leverage_and_Profitability_of_Selected_FMCG_Companies_in_India" TargetMode="External"/><Relationship Id="rId44" Type="http://schemas.openxmlformats.org/officeDocument/2006/relationships/hyperlink" Target="https://doi.org/10.1016/j.jimonfin.2020.102341" TargetMode="External"/><Relationship Id="rId52" Type="http://schemas.openxmlformats.org/officeDocument/2006/relationships/hyperlink" Target="https://www.researchgate.net/publication/293781729_The_Capital_Structure_and_Its_Impact_on_the_Profitability_of_FMCG_Companies_in_India" TargetMode="External"/><Relationship Id="rId60" Type="http://schemas.openxmlformats.org/officeDocument/2006/relationships/hyperlink" Target="https://doi.org/10.1016/j.intfin.2022.101533" TargetMode="External"/><Relationship Id="rId65" Type="http://schemas.openxmlformats.org/officeDocument/2006/relationships/hyperlink" Target="https://doi.org/10.5281/zenodo.5725349" TargetMode="External"/><Relationship Id="rId73" Type="http://schemas.openxmlformats.org/officeDocument/2006/relationships/hyperlink" Target="https://doi.org/10.1016/j.jbusres.2023.113621" TargetMode="Externa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yperlink" Target="https://doi.org/10.7206/cemj.2755-3351.48" TargetMode="External"/><Relationship Id="rId22" Type="http://schemas.openxmlformats.org/officeDocument/2006/relationships/hyperlink" Target="https://doi.org/10.47134/aaem.v1i4.309" TargetMode="External"/><Relationship Id="rId27" Type="http://schemas.openxmlformats.org/officeDocument/2006/relationships/hyperlink" Target="https://doi.org/10.1016/j.pacfin.2020.101255" TargetMode="External"/><Relationship Id="rId30" Type="http://schemas.openxmlformats.org/officeDocument/2006/relationships/hyperlink" Target="https://doi.org/10.38035/dijefa.v3i5" TargetMode="External"/><Relationship Id="rId35" Type="http://schemas.openxmlformats.org/officeDocument/2006/relationships/hyperlink" Target="https://www.researchgate.net/publication/293781729" TargetMode="External"/><Relationship Id="rId43" Type="http://schemas.openxmlformats.org/officeDocument/2006/relationships/hyperlink" Target="https://doi.org/10.25170/jm.v15i1.95" TargetMode="External"/><Relationship Id="rId48" Type="http://schemas.openxmlformats.org/officeDocument/2006/relationships/hyperlink" Target="https://doi.org/10.7206/cemj.2755-3351.50" TargetMode="External"/><Relationship Id="rId56" Type="http://schemas.openxmlformats.org/officeDocument/2006/relationships/hyperlink" Target="https://doi.org/10.3390/su13094875" TargetMode="External"/><Relationship Id="rId64" Type="http://schemas.openxmlformats.org/officeDocument/2006/relationships/hyperlink" Target="https://doi.org/10.1016/j.rfe.2019.05.001" TargetMode="External"/><Relationship Id="rId69" Type="http://schemas.openxmlformats.org/officeDocument/2006/relationships/hyperlink" Target="https://doi.org/10.1016/j.jcorpfin.2023.102341" TargetMode="External"/><Relationship Id="rId8" Type="http://schemas.openxmlformats.org/officeDocument/2006/relationships/footer" Target="footer1.xml"/><Relationship Id="rId51" Type="http://schemas.openxmlformats.org/officeDocument/2006/relationships/hyperlink" Target="https://www.researchgate.net/publication/361863759_Rating_and_Financial_Performance_of_Selected_Indian_FMCG_Companies_An_Exploratory_Study" TargetMode="External"/><Relationship Id="rId72" Type="http://schemas.openxmlformats.org/officeDocument/2006/relationships/hyperlink" Target="https://doi.org/10.7777/jiemar.v2i4" TargetMode="External"/><Relationship Id="rId3" Type="http://schemas.openxmlformats.org/officeDocument/2006/relationships/settings" Target="settings.xml"/><Relationship Id="rId12" Type="http://schemas.microsoft.com/office/2007/relationships/hdphoto" Target="media/hdphoto10.wdp"/><Relationship Id="rId17" Type="http://schemas.openxmlformats.org/officeDocument/2006/relationships/hyperlink" Target="https://www.ajol.info/index.php/lje/article/view/266034" TargetMode="External"/><Relationship Id="rId25" Type="http://schemas.openxmlformats.org/officeDocument/2006/relationships/hyperlink" Target="https://doi.org/10.12691/ajfa-6-3-1" TargetMode="External"/><Relationship Id="rId33" Type="http://schemas.openxmlformats.org/officeDocument/2006/relationships/hyperlink" Target="http://www.journals.savap.org.pk" TargetMode="External"/><Relationship Id="rId38" Type="http://schemas.openxmlformats.org/officeDocument/2006/relationships/hyperlink" Target="https://doi.org/10.1007/s10668-021-01679-4" TargetMode="External"/><Relationship Id="rId46" Type="http://schemas.openxmlformats.org/officeDocument/2006/relationships/hyperlink" Target="https://doi.org/10.11594/nstp.2021.1024" TargetMode="External"/><Relationship Id="rId59" Type="http://schemas.openxmlformats.org/officeDocument/2006/relationships/hyperlink" Target="https://www.iosrjournals.org/iosr-jbm/papers/Vol19-issue9/Version-3/E1909033140.pdf" TargetMode="External"/><Relationship Id="rId67" Type="http://schemas.openxmlformats.org/officeDocument/2006/relationships/hyperlink" Target="https://journals.unizik.edu.ng/joga" TargetMode="External"/><Relationship Id="rId20" Type="http://schemas.openxmlformats.org/officeDocument/2006/relationships/hyperlink" Target="https://doi.org/10.1016/j.jbankfin.2023.106739" TargetMode="External"/><Relationship Id="rId41" Type="http://schemas.openxmlformats.org/officeDocument/2006/relationships/hyperlink" Target="https://doi.org/10.19030/jabr.v36i1.10277" TargetMode="External"/><Relationship Id="rId54" Type="http://schemas.openxmlformats.org/officeDocument/2006/relationships/hyperlink" Target="https://doi.org/10.55927/fjst.v1i7.1794" TargetMode="External"/><Relationship Id="rId62" Type="http://schemas.openxmlformats.org/officeDocument/2006/relationships/hyperlink" Target="https://doi.org/10.5430/ijfr.v12n3p225" TargetMode="External"/><Relationship Id="rId70" Type="http://schemas.openxmlformats.org/officeDocument/2006/relationships/hyperlink" Target="https://doi.org/10.1016/j.jcorpfin.2020.101856" TargetMode="External"/><Relationship Id="rId75"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20051</Words>
  <Characters>114296</Characters>
  <Application>Microsoft Office Word</Application>
  <DocSecurity>0</DocSecurity>
  <Lines>952</Lines>
  <Paragraphs>268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134079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GOUNI LIBRARIES</dc:creator>
  <cp:lastModifiedBy>Windows User</cp:lastModifiedBy>
  <cp:revision>2</cp:revision>
  <cp:lastPrinted>2025-08-02T10:49:00Z</cp:lastPrinted>
  <dcterms:created xsi:type="dcterms:W3CDTF">2026-05-28T13:04:00Z</dcterms:created>
  <dcterms:modified xsi:type="dcterms:W3CDTF">2026-05-28T13:04:00Z</dcterms:modified>
</cp:coreProperties>
</file>