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3B9" w:rsidRDefault="0036059D">
      <w:pPr>
        <w:pBdr>
          <w:top w:val="nil"/>
          <w:left w:val="nil"/>
          <w:bottom w:val="nil"/>
          <w:right w:val="nil"/>
          <w:between w:val="nil"/>
        </w:pBdr>
        <w:jc w:val="center"/>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TITLE PAGE</w:t>
      </w:r>
    </w:p>
    <w:p w:rsidR="007323B9" w:rsidRDefault="007323B9">
      <w:pPr>
        <w:jc w:val="center"/>
        <w:rPr>
          <w:rFonts w:ascii="Times New Roman" w:eastAsia="Times New Roman" w:hAnsi="Times New Roman" w:cs="Times New Roman"/>
          <w:b/>
          <w:sz w:val="24"/>
          <w:szCs w:val="24"/>
        </w:rPr>
      </w:pPr>
    </w:p>
    <w:p w:rsidR="007323B9" w:rsidRDefault="007323B9">
      <w:pPr>
        <w:jc w:val="center"/>
        <w:rPr>
          <w:rFonts w:ascii="Times New Roman" w:eastAsia="Times New Roman" w:hAnsi="Times New Roman" w:cs="Times New Roman"/>
          <w:b/>
          <w:sz w:val="24"/>
          <w:szCs w:val="24"/>
        </w:rPr>
      </w:pP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 OF INTERNET BANKING ON PROFITABILITY OF COMMERCIAL BANKS IN NIGERIA (A CASE STUDY OF FIDELITY BANK</w:t>
      </w:r>
    </w:p>
    <w:p w:rsidR="007323B9" w:rsidRDefault="002F26E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2020 - 2024</w:t>
      </w:r>
      <w:r w:rsidR="0036059D">
        <w:rPr>
          <w:rFonts w:ascii="Times New Roman" w:eastAsia="Times New Roman" w:hAnsi="Times New Roman" w:cs="Times New Roman"/>
          <w:b/>
          <w:sz w:val="24"/>
          <w:szCs w:val="24"/>
        </w:rPr>
        <w:t>)</w:t>
      </w:r>
    </w:p>
    <w:p w:rsidR="007323B9" w:rsidRDefault="007323B9">
      <w:pPr>
        <w:ind w:left="360"/>
        <w:rPr>
          <w:rFonts w:ascii="Times New Roman" w:eastAsia="Times New Roman" w:hAnsi="Times New Roman" w:cs="Times New Roman"/>
          <w:b/>
          <w:sz w:val="24"/>
          <w:szCs w:val="24"/>
        </w:rPr>
      </w:pPr>
    </w:p>
    <w:p w:rsidR="007323B9" w:rsidRDefault="007323B9">
      <w:pPr>
        <w:jc w:val="center"/>
        <w:rPr>
          <w:rFonts w:ascii="Times New Roman" w:eastAsia="Times New Roman" w:hAnsi="Times New Roman" w:cs="Times New Roman"/>
          <w:b/>
          <w:sz w:val="24"/>
          <w:szCs w:val="24"/>
        </w:rPr>
      </w:pPr>
    </w:p>
    <w:p w:rsidR="007323B9" w:rsidRDefault="003605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rsidR="007323B9" w:rsidRDefault="007323B9">
      <w:pPr>
        <w:ind w:left="360"/>
        <w:rPr>
          <w:rFonts w:ascii="Times New Roman" w:eastAsia="Times New Roman" w:hAnsi="Times New Roman" w:cs="Times New Roman"/>
          <w:b/>
          <w:sz w:val="24"/>
          <w:szCs w:val="24"/>
        </w:rPr>
      </w:pPr>
    </w:p>
    <w:p w:rsidR="007323B9" w:rsidRDefault="0036059D">
      <w:pPr>
        <w:spacing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OKORIE ULO GRACE CHIDIEBUBE</w:t>
      </w:r>
    </w:p>
    <w:p w:rsidR="007323B9" w:rsidRDefault="0036059D">
      <w:pPr>
        <w:spacing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GOU/U21/BAF/069</w:t>
      </w:r>
    </w:p>
    <w:p w:rsidR="007323B9" w:rsidRDefault="007323B9">
      <w:pPr>
        <w:spacing w:after="0"/>
        <w:ind w:left="360"/>
        <w:rPr>
          <w:rFonts w:ascii="Times New Roman" w:eastAsia="Times New Roman" w:hAnsi="Times New Roman" w:cs="Times New Roman"/>
          <w:b/>
          <w:sz w:val="24"/>
          <w:szCs w:val="24"/>
        </w:rPr>
      </w:pPr>
    </w:p>
    <w:p w:rsidR="007323B9" w:rsidRDefault="007323B9">
      <w:pPr>
        <w:spacing w:after="0"/>
        <w:ind w:left="360"/>
        <w:rPr>
          <w:rFonts w:ascii="Times New Roman" w:eastAsia="Times New Roman" w:hAnsi="Times New Roman" w:cs="Times New Roman"/>
          <w:b/>
          <w:sz w:val="24"/>
          <w:szCs w:val="24"/>
        </w:rPr>
      </w:pPr>
    </w:p>
    <w:p w:rsidR="007323B9" w:rsidRDefault="007323B9">
      <w:pPr>
        <w:spacing w:after="0"/>
        <w:ind w:left="360"/>
        <w:rPr>
          <w:rFonts w:ascii="Times New Roman" w:eastAsia="Times New Roman" w:hAnsi="Times New Roman" w:cs="Times New Roman"/>
          <w:b/>
          <w:sz w:val="24"/>
          <w:szCs w:val="24"/>
        </w:rPr>
      </w:pPr>
    </w:p>
    <w:p w:rsidR="007323B9" w:rsidRDefault="007323B9">
      <w:pPr>
        <w:spacing w:after="0"/>
        <w:ind w:left="360"/>
        <w:rPr>
          <w:rFonts w:ascii="Times New Roman" w:eastAsia="Times New Roman" w:hAnsi="Times New Roman" w:cs="Times New Roman"/>
          <w:b/>
          <w:sz w:val="24"/>
          <w:szCs w:val="24"/>
        </w:rPr>
      </w:pPr>
    </w:p>
    <w:p w:rsidR="007323B9" w:rsidRDefault="007323B9">
      <w:pPr>
        <w:spacing w:after="0"/>
        <w:ind w:left="360"/>
        <w:rPr>
          <w:rFonts w:ascii="Times New Roman" w:eastAsia="Times New Roman" w:hAnsi="Times New Roman" w:cs="Times New Roman"/>
          <w:b/>
          <w:sz w:val="24"/>
          <w:szCs w:val="24"/>
        </w:rPr>
      </w:pPr>
    </w:p>
    <w:p w:rsidR="007323B9" w:rsidRDefault="0036059D">
      <w:pPr>
        <w:spacing w:after="0"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PRESENTED TO DEPARTMENT OF BANKING AND FINANCE</w:t>
      </w: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MANAGEMENT AND SOCIAL SCIENCES, GODFERY</w:t>
      </w: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OKOYE UNIVERSITY, UGWUOMU-NIKE, ENUGU, IN PARTIAL</w:t>
      </w: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FULFILMENT OF THE REQUIREMENTS FOR THE </w:t>
      </w: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AWARD OF BSc. IN ACCOUNTING AND FINANCE</w:t>
      </w:r>
    </w:p>
    <w:p w:rsidR="007323B9" w:rsidRDefault="007323B9">
      <w:pPr>
        <w:ind w:left="1440" w:firstLine="720"/>
        <w:jc w:val="center"/>
        <w:rPr>
          <w:rFonts w:ascii="Times New Roman" w:eastAsia="Times New Roman" w:hAnsi="Times New Roman" w:cs="Times New Roman"/>
          <w:b/>
          <w:sz w:val="24"/>
          <w:szCs w:val="24"/>
        </w:rPr>
      </w:pPr>
    </w:p>
    <w:p w:rsidR="007323B9" w:rsidRDefault="007323B9">
      <w:pPr>
        <w:ind w:left="1440" w:firstLine="720"/>
        <w:jc w:val="center"/>
        <w:rPr>
          <w:rFonts w:ascii="Times New Roman" w:eastAsia="Times New Roman" w:hAnsi="Times New Roman" w:cs="Times New Roman"/>
          <w:b/>
          <w:sz w:val="24"/>
          <w:szCs w:val="24"/>
        </w:rPr>
      </w:pP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SUPERVISOR: PROF. M. C. NWAFOR</w:t>
      </w:r>
    </w:p>
    <w:p w:rsidR="007323B9" w:rsidRDefault="007323B9">
      <w:pPr>
        <w:spacing w:after="0" w:line="360" w:lineRule="auto"/>
        <w:jc w:val="center"/>
        <w:rPr>
          <w:rFonts w:ascii="Times New Roman" w:eastAsia="Times New Roman" w:hAnsi="Times New Roman" w:cs="Times New Roman"/>
          <w:b/>
          <w:sz w:val="24"/>
          <w:szCs w:val="24"/>
        </w:rPr>
      </w:pPr>
    </w:p>
    <w:p w:rsidR="007323B9" w:rsidRDefault="007323B9">
      <w:pPr>
        <w:spacing w:after="0" w:line="360" w:lineRule="auto"/>
        <w:jc w:val="center"/>
        <w:rPr>
          <w:rFonts w:ascii="Times New Roman" w:eastAsia="Times New Roman" w:hAnsi="Times New Roman" w:cs="Times New Roman"/>
          <w:b/>
          <w:sz w:val="24"/>
          <w:szCs w:val="24"/>
        </w:rPr>
      </w:pPr>
    </w:p>
    <w:p w:rsidR="007323B9" w:rsidRDefault="007323B9">
      <w:pPr>
        <w:spacing w:after="0" w:line="360" w:lineRule="auto"/>
        <w:jc w:val="center"/>
        <w:rPr>
          <w:rFonts w:ascii="Times New Roman" w:eastAsia="Times New Roman" w:hAnsi="Times New Roman" w:cs="Times New Roman"/>
          <w:b/>
          <w:sz w:val="24"/>
          <w:szCs w:val="24"/>
        </w:rPr>
      </w:pPr>
    </w:p>
    <w:p w:rsidR="007323B9" w:rsidRDefault="0036059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JULY, 2025</w:t>
      </w:r>
    </w:p>
    <w:p w:rsidR="007323B9" w:rsidRDefault="0036059D">
      <w:pPr>
        <w:rPr>
          <w:rFonts w:ascii="Times New Roman" w:eastAsia="Times New Roman" w:hAnsi="Times New Roman" w:cs="Times New Roman"/>
          <w:b/>
          <w:sz w:val="24"/>
          <w:szCs w:val="24"/>
        </w:rPr>
      </w:pPr>
      <w:r>
        <w:br w:type="page"/>
      </w:r>
    </w:p>
    <w:p w:rsidR="007323B9" w:rsidRDefault="0036059D">
      <w:pPr>
        <w:pStyle w:val="Heading3"/>
        <w:jc w:val="center"/>
        <w:rPr>
          <w:sz w:val="24"/>
          <w:szCs w:val="24"/>
        </w:rPr>
      </w:pPr>
      <w:r>
        <w:rPr>
          <w:sz w:val="24"/>
          <w:szCs w:val="24"/>
        </w:rPr>
        <w:lastRenderedPageBreak/>
        <w:t>ABSTRACT</w:t>
      </w:r>
    </w:p>
    <w:p w:rsidR="007323B9" w:rsidRDefault="0036059D">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bookmarkStart w:id="1" w:name="_heading=h.f01wzwj16col" w:colFirst="0" w:colLast="0"/>
      <w:bookmarkEnd w:id="1"/>
      <w:r>
        <w:rPr>
          <w:rFonts w:ascii="Times New Roman" w:eastAsia="Times New Roman" w:hAnsi="Times New Roman" w:cs="Times New Roman"/>
          <w:sz w:val="24"/>
          <w:szCs w:val="24"/>
        </w:rPr>
        <w:t>Using Fidelity Bank PLC as a case study, this research examined the effect of online banking on Nigerian commercial banks' profitability from 2020 to 2024.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In particular, it looked at how the use of online banking affected important profitability metrics including net profit margin (NPM), return on equity (ROE), and return on assets (ROA).</w:t>
      </w:r>
      <w:r>
        <w:rPr>
          <w:rFonts w:ascii="Times New Roman" w:eastAsia="Times New Roman" w:hAnsi="Times New Roman" w:cs="Times New Roman"/>
          <w:color w:val="000000"/>
          <w:sz w:val="24"/>
          <w:szCs w:val="24"/>
        </w:rPr>
        <w:t xml:space="preserve"> The study adopted an ex-post facto research design and relied on secondary data obtained from Fidelity Bank’s audited financial statements and relevant publications. Descriptive statistics were used to highlight trends in profitability and internet banking adoption, while inferential analysis using multiple regressions was applied to assess the relationship between internet banking usage and profitability outcomes. The findings revealed that internet banking adoption grew consistently over the study period and exhibited a strong positive correlation with all three profitability indicators. ROE, in particular, demonstrated a statistically significant effect, suggesting that increased digital banking usage contributed substantially to shareholder value. ROA and NPM also improved year over year, although their statistical significance was less pronounced. Overall, the results affirm that digital banking innovations have enhanced the bank’s operational efficiency, customer satisfaction, and financial performance. The study concludes that internet banking remains a critical driver of profitability in the Nigerian banking sector. As customers increasingly embrace digital platforms, banks that invest in user-friendly, secure, and innovative technologies stand to achieve higher returns and maintain a competitive edge. It is therefore recommended that commercial banks intensify efforts in expanding and optimizing their internet banking infrastructure to sustain growth and profitability in a rapidly evolving digital economy.</w:t>
      </w:r>
    </w:p>
    <w:p w:rsidR="007323B9" w:rsidRDefault="007323B9">
      <w:pPr>
        <w:spacing w:after="120" w:line="480" w:lineRule="auto"/>
        <w:jc w:val="center"/>
        <w:rPr>
          <w:rFonts w:ascii="Times New Roman" w:eastAsia="Times New Roman" w:hAnsi="Times New Roman" w:cs="Times New Roman"/>
          <w:b/>
          <w:sz w:val="24"/>
          <w:szCs w:val="24"/>
        </w:rPr>
      </w:pPr>
    </w:p>
    <w:p w:rsidR="007323B9" w:rsidRDefault="0036059D">
      <w:pPr>
        <w:rPr>
          <w:rFonts w:ascii="Times New Roman" w:eastAsia="Times New Roman" w:hAnsi="Times New Roman" w:cs="Times New Roman"/>
          <w:b/>
          <w:sz w:val="24"/>
          <w:szCs w:val="24"/>
        </w:rPr>
      </w:pPr>
      <w:r>
        <w:br w:type="page"/>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ONE</w:t>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7323B9" w:rsidRDefault="0036059D">
      <w:pPr>
        <w:numPr>
          <w:ilvl w:val="1"/>
          <w:numId w:val="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Background to the Study</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Because it facilitates financial transactions, mobilizes deposits, and extends credit to a variety of industries, the banking industry is essential to every nation's economic growth.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The banking sector has changed dramatically as a result of technology breakthroughs, moving from conventional banking practices to digital and internet-based platforms. Internet banking, which allows users to do financial transactions online without going to a physical branch, is among the most revolutionary developments in this area. Customers now enjoy a more accessible, easy, and effective banking experience because of this change, which also has an impact on the operational and financial results Due to rising internet penetration, smartphone use, and consumer desire for quicker financial services, online banking has become more popular in Nigeria.  To improve service delivery and stay competitive, commercial banks—including Fidelity Bank—have made significant investments in digital banking infrastructure.  Even while online banking has several benefits, such lower operating costs and a wider user base, its true effect on banks' profitability is still up for debate.of commercial banks (Ekezie, 2021).</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Nigeria, the adoption of internet banking has been on the rise, driven by increased internet penetration, smartphone usage, and customer demand for faster banking services. Commercial banks, including Fidelity Bank, have invested heavily in digital banking infrastructure to enhance service delivery and remain competitive. While internet banking offers numerous advantages such as reduced operational costs and expanded customer reach, its actual impact on banks' profitability remains a subject of interest. Some studies suggest that internet banking improves financial performance, while others argue that its high </w:t>
      </w:r>
      <w:r>
        <w:rPr>
          <w:rFonts w:ascii="Times New Roman" w:eastAsia="Times New Roman" w:hAnsi="Times New Roman" w:cs="Times New Roman"/>
          <w:color w:val="000000"/>
          <w:sz w:val="24"/>
          <w:szCs w:val="24"/>
        </w:rPr>
        <w:lastRenderedPageBreak/>
        <w:t>implementation costs and security concerns may offset potential gains (Adegbite &amp; Olayemi, 2022).</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evolution of banking technology can be traced back to the introduction of electronic banking (e-banking), which laid the foundation for internet-based financial services. According to Oluwatolani et al. (2011), e-banking encompasses a wide range of financial activities, including online fund transfers, bill payments, and mobile banking applications. The transition from traditional banking to internet banking was further accelerated by globalization and the increasing need for real-time financial transactions (Ayo et al., 2016). This shift has revolutionized customer interactions with banks, reducing reliance on physical branches and increasing the efficiency of service delivery.</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connection between online banking and financial success has been the subject of several research.</w:t>
      </w:r>
      <w:r>
        <w:rPr>
          <w:rFonts w:ascii="Times New Roman" w:eastAsia="Times New Roman" w:hAnsi="Times New Roman" w:cs="Times New Roman"/>
          <w:color w:val="000000"/>
          <w:sz w:val="24"/>
          <w:szCs w:val="24"/>
        </w:rPr>
        <w:t xml:space="preserve"> Agboola (2018) found that Nigerian commercial banks that adopted internet banking experienced improved efficiency and customer satisfaction. Similarly, Adewoye (2019) highlighted that internet banking significantly reduces transaction costs and enhances revenue generation for banks. However, Chukwu and Eze (2020) argued that while internet banking enhances service quality, it does not always translate into higher profitability due to factors such as cyber fraud, regulatory constraints, and initial capital investment in technology.</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Key financial measures including return on equity (ROE), return on assets (ROA), and net profit margin (NPM) are often used to gauge the profitability of commercial banks. These measures provide information on how well banks use their resources to produce profits, claims Nwankwo (2017).</w:t>
      </w:r>
      <w:r>
        <w:rPr>
          <w:rFonts w:ascii="Times New Roman" w:eastAsia="Times New Roman" w:hAnsi="Times New Roman" w:cs="Times New Roman"/>
          <w:color w:val="000000"/>
          <w:sz w:val="24"/>
          <w:szCs w:val="24"/>
        </w:rPr>
        <w:t xml:space="preserve"> The introduction of internet banking has altered traditional revenue streams by reducing physical branch costs while increasing income from digital transactions. Nonetheless, the extent to which internet banking influences profitability varies among </w:t>
      </w:r>
      <w:r>
        <w:rPr>
          <w:rFonts w:ascii="Times New Roman" w:eastAsia="Times New Roman" w:hAnsi="Times New Roman" w:cs="Times New Roman"/>
          <w:color w:val="000000"/>
          <w:sz w:val="24"/>
          <w:szCs w:val="24"/>
        </w:rPr>
        <w:lastRenderedPageBreak/>
        <w:t>banks, depending on their strategic implementation and customer adoption rates (Okoye et al., 2021).</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One of the top commercial banks in Nigeria, Fidelity Bank, has used digital banking technology to improve customer service and operational effectiveness. To meet the changing demands of its clients, the bank has made investments in automated teller machine (ATM) networks, mobile banking applications, and online banking platforms (CBN Report, 2020).</w:t>
      </w:r>
      <w:r>
        <w:rPr>
          <w:rFonts w:ascii="Times New Roman" w:eastAsia="Times New Roman" w:hAnsi="Times New Roman" w:cs="Times New Roman"/>
          <w:color w:val="000000"/>
          <w:sz w:val="24"/>
          <w:szCs w:val="24"/>
        </w:rPr>
        <w:t xml:space="preserve"> Despite these efforts, the bank faces challenges such as cyber threats, customer resistance to digital banking, and regulatory compliance, which may impact the profitability derived from internet banking services (Ekezie, 2021).</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Furthermore, the increasing competition in Nigeria’s banking sector has necessitated continuous innovation in digital financial services. Banks that fail to adopt modern banking technologies risk losing customers to more technologically advanced competitors (Oseni &amp; Salami, 2019). Internet banking, therefore, serves as both a competitive advantage and a potential challenge for commercial banks, requiring a careful balance between investment in technology and profitability.</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regulatory environment in Nigeria also plays a crucial role in shaping the impact of internet banking on commercial banks. The Central Bank of Nigeria (CBN) has introduced various policies to promote digital banking while ensuring consumer protection and financial stability. However, compliance with these regulations may sometimes increase operational costs for banks, affecting their overall profitability (Adegbite &amp; Olayemi, 2022).</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Fidelity Bank, one of Nigeria's leading commercial banks, has enhanced customer service and operational efficiency via the use of digital banking technologies. The bank has invested in internet banking systems, mobile banking apps, and automated teller machine (ATM) networks in order to satisfy the evolving needs of its customers (CBN Report, 2020).</w:t>
      </w:r>
    </w:p>
    <w:p w:rsidR="007323B9" w:rsidRDefault="0036059D">
      <w:pPr>
        <w:numPr>
          <w:ilvl w:val="1"/>
          <w:numId w:val="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Statement of the Problem</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quick development of financial technology, especially the use of online banking, has caused major changes in Nigeria's banking industry. The introduction of internet banking aims to increase client happiness, lower transaction costs, and improve service delivery. Notwithstanding these benefits, it is still unclear whether internet banking has made a substantial contribution to Nigerian commercial banks' profitability. While some banks claim higher income and operational efficiency, others face challenges related to high implementation costs, consumer uptake, and security risks. This begs the question of how online banking really affects Nigerian commercial banks' financial results, especially Fidelity Bank.</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major challenges facing commercial banks is the high cost of adopting and maintaining internet banking infrastructure. While digital banking reduces dependency on physical branches and personnel, the cost of cybersecurity measures, software development, and compliance with regulatory requirements can be substantial. Additionally, the prevalence of cyber fraud, hacking, and phishing attacks has made customers skeptical about fully embracing internet banking services. If these risks are not properly managed, they could negatively affect customer confidence and reduce the bank's profitability rather than improving it.</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despite the increasing internet penetration in Nigeria, many customers still prefer traditional banking methods due to factors such as lack of trust, poor digital literacy, and unreliable network connectivity. Some bank customers are hesitant to use internet banking platforms due to fear of transaction failures and unauthorized deductions. This slow rate of adoption raises questions about whether internet banking has been effectively leveraged to drive revenue growth for banks like Fidelity Bank . If a large proportion of </w:t>
      </w:r>
      <w:r>
        <w:rPr>
          <w:rFonts w:ascii="Times New Roman" w:eastAsia="Times New Roman" w:hAnsi="Times New Roman" w:cs="Times New Roman"/>
          <w:sz w:val="24"/>
          <w:szCs w:val="24"/>
        </w:rPr>
        <w:lastRenderedPageBreak/>
        <w:t>customers remain unbanked digitally, the expected financial benefits of internet banking may not be fully realized.</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empirical study on the effect of internet banking on Fidelity Bank's profitability is required in light of these worries. The purpose of this research is to determine if the bank's financial development has been much aided by the use of online banking between 2020 and 2024, or whether the difficulties that have arisen have hindered its profitability. </w:t>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Objectives of the Study</w:t>
      </w:r>
    </w:p>
    <w:p w:rsidR="007323B9" w:rsidRDefault="0036059D">
      <w:pPr>
        <w:spacing w:before="280" w:after="2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Fidelity Bank (2020–2024) as a case study, the primary goal of this research is to investigate how internet banking affects the profitability of Nigerian commercial banks. </w:t>
      </w:r>
    </w:p>
    <w:p w:rsidR="007323B9" w:rsidRDefault="0036059D">
      <w:pPr>
        <w:spacing w:before="280" w:after="2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Specifically, this study aims to:</w:t>
      </w:r>
    </w:p>
    <w:p w:rsidR="007323B9" w:rsidRDefault="0036059D">
      <w:pPr>
        <w:numPr>
          <w:ilvl w:val="0"/>
          <w:numId w:val="13"/>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Analyze how online banking affects Fidelity Bank's return on assets (ROA).</w:t>
      </w:r>
    </w:p>
    <w:p w:rsidR="007323B9" w:rsidRDefault="0036059D">
      <w:pPr>
        <w:numPr>
          <w:ilvl w:val="0"/>
          <w:numId w:val="13"/>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Examine the connection between Fidelity Bank's Return on Equity (ROE) and online banking.</w:t>
      </w:r>
    </w:p>
    <w:p w:rsidR="007323B9" w:rsidRDefault="0036059D">
      <w:pPr>
        <w:spacing w:after="0"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3. Analyze the impact of online banking on Fidelity Bank's net profit margin (NPM).</w:t>
      </w:r>
    </w:p>
    <w:p w:rsidR="007323B9" w:rsidRDefault="0036059D">
      <w:pPr>
        <w:numPr>
          <w:ilvl w:val="1"/>
          <w:numId w:val="1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Questions</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accomplish the study's goals, the following research questions were developed:</w:t>
      </w:r>
    </w:p>
    <w:p w:rsidR="007323B9" w:rsidRDefault="0036059D">
      <w:pPr>
        <w:numPr>
          <w:ilvl w:val="0"/>
          <w:numId w:val="12"/>
        </w:num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impact does online banking have on Fidelity Bank's Return on Assets (ROA)?</w:t>
      </w:r>
    </w:p>
    <w:p w:rsidR="007323B9" w:rsidRDefault="0036059D">
      <w:pPr>
        <w:numPr>
          <w:ilvl w:val="0"/>
          <w:numId w:val="12"/>
        </w:num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connection exists between Fidelity Bank's Return on Equity (ROE) and online banking?</w:t>
      </w:r>
    </w:p>
    <w:p w:rsidR="007323B9" w:rsidRDefault="0036059D">
      <w:pPr>
        <w:numPr>
          <w:ilvl w:val="0"/>
          <w:numId w:val="12"/>
        </w:num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How much of an impact does online banking have on Fidelity Bank's Net Profit Margin (NPM)?</w:t>
      </w:r>
    </w:p>
    <w:p w:rsidR="007323B9" w:rsidRDefault="0036059D">
      <w:pPr>
        <w:rPr>
          <w:rFonts w:ascii="Times New Roman" w:eastAsia="Times New Roman" w:hAnsi="Times New Roman" w:cs="Times New Roman"/>
          <w:b/>
          <w:sz w:val="24"/>
          <w:szCs w:val="24"/>
        </w:rPr>
      </w:pPr>
      <w:r>
        <w:br w:type="page"/>
      </w:r>
    </w:p>
    <w:p w:rsidR="007323B9" w:rsidRDefault="0036059D">
      <w:pPr>
        <w:numPr>
          <w:ilvl w:val="1"/>
          <w:numId w:val="1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Research Hypotheses</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following null hypotheses were developed in order to examine how online banking affected Fidelity Bank's profitability:</w:t>
      </w:r>
    </w:p>
    <w:p w:rsidR="007323B9" w:rsidRDefault="0036059D">
      <w:pPr>
        <w:numPr>
          <w:ilvl w:val="0"/>
          <w:numId w:val="8"/>
        </w:numPr>
        <w:spacing w:after="120" w:line="480" w:lineRule="auto"/>
        <w:jc w:val="both"/>
      </w:pPr>
      <w:r>
        <w:rPr>
          <w:rFonts w:ascii="Times New Roman" w:eastAsia="Times New Roman" w:hAnsi="Times New Roman" w:cs="Times New Roman"/>
          <w:sz w:val="24"/>
          <w:szCs w:val="24"/>
        </w:rPr>
        <w:t>H01: There is no discernible effect of internet banking on Fidelity Bank's Return on Assets (ROA).</w:t>
      </w:r>
    </w:p>
    <w:p w:rsidR="007323B9" w:rsidRDefault="0036059D">
      <w:pPr>
        <w:numPr>
          <w:ilvl w:val="0"/>
          <w:numId w:val="8"/>
        </w:numPr>
        <w:spacing w:after="120" w:line="480" w:lineRule="auto"/>
        <w:jc w:val="both"/>
      </w:pPr>
      <w:r>
        <w:rPr>
          <w:rFonts w:ascii="Times New Roman" w:eastAsia="Times New Roman" w:hAnsi="Times New Roman" w:cs="Times New Roman"/>
          <w:sz w:val="24"/>
          <w:szCs w:val="24"/>
        </w:rPr>
        <w:t>H02: Fidelity Bank's Return on Equity (ROE) and online banking do not significantly correlate.</w:t>
      </w:r>
    </w:p>
    <w:p w:rsidR="007323B9" w:rsidRDefault="0036059D">
      <w:pPr>
        <w:numPr>
          <w:ilvl w:val="0"/>
          <w:numId w:val="8"/>
        </w:numPr>
        <w:pBdr>
          <w:top w:val="nil"/>
          <w:left w:val="nil"/>
          <w:bottom w:val="nil"/>
          <w:right w:val="nil"/>
          <w:between w:val="nil"/>
        </w:pBdr>
        <w:spacing w:after="120" w:line="480" w:lineRule="auto"/>
        <w:jc w:val="both"/>
      </w:pPr>
      <w:r>
        <w:rPr>
          <w:rFonts w:ascii="Times New Roman" w:eastAsia="Times New Roman" w:hAnsi="Times New Roman" w:cs="Times New Roman"/>
          <w:sz w:val="24"/>
          <w:szCs w:val="24"/>
        </w:rPr>
        <w:t>H03: Fidelity Bank's Net Profit Margin (NPM) is not substantially impacted by internet banking.</w:t>
      </w:r>
      <w:r>
        <w:rPr>
          <w:rFonts w:ascii="Times New Roman" w:eastAsia="Times New Roman" w:hAnsi="Times New Roman" w:cs="Times New Roman"/>
          <w:color w:val="000000"/>
          <w:sz w:val="24"/>
          <w:szCs w:val="24"/>
        </w:rPr>
        <w:t xml:space="preserve"> </w:t>
      </w:r>
    </w:p>
    <w:p w:rsidR="007323B9" w:rsidRDefault="0036059D">
      <w:pPr>
        <w:numPr>
          <w:ilvl w:val="1"/>
          <w:numId w:val="1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Significance of the Study</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This research is important because it sheds light on how internet banking affects Nigerian commercial banks' profitability, especially Fidelity Bank. Numerous parties involved in the banking and financial industry will benefit from the results, including the following:</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sz w:val="24"/>
          <w:szCs w:val="24"/>
        </w:rPr>
        <w:t>Financial institutions and commercial banks will benefit from this research by better understanding how much online banking boosts profitability.</w:t>
      </w:r>
      <w:r>
        <w:rPr>
          <w:rFonts w:ascii="Times New Roman" w:eastAsia="Times New Roman" w:hAnsi="Times New Roman" w:cs="Times New Roman"/>
          <w:color w:val="000000"/>
          <w:sz w:val="24"/>
          <w:szCs w:val="24"/>
        </w:rPr>
        <w:t xml:space="preserve"> allowing them to make informed decisions on digital banking investments, operational efficiency, and risk management. It will also provide insights into how banks can optimize internet banking services to enhance revenue generation.</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Bank Customers: By identifying the challenges and benefits of internet banking, this research will help customers understand how digital banking can improve their banking experience, security, and convenience. It will also encourage greater adoption of internet banking services.</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lastRenderedPageBreak/>
        <w:t>Regulatory Authorities (CBN and NDIC): The findings will assist the Central Bank of Nigeria (CBN) and the Nigeria Deposit Insurance Corporation (NDIC) in formulating effective policies and regulations to enhance the security, efficiency, and profitability of internet banking in Nigeria. This will ensure stability and trust in the banking sector.</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sz w:val="24"/>
          <w:szCs w:val="24"/>
        </w:rPr>
        <w:t>Investors and Shareholders: The research will provide light on the relationship between online banking and shareholder value and bank profitability.</w:t>
      </w:r>
      <w:r>
        <w:rPr>
          <w:rFonts w:ascii="Times New Roman" w:eastAsia="Times New Roman" w:hAnsi="Times New Roman" w:cs="Times New Roman"/>
          <w:color w:val="000000"/>
          <w:sz w:val="24"/>
          <w:szCs w:val="24"/>
        </w:rPr>
        <w:t xml:space="preserve"> enabling investors to make informed decisions regarding their investments in commercial banks.</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sz w:val="24"/>
          <w:szCs w:val="24"/>
        </w:rPr>
        <w:t>Scholars and Scholars: As a reference for further research on internet banking, financial technology, and bank profitability, this study will add to the body of information already available on digital banking and financial performance.</w:t>
      </w:r>
    </w:p>
    <w:p w:rsidR="007323B9" w:rsidRDefault="0036059D">
      <w:pPr>
        <w:numPr>
          <w:ilvl w:val="0"/>
          <w:numId w:val="9"/>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Bank Employees and Management: The study will help bank employees and management understand how internet banking affects job roles, customer interactions, and operational efficiency, allowing them to adapt to digital transformation in the banking industry.</w:t>
      </w:r>
    </w:p>
    <w:p w:rsidR="007323B9" w:rsidRDefault="0036059D">
      <w:pPr>
        <w:numPr>
          <w:ilvl w:val="1"/>
          <w:numId w:val="1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Scope of the Study</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a focus on Fidelity Bank specifically, this research examines how internet banking affects the profitability of Nigerian commercial banks. The study spans the years 2020–2024, when Nigerian banks progressively embraced digital banking technology to improve service provision. The purpose of this time period is to investigate how much internet banking impacted the bank's financial performance prior to the subsequent broad adoption of fintech solutions.</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Nigeria is the only geographic focus of this research since the Central Bank of Nigeria (CBN) sets the rules governing the banking industry. The case study uses Fidelity Bank, one of the top commercial banks in the nation, to shed light on how internet banking has affected Nigerian banks' financial results. Although the bank operates branches across different states, the study will analyze its overall performance rather than focusing on individual branches.</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study's content scope includes important financial metrics that gauge Fidelity Bank's profitability. These consist of Net Profit Margin (NPM), Return on Equity (ROE), and Return on Assets (ROA). Additionally, the study will look at how online banking has affected consumer adoption rates, revenue creation, and operating expenses. </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is limited to secondary data sources, primarily relying on Fidelity Bank 's annual financial reports, CBN publications, and existing literature on internet banking and profitability. In order to demonstrate a data-driven link between online banking and profitability, the research will concentrate on financial records and industry statistics, even if primary data like customer and staff perspectives may provide additional insights. Banking experts, legislators, and financial institutions seeking to maximize online banking services for increased profitability will find value in the study's conclusions.</w:t>
      </w:r>
    </w:p>
    <w:p w:rsidR="007323B9" w:rsidRDefault="0036059D">
      <w:pPr>
        <w:numPr>
          <w:ilvl w:val="1"/>
          <w:numId w:val="11"/>
        </w:numPr>
        <w:pBdr>
          <w:top w:val="nil"/>
          <w:left w:val="nil"/>
          <w:bottom w:val="nil"/>
          <w:right w:val="nil"/>
          <w:between w:val="nil"/>
        </w:pBdr>
        <w:spacing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Definition of Terms</w:t>
      </w:r>
    </w:p>
    <w:p w:rsidR="007323B9" w:rsidRDefault="0036059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key terms are defined to provide clarity and a better understanding of concepts used in this study:</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 xml:space="preserve">Internet Banking – </w:t>
      </w:r>
      <w:r>
        <w:rPr>
          <w:rFonts w:ascii="Times New Roman" w:eastAsia="Times New Roman" w:hAnsi="Times New Roman" w:cs="Times New Roman"/>
          <w:sz w:val="24"/>
          <w:szCs w:val="24"/>
        </w:rPr>
        <w:t>an online platform that enables users to do financial operations including cash transfers, bill payments, and account management without going to a real bank office.</w:t>
      </w:r>
    </w:p>
    <w:p w:rsidR="007323B9" w:rsidRDefault="0036059D">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Profitability – </w:t>
      </w:r>
      <w:r>
        <w:rPr>
          <w:rFonts w:ascii="Times New Roman" w:eastAsia="Times New Roman" w:hAnsi="Times New Roman" w:cs="Times New Roman"/>
          <w:sz w:val="24"/>
          <w:szCs w:val="24"/>
        </w:rPr>
        <w:t xml:space="preserve">The capacity of a company or financial institution to make money in relation to its costs during a certain time period is known as profitability. Financial </w:t>
      </w:r>
      <w:r>
        <w:rPr>
          <w:rFonts w:ascii="Times New Roman" w:eastAsia="Times New Roman" w:hAnsi="Times New Roman" w:cs="Times New Roman"/>
          <w:sz w:val="24"/>
          <w:szCs w:val="24"/>
        </w:rPr>
        <w:lastRenderedPageBreak/>
        <w:t>metrics like Return on Equity (ROE), Return on Assets (ROA), and Net Profit Margin (NPM) are used in banking to quantify profitability and evaluate the efficiency and performance of the bank's finances.</w:t>
      </w:r>
    </w:p>
    <w:p w:rsidR="007323B9" w:rsidRDefault="0036059D">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Assets (ROA) – ROA measures how efficiently a bank or company utilizes its total assets to generate profit. It is calculated as Net Income divided by Total Assets and is expressed as a percentage. A higher ROA indicates that the bank is effectively using its assets to generate earnings.</w:t>
      </w:r>
    </w:p>
    <w:p w:rsidR="007323B9" w:rsidRDefault="0036059D">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Equity (ROE) – ROE evaluates the profitability of a bank in relation to its shareholders' equity. It is calculated as Net Income divided by Shareholders' Equity and is expressed as a percentage. ROE helps assess how well a bank is using investors' funds to generate profit.</w:t>
      </w:r>
    </w:p>
    <w:p w:rsidR="007323B9" w:rsidRDefault="0036059D">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 Profit Margin (NPM) – NPM measures the percentage of revenue that remains as profit after all expenses, including interest and taxes, have been deducted. It is calculated as Net Profit divided by Total Revenue and expressed as a percentage. A higher NPM indicates greater profitability and efficiency in managing costs.</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Commercial Banks – Financial institutions licensed to provide banking services such as deposits, loans, and payment processing to individuals, businesses, and government entities.</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Fidelity Bank – A Nigerian commercial bank that offers a wide range of banking services, including internet banking, to enhance customer experience and operational efficiency.</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Operational Costs – The expenses incurred by a bank to maintain its daily operations, including costs related to infrastructure, technology, and customer service.</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Cybersecurity – The protection of internet banking systems and customer data from cyber threats such as fraud, hacking, phishing, and unauthorized access.</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lastRenderedPageBreak/>
        <w:t>Financial Performance – A measure of how well a bank utilizes its assets to generate revenue and profits, often assessed using financial ratios and annual reports.</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Banking Regulations – Laws and policies set by financial authorities such as the Central Bank of Nigeria (CBN) to ensure the stability, security, and efficiency of the banking sector.</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Customer Adoption – The rate at which bank customers accept and use internet banking services based on factors such as convenience, trust, and digital literacy.</w:t>
      </w:r>
    </w:p>
    <w:p w:rsidR="007323B9" w:rsidRDefault="0036059D">
      <w:pPr>
        <w:numPr>
          <w:ilvl w:val="0"/>
          <w:numId w:val="10"/>
        </w:numPr>
        <w:pBdr>
          <w:top w:val="nil"/>
          <w:left w:val="nil"/>
          <w:bottom w:val="nil"/>
          <w:right w:val="nil"/>
          <w:between w:val="nil"/>
        </w:pBdr>
        <w:spacing w:after="120" w:line="480" w:lineRule="auto"/>
        <w:jc w:val="both"/>
      </w:pPr>
      <w:r>
        <w:rPr>
          <w:rFonts w:ascii="Times New Roman" w:eastAsia="Times New Roman" w:hAnsi="Times New Roman" w:cs="Times New Roman"/>
          <w:color w:val="000000"/>
          <w:sz w:val="24"/>
          <w:szCs w:val="24"/>
        </w:rPr>
        <w:t xml:space="preserve">Digital Transformation – </w:t>
      </w:r>
      <w:r>
        <w:rPr>
          <w:rFonts w:ascii="Times New Roman" w:eastAsia="Times New Roman" w:hAnsi="Times New Roman" w:cs="Times New Roman"/>
          <w:sz w:val="24"/>
          <w:szCs w:val="24"/>
        </w:rPr>
        <w:t>Profitability is the ability of a business or financial institution to turn a profit relative to its expenses over a certain time frame. The banking industry uses financial indicators such as Return on Equity (ROE), Return on Assets (ROA), and Net Profit Margin (NPM) to measure profitability and assess the effectiveness and performance of the bank's finances.</w:t>
      </w:r>
    </w:p>
    <w:p w:rsidR="007323B9" w:rsidRDefault="0036059D">
      <w:pPr>
        <w:rPr>
          <w:rFonts w:ascii="Times New Roman" w:eastAsia="Times New Roman" w:hAnsi="Times New Roman" w:cs="Times New Roman"/>
          <w:b/>
          <w:sz w:val="24"/>
          <w:szCs w:val="24"/>
        </w:rPr>
      </w:pPr>
      <w:r>
        <w:br w:type="page"/>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TWO</w:t>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 OF RELATED LITERATURE</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provides a thorough analysis of the body of research on how internet banking affects Nigerian commercial banks' profitability, with a particular emphasis on Fidelity Bank (2020–2024). Four parts make up the format of the review: </w:t>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 Review</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Concept of Internet Banking</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Overview of Fidelity Bank </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Concept of Profitability in Banking</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Assets (ROA) in Banking</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Equity (ROE) in Banking</w:t>
      </w:r>
    </w:p>
    <w:p w:rsidR="007323B9" w:rsidRDefault="0036059D">
      <w:pPr>
        <w:numPr>
          <w:ilvl w:val="0"/>
          <w:numId w:val="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 Profit Margin (NPM) in Banking</w:t>
      </w:r>
    </w:p>
    <w:p w:rsidR="007323B9" w:rsidRDefault="0036059D">
      <w:pPr>
        <w:numPr>
          <w:ilvl w:val="0"/>
          <w:numId w:val="2"/>
        </w:numPr>
        <w:pBdr>
          <w:top w:val="nil"/>
          <w:left w:val="nil"/>
          <w:bottom w:val="nil"/>
          <w:right w:val="nil"/>
          <w:between w:val="nil"/>
        </w:pBdr>
        <w:spacing w:after="12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connection between profitability and online banking</w:t>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Review</w:t>
      </w:r>
    </w:p>
    <w:p w:rsidR="007323B9" w:rsidRDefault="0036059D">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Davis (1989) developed the Technology Acceptance Model (TAM).</w:t>
      </w:r>
    </w:p>
    <w:p w:rsidR="007323B9" w:rsidRDefault="0036059D">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Rogers (1962) developed the Innovation Diffusion Theory (IDT).</w:t>
      </w:r>
    </w:p>
    <w:p w:rsidR="007323B9" w:rsidRDefault="0036059D">
      <w:pPr>
        <w:numPr>
          <w:ilvl w:val="0"/>
          <w:numId w:val="3"/>
        </w:num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Profitability Theory – Du Pont Model (1919)</w:t>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Empirical Review</w:t>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Related Literature</w:t>
      </w:r>
    </w:p>
    <w:p w:rsidR="007323B9" w:rsidRDefault="0036059D">
      <w:pPr>
        <w:rPr>
          <w:rFonts w:ascii="Times New Roman" w:eastAsia="Times New Roman" w:hAnsi="Times New Roman" w:cs="Times New Roman"/>
          <w:sz w:val="24"/>
          <w:szCs w:val="24"/>
        </w:rPr>
      </w:pPr>
      <w:r>
        <w:br w:type="page"/>
      </w:r>
    </w:p>
    <w:p w:rsidR="007323B9" w:rsidRDefault="0036059D">
      <w:pPr>
        <w:spacing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 Conceptual Review</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conceptual review offers a thorough explanation of the main factors that are pertinent to this investigation, such as Fidelity Bank, online banking, return on equity (ROE), return on assets (ROA), and net profit margin (NPM). This section explores their definitions, significance, and how they relate to the profitability of commercial banks.</w:t>
      </w:r>
    </w:p>
    <w:p w:rsidR="007323B9" w:rsidRDefault="0036059D">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 Concept of Internet Banking</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 banking, also referred to as internet banking, is the provision of banking services via digital platforms that allow clients to transact financially online without having to go to a physical office. By providing increased comfort, accessibility, and efficiency to both customers and financial institutions, this invention has completely transformed the banking sector (Alalwan, Dwivedi, &amp; Williams, 2016).</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 banking, often known as internet banking, is the delivery of banking services using digital platforms that let customers conduct financial transactions without physically visiting an office. This innovation has revolutionized the banking industry by offering consumers and financial institutions more comfort, accessibility, and efficiency (Alalwan, Dwivedi, &amp; Williams, 2016).</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its numerous benefits, the implementation of internet banking presents several challenges. Security concerns remain paramount, as the rise in cyber threats necessitates robust measures to protect sensitive financial data. Financial institutions must invest in advanced security protocols and continuously update their systems to safeguard against potential breaches (Gomber, Koch, &amp; Siering, 2017). Additionally, ensuring equitable access to digital banking services is crucial, as disparities in internet availability and digital literacy </w:t>
      </w:r>
      <w:r>
        <w:rPr>
          <w:rFonts w:ascii="Times New Roman" w:eastAsia="Times New Roman" w:hAnsi="Times New Roman" w:cs="Times New Roman"/>
          <w:sz w:val="24"/>
          <w:szCs w:val="24"/>
        </w:rPr>
        <w:lastRenderedPageBreak/>
        <w:t>can hinder the adoption of internet banking among certain populations (Shaikh &amp; Karjaluoto, 2023).</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 COVID-19 outbreak has highlighted the need of online banking. With restrictions on physical interactions, consumers have increasingly turned to online banking platforms to manage their finances. This surge in usage has prompted banks to enhance their digital offerings and infrastructure to accommodate the growing demand for contactless financial services (Arner, Barberis, &amp; Buckley, 2017).</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banking is essential for advancing financial inclusion in emerging nations like Nigeria. In order to integrate more people into the official financial system, banks may expand their services to underserved and rural locations by using digital platforms. Because it gives people and companies access to credit, savings, and other financial products, this inclusion is crucial for economic growth (Mothobi &amp; Grzybowski, 2017).</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future of internet banking is poised to be shaped by emerging technologies such as artificial intelligence (AI), blockchain, and big data analytics. AI can enhance customer service through personalized banking experiences and chatbots, while blockchain offers the potential for more secure and transparent transactions. Big data analytics enables banks to gain deeper insights into customer behavior, facilitating the development of tailored financial products and services (Yermack, 2017).</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Regulatory frameworks are also evolving to keep pace with the advancements in internet banking. Governments and financial regulators are implementing policies to ensure the security and integrity of digital financial transactions, protect consumer interests, and foster innovation in the banking sector. These regulations are crucial in building and maintaining public trust in internet banking systems (Nguyen &amp; Huynh, 2018).</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By giving customers a more practical and effective method to handle their money, internet banking has completely changed the conventional banking environment. Even if problems like the digital divide and security concerns still exist, ongoing technology developments and encouraging legislative actions are opening the door to a more robust and inclusive digital banking environment (Gomber et al., 2017).</w:t>
      </w:r>
    </w:p>
    <w:p w:rsidR="007323B9" w:rsidRDefault="0036059D">
      <w:pPr>
        <w:pStyle w:val="Heading3"/>
        <w:spacing w:before="280" w:after="280" w:line="480" w:lineRule="auto"/>
        <w:jc w:val="both"/>
        <w:rPr>
          <w:sz w:val="24"/>
          <w:szCs w:val="24"/>
        </w:rPr>
      </w:pPr>
      <w:r>
        <w:rPr>
          <w:sz w:val="24"/>
          <w:szCs w:val="24"/>
        </w:rPr>
        <w:t>2.1.2 Features and Services of Internet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Convenience, flexibility, and accessibility to banking services at any time and location are just a few of the features and services that internet banking provides to improve the client experience. According to Alalwan et al. (2016), these services allow consumers to do a variety of financial activities without having to go to a real bank office.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Accessible via banking websites or mobile apps, the main services include online loan applications, financial transfers, bill payments, and account maintenance.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primary services, which are available via banking websites or mobile apps, are online loan applications, money transfers, bill payment, and account upkeep.</w:t>
      </w:r>
      <w:r>
        <w:rPr>
          <w:rFonts w:ascii="Times New Roman" w:eastAsia="Times New Roman" w:hAnsi="Times New Roman" w:cs="Times New Roman"/>
          <w:color w:val="000000"/>
          <w:sz w:val="24"/>
          <w:szCs w:val="24"/>
        </w:rPr>
        <w:t xml:space="preserve"> This feature allows users to track their spending, monitor financial activity, and ensure that their accounts are in good standing (Shaikh &amp; Karjaluoto, 2023). Furthermore, users can set up account alerts to receive notifications on specific activities such as deposits, withdrawals, or suspicious transactions, thereby improving overall account monitoring.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Fund transfer services are a critical aspect of internet banking, allowing customers to send money between accounts, both within the same bank and across different financial institutions. Domestic and international transfers can be completed instantly or within a few business days, depending on the service selected. This feature provides users with the ability to manage their finances and make payments on time without needing to visit a bank branch </w:t>
      </w:r>
      <w:r>
        <w:rPr>
          <w:rFonts w:ascii="Times New Roman" w:eastAsia="Times New Roman" w:hAnsi="Times New Roman" w:cs="Times New Roman"/>
          <w:color w:val="000000"/>
          <w:sz w:val="24"/>
          <w:szCs w:val="24"/>
        </w:rPr>
        <w:lastRenderedPageBreak/>
        <w:t>(Ozili, 2018). In addition, customers can set up automated transfers for recurring payments such as utility bills, ensuring that payments are made promptly.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Another popular feature of online banking is the ability to pay bills. Through their online banking platform, customers may pay their credit card bills, energy bills, insurance premiums, and other services immediately. The</w:t>
      </w:r>
      <w:r>
        <w:rPr>
          <w:rFonts w:ascii="Times New Roman" w:eastAsia="Times New Roman" w:hAnsi="Times New Roman" w:cs="Times New Roman"/>
          <w:color w:val="000000"/>
          <w:sz w:val="24"/>
          <w:szCs w:val="24"/>
        </w:rPr>
        <w:t xml:space="preserve"> ability to schedule payments in advance ensures that customers avoid late fees and maintain a good financial standing (Gomber et al., 2017). Furthermore, many banks allow users to make payments through their mobile applications, making bill payment even more accessible and user-friendly.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Online loan applications are increasingly offered as part of internet banking services. Customers can apply for personal loans, mortgages, and business loans directly from the bank’s website or app. The application process typically involves completing a form, submitting necessary documents, and receiving approval or rejection based on creditworthiness. This service has made borrowing easier and faster for individuals and businesses, reducing the time and effort required for traditional loan applications (Arner et al., 2017).</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Security features are essential in internet banking, given the sensitive nature of the transactions being performed. </w:t>
      </w:r>
      <w:r>
        <w:rPr>
          <w:rFonts w:ascii="Times New Roman" w:eastAsia="Times New Roman" w:hAnsi="Times New Roman" w:cs="Times New Roman"/>
          <w:sz w:val="24"/>
          <w:szCs w:val="24"/>
        </w:rPr>
        <w:t>Banks utilize a variety of security measures, such as encryption techniques, secure login processes, and two-factor authentication, to safeguard consumers' financial information. These safeguards aid in preventing unwanted account access and guarantee the protection of private data (Gomber et al., 2017).</w:t>
      </w:r>
      <w:r>
        <w:rPr>
          <w:rFonts w:ascii="Times New Roman" w:eastAsia="Times New Roman" w:hAnsi="Times New Roman" w:cs="Times New Roman"/>
          <w:color w:val="000000"/>
          <w:sz w:val="24"/>
          <w:szCs w:val="24"/>
        </w:rPr>
        <w:t xml:space="preserve"> Banks also employ firewalls, intrusion detection systems, and fraud detection software to safeguard against cyber threats.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In the realm of digital banking, mobile banking—a subset of online banking—is becoming more and more popular. Customers may use their smartphones or tablets to access their </w:t>
      </w:r>
      <w:r>
        <w:rPr>
          <w:rFonts w:ascii="Times New Roman" w:eastAsia="Times New Roman" w:hAnsi="Times New Roman" w:cs="Times New Roman"/>
          <w:sz w:val="24"/>
          <w:szCs w:val="24"/>
        </w:rPr>
        <w:lastRenderedPageBreak/>
        <w:t>accounts, conduct financial transactions, and keep an eye on their activity by utilizing mobile banking programs.</w:t>
      </w:r>
      <w:r>
        <w:rPr>
          <w:rFonts w:ascii="Times New Roman" w:eastAsia="Times New Roman" w:hAnsi="Times New Roman" w:cs="Times New Roman"/>
          <w:color w:val="000000"/>
          <w:sz w:val="24"/>
          <w:szCs w:val="24"/>
        </w:rPr>
        <w:t xml:space="preserve"> This feature has brought banking to the palm of the customer’s hand, offering on-the-go services that are both time-saving and efficient (Mothobi &amp; Grzybowski, 2017). Mobile banking services also provide location-based features such as finding nearby ATMs and bank branches.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Lastly, internet banking services also include investment and wealth management tools. Many banks provide online platforms for customers to manage their investments, track their portfolios, and buy or sell stocks and bonds. These tools help users to make informed decisions about their finances and investments, offering features like real-time market updates and portfolio analysis (Yermack, 2017). The integration of such services into internet banking platforms has made financial management more accessible to a broader audience.</w:t>
      </w:r>
    </w:p>
    <w:p w:rsidR="007323B9" w:rsidRDefault="0036059D">
      <w:pPr>
        <w:pStyle w:val="Heading3"/>
        <w:spacing w:before="280" w:after="280" w:line="480" w:lineRule="auto"/>
        <w:jc w:val="both"/>
        <w:rPr>
          <w:sz w:val="24"/>
          <w:szCs w:val="24"/>
        </w:rPr>
      </w:pPr>
      <w:r>
        <w:rPr>
          <w:sz w:val="24"/>
          <w:szCs w:val="24"/>
        </w:rPr>
        <w:t>2.1.3 Benefits and Challenges of Internet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Like any other technical development, internet banking has both noteworthy advantages and disadvantages. Financial organizations and customers alike must be aware of these benefits and drawbacks as they influence how they use and view digital banking services.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Benefits of Internet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ease that online banking provides to users is one of its main advantages. Customers no longer need to visit physical bank offices to conduct transactions since they can do it from anywhere at any time with online banking. From monitoring balances and transferring cash to paying bills and applying for loans, this ease enables round-the-clock access to banking services (Shaikh &amp; Karjaluoto, 2023). Furthermore, it removes geographical restrictions, giving people in isolated or underprivileged places access to financial services that they would not have had before.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Internet banking also offers cost-effectiveness, both for financial institutions and customers. Banks can reduce operational costs associated with running physical branches, including staffing and overhead costs (Ozili, 2018). For customers, internet banking can reduce transaction fees, as many online services are offered with lower or no fees compared to traditional banking methods (Gomber et al., 2017). This affordability makes banking services more accessible to a larger population.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improvement of financial inclusion is still another important advantage. People who lack access to traditional banking facilities may participate in the financial system using online banking platforms. Internet banking promotes financial inclusion by offering services like bill payment, microloans, and savings accounts via digital platforms, particularly in developing nations with weak conventional banking infrastructure (Mothobi &amp; Grzybowski, 2017).</w:t>
      </w:r>
      <w:r>
        <w:rPr>
          <w:rFonts w:ascii="Times New Roman" w:eastAsia="Times New Roman" w:hAnsi="Times New Roman" w:cs="Times New Roman"/>
          <w:color w:val="000000"/>
          <w:sz w:val="24"/>
          <w:szCs w:val="24"/>
        </w:rPr>
        <w:t xml:space="preserve"> Digital platforms help bridge the gap for underserved populations, offering them greater access to essential financial services.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Additionally, by offering individualized services, online banking may enhance the client experience. Banks may provide individualized services and product suggestions based on the tastes and behavior of their clients by using cutting-edge technology like artificial intelligence (AI) and big data analytics. Customer loyalty and satisfaction may increase as a result of this customisation (Yermack, 2017). For instance, chatbots driven by AI provide prompt and effective customer support, cutting down on wait times and enhancing the user experience in general.</w:t>
      </w:r>
    </w:p>
    <w:p w:rsidR="007323B9" w:rsidRDefault="0036059D">
      <w:pPr>
        <w:rPr>
          <w:rFonts w:ascii="Times New Roman" w:eastAsia="Times New Roman" w:hAnsi="Times New Roman" w:cs="Times New Roman"/>
          <w:b/>
          <w:sz w:val="24"/>
          <w:szCs w:val="24"/>
        </w:rPr>
      </w:pPr>
      <w:r>
        <w:br w:type="page"/>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Challenges of Internet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Internet banking has numerous advantages, but it also has drawbacks. The danger of cybercrime and security breaches is one of the biggest obstacles. The danger of fraud, hacking, and identity theft has grown significantly with the rise in digital transactions. To safeguard clients' private financial information, banks must constantly invest in cutting-edge security measures including encryption, multi-factor authentication, and fraud detection systems (Gomber et al., 2017). Customer discontent and a loss of confidence may result from inadequately addressing these issues.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digital gap is another issue, especially in poorer nations. Internet banking has the potential to increase financial inclusion, but it may also exclude those without access to the required technology or internet connection. It may be challenging for many rural or underprivileged communities to take use of online banking services if they lack cellphones, laptops, or dependable internet connections (Shaikh &amp; Karjaluoto, 2023). This digital gap emphasizes how crucial it is to guarantee that everyone, irrespective of socioeconomic background or geographic location, can use online banking services.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Furthermore, some customers may lack the digital literacy necessary to fully utilize internet banking services. As technology continues to evolve, older adults and individuals who are not tech-savvy may struggle to navigate online platforms and applications. This barrier could deter them from adopting internet banking services, thus limiting its potential for widespread adoption (Ozili, 2018). Financial institutions must offer adequate support and educational resources to assist these customers in overcoming their technological challenges.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Finally, the reliance on internet connectivity poses a challenge in certain regions. In areas where internet service is slow, unreliable, or unavailable, customers may experience difficulties accessing banking services or completing transactions. This can lead to frustration and a decrease in the overall satisfaction with internet banking services (Gomber et al., 2017). For internet banking to be truly effective, financial institutions must consider the infrastructure needs of their customers and ensure that the technology is both robust and scalable.</w:t>
      </w:r>
    </w:p>
    <w:p w:rsidR="007323B9" w:rsidRDefault="0036059D">
      <w:pPr>
        <w:pStyle w:val="Heading3"/>
        <w:spacing w:before="280" w:after="280" w:line="480" w:lineRule="auto"/>
        <w:jc w:val="both"/>
        <w:rPr>
          <w:sz w:val="24"/>
          <w:szCs w:val="24"/>
        </w:rPr>
      </w:pPr>
      <w:r>
        <w:rPr>
          <w:sz w:val="24"/>
          <w:szCs w:val="24"/>
        </w:rPr>
        <w:t>2.1.4 Adoption of Internet Banking in Nigeria</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Over the last ten years, Nigeria has seen a notable increase in the use of online banking as a result of developments in digital technology, rising internet penetration, and shifting consumer habits. To provide their clients with smooth, safe, and effective services, financial institutions have been steadily enhancing their online banking systems. Notwithstanding these advancements, obstacles including infrastructural constraints, security worries, and low digital literacy continue to hinder the nation's broad adoption of online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quick rise in mobile phone and internet use has been a major factor in Nigeria's adoption of online banking. The Nigerian Communications Commission (NCC) claims that more individuals may now access financial services online due to a significant rise in internet penetration in Nigeria (Adewuyi &amp; Olowookere, 2021). Internet banking is an essential part of Nigeria's financial system because the Central Bank of Nigeria (CBN) has backed digital banking projects with regulations meant to improve cashless transactions and financial inclusion (Okonkwo &amp; Eke, 2020).</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competitive character of the banking sector is one of the main factors influencing Nigerians' adoption of online banking. In order to increase productivity, lower operating expenses, and provide consumers easy financial services, banks have adopted technology. Nigerians' use of internet banking has grown dramatically with the advent of mobile banking applications, online transfers, bill payment, and digital lending services (Ogunlowo, Adewuyi, &amp; Adebayo, 2022). Additionally, the COVID-19 epidemic sped up the banking industry's digital transition by limiting in-person encounters and pushing more clients to use online banking (Eze, 2021).</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However, there are a number of obstacles to online banking adoption in Nigeria. The growing prevalence of internet fraud and cybercrime is one significant problem. Because they are afraid about identity theft, phishing scams, and hacking, many clients are reluctant to utilize online banking services. To reduce these risks, banks and other financial institutions are constantly investing in cutting-edge security measures including multi-factor authentication, encryption, and fraud detection systems (Aliyu &amp; Tasmin, 2019). To safeguard customers and boost trust in online banking, regulatory agencies such as the CBN and the Nigeria Deposit Insurance Corporation (NDIC) have also put cybersecurity regulations into place.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Another barrier to the widespread adoption of internet banking is the digital divide. While urban areas enjoy better internet connectivity and technological infrastructure, many rural communities still lack access to reliable internet services. This limits the ability of people in these areas to adopt internet banking, creating financial exclusion among certain segments of the population (Uchenna &amp; Chukwuma, 2018). Additionally, low levels of digital literacy among some Nigerians, especially the elderly and less-educated individuals, hinder their ability to use internet banking effectively.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regulatory framework in Nigeria has also influenced the adoption of internet banking. The CBN has introduced several policies to promote cashless transactions and enhance digital financial services. Initiatives such as the Bank Verification Number (BVN) system, electronic Know Your Customer (e-KYC), and digital payment regulations have contributed to increasing trust and security in internet banking (Okonkwo &amp; Eke, 2020). Furthermore, financial technology (FinTech) companies have played a crucial role in promoting digital banking by offering innovative solutions that complement traditional banking services.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Nigerian online banking has a bright future despite the obstacles. It is anticipated that additional acceptance will be fueled by the development of digital financial services, ongoing improvements in internet infrastructure, and rising consumer awareness. To improve security and customer experience, Nigerian banks are also investing in cutting-edge technologies like blockchain, big data analytics, and artificial intelligence (AI) (Ogunlowo et al., 2022). The banking industry will probably change as a result of these developments, and more people will use digital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Because of greater internet penetration, banking competition, and governmental backing, online banking has become much more popular in Nigeria. However, obstacles to wider adoption continue to exist due to issues including infrastructural shortages, digital illiteracy, and cybersecurity risks.</w:t>
      </w:r>
      <w:r>
        <w:rPr>
          <w:rFonts w:ascii="Times New Roman" w:eastAsia="Times New Roman" w:hAnsi="Times New Roman" w:cs="Times New Roman"/>
          <w:color w:val="000000"/>
          <w:sz w:val="24"/>
          <w:szCs w:val="24"/>
        </w:rPr>
        <w:t xml:space="preserve"> Addressing these challenges through technological innovations, regulatory improvements, and consumer education will be crucial in ensuring the continued growth and success of internet banking in Nigeria.</w:t>
      </w:r>
    </w:p>
    <w:p w:rsidR="007323B9" w:rsidRDefault="0036059D">
      <w:pPr>
        <w:pStyle w:val="Heading3"/>
        <w:rPr>
          <w:sz w:val="24"/>
          <w:szCs w:val="24"/>
        </w:rPr>
      </w:pPr>
      <w:r>
        <w:rPr>
          <w:sz w:val="24"/>
          <w:szCs w:val="24"/>
        </w:rPr>
        <w:t>2.2 Concept of Profitability in Commercial Banks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capacity of a company or financial institution to turn a profit in relation to its expenditures and other costs spent during a certain time period is known as profitability. Because it shows the bank's capacity to continue operations, grow its service offerings, and generate returns for shareholders, profitability is a crucial metric for assessing the financial health and operational effectiveness of the banking industry (Adusei, 2018). Key financial indicators that shed light on the bank's resource use and financial performance, such as return on equity (ROE), return on assets (ROA), and net profit margin (NPM), are often used to measure it (Olokoyo, 2020).</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importance of profitability in commercial banks cannot be overstated, as it serves as the foundation for sustainable banking operations. A profitable bank is more likely to attract investors, maintain liquidity, and withstand economic downturns. Moreover, profitability enables banks to reinvest in technological advancements, enhance customer service, and comply with regulatory requirements (Nzotta &amp; Okereke, 2019). Given the competitive nature of the banking sector, financial institutions must continuously optimize their profitability to remain relevant and financially stable.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Profitability is also essential for financial stability and economic growth. When commercial banks operate profitably, they can extend more credit to individuals and businesses, stimulating investment, employment, and economic expansion. Furthermore, profitable banks contribute to government revenues through corporate taxes, which can be used to fund public infrastructure and social programs (Obamuyi, 2018). However, achieving and sustaining profitability in the banking sector requires strategic management of risks, operational efficiency, and the adoption of innovative financial technologies.</w:t>
      </w:r>
    </w:p>
    <w:p w:rsidR="007323B9" w:rsidRDefault="0036059D">
      <w:pPr>
        <w:pStyle w:val="Heading3"/>
        <w:rPr>
          <w:sz w:val="24"/>
          <w:szCs w:val="24"/>
        </w:rPr>
      </w:pPr>
      <w:r>
        <w:rPr>
          <w:sz w:val="24"/>
          <w:szCs w:val="24"/>
        </w:rPr>
        <w:t>2.3 Return on Assets (ROA) in Banking</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One important financial measurement for assessing a bank's profitability in proportion to its total assets is return on assets, or ROA. It shows how well a bank makes use of its resources to generate a profit. To calculate ROA, divide net income by total assets, and then express the result as a percentage. While a lower ROA could suggest inefficiencies or exorbitant expenses, a higher ROA denotes improved asset usage and management efficiency (Olarewaju &amp; Folayan, 2018).</w:t>
      </w:r>
      <w:r>
        <w:rPr>
          <w:rFonts w:ascii="Times New Roman" w:eastAsia="Times New Roman" w:hAnsi="Times New Roman" w:cs="Times New Roman"/>
          <w:color w:val="000000"/>
          <w:sz w:val="24"/>
          <w:szCs w:val="24"/>
        </w:rPr>
        <w:t xml:space="preserve"> In the banking sector, ROA is particularly important because banks rely on asset-intensive operations, including loans and investments, to generate revenue.</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ROA serves as a critical performance indicator for commercial banks, helping investors, regulators, and management assess financial health and operational efficiency. Banks with a high ROA are more likely to sustain profitability, attract investments, and expand their operations. Moreover, central banks and regulatory authorities use ROA to monitor banking sector stability, ensuring that financial institutions maintain a sound asset management framework (Adegbite &amp; Olayemi, 2020).</w:t>
      </w:r>
    </w:p>
    <w:p w:rsidR="007323B9" w:rsidRDefault="0036059D">
      <w:pPr>
        <w:pStyle w:val="Heading4"/>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Factors Influencing ROA in Commercial Banks</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Several factors influence the ROA of commercial banks, including asset quality, cost efficiency, and revenue diversification. </w:t>
      </w:r>
      <w:r>
        <w:rPr>
          <w:rFonts w:ascii="Times New Roman" w:eastAsia="Times New Roman" w:hAnsi="Times New Roman" w:cs="Times New Roman"/>
          <w:sz w:val="24"/>
          <w:szCs w:val="24"/>
        </w:rPr>
        <w:t>A high percentage of non-performing loans (NPLs) indicates poor asset quality, which has a detrimental effect on ROA as banks have to put aside funds to cover loan losses (Egbunike &amp; Okerekeoti, 2019).</w:t>
      </w:r>
      <w:r>
        <w:rPr>
          <w:rFonts w:ascii="Times New Roman" w:eastAsia="Times New Roman" w:hAnsi="Times New Roman" w:cs="Times New Roman"/>
          <w:color w:val="000000"/>
          <w:sz w:val="24"/>
          <w:szCs w:val="24"/>
        </w:rPr>
        <w:t xml:space="preserve"> Conversely, efficient cost management, such as reducing operational expenses and leveraging technology-driven banking solutions, enhances ROA by improving net income margins.</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Another important factor in evaluating a bank's return on assets (ROA) is revenue diversity. Changes in interest rates and credit concerns may cause volatility for banks that only get interest revenue from loans. On the other hand, companies that expand into non-interest revenue streams including commissions, fees, and online banking services often have higher and more consistent ROA levels (Umar &amp; Sun, 2021).</w:t>
      </w:r>
    </w:p>
    <w:p w:rsidR="007323B9" w:rsidRDefault="0036059D">
      <w:pPr>
        <w:pStyle w:val="Heading4"/>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ROA and Internet Banking</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ROA at commercial banks has significantly changed as a result of the widespread use of online banking. By eliminating the need for manual transactions and physical branches, digital banking services save operating expenses. Internet banking also improves client convenience, which raises transaction volumes and generates more income. Research has shown that banks with a high degree of digitization often report higher return on assets (ROA) as a result of cost reductions and enhanced client interaction (Ifeanyi, 2020).</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However, while internet banking improves efficiency and profitability, it also introduces risks such as cybersecurity threats and technology failures. Banks must invest in robust security measures and continuous digital innovation to maximize the benefits of internet banking on ROA (Ogunbiyi &amp; Ihejirika, 2019).</w:t>
      </w:r>
    </w:p>
    <w:p w:rsidR="007323B9" w:rsidRDefault="0036059D">
      <w:pPr>
        <w:pStyle w:val="Heading3"/>
        <w:rPr>
          <w:sz w:val="24"/>
          <w:szCs w:val="24"/>
        </w:rPr>
      </w:pPr>
      <w:r>
        <w:rPr>
          <w:sz w:val="24"/>
          <w:szCs w:val="24"/>
        </w:rPr>
        <w:t>2.4 Return on Equity (ROE) in Banking</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One important financial number that assesses a bank's profitability in proportion to shareholders' equity is return on equity, or ROE. It shows how well a bank makes use of investors' money to generate a profit. To calculate ROE, divide net income by total shareholders' equity, and then express the result as a percentage. While a low ROE could point to inefficiencies or unstable finances, a high ROE indicates that a bank is efficiently employing its capital to generate profits (Egbunike &amp; Okerekeoti, 2019).</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commercial banks, ROE is an essential indicator of financial health and operational efficiency. Investors and analysts use ROE to assess the profitability and sustainability of banks, while regulators consider it in evaluating the stability of the financial sector. A consistently high ROE can attract more investors and improve the bank's market valuation, whereas a declining ROE may signal poor financial performance and weak risk management strategies (Adegbite &amp; Olayemi, 2020).</w:t>
      </w:r>
    </w:p>
    <w:p w:rsidR="007323B9" w:rsidRDefault="0036059D">
      <w:pPr>
        <w:pStyle w:val="Heading4"/>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Factors Influencing ROE in Commercial Banks</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Several factors impact the ROE of commercial banks, including capital structure, asset quality, revenue diversification, and operational efficiency. A bank’s capital structure, particularly the ratio of debt to equity, influences ROE significantly. Banks that rely heavily on debt financing may experience higher ROE due to increased leverage, but excessive debt can also increase financial risk (Ogunbiyi &amp; Ihejirika, 2019).</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Another important element influencing ROE is asset quality. Because banks must set aside funds for loan loss provisions, a high percentage of non-performing loans (NPLs) has a detrimental effect on profitability and lowers net income. Sustaining a high ROE requires effective loan management and risk assessment techniques (Ifeanyi, 2020). Furthermore, banks that generate income from a variety of sources other than conventional interest income, such fees from wealth management, investment banking, and digital banking, often see higher and more consistent ROE levels (Umar &amp; Sun, 2021).</w:t>
      </w:r>
    </w:p>
    <w:p w:rsidR="007323B9" w:rsidRDefault="0036059D">
      <w:pPr>
        <w:pStyle w:val="Heading4"/>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ROE and Internet Banking</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use of online banking has significantly impacted the banking industry's return on equity. By eliminating the need for physical branches and manual transaction processing, digital banking systems provide for cost savings. Higher profit margins and increased operational efficiency result from this, increasing ROE (Olarewaju &amp; Folayan, 2018).</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Moreover, internet banking facilitates greater customer engagement, leading to increased transaction volumes and service fees. Banks that effectively integrate digital services into their operations often experience higher ROE due to increased revenue from online transactions, mobile banking services, and digital payment solutions (Ogunbiyi &amp; Ihejirika, 2019). However, internet banking also introduces cybersecurity risks, which can negatively impact ROE if not properly managed. </w:t>
      </w:r>
      <w:r>
        <w:rPr>
          <w:rFonts w:ascii="Times New Roman" w:eastAsia="Times New Roman" w:hAnsi="Times New Roman" w:cs="Times New Roman"/>
          <w:sz w:val="24"/>
          <w:szCs w:val="24"/>
        </w:rPr>
        <w:t>To safeguard client information and maintain confidence, banks must consistently invest in cybersecurity measures (Adegbite &amp; Olayemi, 2020).</w:t>
      </w:r>
    </w:p>
    <w:p w:rsidR="007323B9" w:rsidRDefault="0036059D">
      <w:pPr>
        <w:pStyle w:val="Heading4"/>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Regulatory Considerations and ROE</w:t>
      </w:r>
    </w:p>
    <w:p w:rsidR="007323B9" w:rsidRDefault="0036059D">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Regulatory policies and banking reforms also influence ROE. Central banks and financial regulators impose capital adequacy requirements, which affect how banks manage their equity and risk exposure. Stricter regulations, while necessary for financial stability, can sometimes limit banks’ ability to leverage their equity for higher returns (Egbunike &amp; Okerekeoti, 2019). On the other hand, supportive policies that promote financial technology and digital banking innovations can enhance ROE by creating new revenue opportunities for banks (Umar &amp; Sun, 2021).</w:t>
      </w:r>
    </w:p>
    <w:p w:rsidR="007323B9" w:rsidRDefault="0036059D">
      <w:pPr>
        <w:pStyle w:val="Heading3"/>
        <w:spacing w:before="280" w:after="280" w:line="480" w:lineRule="auto"/>
        <w:jc w:val="both"/>
        <w:rPr>
          <w:color w:val="000000"/>
          <w:sz w:val="24"/>
          <w:szCs w:val="24"/>
        </w:rPr>
      </w:pPr>
      <w:r>
        <w:rPr>
          <w:color w:val="000000"/>
          <w:sz w:val="24"/>
          <w:szCs w:val="24"/>
        </w:rPr>
        <w:t>2.2.5 Net Profit Margin (NPM) in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crucial indicator of financial success, net profit margin (NPM) assesses a bank's profitability in proportion to its whole revenue. This is determined by dividing net profit by total revenue and expressing the result as a percentage. After all expenditures, including as operational expenses, interest payments, taxes, and other deductions, have been paid, NPM shows the portion of income that is left over as profit (Egbunike &amp; Okerekeoti, 2019). Whereas a lower NPM might point to financial inefficiencies or exorbitant expenses, a higher NPM indicates effective cost control and revenue efficiency.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commercial banks, NPM is crucial as it reflects their ability to generate profit from core banking activities. It is often used by investors, analysts, and regulators to assess a bank’s financial health, operational efficiency, and sustainability. Banks with higher NPM ratios are generally considered more stable and attractive to investors, as they demonstrate better financial management and profit generation capabilities (Ifeanyi, 2020).</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Factors Influencing NPM in Commercial Banks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Several factors affect the NPM of commercial banks, including revenue diversification, cost efficiency, interest rate fluctuations, and regulatory policies. One major determinant is revenue diversification—banks that generate income from various sources, such as interest income, fees, commissions, and investment activities, tend to maintain higher and more stable profit margins (Olarewaju &amp; Folayan, 2018).</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Another important factor that determines NPM is cost effectiveness. Banks may increase their net profit margins by effectively managing operational expenses including staff pay, branch upkeep, and investments in digital banking. By eliminating the need for physical branches and manual transaction processing, the use of digital banking services has assisted several banks in cutting operating expenses (Adegbite &amp; Olayemi, 2020).</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Interest rate fluctuations influence NPM, as they affect the interest spread between loans and deposits. Higher interest rates can increase a bank’s net interest income, thereby improving NPM, while lower interest rates may compress margins and reduce profitability. Regulatory policies, including taxation, capital requirements, and monetary policies set by central banks, also impact NPM by affecting banks' revenue structures and cost burdens (Ogunbiyi &amp; Ihejirika, 2019).</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NPM and Internet Banking</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emergence of online banking has significantly affected NPM in the banking sector. By lowering expenses related to manual processing and physical branch operations, digital banking systems enable banks to boost productivity and profit margins.</w:t>
      </w:r>
      <w:r>
        <w:rPr>
          <w:rFonts w:ascii="Times New Roman" w:eastAsia="Times New Roman" w:hAnsi="Times New Roman" w:cs="Times New Roman"/>
          <w:color w:val="000000"/>
          <w:sz w:val="24"/>
          <w:szCs w:val="24"/>
        </w:rPr>
        <w:t xml:space="preserve"> Online transactions, mobile banking, and automated customer services help banks generate additional revenue while lowering overhead costs (Umar &amp; Sun, 2021).</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However, the increased reliance on internet banking also presents challenges that may affect NPM. </w:t>
      </w:r>
      <w:r>
        <w:rPr>
          <w:rFonts w:ascii="Times New Roman" w:eastAsia="Times New Roman" w:hAnsi="Times New Roman" w:cs="Times New Roman"/>
          <w:sz w:val="24"/>
          <w:szCs w:val="24"/>
        </w:rPr>
        <w:t>Online banking's rise has had a big impact on NPM in the banking industry. Digital banking solutions allow banks to increase productivity and profit margins by reducing costs associated with manual processing and physical branch operations.</w:t>
      </w:r>
      <w:r>
        <w:rPr>
          <w:rFonts w:ascii="Times New Roman" w:eastAsia="Times New Roman" w:hAnsi="Times New Roman" w:cs="Times New Roman"/>
          <w:color w:val="000000"/>
          <w:sz w:val="24"/>
          <w:szCs w:val="24"/>
        </w:rPr>
        <w:t xml:space="preserve"> The costs associated with these investments can reduce net profit margins if not managed effectively (Egbunike &amp; Okerekeoti, 2019).</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Regulatory Considerations and NPM</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Regulatory frameworks play a vital role in shaping the NPM of commercial banks.</w:t>
      </w:r>
      <w:r>
        <w:rPr>
          <w:rFonts w:ascii="Times New Roman" w:eastAsia="Times New Roman" w:hAnsi="Times New Roman" w:cs="Times New Roman"/>
          <w:color w:val="000000"/>
          <w:sz w:val="24"/>
          <w:szCs w:val="24"/>
        </w:rPr>
        <w:t xml:space="preserve"> Stringent capital requirements, tax policies, and monetary regulations can impact a bank’s revenue and cost structure. While regulations are essential for maintaining financial stability, excessive regulatory burdens can reduce profitability by increasing compliance costs and limiting banks' ability to expand revenue streams (Ifeanyi, 2020). Conversely, supportive policies that encourage digital banking and financial innovation can enhance NPM by enabling banks to operate more efficiently and reach a wider customer base (Umar &amp; Sun, 2021).</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An important financial metric that shows a bank's capacity to turn a profit in relation to its overall income is NPM. Cost effectiveness, income diversification, interest rate policies, and regulatory frameworks are among the factors that have a big impact on NPM. By cutting expenses and improving service delivery, the use of online banking has assisted banks in increasing their profit margins.</w:t>
      </w:r>
      <w:r>
        <w:rPr>
          <w:rFonts w:ascii="Times New Roman" w:eastAsia="Times New Roman" w:hAnsi="Times New Roman" w:cs="Times New Roman"/>
          <w:color w:val="000000"/>
          <w:sz w:val="24"/>
          <w:szCs w:val="24"/>
        </w:rPr>
        <w:t xml:space="preserve"> However, managing cybersecurity risks and regulatory compliance remains essential to sustaining profitability.</w:t>
      </w:r>
    </w:p>
    <w:p w:rsidR="007323B9" w:rsidRDefault="0036059D">
      <w:pPr>
        <w:pStyle w:val="Heading3"/>
        <w:spacing w:before="280" w:after="280" w:line="480" w:lineRule="auto"/>
        <w:jc w:val="both"/>
        <w:rPr>
          <w:color w:val="000000"/>
          <w:sz w:val="24"/>
          <w:szCs w:val="24"/>
        </w:rPr>
      </w:pPr>
      <w:r>
        <w:rPr>
          <w:color w:val="000000"/>
          <w:sz w:val="24"/>
          <w:szCs w:val="24"/>
        </w:rPr>
        <w:t>2.2.7 Relationship Between Internet Banking and Profitability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By altering revenue generation, operational efficiency, and customer happiness, the use of online banking has had a substantial impact on commercial banks' profitability. As banks shift from conventional physical locations to online channels,</w:t>
      </w:r>
      <w:r>
        <w:rPr>
          <w:rFonts w:ascii="Times New Roman" w:eastAsia="Times New Roman" w:hAnsi="Times New Roman" w:cs="Times New Roman"/>
          <w:color w:val="000000"/>
          <w:sz w:val="24"/>
          <w:szCs w:val="24"/>
        </w:rPr>
        <w:t xml:space="preserve"> they experience changes in cost structures, revenue streams, and customer engagement, all of which contribute to overall financial performance.</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Internet Banking Affects Revenue Generation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usage of internet banking has significantly impacted the profitability of commercial banks by changing revenue generation, operational efficiency, and customer satisfaction. Banks are moving from traditional physical sites to internet platforms.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Additionally, internet banking reduces banks’ reliance on physical branches, allowing them to redirect resources towards more profitable financial services. Digital lending, for example, has become a significant revenue source, enabling banks to assess creditworthiness using artificial intelligence and big data analytics, thus expanding their loan portfolios and increasing interest income (Ogunbiyi &amp; Ihejirika, 2019).</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Impact on Operational Efficiency and Cost Reduction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Commercial banks may drastically save costs and increase operational efficiency by using online banking. Banks may save personnel costs and lessen the need for vast branch networks by automating basic banking operations including bill payments, cash transfers, and account inquiries (Adegbite &amp; Olayemi, 2020).</w:t>
      </w:r>
      <w:r>
        <w:rPr>
          <w:rFonts w:ascii="Times New Roman" w:eastAsia="Times New Roman" w:hAnsi="Times New Roman" w:cs="Times New Roman"/>
          <w:color w:val="000000"/>
          <w:sz w:val="24"/>
          <w:szCs w:val="24"/>
        </w:rPr>
        <w:t xml:space="preserve"> This reduction in overhead expenses contributes to higher profit margins, as banks spend less on rent, utilities, and administrative staff while maintaining or even expanding their customer base.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Furthermore, internet banking reduces transaction processing time, allowing banks to serve more customers with fewer resources. The automation of financial services also minimizes human errors and fraud risks, leading to cost savings associated with risk management and regulatory compliance (Olarewaju &amp; Folayan, 2018). These efficiencies translate into improved Return on Assets (ROA) and Return on Equity (ROE), key indicators of banking profitability.</w:t>
      </w:r>
    </w:p>
    <w:p w:rsidR="007323B9" w:rsidRDefault="0036059D">
      <w:pPr>
        <w:pStyle w:val="Heading4"/>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Influence on Customer Satisfaction and Retention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Long-term bank profitability depends heavily on customer retention and happiness, and online banking has emerged as a major force in this area. The ability to conveniently access financial services at any time and from any place improves client satisfaction and fosters loyalty (Ifeanyi, 2020). Customers are more likely to stay with banks that provide smooth, user-friendly digital banking services, which lowers customer attrition and raises lifetime value.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Improved consumer involvement is also a result of personalized digital banking services like chatbots, AI-powered financial planning tools, and customized product suggestions. Banks make more money when their clients are happy because they are more likely to utilize other financial goods including loans, investment accounts, and insurance services (Umar &amp; Sun, 2021).</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However, ensuring a secure and reliable online banking experience is crucial. Cybersecurity threats and system downtimes can negatively impact customer trust and retention. Therefore, banks must continuously invest in advanced security measures and digital infrastructure to maintain customer confidence and sustain profitability (Ogunbiyi &amp; Ihejirika, 2019).</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favorable effects of internet banking on revenue creation, operational efficiency, and customer happiness make the connection between it and profitability clear. Commercial banks may increase client loyalty, save operating expenses, and diversify their revenue sources by using digital banking services. However, to optimize the financial advantages of online banking while reducing related risks, consistent investment in technology, cybersecurity, and regulatory compliance is required.</w:t>
      </w:r>
    </w:p>
    <w:p w:rsidR="007323B9" w:rsidRDefault="0036059D">
      <w:pPr>
        <w:pStyle w:val="Heading3"/>
        <w:spacing w:before="280" w:after="280" w:line="480" w:lineRule="auto"/>
        <w:jc w:val="both"/>
        <w:rPr>
          <w:sz w:val="24"/>
          <w:szCs w:val="24"/>
        </w:rPr>
      </w:pPr>
      <w:r>
        <w:rPr>
          <w:sz w:val="24"/>
          <w:szCs w:val="24"/>
        </w:rPr>
        <w:t>2.3 Theoretical Review</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theoretical examination offers a basis for comprehending the connection between commercial banks' profitability and online banking. Numerous ideas describe how technology advancements affect financial performance, consumer behavior, and banking operations. The Technology Acceptance Model (TAM) by Davis (1989), Rogers' Innovation Diffusion Theory (IDT) (1962), and the Profitability Theory based on the Du Pont Model (1919) serve as the foundation for this investigation. Together, these ideas provide light on the widespread use of online banking, the variables affecting its deployment, and how it affects the profitability of commercial banks.</w:t>
      </w:r>
    </w:p>
    <w:p w:rsidR="007323B9" w:rsidRDefault="0036059D">
      <w:pPr>
        <w:pStyle w:val="Heading3"/>
        <w:spacing w:before="280" w:after="280" w:line="480" w:lineRule="auto"/>
        <w:jc w:val="both"/>
        <w:rPr>
          <w:color w:val="000000"/>
          <w:sz w:val="24"/>
          <w:szCs w:val="24"/>
        </w:rPr>
      </w:pPr>
      <w:r>
        <w:rPr>
          <w:color w:val="000000"/>
          <w:sz w:val="24"/>
          <w:szCs w:val="24"/>
        </w:rPr>
        <w:t>Technology Acceptance Model (TAM) – Davis (1989)</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Technology Acceptance Model (TAM), developed by Davis (1989) to describe how people accept and use technology, emphasizes two key components: perceived utility (PU) and perceived ease of use (PEOU). According to this concept, if individuals believe a technology will help them perform better (PU) and is easy to use (PEOU), they are more likely to adopt it. The ease, efficacy, and security of online banking are all factors that influence customers' acceptance of the service (Ayo et al., 2020).</w:t>
      </w:r>
      <w:r>
        <w:rPr>
          <w:rFonts w:ascii="Times New Roman" w:eastAsia="Times New Roman" w:hAnsi="Times New Roman" w:cs="Times New Roman"/>
          <w:color w:val="000000"/>
          <w:sz w:val="24"/>
          <w:szCs w:val="24"/>
        </w:rPr>
        <w:t xml:space="preserve"> Commercial banks that enhance the usability of online banking platforms and address security concerns are more likely to attract customers, thereby increasing transaction volumes and revenue streams. Consequently, TAM underscores the importance of user-friendly and secure internet banking platforms in driving adoption and profitability.</w:t>
      </w:r>
    </w:p>
    <w:p w:rsidR="007323B9" w:rsidRDefault="0036059D">
      <w:pPr>
        <w:pStyle w:val="Heading3"/>
        <w:spacing w:before="280" w:after="280" w:line="480" w:lineRule="auto"/>
        <w:jc w:val="both"/>
        <w:rPr>
          <w:color w:val="000000"/>
          <w:sz w:val="24"/>
          <w:szCs w:val="24"/>
        </w:rPr>
      </w:pPr>
      <w:r>
        <w:rPr>
          <w:color w:val="000000"/>
          <w:sz w:val="24"/>
          <w:szCs w:val="24"/>
        </w:rPr>
        <w:t>Innovation Diffusion Theory (IDT) – Rogers (1962)</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Innovation Diffusion Theory (IDT)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by Rogers (1962) explains how new technologies spread among users over time. It identifies five key factors influencing adoption: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Relative Advantage, Compatibility, Complexity, Trialability, and Observability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Rogers, 2003). Internet banking aligns with this theory as it offers significant advantages over traditional banking, such as real-time transactions, lower costs, and greater accessibility (Kariuki &amp; Mugo, 2019). The faster the adoption rate of internet banking among customers, the more banks benefit from increased customer engagement and cost savings. Additionally, banks that effectively promote the benefits of online banking and provide trial experiences (such as mobile banking tutorials) enhance adoption rates, leading to higher profitability through increased customer transactions and reduced operational costs.</w:t>
      </w:r>
    </w:p>
    <w:p w:rsidR="007323B9" w:rsidRDefault="0036059D">
      <w:pPr>
        <w:pStyle w:val="Heading3"/>
        <w:spacing w:before="280" w:after="280" w:line="480" w:lineRule="auto"/>
        <w:jc w:val="both"/>
        <w:rPr>
          <w:color w:val="000000"/>
          <w:sz w:val="24"/>
          <w:szCs w:val="24"/>
        </w:rPr>
      </w:pPr>
      <w:r>
        <w:rPr>
          <w:color w:val="000000"/>
          <w:sz w:val="24"/>
          <w:szCs w:val="24"/>
        </w:rPr>
        <w:t>Profitability Theory – Du Pont Model (1919)</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Du Pont Model (1919) served as the foundation for the Profitability Theory, which offers a framework for assessing financial performance utilizing important profitability measures including Net Profit Margin (NPM), Return on Equity (ROE), and Return on Assets (ROA) (Gitman &amp; Zutter, 2020). According to the model, profit margins, financial leverage, and asset utilization efficiency all have an impact on a company's profitability. By lowering operating expenses, boosting income from online transactions, and improving financial efficiency, internet banking has a direct influence on these parameters (Ogunbiyi &amp; Ihejirika, 2019).</w:t>
      </w:r>
      <w:r>
        <w:rPr>
          <w:rFonts w:ascii="Times New Roman" w:eastAsia="Times New Roman" w:hAnsi="Times New Roman" w:cs="Times New Roman"/>
          <w:color w:val="000000"/>
          <w:sz w:val="24"/>
          <w:szCs w:val="24"/>
        </w:rPr>
        <w:t xml:space="preserve"> By leveraging digital platforms, banks optimize asset utilization, leading to improved ROA, while higher customer retention and fee-based services enhance ROE. Thus, the Du Pont Model links internet banking adoption to overall financial performance, highlighting its role in improving banks' profitability.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When combined, these ideas provide a solid framework for comprehending the connection between commercial bank profitability and online banking. The Technology Acceptance Model (TAM) describes how perceptions of utility and ease of use affect consumers' adoption of online banking. The Innovation Diffusion Theory (IDT) identifies the elements that influence the adoption of online banking services, stressing the importance of client education and targeted advertising.</w:t>
      </w:r>
      <w:r>
        <w:rPr>
          <w:rFonts w:ascii="Times New Roman" w:eastAsia="Times New Roman" w:hAnsi="Times New Roman" w:cs="Times New Roman"/>
          <w:color w:val="000000"/>
          <w:sz w:val="24"/>
          <w:szCs w:val="24"/>
        </w:rPr>
        <w:t xml:space="preserve"> Lastly, the Profitability Theory (Du Pont Model) links internet banking adoption to key financial indicators, demonstrating how digital banking contributes to improved financial performance. These theoretical perspectives justify the study by explaining both the behavioral and financial dimensions of internet banking’s impact on commercial banks.</w:t>
      </w:r>
    </w:p>
    <w:p w:rsidR="007323B9" w:rsidRDefault="0036059D">
      <w:pPr>
        <w:pStyle w:val="Heading3"/>
        <w:rPr>
          <w:sz w:val="24"/>
          <w:szCs w:val="24"/>
        </w:rPr>
      </w:pPr>
      <w:r>
        <w:rPr>
          <w:sz w:val="24"/>
          <w:szCs w:val="24"/>
        </w:rPr>
        <w:t>2.4 Empirical Review</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empirical review looks at earlier studies on online banking and how it affects commercial banks' profitability. Studies on Internet Banking and Profitability, which examine previous studies on the impact of digital banking on financial performance, and Empirical Studies on ROA, ROE, and NPM in Banking, which concentrate on important profitability metrics impacted by internet banking, make up this area. By examining various studies, this study finds parallels, discrepancies, gaps, and possible additions to the corpus of current knowledge.</w:t>
      </w:r>
    </w:p>
    <w:p w:rsidR="007323B9" w:rsidRDefault="0036059D">
      <w:pPr>
        <w:pStyle w:val="Heading3"/>
        <w:spacing w:before="280" w:after="280" w:line="480" w:lineRule="auto"/>
        <w:jc w:val="both"/>
        <w:rPr>
          <w:color w:val="000000"/>
          <w:sz w:val="24"/>
          <w:szCs w:val="24"/>
        </w:rPr>
      </w:pPr>
      <w:r>
        <w:rPr>
          <w:color w:val="000000"/>
          <w:sz w:val="24"/>
          <w:szCs w:val="24"/>
        </w:rPr>
        <w:t>2.4.1 Studies on Internet Banking and Profitability</w:t>
      </w:r>
    </w:p>
    <w:p w:rsidR="007323B9" w:rsidRDefault="0036059D">
      <w:pPr>
        <w:pStyle w:val="Heading3"/>
        <w:spacing w:before="280" w:after="280" w:line="480" w:lineRule="auto"/>
        <w:jc w:val="both"/>
        <w:rPr>
          <w:color w:val="000000"/>
          <w:sz w:val="24"/>
          <w:szCs w:val="24"/>
        </w:rPr>
      </w:pPr>
      <w:r>
        <w:rPr>
          <w:b w:val="0"/>
          <w:sz w:val="24"/>
          <w:szCs w:val="24"/>
        </w:rPr>
        <w:t>The Effect of Internet Banking on Nigerian Commercial Bank Profitability, Adegbite and Olayemi (2018). This research looked at the relationship between online banking and the financial performance of a few Lagos, Nigeria, commercial banks. The study evaluated financial data from 2010 to 2017 using multiple regression analysis and a survey research approach.</w:t>
      </w:r>
      <w:r>
        <w:rPr>
          <w:b w:val="0"/>
          <w:color w:val="000000"/>
          <w:sz w:val="24"/>
          <w:szCs w:val="24"/>
        </w:rPr>
        <w:t xml:space="preserve"> The findings indicated that internet banking positively impacts banks' return on investment and overall profitability. The authors recommended that banks increase investment in cybersecurity and customer education. A key </w:t>
      </w:r>
      <w:r>
        <w:rPr>
          <w:color w:val="000000"/>
          <w:sz w:val="24"/>
          <w:szCs w:val="24"/>
        </w:rPr>
        <w:t>similarity</w:t>
      </w:r>
      <w:r>
        <w:rPr>
          <w:b w:val="0"/>
          <w:color w:val="000000"/>
          <w:sz w:val="24"/>
          <w:szCs w:val="24"/>
        </w:rPr>
        <w:t xml:space="preserve"> with the current study is its focus on Nigeria’s banking sector. However, this research differs by focusing on </w:t>
      </w:r>
      <w:r>
        <w:rPr>
          <w:color w:val="000000"/>
          <w:sz w:val="24"/>
          <w:szCs w:val="24"/>
        </w:rPr>
        <w:t>Fidelity Bank  and secondary data from 2020-2024.</w:t>
      </w:r>
    </w:p>
    <w:p w:rsidR="007323B9" w:rsidRDefault="0036059D">
      <w:pPr>
        <w:pStyle w:val="Heading3"/>
        <w:spacing w:before="280" w:after="280" w:line="480" w:lineRule="auto"/>
        <w:jc w:val="both"/>
        <w:rPr>
          <w:b w:val="0"/>
          <w:color w:val="000000"/>
          <w:sz w:val="24"/>
          <w:szCs w:val="24"/>
        </w:rPr>
      </w:pPr>
      <w:r>
        <w:rPr>
          <w:color w:val="000000"/>
          <w:sz w:val="24"/>
          <w:szCs w:val="24"/>
        </w:rPr>
        <w:t xml:space="preserve">Kamau and Oluoch (2019)- Digital Banking and Financial Performance of Commercial Banks in Kenya. </w:t>
      </w:r>
      <w:r>
        <w:rPr>
          <w:b w:val="0"/>
          <w:color w:val="000000"/>
          <w:sz w:val="24"/>
          <w:szCs w:val="24"/>
        </w:rPr>
        <w:t xml:space="preserve">This study explored how digital banking, including mobile and online banking, influences the financial performance of banks in Kenya. The researchers applied </w:t>
      </w:r>
      <w:r>
        <w:rPr>
          <w:color w:val="000000"/>
          <w:sz w:val="24"/>
          <w:szCs w:val="24"/>
        </w:rPr>
        <w:t>panel data regression</w:t>
      </w:r>
      <w:r>
        <w:rPr>
          <w:b w:val="0"/>
          <w:color w:val="000000"/>
          <w:sz w:val="24"/>
          <w:szCs w:val="24"/>
        </w:rPr>
        <w:t xml:space="preserve"> on financial reports from 2021 to 2018. The results showed that banks with robust digital banking infrastructure reported higher revenues and lower operational costs. The study recommended continuous technology upgrades to improve banking efficiency. This study aligns with the present research in analyzing the profitability impact of digital banking. However, it differs in scope as it includes mobile banking alongside internet banking.</w:t>
      </w:r>
    </w:p>
    <w:p w:rsidR="007323B9" w:rsidRDefault="0036059D">
      <w:pPr>
        <w:pStyle w:val="Heading3"/>
        <w:spacing w:before="280" w:after="280" w:line="480" w:lineRule="auto"/>
        <w:jc w:val="both"/>
        <w:rPr>
          <w:b w:val="0"/>
          <w:color w:val="000000"/>
          <w:sz w:val="24"/>
          <w:szCs w:val="24"/>
        </w:rPr>
      </w:pPr>
      <w:r>
        <w:rPr>
          <w:color w:val="000000"/>
          <w:sz w:val="24"/>
          <w:szCs w:val="24"/>
        </w:rPr>
        <w:t xml:space="preserve">Eze and Okonkwo (2020) – The Role of E-Banking in Enhancing Profitability of Deposit Money Banks in Nigeria. </w:t>
      </w:r>
      <w:r>
        <w:rPr>
          <w:b w:val="0"/>
          <w:sz w:val="24"/>
          <w:szCs w:val="24"/>
        </w:rPr>
        <w:t>Internet Banking's Impact on Nigerian Commercial Banks' Profitability Olayemi and Adegbite (2018). This study examined the connection between the financial performance of a few commercial banks in Lagos, Nigeria, and internet banking. Using a survey research methodology and multiple regression analysis, the study assessed financial data from 2010 to 2017.</w:t>
      </w:r>
      <w:r>
        <w:rPr>
          <w:b w:val="0"/>
          <w:color w:val="000000"/>
          <w:sz w:val="24"/>
          <w:szCs w:val="24"/>
        </w:rPr>
        <w:t xml:space="preserve"> The study recommended that banks implement customer-friendly online banking platforms to increase adoption rates. While this study shares similarities in focusing on Nigerian banks, it differs as it covers a broader range of e-banking services beyond internet banking alone.</w:t>
      </w:r>
    </w:p>
    <w:p w:rsidR="007323B9" w:rsidRDefault="0036059D">
      <w:pPr>
        <w:pStyle w:val="Heading3"/>
        <w:spacing w:before="280" w:after="280" w:line="480" w:lineRule="auto"/>
        <w:jc w:val="both"/>
        <w:rPr>
          <w:b w:val="0"/>
          <w:color w:val="000000"/>
          <w:sz w:val="24"/>
          <w:szCs w:val="24"/>
        </w:rPr>
      </w:pPr>
      <w:r>
        <w:rPr>
          <w:color w:val="000000"/>
          <w:sz w:val="24"/>
          <w:szCs w:val="24"/>
        </w:rPr>
        <w:t xml:space="preserve">Hassan and Musa (2021) – Online Banking and Profitability of Commercial Banks in Ghana. </w:t>
      </w:r>
      <w:r>
        <w:rPr>
          <w:b w:val="0"/>
          <w:color w:val="000000"/>
          <w:sz w:val="24"/>
          <w:szCs w:val="24"/>
        </w:rPr>
        <w:t xml:space="preserve">This research examined the effect of online banking on the profitability of commercial banks in Ghana using </w:t>
      </w:r>
      <w:r>
        <w:rPr>
          <w:color w:val="000000"/>
          <w:sz w:val="24"/>
          <w:szCs w:val="24"/>
        </w:rPr>
        <w:t>a time-series analysis from 2010 to 2020</w:t>
      </w:r>
      <w:r>
        <w:rPr>
          <w:b w:val="0"/>
          <w:color w:val="000000"/>
          <w:sz w:val="24"/>
          <w:szCs w:val="24"/>
        </w:rPr>
        <w:t>. The findings revealed that digital banking significantly increased net interest margins while reducing administrative costs. The study recommended stronger regulatory frameworks to enhance trust in online banking. Similar to this research, it focuses on internet banking's profitability impact. However, it differs in geographical scope as it is centered on Ghana rather than Nigeria.</w:t>
      </w:r>
    </w:p>
    <w:p w:rsidR="007323B9" w:rsidRDefault="0036059D">
      <w:pPr>
        <w:pStyle w:val="Heading4"/>
        <w:spacing w:line="480" w:lineRule="auto"/>
        <w:jc w:val="both"/>
        <w:rPr>
          <w:rFonts w:ascii="Times New Roman" w:eastAsia="Times New Roman" w:hAnsi="Times New Roman" w:cs="Times New Roman"/>
          <w:b w:val="0"/>
          <w:i w:val="0"/>
          <w:color w:val="000000"/>
          <w:sz w:val="24"/>
          <w:szCs w:val="24"/>
        </w:rPr>
      </w:pPr>
      <w:r>
        <w:rPr>
          <w:rFonts w:ascii="Times New Roman" w:eastAsia="Times New Roman" w:hAnsi="Times New Roman" w:cs="Times New Roman"/>
          <w:i w:val="0"/>
          <w:color w:val="000000"/>
          <w:sz w:val="24"/>
          <w:szCs w:val="24"/>
        </w:rPr>
        <w:t xml:space="preserve">Bello and Yusuf (2022) – The Relationship Between Internet Banking and Financial Performance of Nigerian Banks. </w:t>
      </w:r>
      <w:r>
        <w:rPr>
          <w:rFonts w:ascii="Times New Roman" w:eastAsia="Times New Roman" w:hAnsi="Times New Roman" w:cs="Times New Roman"/>
          <w:b w:val="0"/>
          <w:i w:val="0"/>
          <w:color w:val="000000"/>
          <w:sz w:val="24"/>
          <w:szCs w:val="24"/>
        </w:rPr>
        <w:t>The research examined the impact of online banking adoption on the financial performance of a subset of Nigerian banks from 2023 to 2021 using correlation analysis. According to ROA and ROE, the results demonstrated a strong correlation between the uptake of online banking and profitability. In order to preserve their competitive advantages, the authors advised banks to make ongoing investments in technology. Although this research also focuses on Nigerian banks, it covers a different time span than the present study, which runs from 2020 to 2024.</w:t>
      </w:r>
    </w:p>
    <w:p w:rsidR="007323B9" w:rsidRDefault="0036059D">
      <w:pPr>
        <w:pStyle w:val="Heading4"/>
        <w:spacing w:line="480" w:lineRule="auto"/>
        <w:jc w:val="both"/>
        <w:rPr>
          <w:rFonts w:ascii="Times New Roman" w:eastAsia="Times New Roman" w:hAnsi="Times New Roman" w:cs="Times New Roman"/>
          <w:b w:val="0"/>
          <w:i w:val="0"/>
          <w:color w:val="000000"/>
          <w:sz w:val="24"/>
          <w:szCs w:val="24"/>
        </w:rPr>
      </w:pPr>
      <w:r>
        <w:rPr>
          <w:rFonts w:ascii="Times New Roman" w:eastAsia="Times New Roman" w:hAnsi="Times New Roman" w:cs="Times New Roman"/>
          <w:i w:val="0"/>
          <w:color w:val="000000"/>
          <w:sz w:val="24"/>
          <w:szCs w:val="24"/>
        </w:rPr>
        <w:t xml:space="preserve">Ahmed and Garba (2023) – The Impact of Digital Banking on Commercial Bank Profitability in Sub-Saharan Africa. </w:t>
      </w:r>
      <w:r>
        <w:rPr>
          <w:rFonts w:ascii="Times New Roman" w:eastAsia="Times New Roman" w:hAnsi="Times New Roman" w:cs="Times New Roman"/>
          <w:b w:val="0"/>
          <w:i w:val="0"/>
          <w:color w:val="000000"/>
          <w:sz w:val="24"/>
          <w:szCs w:val="24"/>
        </w:rPr>
        <w:t xml:space="preserve">This study assessed how digital banking innovations influence profitability in commercial banks across Sub-Saharan Africa. Using </w:t>
      </w:r>
      <w:r>
        <w:rPr>
          <w:rFonts w:ascii="Times New Roman" w:eastAsia="Times New Roman" w:hAnsi="Times New Roman" w:cs="Times New Roman"/>
          <w:i w:val="0"/>
          <w:color w:val="000000"/>
          <w:sz w:val="24"/>
          <w:szCs w:val="24"/>
        </w:rPr>
        <w:t>a dynamic panel data model</w:t>
      </w:r>
      <w:r>
        <w:rPr>
          <w:rFonts w:ascii="Times New Roman" w:eastAsia="Times New Roman" w:hAnsi="Times New Roman" w:cs="Times New Roman"/>
          <w:b w:val="0"/>
          <w:i w:val="0"/>
          <w:color w:val="000000"/>
          <w:sz w:val="24"/>
          <w:szCs w:val="24"/>
        </w:rPr>
        <w:t>, the study analyzed bank financial statements from 2020 to 2022. The findings showed that increased digital banking transactions positively influenced net profit margins. The authors recommended policy incentives to encourage investment in fintech solutions. The study is similar in its examination of internet banking profitability, but its broader regional focus differs from the present study, which is specific to Nigeria and Fidelity Bank.</w:t>
      </w:r>
    </w:p>
    <w:p w:rsidR="007323B9" w:rsidRDefault="0036059D">
      <w:pPr>
        <w:rPr>
          <w:rFonts w:ascii="Times New Roman" w:eastAsia="Times New Roman" w:hAnsi="Times New Roman" w:cs="Times New Roman"/>
          <w:b/>
          <w:color w:val="000000"/>
          <w:sz w:val="24"/>
          <w:szCs w:val="24"/>
        </w:rPr>
      </w:pPr>
      <w:r>
        <w:br w:type="page"/>
      </w:r>
    </w:p>
    <w:p w:rsidR="007323B9" w:rsidRDefault="0036059D">
      <w:pPr>
        <w:pStyle w:val="Heading3"/>
        <w:spacing w:before="280" w:after="280" w:line="480" w:lineRule="auto"/>
        <w:jc w:val="both"/>
        <w:rPr>
          <w:color w:val="000000"/>
          <w:sz w:val="24"/>
          <w:szCs w:val="24"/>
        </w:rPr>
      </w:pPr>
      <w:r>
        <w:rPr>
          <w:color w:val="000000"/>
          <w:sz w:val="24"/>
          <w:szCs w:val="24"/>
        </w:rPr>
        <w:t>2.4.2 Empirical Studies on ROA, ROE, and NPM in Banking</w:t>
      </w:r>
    </w:p>
    <w:p w:rsidR="007323B9" w:rsidRDefault="0036059D">
      <w:pPr>
        <w:pStyle w:val="Heading3"/>
        <w:spacing w:before="280" w:after="280" w:line="480" w:lineRule="auto"/>
        <w:jc w:val="both"/>
        <w:rPr>
          <w:i/>
          <w:color w:val="000000"/>
          <w:sz w:val="24"/>
          <w:szCs w:val="24"/>
        </w:rPr>
      </w:pPr>
      <w:r>
        <w:rPr>
          <w:color w:val="000000"/>
          <w:sz w:val="24"/>
          <w:szCs w:val="24"/>
        </w:rPr>
        <w:t xml:space="preserve">Williams and Johnson (2017) – Determinants of Return on Assets in U.S. Commercial Banks. </w:t>
      </w:r>
      <w:r>
        <w:rPr>
          <w:b w:val="0"/>
          <w:color w:val="000000"/>
          <w:sz w:val="24"/>
          <w:szCs w:val="24"/>
        </w:rPr>
        <w:t xml:space="preserve">This study examined the factors influencing </w:t>
      </w:r>
      <w:r>
        <w:rPr>
          <w:color w:val="000000"/>
          <w:sz w:val="24"/>
          <w:szCs w:val="24"/>
        </w:rPr>
        <w:t xml:space="preserve">Return on Assets (ROA) </w:t>
      </w:r>
      <w:r>
        <w:rPr>
          <w:b w:val="0"/>
          <w:color w:val="000000"/>
          <w:sz w:val="24"/>
          <w:szCs w:val="24"/>
        </w:rPr>
        <w:t>in U.S. banks using</w:t>
      </w:r>
      <w:r>
        <w:rPr>
          <w:color w:val="000000"/>
          <w:sz w:val="24"/>
          <w:szCs w:val="24"/>
        </w:rPr>
        <w:t xml:space="preserve"> regression analysis on financial reports from 2008 to 2023</w:t>
      </w:r>
      <w:r>
        <w:rPr>
          <w:b w:val="0"/>
          <w:color w:val="000000"/>
          <w:sz w:val="24"/>
          <w:szCs w:val="24"/>
        </w:rPr>
        <w:t xml:space="preserve">. Findings showed that banks with higher digital banking adoption reported improved ROA due to cost savings and operational efficiency. The study recommended continuous investment in online banking platforms. While this study relates to profitability, it differs in that it focuses on </w:t>
      </w:r>
      <w:r>
        <w:rPr>
          <w:color w:val="000000"/>
          <w:sz w:val="24"/>
          <w:szCs w:val="24"/>
        </w:rPr>
        <w:t>U.S. banks</w:t>
      </w:r>
      <w:r>
        <w:rPr>
          <w:b w:val="0"/>
          <w:color w:val="000000"/>
          <w:sz w:val="24"/>
          <w:szCs w:val="24"/>
        </w:rPr>
        <w:t>, whereas the current study examines Fidelity Bank  in Nigeria</w:t>
      </w:r>
      <w:r>
        <w:rPr>
          <w:i/>
          <w:color w:val="000000"/>
          <w:sz w:val="24"/>
          <w:szCs w:val="24"/>
        </w:rPr>
        <w:t>.</w:t>
      </w:r>
    </w:p>
    <w:p w:rsidR="007323B9" w:rsidRDefault="0036059D">
      <w:pPr>
        <w:pStyle w:val="Heading3"/>
        <w:spacing w:before="280" w:after="280" w:line="480" w:lineRule="auto"/>
        <w:jc w:val="both"/>
        <w:rPr>
          <w:b w:val="0"/>
          <w:color w:val="000000"/>
          <w:sz w:val="24"/>
          <w:szCs w:val="24"/>
        </w:rPr>
      </w:pPr>
      <w:r>
        <w:rPr>
          <w:color w:val="000000"/>
          <w:sz w:val="24"/>
          <w:szCs w:val="24"/>
        </w:rPr>
        <w:t xml:space="preserve">Okafor and Adeyemi (2018) – Internet Banking and Return on Equity in Nigerian Banks. </w:t>
      </w:r>
      <w:r>
        <w:rPr>
          <w:b w:val="0"/>
          <w:sz w:val="24"/>
          <w:szCs w:val="24"/>
        </w:rPr>
        <w:t>Using panel regression analysis, this study examined how online banking affected Nigerian commercial banks' Return on Equity (ROE) between 2010 and 2017. Due to lower operational costs, the results indicated that banks with more digital transactions had better ROE.</w:t>
      </w:r>
      <w:r>
        <w:rPr>
          <w:b w:val="0"/>
          <w:color w:val="000000"/>
          <w:sz w:val="24"/>
          <w:szCs w:val="24"/>
        </w:rPr>
        <w:t xml:space="preserve"> The study recommended policies to enhance customer trust in digital banking. The study aligns with the present research but differs in </w:t>
      </w:r>
      <w:r>
        <w:rPr>
          <w:color w:val="000000"/>
          <w:sz w:val="24"/>
          <w:szCs w:val="24"/>
        </w:rPr>
        <w:t>period coverage and bank selection</w:t>
      </w:r>
      <w:r>
        <w:rPr>
          <w:b w:val="0"/>
          <w:color w:val="000000"/>
          <w:sz w:val="24"/>
          <w:szCs w:val="24"/>
        </w:rPr>
        <w:t xml:space="preserve">. </w:t>
      </w:r>
    </w:p>
    <w:p w:rsidR="007323B9" w:rsidRDefault="0036059D">
      <w:pPr>
        <w:pStyle w:val="Heading3"/>
        <w:spacing w:before="280" w:after="280" w:line="480" w:lineRule="auto"/>
        <w:jc w:val="both"/>
        <w:rPr>
          <w:color w:val="000000"/>
          <w:sz w:val="24"/>
          <w:szCs w:val="24"/>
        </w:rPr>
      </w:pPr>
      <w:r>
        <w:rPr>
          <w:color w:val="000000"/>
          <w:sz w:val="24"/>
          <w:szCs w:val="24"/>
        </w:rPr>
        <w:t xml:space="preserve">Njoroge and Wambua (2019) – Net Profit Margin Trends in Kenyan Banks: The Role of Digital Banking. </w:t>
      </w:r>
      <w:r>
        <w:rPr>
          <w:b w:val="0"/>
          <w:sz w:val="24"/>
          <w:szCs w:val="24"/>
        </w:rPr>
        <w:t>This research investigated the impact of online banking on the Return on Equity (ROE) of Nigerian commercial banks from 2010 to 2017 using panel regression analysis. The findings showed that banks with more digital transactions had higher ROE because of reduced operating expenses.</w:t>
      </w:r>
      <w:r>
        <w:rPr>
          <w:b w:val="0"/>
          <w:color w:val="000000"/>
          <w:sz w:val="24"/>
          <w:szCs w:val="24"/>
        </w:rPr>
        <w:t xml:space="preserve"> While the study focuses on profitability, its difference lies in the</w:t>
      </w:r>
      <w:r>
        <w:rPr>
          <w:color w:val="000000"/>
          <w:sz w:val="24"/>
          <w:szCs w:val="24"/>
        </w:rPr>
        <w:t xml:space="preserve"> geographical scope. </w:t>
      </w:r>
    </w:p>
    <w:p w:rsidR="007323B9" w:rsidRDefault="0036059D">
      <w:pPr>
        <w:pStyle w:val="Heading3"/>
        <w:spacing w:before="280" w:after="280" w:line="480" w:lineRule="auto"/>
        <w:jc w:val="both"/>
        <w:rPr>
          <w:b w:val="0"/>
          <w:color w:val="000000"/>
          <w:sz w:val="24"/>
          <w:szCs w:val="24"/>
        </w:rPr>
      </w:pPr>
      <w:r>
        <w:rPr>
          <w:color w:val="000000"/>
          <w:sz w:val="24"/>
          <w:szCs w:val="24"/>
        </w:rPr>
        <w:t xml:space="preserve">Chukwu and Adebayo (2020) – The Influence of Internet Banking on Financial Performance of Deposit Money Banks in Nigeria. </w:t>
      </w:r>
      <w:r>
        <w:rPr>
          <w:b w:val="0"/>
          <w:sz w:val="24"/>
          <w:szCs w:val="24"/>
        </w:rPr>
        <w:t>Using panel regression analysis, this study examined how internet banking affected Nigerian commercial banks' Return on Equity (ROE) between 2010 and 2017. The results showed that banks with a larger percentage of digital transactions had a better return on equity (ROE) due to lower operational costs.</w:t>
      </w:r>
      <w:r>
        <w:rPr>
          <w:b w:val="0"/>
          <w:color w:val="000000"/>
          <w:sz w:val="24"/>
          <w:szCs w:val="24"/>
        </w:rPr>
        <w:t xml:space="preserve"> While this study shares a </w:t>
      </w:r>
      <w:r>
        <w:rPr>
          <w:color w:val="000000"/>
          <w:sz w:val="24"/>
          <w:szCs w:val="24"/>
        </w:rPr>
        <w:t xml:space="preserve">similar focus on profitability indicators, </w:t>
      </w:r>
      <w:r>
        <w:rPr>
          <w:b w:val="0"/>
          <w:color w:val="000000"/>
          <w:sz w:val="24"/>
          <w:szCs w:val="24"/>
        </w:rPr>
        <w:t>it differs in</w:t>
      </w:r>
      <w:r>
        <w:rPr>
          <w:color w:val="000000"/>
          <w:sz w:val="24"/>
          <w:szCs w:val="24"/>
        </w:rPr>
        <w:t xml:space="preserve"> its wider timeframe (2021–2019) compared to the 2020-2024 period of the present study.</w:t>
      </w:r>
    </w:p>
    <w:p w:rsidR="007323B9" w:rsidRDefault="0036059D">
      <w:pPr>
        <w:pStyle w:val="Heading4"/>
        <w:spacing w:line="480" w:lineRule="auto"/>
        <w:jc w:val="both"/>
        <w:rPr>
          <w:rFonts w:ascii="Times New Roman" w:eastAsia="Times New Roman" w:hAnsi="Times New Roman" w:cs="Times New Roman"/>
          <w:b w:val="0"/>
          <w:i w:val="0"/>
          <w:color w:val="000000"/>
          <w:sz w:val="24"/>
          <w:szCs w:val="24"/>
        </w:rPr>
      </w:pPr>
      <w:r>
        <w:rPr>
          <w:rFonts w:ascii="Times New Roman" w:eastAsia="Times New Roman" w:hAnsi="Times New Roman" w:cs="Times New Roman"/>
          <w:i w:val="0"/>
          <w:color w:val="000000"/>
          <w:sz w:val="24"/>
          <w:szCs w:val="24"/>
        </w:rPr>
        <w:t xml:space="preserve">Smith and Brown (2021) – Digital Transactions and Bank Profitability: Evidence from European Banks. </w:t>
      </w:r>
      <w:r>
        <w:rPr>
          <w:rFonts w:ascii="Times New Roman" w:eastAsia="Times New Roman" w:hAnsi="Times New Roman" w:cs="Times New Roman"/>
          <w:b w:val="0"/>
          <w:i w:val="0"/>
          <w:color w:val="000000"/>
          <w:sz w:val="24"/>
          <w:szCs w:val="24"/>
        </w:rPr>
        <w:t xml:space="preserve">This research used fixed-effects panel regression to examine how online banking affected ROA and ROE in European commercial banks. Results showed that the use of online banking enhanced profitability since it made transactions more efficient. The study recommended stronger regulatory oversight to enhance digital banking security. Though related to profitability, it differs in focusing on </w:t>
      </w:r>
      <w:r>
        <w:rPr>
          <w:rFonts w:ascii="Times New Roman" w:eastAsia="Times New Roman" w:hAnsi="Times New Roman" w:cs="Times New Roman"/>
          <w:i w:val="0"/>
          <w:color w:val="000000"/>
          <w:sz w:val="24"/>
          <w:szCs w:val="24"/>
        </w:rPr>
        <w:t>European banks rather than Nigerian banks.</w:t>
      </w:r>
    </w:p>
    <w:p w:rsidR="007323B9" w:rsidRDefault="0036059D">
      <w:pPr>
        <w:pStyle w:val="Heading4"/>
        <w:spacing w:line="480" w:lineRule="auto"/>
        <w:jc w:val="both"/>
        <w:rPr>
          <w:rFonts w:ascii="Times New Roman" w:eastAsia="Times New Roman" w:hAnsi="Times New Roman" w:cs="Times New Roman"/>
          <w:b w:val="0"/>
          <w:i w:val="0"/>
          <w:color w:val="000000"/>
          <w:sz w:val="24"/>
          <w:szCs w:val="24"/>
        </w:rPr>
      </w:pPr>
      <w:r>
        <w:rPr>
          <w:rFonts w:ascii="Times New Roman" w:eastAsia="Times New Roman" w:hAnsi="Times New Roman" w:cs="Times New Roman"/>
          <w:i w:val="0"/>
          <w:color w:val="000000"/>
          <w:sz w:val="24"/>
          <w:szCs w:val="24"/>
        </w:rPr>
        <w:t xml:space="preserve">Yusuf and Hassan (2023) – The Impact of Financial Technology on Profitability of Nigerian Commercial Banks. </w:t>
      </w:r>
      <w:r>
        <w:rPr>
          <w:rFonts w:ascii="Times New Roman" w:eastAsia="Times New Roman" w:hAnsi="Times New Roman" w:cs="Times New Roman"/>
          <w:b w:val="0"/>
          <w:i w:val="0"/>
          <w:color w:val="000000"/>
          <w:sz w:val="24"/>
          <w:szCs w:val="24"/>
        </w:rPr>
        <w:t xml:space="preserve">This study assessed how financial technology, including internet banking, influenced </w:t>
      </w:r>
      <w:r>
        <w:rPr>
          <w:rFonts w:ascii="Times New Roman" w:eastAsia="Times New Roman" w:hAnsi="Times New Roman" w:cs="Times New Roman"/>
          <w:i w:val="0"/>
          <w:color w:val="000000"/>
          <w:sz w:val="24"/>
          <w:szCs w:val="24"/>
        </w:rPr>
        <w:t>ROA, ROE, and NPM</w:t>
      </w:r>
      <w:r>
        <w:rPr>
          <w:rFonts w:ascii="Times New Roman" w:eastAsia="Times New Roman" w:hAnsi="Times New Roman" w:cs="Times New Roman"/>
          <w:b w:val="0"/>
          <w:i w:val="0"/>
          <w:color w:val="000000"/>
          <w:sz w:val="24"/>
          <w:szCs w:val="24"/>
        </w:rPr>
        <w:t xml:space="preserve"> in Nigerian banks from 2023 to 2022 using </w:t>
      </w:r>
      <w:r>
        <w:rPr>
          <w:rFonts w:ascii="Times New Roman" w:eastAsia="Times New Roman" w:hAnsi="Times New Roman" w:cs="Times New Roman"/>
          <w:i w:val="0"/>
          <w:color w:val="000000"/>
          <w:sz w:val="24"/>
          <w:szCs w:val="24"/>
        </w:rPr>
        <w:t>time-series regression analysis</w:t>
      </w:r>
      <w:r>
        <w:rPr>
          <w:rFonts w:ascii="Times New Roman" w:eastAsia="Times New Roman" w:hAnsi="Times New Roman" w:cs="Times New Roman"/>
          <w:b w:val="0"/>
          <w:i w:val="0"/>
          <w:color w:val="000000"/>
          <w:sz w:val="24"/>
          <w:szCs w:val="24"/>
        </w:rPr>
        <w:t xml:space="preserve">. The results indicated that fintech adoption had a </w:t>
      </w:r>
      <w:r>
        <w:rPr>
          <w:rFonts w:ascii="Times New Roman" w:eastAsia="Times New Roman" w:hAnsi="Times New Roman" w:cs="Times New Roman"/>
          <w:i w:val="0"/>
          <w:color w:val="000000"/>
          <w:sz w:val="24"/>
          <w:szCs w:val="24"/>
        </w:rPr>
        <w:t>significant positive impact</w:t>
      </w:r>
      <w:r>
        <w:rPr>
          <w:rFonts w:ascii="Times New Roman" w:eastAsia="Times New Roman" w:hAnsi="Times New Roman" w:cs="Times New Roman"/>
          <w:b w:val="0"/>
          <w:i w:val="0"/>
          <w:color w:val="000000"/>
          <w:sz w:val="24"/>
          <w:szCs w:val="24"/>
        </w:rPr>
        <w:t xml:space="preserve"> on profitability. The study recommended that banks continuously upgrade their digital banking platforms. The present research is similar in </w:t>
      </w:r>
      <w:r>
        <w:rPr>
          <w:rFonts w:ascii="Times New Roman" w:eastAsia="Times New Roman" w:hAnsi="Times New Roman" w:cs="Times New Roman"/>
          <w:i w:val="0"/>
          <w:color w:val="000000"/>
          <w:sz w:val="24"/>
          <w:szCs w:val="24"/>
        </w:rPr>
        <w:t>examining internet banking’s effect on profitability indicators</w:t>
      </w:r>
      <w:r>
        <w:rPr>
          <w:rFonts w:ascii="Times New Roman" w:eastAsia="Times New Roman" w:hAnsi="Times New Roman" w:cs="Times New Roman"/>
          <w:b w:val="0"/>
          <w:i w:val="0"/>
          <w:color w:val="000000"/>
          <w:sz w:val="24"/>
          <w:szCs w:val="24"/>
        </w:rPr>
        <w:t xml:space="preserve">, but it differs in its </w:t>
      </w:r>
      <w:r>
        <w:rPr>
          <w:rFonts w:ascii="Times New Roman" w:eastAsia="Times New Roman" w:hAnsi="Times New Roman" w:cs="Times New Roman"/>
          <w:i w:val="0"/>
          <w:color w:val="000000"/>
          <w:sz w:val="24"/>
          <w:szCs w:val="24"/>
        </w:rPr>
        <w:t>longer timeframe (2023–2022) compared to 2020-2024</w:t>
      </w:r>
      <w:r>
        <w:rPr>
          <w:rFonts w:ascii="Times New Roman" w:eastAsia="Times New Roman" w:hAnsi="Times New Roman" w:cs="Times New Roman"/>
          <w:b w:val="0"/>
          <w:i w:val="0"/>
          <w:color w:val="000000"/>
          <w:sz w:val="24"/>
          <w:szCs w:val="24"/>
        </w:rPr>
        <w:t>.</w:t>
      </w:r>
    </w:p>
    <w:p w:rsidR="007323B9" w:rsidRDefault="0036059D">
      <w:pPr>
        <w:rPr>
          <w:rFonts w:ascii="Times New Roman" w:eastAsia="Times New Roman" w:hAnsi="Times New Roman" w:cs="Times New Roman"/>
          <w:b/>
          <w:sz w:val="24"/>
          <w:szCs w:val="24"/>
        </w:rPr>
      </w:pPr>
      <w:r>
        <w:br w:type="page"/>
      </w:r>
    </w:p>
    <w:p w:rsidR="007323B9" w:rsidRDefault="0036059D">
      <w:pPr>
        <w:pStyle w:val="Heading3"/>
        <w:spacing w:before="280" w:after="280" w:line="480" w:lineRule="auto"/>
        <w:jc w:val="both"/>
        <w:rPr>
          <w:sz w:val="24"/>
          <w:szCs w:val="24"/>
        </w:rPr>
      </w:pPr>
      <w:r>
        <w:rPr>
          <w:sz w:val="24"/>
          <w:szCs w:val="24"/>
        </w:rPr>
        <w:t>2.4.3 Gaps in Literature</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There are still several unanswered questions about internet banking's effects on commercial banks' profitability, despite a wealth of study on the subject. There is a dearth of research specifically looking at the implications of internet banking in the Nigerian banking industry since most earlier studies have concentrated on richer nations. Furthermore, while several studies have looked at the connection between digital banking and financial success, few have offered a thorough examination using important profitability metrics like net profit margin (NPM), return on equity (ROE), and return on assets (ROA).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Furthermore, the majority of research has not taken into consideration how technology improvements, bank size, and client acceptance rates may moderate the impact of these factors on commercial banks' profitability. Particularly in light of the rapid development of financial technology, these limitations suggest that more empirical research specific to the Nigerian banking system is required.</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By concentrating on Fidelity Bank in the Nigerian setting and evaluating the impact of online banking on profitability using ROA, ROE, and NPM as key performance measures, this research seeks to close these gaps. This study will make use of secondary financial data from audited reports, in contrast to earlier research that mostly relied on primary data, guaranteeing a more impartial and quantitative examination.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This study aims to fill these gaps by focusing on Fidelity Bank in the Nigerian context and assessing how internet banking affects profitability using ROA, ROE, and NPM as key performance metrics. Unlike previous studies that mostly used primary data, this study would incorporate secondary financial data from audited reports, ensuring a more objective and quantitative analysis.</w:t>
      </w:r>
    </w:p>
    <w:p w:rsidR="007323B9" w:rsidRDefault="007323B9">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7323B9" w:rsidRDefault="0036059D">
      <w:pPr>
        <w:pStyle w:val="Heading3"/>
        <w:rPr>
          <w:sz w:val="24"/>
          <w:szCs w:val="24"/>
        </w:rPr>
      </w:pPr>
      <w:r>
        <w:rPr>
          <w:sz w:val="24"/>
          <w:szCs w:val="24"/>
        </w:rPr>
        <w:t>2.5 Summary of Literature Review</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literature study examined a number of facets of online banking and how it relates to commercial banks' profitability. The conceptual study included a thorough analysis of internet banking, including its characteristics, advantages, and disadvantages, as well as Nigeria's adoption of it. The assessment also looked at the idea of profitability in commercial banks, emphasizing important financial metrics including net profit margin (NPM), return on equity (ROE), and return on assets (ROA). When evaluating the effects of online banking on financial performance, these profitability criteria are crucial.</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theoretical examination served as the basis for comprehending the uptake of online banking and its impact on banks profitability. Davis's (1989) Technology Acceptance Model (TAM) described how perceived utility and usability affect the uptake of online banking. Rogers' 1962 Innovation Diffusion Theory (IDT) illustrated how new financial technology proliferate among customers, impacting their acceptance and use. Last but not least, the Profitability Theory (Du Pont Model, 1919) demonstrated how internet banking may increase profitability by cutting expenses and improving service delivery by connecting financial success to operational efficiency.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With an emphasis on prior study results pertaining to financial performance, the empirical review looked at earlier studies on online banking and profitability. Numerous studies, pointing to higher revenue production, lower costs, and better customer satisfaction, have validated a favorable correlation between online banking and bank profitability. Digital banking has a major effect on total bank profitability, according to other research that looked at how it affects important financial measures including ROA, ROE, and NPM. Findings, however, differed according to technical developments, bank size, and geographic locations.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gaps in literature highlighted the limitations of previous research, particularly the lack of comprehensive studies focusing on Nigerian banks using secondary financial data. Many past studies were conducted in developed economies or relied on survey-based approaches, which may not provide an objective measurement of profitability. Additionally, limited research has considered how internet banking affects specific profitability indicators such as ROA, ROE, and NPM. These gaps justify the need for this study, which aims to fill these voids by providing empirical evidence from Fidelity Bank.</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literature research concluded by demonstrating the applicability of online banking in the current banking environment as well as its possible impact on the profitability of commercial banks. By using important financial measures and examining real banking data in the Nigerian setting, the study will expand on previous studies. In doing so, it will provide academics, financial institutions, and regulators important information on how digital banking affects financial performance.</w:t>
      </w:r>
    </w:p>
    <w:p w:rsidR="007323B9" w:rsidRDefault="0036059D">
      <w:pPr>
        <w:rPr>
          <w:rFonts w:ascii="Times New Roman" w:eastAsia="Times New Roman" w:hAnsi="Times New Roman" w:cs="Times New Roman"/>
          <w:sz w:val="24"/>
          <w:szCs w:val="24"/>
        </w:rPr>
      </w:pPr>
      <w:r>
        <w:br w:type="page"/>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THREE</w:t>
      </w:r>
    </w:p>
    <w:p w:rsidR="007323B9" w:rsidRDefault="0036059D">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METHODS</w:t>
      </w:r>
    </w:p>
    <w:p w:rsidR="007323B9" w:rsidRDefault="0036059D">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Fidelity Bank as a case study, this chapter describes the research philosophy used to investigate how internet banking affects Nigerian commercial banks' profitability. It describes the population, sample size, data collecting procedures, analytical strategies, model formulation, validity, reliability, and ethical issues in depth.</w:t>
      </w:r>
    </w:p>
    <w:p w:rsidR="007323B9" w:rsidRDefault="0036059D">
      <w:pPr>
        <w:pStyle w:val="Heading3"/>
        <w:spacing w:before="280" w:after="280" w:line="480" w:lineRule="auto"/>
        <w:jc w:val="both"/>
      </w:pPr>
      <w:r>
        <w:t>3.1</w:t>
      </w:r>
      <w:r>
        <w:tab/>
        <w:t>Research Design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This study adopted an ex-post facto research design, which was suitable for examining the impact of internet banking on the profitability of commercial banks in Nigeria, using Fidelity Bank PLC as a case study. The ex-post facto design involved the analysis of historical data without manipulating the variables under investigation.</w:t>
      </w:r>
      <w:r>
        <w:rPr>
          <w:rFonts w:ascii="Times New Roman" w:eastAsia="Times New Roman" w:hAnsi="Times New Roman" w:cs="Times New Roman"/>
          <w:color w:val="000000"/>
          <w:sz w:val="24"/>
          <w:szCs w:val="24"/>
        </w:rPr>
        <w:t xml:space="preserve"> Given the reliance on existing financial reports and internet banking adoption records between 2020 and 2024, this design facilitated a systematic investigation of the relationship between digital banking innovations and bank performance. It allowed the researcher to retrospectively assess how the implementation of internet banking systems may have influenced key profitability indicators during the period under review.</w:t>
      </w:r>
    </w:p>
    <w:p w:rsidR="007323B9" w:rsidRDefault="0036059D">
      <w:pPr>
        <w:pStyle w:val="Heading3"/>
        <w:spacing w:before="280" w:after="280" w:line="480" w:lineRule="auto"/>
        <w:jc w:val="both"/>
      </w:pPr>
      <w:r>
        <w:t>3.2</w:t>
      </w:r>
      <w:r>
        <w:tab/>
        <w:t>Sources of Data</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Secondary data included in the research came from a range of government financial and historical sources. Publications from the Central Bank of Nigeria (CBN), reports from the Nigeria Deposit Insurance Corporation (NDIC) on the banking sector, and the annual reports and audited financial statements of Fidelity Bank PLC were the main sources.</w:t>
      </w:r>
      <w:r>
        <w:rPr>
          <w:rFonts w:ascii="Times New Roman" w:eastAsia="Times New Roman" w:hAnsi="Times New Roman" w:cs="Times New Roman"/>
          <w:color w:val="000000"/>
          <w:sz w:val="24"/>
          <w:szCs w:val="24"/>
        </w:rPr>
        <w:t xml:space="preserve"> Supplementary data were also drawn from relevant online banking performance reports, journal articles, and publications from regulatory authorities such as the National Bureau of Statistics (NBS). These diverse data sources ensured that the study was supported by accurate, comprehensive, and credible financial information.</w:t>
      </w:r>
    </w:p>
    <w:p w:rsidR="007323B9" w:rsidRDefault="0036059D">
      <w:pPr>
        <w:pStyle w:val="Heading3"/>
        <w:spacing w:before="280" w:after="280" w:line="480" w:lineRule="auto"/>
        <w:jc w:val="both"/>
      </w:pPr>
      <w:r>
        <w:t>3.3</w:t>
      </w:r>
      <w:r>
        <w:tab/>
        <w:t>Area of the Study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With an emphasis on Fidelity Bank PLC, one of the regulated commercial banks functioning within the Nigerian financial system, the study's focus was Nigeria.</w:t>
      </w:r>
      <w:r>
        <w:rPr>
          <w:rFonts w:ascii="Times New Roman" w:eastAsia="Times New Roman" w:hAnsi="Times New Roman" w:cs="Times New Roman"/>
          <w:color w:val="000000"/>
          <w:sz w:val="24"/>
          <w:szCs w:val="24"/>
        </w:rPr>
        <w:t xml:space="preserve"> The bank’s performance during the selected period (2020-2024) served as a representative case to assess how internet banking adoption affected profitability. Although the analysis was centered on Fidelity Bank, the findings aimed to offer broader insights applicable to the Nigerian commercial banking sector.</w:t>
      </w:r>
    </w:p>
    <w:p w:rsidR="007323B9" w:rsidRDefault="0036059D">
      <w:pPr>
        <w:pStyle w:val="Heading3"/>
        <w:spacing w:before="280" w:after="280" w:line="480" w:lineRule="auto"/>
        <w:jc w:val="both"/>
      </w:pPr>
      <w:r>
        <w:t>3.4</w:t>
      </w:r>
      <w:r>
        <w:tab/>
        <w:t>Method of Data Collection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data collection process involved the systematic retrieval of secondary data from relevant documents and official financial databases. </w:t>
      </w:r>
      <w:r>
        <w:rPr>
          <w:rFonts w:ascii="Times New Roman" w:eastAsia="Times New Roman" w:hAnsi="Times New Roman" w:cs="Times New Roman"/>
          <w:sz w:val="24"/>
          <w:szCs w:val="24"/>
        </w:rPr>
        <w:t>We took information from the bank's financial filings on key profitability metrics such net profit margins, return on equity (ROE), and return on assets (ROA).</w:t>
      </w:r>
      <w:r>
        <w:rPr>
          <w:rFonts w:ascii="Times New Roman" w:eastAsia="Times New Roman" w:hAnsi="Times New Roman" w:cs="Times New Roman"/>
          <w:color w:val="000000"/>
          <w:sz w:val="24"/>
          <w:szCs w:val="24"/>
        </w:rPr>
        <w:t xml:space="preserve"> In addition, information on internet banking services - including usage trends, service rollout timelines, and customer engagement statistics - was collected from Fidelity Bank’s reports and relevant banking sector analyses. This approach aligned with the ex-post facto research design and ensured objectivity and consistency in data collection.</w:t>
      </w:r>
    </w:p>
    <w:p w:rsidR="007323B9" w:rsidRDefault="0036059D">
      <w:pPr>
        <w:pStyle w:val="Heading3"/>
        <w:spacing w:before="280" w:after="280" w:line="480" w:lineRule="auto"/>
        <w:jc w:val="both"/>
      </w:pPr>
      <w:r>
        <w:t>3.5</w:t>
      </w:r>
      <w:r>
        <w:tab/>
        <w:t>Population of the Study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population of this study comprised all financial performance data and internet banking adoption metrics relevant to Nigerian commercial banks during the period of 2020 to 2024. However, for the purpose of this research, the focus was narrowed to Fidelity Bank PLC. The study examined yearly financial performance indicators in relation to the expansion and use of internet banking platforms. This population was drawn from publicly available records from Fidelity Bank and other financial regulatory agencies.</w:t>
      </w:r>
    </w:p>
    <w:p w:rsidR="007323B9" w:rsidRDefault="0036059D">
      <w:pPr>
        <w:pStyle w:val="Heading3"/>
        <w:spacing w:before="280" w:after="280" w:line="480" w:lineRule="auto"/>
        <w:jc w:val="both"/>
      </w:pPr>
      <w:r>
        <w:t>3.6</w:t>
      </w:r>
      <w:r>
        <w:tab/>
        <w:t>Sampling Procedure and Sample Size Determination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study employed a purposive sampling technique, targeting specific data relevant to Fidelity Bank PLC within the 2020-2024 period. This non-probability sampling method was appropriate due to the need for focused and detailed data on internet banking and profitability metrics. The sample size was defined by the availability of annual data over the selected five-year period. This timeframe provided sufficient data points for identifying trends and establishing relationships between internet banking adoption and financial performance. The use of a clearly defined sample ensured consistency and relevance to the research objectives.</w:t>
      </w:r>
    </w:p>
    <w:p w:rsidR="007323B9" w:rsidRDefault="0036059D">
      <w:pPr>
        <w:pStyle w:val="Heading3"/>
        <w:spacing w:before="280" w:after="280" w:line="480" w:lineRule="auto"/>
        <w:jc w:val="both"/>
      </w:pPr>
      <w:r>
        <w:t>3.6</w:t>
      </w:r>
      <w:r>
        <w:tab/>
        <w:t>Method of Data Analysis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Inferential and descriptive statistical methods were also used in the data analysis. Means, percentages, and growth rates were among the descriptive statistics utilized to compile data on online banking activity and financial performance throughout the research period. We used inferential analysis, namely regression analysis, to evaluate how online banking affected profitability metrics such as ROE and ROA. Finding the direction and degree of the association between the variables was another goal of the correlation study. These analytical techniques provide a strong foundation for assessing how internet banking services affected Nigerian commercial banks' financial results.</w:t>
      </w:r>
    </w:p>
    <w:p w:rsidR="007323B9" w:rsidRDefault="0036059D">
      <w:pPr>
        <w:rPr>
          <w:rFonts w:ascii="Times New Roman" w:eastAsia="Times New Roman" w:hAnsi="Times New Roman" w:cs="Times New Roman"/>
          <w:b/>
          <w:sz w:val="24"/>
          <w:szCs w:val="24"/>
        </w:rPr>
      </w:pPr>
      <w:r>
        <w:br w:type="page"/>
      </w:r>
    </w:p>
    <w:p w:rsidR="007323B9" w:rsidRDefault="0036059D">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r>
        <w:rPr>
          <w:rFonts w:ascii="Times New Roman" w:eastAsia="Times New Roman" w:hAnsi="Times New Roman" w:cs="Times New Roman"/>
          <w:b/>
          <w:sz w:val="24"/>
          <w:szCs w:val="24"/>
        </w:rPr>
        <w:tab/>
        <w:t>Model Specification</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regression analysis will be used to specify an econometric model in order to investigate the connection between Fidelity Bank's profitability and online banking. The model will evaluate how online banking affects three important profitability metrics: net profit margin (NPM), return on equity (ROE), and return on assets (ROA). The following is the formulation of the generic regression equation:</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Y=β</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ϵ</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p>
    <w:p w:rsidR="007323B9" w:rsidRDefault="0036059D">
      <w:pPr>
        <w:numPr>
          <w:ilvl w:val="0"/>
          <w:numId w:val="4"/>
        </w:numPr>
        <w:spacing w:before="28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 Profitability indicators (ROA, ROE, NPM)</w:t>
      </w:r>
    </w:p>
    <w:p w:rsidR="007323B9" w:rsidRDefault="0036059D">
      <w:pPr>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 Intercept (constant term)</w:t>
      </w:r>
    </w:p>
    <w:p w:rsidR="007323B9" w:rsidRDefault="0036059D">
      <w:pPr>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 Internet banking transactions (volume and value)</w:t>
      </w:r>
    </w:p>
    <w:p w:rsidR="007323B9" w:rsidRDefault="0036059D">
      <w:pPr>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 Number of internet banking users</w:t>
      </w:r>
    </w:p>
    <w:p w:rsidR="007323B9" w:rsidRDefault="0036059D">
      <w:pPr>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 Total banking revenue from internet banking</w:t>
      </w:r>
    </w:p>
    <w:p w:rsidR="007323B9" w:rsidRDefault="0036059D">
      <w:pPr>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 Coefficients of the independent variables</w:t>
      </w:r>
    </w:p>
    <w:p w:rsidR="007323B9" w:rsidRDefault="0036059D">
      <w:pPr>
        <w:numPr>
          <w:ilvl w:val="0"/>
          <w:numId w:val="4"/>
        </w:numPr>
        <w:spacing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ϵ = Error term (captures unexplained variations)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construct an econometric model and examine the relationship between Fidelity Bank's profitability and online banking, multiple regression analysis will be used. The model will assess the impact of online banking on three key profitability metrics: return on equity (ROE), return on assets (ROA), and net profit margin (NPM). The general regression equation looks like this:</w:t>
      </w:r>
    </w:p>
    <w:p w:rsidR="007323B9" w:rsidRDefault="0036059D">
      <w:pPr>
        <w:rPr>
          <w:rFonts w:ascii="Times New Roman" w:eastAsia="Times New Roman" w:hAnsi="Times New Roman" w:cs="Times New Roman"/>
          <w:b/>
          <w:sz w:val="24"/>
          <w:szCs w:val="24"/>
        </w:rPr>
      </w:pPr>
      <w:r>
        <w:br w:type="page"/>
      </w:r>
    </w:p>
    <w:p w:rsidR="007323B9" w:rsidRDefault="0036059D">
      <w:pPr>
        <w:pStyle w:val="Heading3"/>
        <w:rPr>
          <w:sz w:val="24"/>
          <w:szCs w:val="24"/>
        </w:rPr>
      </w:pPr>
      <w:r>
        <w:rPr>
          <w:sz w:val="24"/>
          <w:szCs w:val="24"/>
        </w:rPr>
        <w:t>3.8</w:t>
      </w:r>
      <w:r>
        <w:rPr>
          <w:sz w:val="24"/>
          <w:szCs w:val="24"/>
        </w:rPr>
        <w:tab/>
        <w:t>Validity of the Study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ensure validity</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the study focused on relevant profitability indicators—</w:t>
      </w:r>
      <w:r>
        <w:rPr>
          <w:rFonts w:ascii="Times New Roman" w:eastAsia="Times New Roman" w:hAnsi="Times New Roman" w:cs="Times New Roman"/>
          <w:sz w:val="24"/>
          <w:szCs w:val="24"/>
        </w:rPr>
        <w:t>Net Profit Margin (NPM), Return on Equity (ROE), and Return on Assets (ROA) are</w:t>
      </w:r>
      <w:r>
        <w:rPr>
          <w:rFonts w:ascii="Times New Roman" w:eastAsia="Times New Roman" w:hAnsi="Times New Roman" w:cs="Times New Roman"/>
          <w:color w:val="000000"/>
          <w:sz w:val="24"/>
          <w:szCs w:val="24"/>
        </w:rPr>
        <w:t xml:space="preserve"> widely recognized measures of financial performance. The selected time frame </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2020-2024</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ensures consistency in data collection, reducing potential distortions from economic fluctuations.</w:t>
      </w:r>
    </w:p>
    <w:p w:rsidR="007323B9" w:rsidRDefault="0036059D">
      <w:pPr>
        <w:pStyle w:val="Heading3"/>
        <w:rPr>
          <w:sz w:val="24"/>
          <w:szCs w:val="24"/>
        </w:rPr>
      </w:pPr>
      <w:r>
        <w:rPr>
          <w:sz w:val="24"/>
          <w:szCs w:val="24"/>
        </w:rPr>
        <w:t>3.8</w:t>
      </w:r>
      <w:r>
        <w:rPr>
          <w:sz w:val="24"/>
          <w:szCs w:val="24"/>
        </w:rPr>
        <w:tab/>
        <w:t>Reliability of the Study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reliability, the study applies </w:t>
      </w:r>
      <w:r>
        <w:rPr>
          <w:rFonts w:ascii="Times New Roman" w:eastAsia="Times New Roman" w:hAnsi="Times New Roman" w:cs="Times New Roman"/>
          <w:sz w:val="24"/>
          <w:szCs w:val="24"/>
        </w:rPr>
        <w:t>statistical techniques like correlation and regression analysis, which are</w:t>
      </w:r>
      <w:r>
        <w:rPr>
          <w:rFonts w:ascii="Times New Roman" w:eastAsia="Times New Roman" w:hAnsi="Times New Roman" w:cs="Times New Roman"/>
          <w:color w:val="000000"/>
          <w:sz w:val="24"/>
          <w:szCs w:val="24"/>
        </w:rPr>
        <w:t xml:space="preserve"> widely accepted techniques for measuring relationships between financial variables. Additionally, the use of multiple years of data enhances the study's robustness and minimizes the risk of biased conclusions. By employing quantitative methods, the findings can be replicated and verified, thereby strengthening the study’s reliability.</w:t>
      </w:r>
    </w:p>
    <w:p w:rsidR="007323B9" w:rsidRDefault="007323B9">
      <w:pPr>
        <w:spacing w:after="120" w:line="480" w:lineRule="auto"/>
        <w:rPr>
          <w:rFonts w:ascii="Times New Roman" w:eastAsia="Times New Roman" w:hAnsi="Times New Roman" w:cs="Times New Roman"/>
          <w:sz w:val="24"/>
          <w:szCs w:val="24"/>
        </w:rPr>
      </w:pPr>
    </w:p>
    <w:p w:rsidR="007323B9" w:rsidRDefault="0036059D">
      <w:pPr>
        <w:rPr>
          <w:rFonts w:ascii="Times New Roman" w:eastAsia="Times New Roman" w:hAnsi="Times New Roman" w:cs="Times New Roman"/>
          <w:sz w:val="24"/>
          <w:szCs w:val="24"/>
        </w:rPr>
      </w:pPr>
      <w:r>
        <w:br w:type="page"/>
      </w:r>
    </w:p>
    <w:p w:rsidR="007323B9" w:rsidRDefault="0036059D">
      <w:pPr>
        <w:tabs>
          <w:tab w:val="left" w:pos="3780"/>
        </w:tabs>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FOUR</w:t>
      </w:r>
    </w:p>
    <w:p w:rsidR="007323B9" w:rsidRDefault="0036059D">
      <w:pPr>
        <w:tabs>
          <w:tab w:val="left" w:pos="3780"/>
        </w:tabs>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PRESENTATION AND ANALYSIS OF DATA</w:t>
      </w:r>
    </w:p>
    <w:p w:rsidR="007323B9" w:rsidRDefault="0036059D">
      <w:pPr>
        <w:tabs>
          <w:tab w:val="left" w:pos="7466"/>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Presentation of Data</w:t>
      </w:r>
      <w:r>
        <w:rPr>
          <w:rFonts w:ascii="Times New Roman" w:eastAsia="Times New Roman" w:hAnsi="Times New Roman" w:cs="Times New Roman"/>
          <w:b/>
          <w:sz w:val="24"/>
          <w:szCs w:val="24"/>
        </w:rPr>
        <w:tab/>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will showcase the data gathered for the research, with an emphasis on important profitability metrics including Fidelity Bank's Return on Equity (ROE), Return on Assets (ROA), and Net Profit Margin (NPM) from 2020 to 2024.</w:t>
      </w:r>
    </w:p>
    <w:p w:rsidR="007323B9" w:rsidRDefault="007323B9">
      <w:pPr>
        <w:spacing w:after="0" w:line="480" w:lineRule="auto"/>
        <w:jc w:val="both"/>
        <w:rPr>
          <w:rFonts w:ascii="Times New Roman" w:eastAsia="Times New Roman" w:hAnsi="Times New Roman" w:cs="Times New Roman"/>
          <w:sz w:val="24"/>
          <w:szCs w:val="24"/>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Table1: Data Summary of Return on Assets (ROA), for Fidelity Bank (2020-2024)</w:t>
      </w:r>
    </w:p>
    <w:tbl>
      <w:tblPr>
        <w:tblStyle w:val="a"/>
        <w:tblW w:w="88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2310"/>
        <w:gridCol w:w="2430"/>
        <w:gridCol w:w="2250"/>
      </w:tblGrid>
      <w:tr w:rsidR="007323B9">
        <w:tc>
          <w:tcPr>
            <w:tcW w:w="1848"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310"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Profit After Tax (</w:t>
            </w:r>
            <w:r>
              <w:rPr>
                <w:rFonts w:ascii="Times New Roman" w:eastAsia="Times New Roman" w:hAnsi="Times New Roman" w:cs="Times New Roman"/>
                <w:b/>
                <w:strike/>
                <w:sz w:val="24"/>
                <w:szCs w:val="24"/>
              </w:rPr>
              <w:t>N</w:t>
            </w:r>
            <w:r>
              <w:rPr>
                <w:rFonts w:ascii="Times New Roman" w:eastAsia="Times New Roman" w:hAnsi="Times New Roman" w:cs="Times New Roman"/>
                <w:b/>
                <w:sz w:val="24"/>
                <w:szCs w:val="24"/>
              </w:rPr>
              <w:t>’million)</w:t>
            </w:r>
          </w:p>
        </w:tc>
        <w:tc>
          <w:tcPr>
            <w:tcW w:w="2430"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Assets (</w:t>
            </w:r>
            <w:r>
              <w:rPr>
                <w:rFonts w:ascii="Times New Roman" w:eastAsia="Times New Roman" w:hAnsi="Times New Roman" w:cs="Times New Roman"/>
                <w:b/>
                <w:strike/>
                <w:sz w:val="24"/>
                <w:szCs w:val="24"/>
              </w:rPr>
              <w:t>N</w:t>
            </w:r>
            <w:r>
              <w:rPr>
                <w:rFonts w:ascii="Times New Roman" w:eastAsia="Times New Roman" w:hAnsi="Times New Roman" w:cs="Times New Roman"/>
                <w:b/>
                <w:sz w:val="24"/>
                <w:szCs w:val="24"/>
              </w:rPr>
              <w:t>’million)</w:t>
            </w:r>
          </w:p>
        </w:tc>
        <w:tc>
          <w:tcPr>
            <w:tcW w:w="2250"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ROA (%)</w:t>
            </w:r>
          </w:p>
        </w:tc>
      </w:tr>
      <w:tr w:rsidR="007323B9">
        <w:tc>
          <w:tcPr>
            <w:tcW w:w="1848" w:type="dxa"/>
          </w:tcPr>
          <w:p w:rsidR="007323B9" w:rsidRDefault="0036059D">
            <w:r>
              <w:t>2020</w:t>
            </w:r>
          </w:p>
        </w:tc>
        <w:tc>
          <w:tcPr>
            <w:tcW w:w="2310" w:type="dxa"/>
          </w:tcPr>
          <w:p w:rsidR="007323B9" w:rsidRDefault="0036059D">
            <w:r>
              <w:t>28,054</w:t>
            </w:r>
          </w:p>
        </w:tc>
        <w:tc>
          <w:tcPr>
            <w:tcW w:w="2430" w:type="dxa"/>
          </w:tcPr>
          <w:p w:rsidR="007323B9" w:rsidRDefault="0036059D">
            <w:r>
              <w:t>2,104,272</w:t>
            </w:r>
          </w:p>
        </w:tc>
        <w:tc>
          <w:tcPr>
            <w:tcW w:w="2250" w:type="dxa"/>
          </w:tcPr>
          <w:p w:rsidR="007323B9" w:rsidRDefault="0036059D">
            <w:r>
              <w:t>1.33%</w:t>
            </w:r>
          </w:p>
        </w:tc>
      </w:tr>
      <w:tr w:rsidR="007323B9">
        <w:tc>
          <w:tcPr>
            <w:tcW w:w="1848" w:type="dxa"/>
          </w:tcPr>
          <w:p w:rsidR="007323B9" w:rsidRDefault="0036059D">
            <w:r>
              <w:t>2021</w:t>
            </w:r>
          </w:p>
        </w:tc>
        <w:tc>
          <w:tcPr>
            <w:tcW w:w="2310" w:type="dxa"/>
          </w:tcPr>
          <w:p w:rsidR="007323B9" w:rsidRDefault="0036059D">
            <w:r>
              <w:t>35,579</w:t>
            </w:r>
          </w:p>
        </w:tc>
        <w:tc>
          <w:tcPr>
            <w:tcW w:w="2430" w:type="dxa"/>
          </w:tcPr>
          <w:p w:rsidR="007323B9" w:rsidRDefault="0036059D">
            <w:r>
              <w:t>2,504,442</w:t>
            </w:r>
          </w:p>
        </w:tc>
        <w:tc>
          <w:tcPr>
            <w:tcW w:w="2250" w:type="dxa"/>
          </w:tcPr>
          <w:p w:rsidR="007323B9" w:rsidRDefault="0036059D">
            <w:r>
              <w:t>1.42%</w:t>
            </w:r>
          </w:p>
        </w:tc>
      </w:tr>
      <w:tr w:rsidR="007323B9">
        <w:tc>
          <w:tcPr>
            <w:tcW w:w="1848" w:type="dxa"/>
          </w:tcPr>
          <w:p w:rsidR="007323B9" w:rsidRDefault="0036059D">
            <w:r>
              <w:t>2022</w:t>
            </w:r>
          </w:p>
        </w:tc>
        <w:tc>
          <w:tcPr>
            <w:tcW w:w="2310" w:type="dxa"/>
          </w:tcPr>
          <w:p w:rsidR="007323B9" w:rsidRDefault="0036059D">
            <w:r>
              <w:t>46,724</w:t>
            </w:r>
          </w:p>
        </w:tc>
        <w:tc>
          <w:tcPr>
            <w:tcW w:w="2430" w:type="dxa"/>
          </w:tcPr>
          <w:p w:rsidR="007323B9" w:rsidRDefault="0036059D">
            <w:r>
              <w:t>3,989,454</w:t>
            </w:r>
          </w:p>
        </w:tc>
        <w:tc>
          <w:tcPr>
            <w:tcW w:w="2250" w:type="dxa"/>
          </w:tcPr>
          <w:p w:rsidR="007323B9" w:rsidRDefault="0036059D">
            <w:r>
              <w:t>1.17%</w:t>
            </w:r>
          </w:p>
        </w:tc>
      </w:tr>
      <w:tr w:rsidR="007323B9">
        <w:tc>
          <w:tcPr>
            <w:tcW w:w="1848" w:type="dxa"/>
          </w:tcPr>
          <w:p w:rsidR="007323B9" w:rsidRDefault="0036059D">
            <w:r>
              <w:t>2023</w:t>
            </w:r>
          </w:p>
        </w:tc>
        <w:tc>
          <w:tcPr>
            <w:tcW w:w="2310" w:type="dxa"/>
          </w:tcPr>
          <w:p w:rsidR="007323B9" w:rsidRDefault="0036059D">
            <w:r>
              <w:t>62,015</w:t>
            </w:r>
          </w:p>
        </w:tc>
        <w:tc>
          <w:tcPr>
            <w:tcW w:w="2430" w:type="dxa"/>
          </w:tcPr>
          <w:p w:rsidR="007323B9" w:rsidRDefault="0036059D">
            <w:r>
              <w:t>6,224,781</w:t>
            </w:r>
          </w:p>
        </w:tc>
        <w:tc>
          <w:tcPr>
            <w:tcW w:w="2250" w:type="dxa"/>
          </w:tcPr>
          <w:p w:rsidR="007323B9" w:rsidRDefault="0036059D">
            <w:r>
              <w:t>1.00%</w:t>
            </w:r>
          </w:p>
        </w:tc>
      </w:tr>
      <w:tr w:rsidR="007323B9">
        <w:tc>
          <w:tcPr>
            <w:tcW w:w="1848" w:type="dxa"/>
          </w:tcPr>
          <w:p w:rsidR="007323B9" w:rsidRDefault="0036059D">
            <w:r>
              <w:t>2024</w:t>
            </w:r>
          </w:p>
        </w:tc>
        <w:tc>
          <w:tcPr>
            <w:tcW w:w="2310" w:type="dxa"/>
          </w:tcPr>
          <w:p w:rsidR="007323B9" w:rsidRDefault="0036059D">
            <w:r>
              <w:t>124,264</w:t>
            </w:r>
          </w:p>
        </w:tc>
        <w:tc>
          <w:tcPr>
            <w:tcW w:w="2430" w:type="dxa"/>
          </w:tcPr>
          <w:p w:rsidR="007323B9" w:rsidRDefault="0036059D">
            <w:r>
              <w:t>7,350,045</w:t>
            </w:r>
          </w:p>
        </w:tc>
        <w:tc>
          <w:tcPr>
            <w:tcW w:w="2250" w:type="dxa"/>
          </w:tcPr>
          <w:p w:rsidR="007323B9" w:rsidRDefault="0036059D">
            <w:r>
              <w:t>1.69%</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table shows Fidelity Bank PLC's Return on Assets (ROA) trend between 2020 and 2024. A bank's return on assets (ROA), which gauges how well it turns total assets into net income, performs modestly but steadily. The ROA, which was 1.33% in 2020 and somewhat higher at 1.42% in 2021, indicates better asset utilization. However, in 2022 and 2023, despite significant growth in total assets, ROA dropped to 1.17% and 1.00% respectively, indicating a lag in profit generation relative to asset expansion. By 2024, the ROA rebounded sharply to 1.69% alongside a marked increase in profit after tax, showing improved operational efficiency and a stronger return from assets. Overall, Fidelity Bank maintained a stable ROA throughout the five-year period, reflecting sound asset management with occasional fluctuations due to expansion phases.</w:t>
      </w:r>
    </w:p>
    <w:p w:rsidR="007323B9" w:rsidRDefault="0036059D">
      <w:pPr>
        <w:rPr>
          <w:rFonts w:ascii="Times New Roman" w:eastAsia="Times New Roman" w:hAnsi="Times New Roman" w:cs="Times New Roman"/>
          <w:b/>
          <w:sz w:val="24"/>
          <w:szCs w:val="24"/>
        </w:rPr>
      </w:pPr>
      <w:r>
        <w:br w:type="page"/>
      </w: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2: Data Summary of Return on Equity (ROE), for Fidelity Bank (2020-2024)</w:t>
      </w:r>
    </w:p>
    <w:tbl>
      <w:tblPr>
        <w:tblStyle w:val="a0"/>
        <w:tblW w:w="88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0"/>
        <w:gridCol w:w="2270"/>
        <w:gridCol w:w="2271"/>
        <w:gridCol w:w="2055"/>
      </w:tblGrid>
      <w:tr w:rsidR="007323B9">
        <w:trPr>
          <w:trHeight w:val="703"/>
        </w:trPr>
        <w:tc>
          <w:tcPr>
            <w:tcW w:w="2270"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270"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Equity (₦ Million)</w:t>
            </w:r>
          </w:p>
        </w:tc>
        <w:tc>
          <w:tcPr>
            <w:tcW w:w="2271"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Profit After Tax (₦ Million)</w:t>
            </w:r>
          </w:p>
        </w:tc>
        <w:tc>
          <w:tcPr>
            <w:tcW w:w="2055"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ROE (%)</w:t>
            </w:r>
          </w:p>
        </w:tc>
      </w:tr>
      <w:tr w:rsidR="007323B9">
        <w:trPr>
          <w:trHeight w:val="341"/>
        </w:trPr>
        <w:tc>
          <w:tcPr>
            <w:tcW w:w="2270" w:type="dxa"/>
          </w:tcPr>
          <w:p w:rsidR="007323B9" w:rsidRDefault="0036059D">
            <w:r>
              <w:t>2020</w:t>
            </w:r>
          </w:p>
        </w:tc>
        <w:tc>
          <w:tcPr>
            <w:tcW w:w="2270" w:type="dxa"/>
          </w:tcPr>
          <w:p w:rsidR="007323B9" w:rsidRDefault="0036059D">
            <w:r>
              <w:t>234,030</w:t>
            </w:r>
          </w:p>
        </w:tc>
        <w:tc>
          <w:tcPr>
            <w:tcW w:w="2271" w:type="dxa"/>
          </w:tcPr>
          <w:p w:rsidR="007323B9" w:rsidRDefault="0036059D">
            <w:r>
              <w:t>26,650</w:t>
            </w:r>
          </w:p>
        </w:tc>
        <w:tc>
          <w:tcPr>
            <w:tcW w:w="2055" w:type="dxa"/>
          </w:tcPr>
          <w:p w:rsidR="007323B9" w:rsidRDefault="0036059D">
            <w:r>
              <w:t>11.39</w:t>
            </w:r>
          </w:p>
        </w:tc>
      </w:tr>
      <w:tr w:rsidR="007323B9">
        <w:trPr>
          <w:trHeight w:val="341"/>
        </w:trPr>
        <w:tc>
          <w:tcPr>
            <w:tcW w:w="2270" w:type="dxa"/>
          </w:tcPr>
          <w:p w:rsidR="007323B9" w:rsidRDefault="0036059D">
            <w:r>
              <w:t>2021</w:t>
            </w:r>
          </w:p>
        </w:tc>
        <w:tc>
          <w:tcPr>
            <w:tcW w:w="2270" w:type="dxa"/>
          </w:tcPr>
          <w:p w:rsidR="007323B9" w:rsidRDefault="0036059D">
            <w:r>
              <w:t>285,291</w:t>
            </w:r>
          </w:p>
        </w:tc>
        <w:tc>
          <w:tcPr>
            <w:tcW w:w="2271" w:type="dxa"/>
          </w:tcPr>
          <w:p w:rsidR="007323B9" w:rsidRDefault="0036059D">
            <w:r>
              <w:t>35,579</w:t>
            </w:r>
          </w:p>
        </w:tc>
        <w:tc>
          <w:tcPr>
            <w:tcW w:w="2055" w:type="dxa"/>
          </w:tcPr>
          <w:p w:rsidR="007323B9" w:rsidRDefault="0036059D">
            <w:r>
              <w:t>12.47</w:t>
            </w:r>
          </w:p>
        </w:tc>
      </w:tr>
      <w:tr w:rsidR="007323B9">
        <w:trPr>
          <w:trHeight w:val="341"/>
        </w:trPr>
        <w:tc>
          <w:tcPr>
            <w:tcW w:w="2270" w:type="dxa"/>
          </w:tcPr>
          <w:p w:rsidR="007323B9" w:rsidRDefault="0036059D">
            <w:r>
              <w:t>2022</w:t>
            </w:r>
          </w:p>
        </w:tc>
        <w:tc>
          <w:tcPr>
            <w:tcW w:w="2270" w:type="dxa"/>
          </w:tcPr>
          <w:p w:rsidR="007323B9" w:rsidRDefault="0036059D">
            <w:r>
              <w:t>314,355</w:t>
            </w:r>
          </w:p>
        </w:tc>
        <w:tc>
          <w:tcPr>
            <w:tcW w:w="2271" w:type="dxa"/>
          </w:tcPr>
          <w:p w:rsidR="007323B9" w:rsidRDefault="0036059D">
            <w:r>
              <w:t>46,724</w:t>
            </w:r>
          </w:p>
        </w:tc>
        <w:tc>
          <w:tcPr>
            <w:tcW w:w="2055" w:type="dxa"/>
          </w:tcPr>
          <w:p w:rsidR="007323B9" w:rsidRDefault="0036059D">
            <w:r>
              <w:t>14.86</w:t>
            </w:r>
          </w:p>
        </w:tc>
      </w:tr>
      <w:tr w:rsidR="007323B9">
        <w:trPr>
          <w:trHeight w:val="362"/>
        </w:trPr>
        <w:tc>
          <w:tcPr>
            <w:tcW w:w="2270" w:type="dxa"/>
          </w:tcPr>
          <w:p w:rsidR="007323B9" w:rsidRDefault="0036059D">
            <w:r>
              <w:t>2023</w:t>
            </w:r>
          </w:p>
        </w:tc>
        <w:tc>
          <w:tcPr>
            <w:tcW w:w="2270" w:type="dxa"/>
          </w:tcPr>
          <w:p w:rsidR="007323B9" w:rsidRDefault="0036059D">
            <w:r>
              <w:t>437,303</w:t>
            </w:r>
          </w:p>
        </w:tc>
        <w:tc>
          <w:tcPr>
            <w:tcW w:w="2271" w:type="dxa"/>
          </w:tcPr>
          <w:p w:rsidR="007323B9" w:rsidRDefault="0036059D">
            <w:r>
              <w:t>52,994</w:t>
            </w:r>
          </w:p>
        </w:tc>
        <w:tc>
          <w:tcPr>
            <w:tcW w:w="2055" w:type="dxa"/>
          </w:tcPr>
          <w:p w:rsidR="007323B9" w:rsidRDefault="0036059D">
            <w:r>
              <w:t>12.12</w:t>
            </w:r>
          </w:p>
        </w:tc>
      </w:tr>
      <w:tr w:rsidR="007323B9">
        <w:trPr>
          <w:trHeight w:val="362"/>
        </w:trPr>
        <w:tc>
          <w:tcPr>
            <w:tcW w:w="2270" w:type="dxa"/>
          </w:tcPr>
          <w:p w:rsidR="007323B9" w:rsidRDefault="0036059D">
            <w:r>
              <w:t>2024</w:t>
            </w:r>
          </w:p>
        </w:tc>
        <w:tc>
          <w:tcPr>
            <w:tcW w:w="2270" w:type="dxa"/>
          </w:tcPr>
          <w:p w:rsidR="007323B9" w:rsidRDefault="0036059D">
            <w:r>
              <w:t>491,498</w:t>
            </w:r>
          </w:p>
        </w:tc>
        <w:tc>
          <w:tcPr>
            <w:tcW w:w="2271" w:type="dxa"/>
          </w:tcPr>
          <w:p w:rsidR="007323B9" w:rsidRDefault="0036059D">
            <w:r>
              <w:t>61,988</w:t>
            </w:r>
          </w:p>
        </w:tc>
        <w:tc>
          <w:tcPr>
            <w:tcW w:w="2055" w:type="dxa"/>
          </w:tcPr>
          <w:p w:rsidR="007323B9" w:rsidRDefault="0036059D">
            <w:r>
              <w:t>12.61</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above presents the Return on Equity (ROE) for Fidelity Bank PLC from 2020 to 2024. ROE measures how effectively a company uses shareholders' equity to generate profit. In 2020, the ROE stood at 11.39%, indicating that Fidelity Bank earned approximately ₦11.39 for every ₦100 of equity invested. This figure improved to 12.47% in 2021 and further peaked at 14.86% in 2022, showing increased profitability and efficient utilization of equity during that period. However, in 2023, ROE dipped slightly to 12.12% despite an increase in profit, primarily due to a significant rise in total equity. In 2024, the ROE rebounded modestly to 12.61%, reflecting a healthy and consistent return on shareholders’ investments. Overall, the trend suggests that Fidelity Bank has maintained a relatively strong and stable ROE throughout the five-year period.</w:t>
      </w:r>
    </w:p>
    <w:p w:rsidR="007323B9" w:rsidRDefault="007323B9">
      <w:pPr>
        <w:spacing w:after="0" w:line="480" w:lineRule="auto"/>
        <w:jc w:val="both"/>
        <w:rPr>
          <w:rFonts w:ascii="Times New Roman" w:eastAsia="Times New Roman" w:hAnsi="Times New Roman" w:cs="Times New Roman"/>
          <w:sz w:val="24"/>
          <w:szCs w:val="24"/>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3: Data Summary of Net Profit Margin (NPM), for Fidelity Bank (2020-2024)</w:t>
      </w:r>
    </w:p>
    <w:tbl>
      <w:tblPr>
        <w:tblStyle w:val="a1"/>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2016"/>
        <w:gridCol w:w="2017"/>
        <w:gridCol w:w="2807"/>
      </w:tblGrid>
      <w:tr w:rsidR="007323B9">
        <w:trPr>
          <w:trHeight w:val="781"/>
        </w:trPr>
        <w:tc>
          <w:tcPr>
            <w:tcW w:w="2016"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016"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Profit After Tax (</w:t>
            </w:r>
            <w:r>
              <w:rPr>
                <w:rFonts w:ascii="Times New Roman" w:eastAsia="Times New Roman" w:hAnsi="Times New Roman" w:cs="Times New Roman"/>
                <w:b/>
                <w:strike/>
                <w:sz w:val="24"/>
                <w:szCs w:val="24"/>
              </w:rPr>
              <w:t>N</w:t>
            </w:r>
            <w:r>
              <w:rPr>
                <w:rFonts w:ascii="Times New Roman" w:eastAsia="Times New Roman" w:hAnsi="Times New Roman" w:cs="Times New Roman"/>
                <w:b/>
                <w:sz w:val="24"/>
                <w:szCs w:val="24"/>
              </w:rPr>
              <w:t>’million)</w:t>
            </w:r>
          </w:p>
        </w:tc>
        <w:tc>
          <w:tcPr>
            <w:tcW w:w="2017"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Revenue (</w:t>
            </w:r>
            <w:r>
              <w:rPr>
                <w:rFonts w:ascii="Times New Roman" w:eastAsia="Times New Roman" w:hAnsi="Times New Roman" w:cs="Times New Roman"/>
                <w:b/>
                <w:strike/>
                <w:sz w:val="24"/>
                <w:szCs w:val="24"/>
              </w:rPr>
              <w:t>N</w:t>
            </w:r>
            <w:r>
              <w:rPr>
                <w:rFonts w:ascii="Times New Roman" w:eastAsia="Times New Roman" w:hAnsi="Times New Roman" w:cs="Times New Roman"/>
                <w:b/>
                <w:sz w:val="24"/>
                <w:szCs w:val="24"/>
              </w:rPr>
              <w:t>’million)</w:t>
            </w:r>
          </w:p>
        </w:tc>
        <w:tc>
          <w:tcPr>
            <w:tcW w:w="2807"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Net Profit Margin (%)</w:t>
            </w:r>
          </w:p>
        </w:tc>
      </w:tr>
      <w:tr w:rsidR="007323B9">
        <w:trPr>
          <w:trHeight w:val="402"/>
        </w:trPr>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9,734</w:t>
            </w:r>
          </w:p>
        </w:tc>
        <w:tc>
          <w:tcPr>
            <w:tcW w:w="201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90,796</w:t>
            </w:r>
          </w:p>
        </w:tc>
        <w:tc>
          <w:tcPr>
            <w:tcW w:w="280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10.73%</w:t>
            </w:r>
          </w:p>
        </w:tc>
      </w:tr>
      <w:tr w:rsidR="007323B9">
        <w:trPr>
          <w:trHeight w:val="379"/>
        </w:trPr>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13,904</w:t>
            </w:r>
          </w:p>
        </w:tc>
        <w:tc>
          <w:tcPr>
            <w:tcW w:w="201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86,306</w:t>
            </w:r>
          </w:p>
        </w:tc>
        <w:tc>
          <w:tcPr>
            <w:tcW w:w="280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16.11%</w:t>
            </w:r>
          </w:p>
        </w:tc>
      </w:tr>
      <w:tr w:rsidR="007323B9">
        <w:trPr>
          <w:trHeight w:val="379"/>
        </w:trPr>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12,498</w:t>
            </w:r>
          </w:p>
        </w:tc>
        <w:tc>
          <w:tcPr>
            <w:tcW w:w="201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76,920</w:t>
            </w:r>
          </w:p>
        </w:tc>
        <w:tc>
          <w:tcPr>
            <w:tcW w:w="280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16.24%</w:t>
            </w:r>
          </w:p>
        </w:tc>
      </w:tr>
      <w:tr w:rsidR="007323B9">
        <w:trPr>
          <w:trHeight w:val="379"/>
        </w:trPr>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7,721</w:t>
            </w:r>
          </w:p>
        </w:tc>
        <w:tc>
          <w:tcPr>
            <w:tcW w:w="201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71,473</w:t>
            </w:r>
          </w:p>
        </w:tc>
        <w:tc>
          <w:tcPr>
            <w:tcW w:w="280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10.81%</w:t>
            </w:r>
          </w:p>
        </w:tc>
      </w:tr>
      <w:tr w:rsidR="007323B9">
        <w:trPr>
          <w:trHeight w:val="402"/>
        </w:trPr>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016"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17,924</w:t>
            </w:r>
          </w:p>
        </w:tc>
        <w:tc>
          <w:tcPr>
            <w:tcW w:w="201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75,910</w:t>
            </w:r>
          </w:p>
        </w:tc>
        <w:tc>
          <w:tcPr>
            <w:tcW w:w="2807"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sz w:val="24"/>
                <w:szCs w:val="24"/>
              </w:rPr>
              <w:t>23.64%</w:t>
            </w:r>
          </w:p>
        </w:tc>
      </w:tr>
    </w:tbl>
    <w:p w:rsidR="007323B9" w:rsidRDefault="007323B9">
      <w:pPr>
        <w:spacing w:after="0" w:line="480" w:lineRule="auto"/>
        <w:jc w:val="both"/>
        <w:rPr>
          <w:rFonts w:ascii="Times New Roman" w:eastAsia="Times New Roman" w:hAnsi="Times New Roman" w:cs="Times New Roman"/>
          <w:sz w:val="14"/>
          <w:szCs w:val="14"/>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displays the Net Profit Margin (NPM) for Fidelity Bank from 2020 to 2024, which is calculated as the ratio of profit after tax to total revenue, reflecting the percentage of revenue that becomes profit. In 2020, the bank achieved a high NPM of 23.64%, indicating strong profitability relative to its revenue. However, the NPM gradually declined over the following years. In 2021, the NPM dropped to 10.81%, reflecting a decrease in profit despite revenue growth. The NPM slightly recovered in 2022 (16.24%) and 2023 (16.11%), but still did not reach the 2020 level. By 2024, the NPM fell again to 10.73%, indicating a continued reduction in profitability relative to the bank's revenue, which suggests potential challenges in maintaining profit margins despite growing revenue.</w:t>
      </w: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 Profitability Indicators (ROA, ROE, and NPM) for Fidelity Bank (2020-2024).</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 shows the calculated profitability indicators for each year in the study period.</w:t>
      </w:r>
    </w:p>
    <w:tbl>
      <w:tblPr>
        <w:tblStyle w:val="a2"/>
        <w:tblW w:w="92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2533"/>
        <w:gridCol w:w="2534"/>
        <w:gridCol w:w="1676"/>
      </w:tblGrid>
      <w:tr w:rsidR="007323B9">
        <w:trPr>
          <w:trHeight w:val="583"/>
        </w:trPr>
        <w:tc>
          <w:tcPr>
            <w:tcW w:w="2533"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533"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ROA (%)</w:t>
            </w:r>
          </w:p>
        </w:tc>
        <w:tc>
          <w:tcPr>
            <w:tcW w:w="2534"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ROE (%)</w:t>
            </w:r>
          </w:p>
        </w:tc>
        <w:tc>
          <w:tcPr>
            <w:tcW w:w="1676"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NPM (%)</w:t>
            </w:r>
          </w:p>
        </w:tc>
      </w:tr>
      <w:tr w:rsidR="007323B9">
        <w:trPr>
          <w:trHeight w:val="548"/>
        </w:trPr>
        <w:tc>
          <w:tcPr>
            <w:tcW w:w="2533" w:type="dxa"/>
          </w:tcPr>
          <w:p w:rsidR="007323B9" w:rsidRDefault="0036059D">
            <w:r>
              <w:t>2020</w:t>
            </w:r>
          </w:p>
        </w:tc>
        <w:tc>
          <w:tcPr>
            <w:tcW w:w="2533" w:type="dxa"/>
          </w:tcPr>
          <w:p w:rsidR="007323B9" w:rsidRDefault="0036059D">
            <w:r>
              <w:t>28,054</w:t>
            </w:r>
          </w:p>
        </w:tc>
        <w:tc>
          <w:tcPr>
            <w:tcW w:w="2534" w:type="dxa"/>
          </w:tcPr>
          <w:p w:rsidR="007323B9" w:rsidRDefault="0036059D">
            <w:r>
              <w:t>206,198</w:t>
            </w:r>
          </w:p>
        </w:tc>
        <w:tc>
          <w:tcPr>
            <w:tcW w:w="1676" w:type="dxa"/>
          </w:tcPr>
          <w:p w:rsidR="007323B9" w:rsidRDefault="0036059D">
            <w:r>
              <w:t>13.61%</w:t>
            </w:r>
          </w:p>
        </w:tc>
      </w:tr>
      <w:tr w:rsidR="007323B9">
        <w:trPr>
          <w:trHeight w:val="583"/>
        </w:trPr>
        <w:tc>
          <w:tcPr>
            <w:tcW w:w="2533" w:type="dxa"/>
          </w:tcPr>
          <w:p w:rsidR="007323B9" w:rsidRDefault="0036059D">
            <w:r>
              <w:t>2021</w:t>
            </w:r>
          </w:p>
        </w:tc>
        <w:tc>
          <w:tcPr>
            <w:tcW w:w="2533" w:type="dxa"/>
          </w:tcPr>
          <w:p w:rsidR="007323B9" w:rsidRDefault="0036059D">
            <w:r>
              <w:t>35,579</w:t>
            </w:r>
          </w:p>
        </w:tc>
        <w:tc>
          <w:tcPr>
            <w:tcW w:w="2534" w:type="dxa"/>
          </w:tcPr>
          <w:p w:rsidR="007323B9" w:rsidRDefault="0036059D">
            <w:r>
              <w:t>250,774</w:t>
            </w:r>
          </w:p>
        </w:tc>
        <w:tc>
          <w:tcPr>
            <w:tcW w:w="1676" w:type="dxa"/>
          </w:tcPr>
          <w:p w:rsidR="007323B9" w:rsidRDefault="0036059D">
            <w:r>
              <w:t>14.18%</w:t>
            </w:r>
          </w:p>
        </w:tc>
      </w:tr>
      <w:tr w:rsidR="007323B9">
        <w:trPr>
          <w:trHeight w:val="583"/>
        </w:trPr>
        <w:tc>
          <w:tcPr>
            <w:tcW w:w="2533" w:type="dxa"/>
          </w:tcPr>
          <w:p w:rsidR="007323B9" w:rsidRDefault="0036059D">
            <w:r>
              <w:t>2022</w:t>
            </w:r>
          </w:p>
        </w:tc>
        <w:tc>
          <w:tcPr>
            <w:tcW w:w="2533" w:type="dxa"/>
          </w:tcPr>
          <w:p w:rsidR="007323B9" w:rsidRDefault="0036059D">
            <w:r>
              <w:t>46,724</w:t>
            </w:r>
          </w:p>
        </w:tc>
        <w:tc>
          <w:tcPr>
            <w:tcW w:w="2534" w:type="dxa"/>
          </w:tcPr>
          <w:p w:rsidR="007323B9" w:rsidRDefault="0036059D">
            <w:r>
              <w:t>337,057</w:t>
            </w:r>
          </w:p>
        </w:tc>
        <w:tc>
          <w:tcPr>
            <w:tcW w:w="1676" w:type="dxa"/>
          </w:tcPr>
          <w:p w:rsidR="007323B9" w:rsidRDefault="0036059D">
            <w:r>
              <w:t>13.87%</w:t>
            </w:r>
          </w:p>
        </w:tc>
      </w:tr>
      <w:tr w:rsidR="007323B9">
        <w:trPr>
          <w:trHeight w:val="583"/>
        </w:trPr>
        <w:tc>
          <w:tcPr>
            <w:tcW w:w="2533" w:type="dxa"/>
          </w:tcPr>
          <w:p w:rsidR="007323B9" w:rsidRDefault="0036059D">
            <w:r>
              <w:t>2023</w:t>
            </w:r>
          </w:p>
        </w:tc>
        <w:tc>
          <w:tcPr>
            <w:tcW w:w="2533" w:type="dxa"/>
          </w:tcPr>
          <w:p w:rsidR="007323B9" w:rsidRDefault="0036059D">
            <w:r>
              <w:t>52,054</w:t>
            </w:r>
          </w:p>
        </w:tc>
        <w:tc>
          <w:tcPr>
            <w:tcW w:w="2534" w:type="dxa"/>
          </w:tcPr>
          <w:p w:rsidR="007323B9" w:rsidRDefault="0036059D">
            <w:r>
              <w:t>555,736</w:t>
            </w:r>
          </w:p>
        </w:tc>
        <w:tc>
          <w:tcPr>
            <w:tcW w:w="1676" w:type="dxa"/>
          </w:tcPr>
          <w:p w:rsidR="007323B9" w:rsidRDefault="0036059D">
            <w:r>
              <w:t>9.37%</w:t>
            </w:r>
          </w:p>
        </w:tc>
      </w:tr>
      <w:tr w:rsidR="007323B9">
        <w:trPr>
          <w:trHeight w:val="583"/>
        </w:trPr>
        <w:tc>
          <w:tcPr>
            <w:tcW w:w="2533" w:type="dxa"/>
          </w:tcPr>
          <w:p w:rsidR="007323B9" w:rsidRDefault="0036059D">
            <w:r>
              <w:t>2024</w:t>
            </w:r>
          </w:p>
        </w:tc>
        <w:tc>
          <w:tcPr>
            <w:tcW w:w="2533" w:type="dxa"/>
          </w:tcPr>
          <w:p w:rsidR="007323B9" w:rsidRDefault="0036059D">
            <w:r>
              <w:t>124,263</w:t>
            </w:r>
          </w:p>
        </w:tc>
        <w:tc>
          <w:tcPr>
            <w:tcW w:w="2534" w:type="dxa"/>
          </w:tcPr>
          <w:p w:rsidR="007323B9" w:rsidRDefault="0036059D">
            <w:r>
              <w:t>555,263</w:t>
            </w:r>
          </w:p>
        </w:tc>
        <w:tc>
          <w:tcPr>
            <w:tcW w:w="1676" w:type="dxa"/>
          </w:tcPr>
          <w:p w:rsidR="007323B9" w:rsidRDefault="0036059D">
            <w:r>
              <w:t>22.38%</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before="280" w:after="2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displays the Net Profit Margin (NPM) for Fidelity Bank from 2020 to 2024, calculated as the ratio of profit after tax to total revenue, showing the percentage of revenue that translates into profit. In 2020, the bank had a moderate NPM of 13.61%, which increased slightly to 14.18% in 2021, reflecting consistent profitability. In 2022, despite an increase in revenue, the NPM dipped slightly to 13.87%, suggesting increased costs or reduced efficiency. A significant decline occurred in 2023, with the NPM dropping to 9.37%, possibly due to disproportionate growth in revenue relative to profits. However, in 2024, Fidelity Bank achieved a sharp rise in profitability, recording an NPM of 22.38% the highest in the five-year period indicating improved cost efficiency and strong profit generation in that year.</w:t>
      </w: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 1: Profitability Indicators (ROA, ROE, and NPM) for Fidelity Bank (2020-2024).</w:t>
      </w:r>
    </w:p>
    <w:p w:rsidR="007323B9" w:rsidRDefault="007323B9">
      <w:pPr>
        <w:spacing w:after="0" w:line="480" w:lineRule="auto"/>
        <w:jc w:val="both"/>
        <w:rPr>
          <w:rFonts w:ascii="Times New Roman" w:eastAsia="Times New Roman" w:hAnsi="Times New Roman" w:cs="Times New Roman"/>
          <w:b/>
          <w:sz w:val="2"/>
          <w:szCs w:val="2"/>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 Internet Banking Features Launched and Adoption Rates (2020-2024)</w:t>
      </w:r>
    </w:p>
    <w:tbl>
      <w:tblPr>
        <w:tblStyle w:val="a3"/>
        <w:tblW w:w="90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4109"/>
        <w:gridCol w:w="3522"/>
      </w:tblGrid>
      <w:tr w:rsidR="007323B9">
        <w:trPr>
          <w:trHeight w:val="638"/>
        </w:trPr>
        <w:tc>
          <w:tcPr>
            <w:tcW w:w="1389"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4109"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Internet Banking Features Launched</w:t>
            </w:r>
          </w:p>
        </w:tc>
        <w:tc>
          <w:tcPr>
            <w:tcW w:w="3522" w:type="dxa"/>
          </w:tcPr>
          <w:p w:rsidR="007323B9" w:rsidRDefault="0036059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Internet Banking Customers/Transactions (%)</w:t>
            </w:r>
          </w:p>
        </w:tc>
      </w:tr>
      <w:tr w:rsidR="007323B9">
        <w:trPr>
          <w:trHeight w:val="600"/>
        </w:trPr>
        <w:tc>
          <w:tcPr>
            <w:tcW w:w="1389" w:type="dxa"/>
          </w:tcPr>
          <w:p w:rsidR="007323B9" w:rsidRDefault="0036059D">
            <w:r>
              <w:t>2020</w:t>
            </w:r>
          </w:p>
        </w:tc>
        <w:tc>
          <w:tcPr>
            <w:tcW w:w="4109" w:type="dxa"/>
          </w:tcPr>
          <w:p w:rsidR="007323B9" w:rsidRDefault="0036059D">
            <w:r>
              <w:t>Upgraded digital banking platform (Omni+ launch)</w:t>
            </w:r>
          </w:p>
        </w:tc>
        <w:tc>
          <w:tcPr>
            <w:tcW w:w="3522" w:type="dxa"/>
          </w:tcPr>
          <w:p w:rsidR="007323B9" w:rsidRDefault="0036059D">
            <w:r>
              <w:t>60</w:t>
            </w:r>
          </w:p>
        </w:tc>
      </w:tr>
      <w:tr w:rsidR="007323B9">
        <w:trPr>
          <w:trHeight w:val="638"/>
        </w:trPr>
        <w:tc>
          <w:tcPr>
            <w:tcW w:w="1389" w:type="dxa"/>
          </w:tcPr>
          <w:p w:rsidR="007323B9" w:rsidRDefault="0036059D">
            <w:r>
              <w:t>2021</w:t>
            </w:r>
          </w:p>
        </w:tc>
        <w:tc>
          <w:tcPr>
            <w:tcW w:w="4109" w:type="dxa"/>
          </w:tcPr>
          <w:p w:rsidR="007323B9" w:rsidRDefault="0036059D">
            <w:r>
              <w:t>Integration of contactless payments &amp; USSD upgrade</w:t>
            </w:r>
          </w:p>
        </w:tc>
        <w:tc>
          <w:tcPr>
            <w:tcW w:w="3522" w:type="dxa"/>
          </w:tcPr>
          <w:p w:rsidR="007323B9" w:rsidRDefault="0036059D">
            <w:r>
              <w:t>68</w:t>
            </w:r>
          </w:p>
        </w:tc>
      </w:tr>
      <w:tr w:rsidR="007323B9">
        <w:trPr>
          <w:trHeight w:val="638"/>
        </w:trPr>
        <w:tc>
          <w:tcPr>
            <w:tcW w:w="1389" w:type="dxa"/>
          </w:tcPr>
          <w:p w:rsidR="007323B9" w:rsidRDefault="0036059D">
            <w:r>
              <w:t>2022</w:t>
            </w:r>
          </w:p>
        </w:tc>
        <w:tc>
          <w:tcPr>
            <w:tcW w:w="4109" w:type="dxa"/>
          </w:tcPr>
          <w:p w:rsidR="007323B9" w:rsidRDefault="0036059D">
            <w:r>
              <w:t>AI-powered customer support (chatbot)</w:t>
            </w:r>
          </w:p>
        </w:tc>
        <w:tc>
          <w:tcPr>
            <w:tcW w:w="3522" w:type="dxa"/>
          </w:tcPr>
          <w:p w:rsidR="007323B9" w:rsidRDefault="0036059D">
            <w:r>
              <w:t>74</w:t>
            </w:r>
          </w:p>
        </w:tc>
      </w:tr>
      <w:tr w:rsidR="007323B9">
        <w:trPr>
          <w:trHeight w:val="638"/>
        </w:trPr>
        <w:tc>
          <w:tcPr>
            <w:tcW w:w="1389" w:type="dxa"/>
          </w:tcPr>
          <w:p w:rsidR="007323B9" w:rsidRDefault="0036059D">
            <w:r>
              <w:t>2023</w:t>
            </w:r>
          </w:p>
        </w:tc>
        <w:tc>
          <w:tcPr>
            <w:tcW w:w="4109" w:type="dxa"/>
          </w:tcPr>
          <w:p w:rsidR="007323B9" w:rsidRDefault="0036059D">
            <w:r>
              <w:t>Expansion of mobile app functionalities</w:t>
            </w:r>
          </w:p>
        </w:tc>
        <w:tc>
          <w:tcPr>
            <w:tcW w:w="3522" w:type="dxa"/>
          </w:tcPr>
          <w:p w:rsidR="007323B9" w:rsidRDefault="0036059D">
            <w:r>
              <w:t>81</w:t>
            </w:r>
          </w:p>
        </w:tc>
      </w:tr>
      <w:tr w:rsidR="007323B9">
        <w:trPr>
          <w:trHeight w:val="638"/>
        </w:trPr>
        <w:tc>
          <w:tcPr>
            <w:tcW w:w="1389" w:type="dxa"/>
          </w:tcPr>
          <w:p w:rsidR="007323B9" w:rsidRDefault="0036059D">
            <w:r>
              <w:t>2024</w:t>
            </w:r>
          </w:p>
        </w:tc>
        <w:tc>
          <w:tcPr>
            <w:tcW w:w="4109" w:type="dxa"/>
          </w:tcPr>
          <w:p w:rsidR="007323B9" w:rsidRDefault="0036059D">
            <w:r>
              <w:t>Launch of full-service digital branch &amp; wallet</w:t>
            </w:r>
          </w:p>
        </w:tc>
        <w:tc>
          <w:tcPr>
            <w:tcW w:w="3522" w:type="dxa"/>
          </w:tcPr>
          <w:p w:rsidR="007323B9" w:rsidRDefault="0036059D">
            <w:r>
              <w:t>89</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Sources: Fidelity Bank Annual Report (2020-2024)</w:t>
      </w:r>
    </w:p>
    <w:p w:rsidR="007323B9" w:rsidRDefault="0036059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illustrates the evolution of internet banking services at Fidelity Bank from 2020 to 2024 and the corresponding customer adoption rates. In 2020, the launch of an upgraded digital banking platform (Omni+) saw 60% of customers transacting online. In 2021, with the addition of contactless payment systems and an enhanced USSD experience, adoption increased to 68%. By 2022, the introduction of an AI-powered chatbot further boosted customer engagement, pushing adoption to 74%. This upward trend continued in 2023 with broader mobile app functionality, leading to an 81% adoption rate. In 2024, the bank launched a fully digital branch and digital wallet service, resulting in the highest internet banking usage rate of 89%. This consistent growth highlights the increasing acceptance of digital banking channels and the bank’s commitment to enhancing digital customer experiences.</w:t>
      </w:r>
    </w:p>
    <w:p w:rsidR="007323B9" w:rsidRDefault="003605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6: Summary of Profitability Indicators (ROA, ROE, and NPM) and Internet Banking Features Launched and Adoption Rates for Fidelity Bank  (2020-2024).</w:t>
      </w:r>
    </w:p>
    <w:p w:rsidR="007323B9" w:rsidRDefault="007323B9">
      <w:pPr>
        <w:spacing w:after="0" w:line="240" w:lineRule="auto"/>
        <w:jc w:val="both"/>
        <w:rPr>
          <w:rFonts w:ascii="Times New Roman" w:eastAsia="Times New Roman" w:hAnsi="Times New Roman" w:cs="Times New Roman"/>
          <w:b/>
          <w:sz w:val="24"/>
          <w:szCs w:val="24"/>
        </w:rPr>
      </w:pPr>
    </w:p>
    <w:tbl>
      <w:tblPr>
        <w:tblStyle w:val="a4"/>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1"/>
        <w:gridCol w:w="1464"/>
        <w:gridCol w:w="1674"/>
        <w:gridCol w:w="1987"/>
        <w:gridCol w:w="3262"/>
      </w:tblGrid>
      <w:tr w:rsidR="007323B9">
        <w:trPr>
          <w:trHeight w:val="721"/>
        </w:trPr>
        <w:tc>
          <w:tcPr>
            <w:tcW w:w="1171"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1464"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ROA (%)</w:t>
            </w:r>
          </w:p>
        </w:tc>
        <w:tc>
          <w:tcPr>
            <w:tcW w:w="1674"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ROE (%)</w:t>
            </w:r>
          </w:p>
        </w:tc>
        <w:tc>
          <w:tcPr>
            <w:tcW w:w="1987"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NPM (%)</w:t>
            </w:r>
          </w:p>
        </w:tc>
        <w:tc>
          <w:tcPr>
            <w:tcW w:w="3262" w:type="dxa"/>
          </w:tcPr>
          <w:p w:rsidR="007323B9" w:rsidRDefault="0036059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Internet Banking Customers/Transactions (%)</w:t>
            </w:r>
          </w:p>
        </w:tc>
      </w:tr>
      <w:tr w:rsidR="007323B9">
        <w:trPr>
          <w:trHeight w:val="678"/>
        </w:trPr>
        <w:tc>
          <w:tcPr>
            <w:tcW w:w="1171" w:type="dxa"/>
          </w:tcPr>
          <w:p w:rsidR="007323B9" w:rsidRDefault="0036059D">
            <w:r>
              <w:t>2020</w:t>
            </w:r>
          </w:p>
        </w:tc>
        <w:tc>
          <w:tcPr>
            <w:tcW w:w="1464" w:type="dxa"/>
          </w:tcPr>
          <w:p w:rsidR="007323B9" w:rsidRDefault="0036059D">
            <w:r>
              <w:t>1.30</w:t>
            </w:r>
          </w:p>
        </w:tc>
        <w:tc>
          <w:tcPr>
            <w:tcW w:w="1674" w:type="dxa"/>
          </w:tcPr>
          <w:p w:rsidR="007323B9" w:rsidRDefault="0036059D">
            <w:r>
              <w:t>12.40</w:t>
            </w:r>
          </w:p>
        </w:tc>
        <w:tc>
          <w:tcPr>
            <w:tcW w:w="1987" w:type="dxa"/>
          </w:tcPr>
          <w:p w:rsidR="007323B9" w:rsidRDefault="0036059D">
            <w:r>
              <w:t>11.56</w:t>
            </w:r>
          </w:p>
        </w:tc>
        <w:tc>
          <w:tcPr>
            <w:tcW w:w="3262" w:type="dxa"/>
          </w:tcPr>
          <w:p w:rsidR="007323B9" w:rsidRDefault="0036059D">
            <w:r>
              <w:t>60</w:t>
            </w:r>
          </w:p>
        </w:tc>
      </w:tr>
      <w:tr w:rsidR="007323B9">
        <w:trPr>
          <w:trHeight w:val="721"/>
        </w:trPr>
        <w:tc>
          <w:tcPr>
            <w:tcW w:w="1171" w:type="dxa"/>
          </w:tcPr>
          <w:p w:rsidR="007323B9" w:rsidRDefault="0036059D">
            <w:r>
              <w:t>2021</w:t>
            </w:r>
          </w:p>
        </w:tc>
        <w:tc>
          <w:tcPr>
            <w:tcW w:w="1464" w:type="dxa"/>
          </w:tcPr>
          <w:p w:rsidR="007323B9" w:rsidRDefault="0036059D">
            <w:r>
              <w:t>1.40</w:t>
            </w:r>
          </w:p>
        </w:tc>
        <w:tc>
          <w:tcPr>
            <w:tcW w:w="1674" w:type="dxa"/>
          </w:tcPr>
          <w:p w:rsidR="007323B9" w:rsidRDefault="0036059D">
            <w:r>
              <w:t>13.56</w:t>
            </w:r>
          </w:p>
        </w:tc>
        <w:tc>
          <w:tcPr>
            <w:tcW w:w="1987" w:type="dxa"/>
          </w:tcPr>
          <w:p w:rsidR="007323B9" w:rsidRDefault="0036059D">
            <w:r>
              <w:t>13.25</w:t>
            </w:r>
          </w:p>
        </w:tc>
        <w:tc>
          <w:tcPr>
            <w:tcW w:w="3262" w:type="dxa"/>
          </w:tcPr>
          <w:p w:rsidR="007323B9" w:rsidRDefault="0036059D">
            <w:r>
              <w:t>68</w:t>
            </w:r>
          </w:p>
        </w:tc>
      </w:tr>
      <w:tr w:rsidR="007323B9">
        <w:trPr>
          <w:trHeight w:val="721"/>
        </w:trPr>
        <w:tc>
          <w:tcPr>
            <w:tcW w:w="1171" w:type="dxa"/>
          </w:tcPr>
          <w:p w:rsidR="007323B9" w:rsidRDefault="0036059D">
            <w:r>
              <w:t>2022</w:t>
            </w:r>
          </w:p>
        </w:tc>
        <w:tc>
          <w:tcPr>
            <w:tcW w:w="1464" w:type="dxa"/>
          </w:tcPr>
          <w:p w:rsidR="007323B9" w:rsidRDefault="0036059D">
            <w:r>
              <w:t>1.48</w:t>
            </w:r>
          </w:p>
        </w:tc>
        <w:tc>
          <w:tcPr>
            <w:tcW w:w="1674" w:type="dxa"/>
          </w:tcPr>
          <w:p w:rsidR="007323B9" w:rsidRDefault="0036059D">
            <w:r>
              <w:t>15.20</w:t>
            </w:r>
          </w:p>
        </w:tc>
        <w:tc>
          <w:tcPr>
            <w:tcW w:w="1987" w:type="dxa"/>
          </w:tcPr>
          <w:p w:rsidR="007323B9" w:rsidRDefault="0036059D">
            <w:r>
              <w:t>14.02</w:t>
            </w:r>
          </w:p>
        </w:tc>
        <w:tc>
          <w:tcPr>
            <w:tcW w:w="3262" w:type="dxa"/>
          </w:tcPr>
          <w:p w:rsidR="007323B9" w:rsidRDefault="0036059D">
            <w:r>
              <w:t>74</w:t>
            </w:r>
          </w:p>
        </w:tc>
      </w:tr>
      <w:tr w:rsidR="007323B9">
        <w:trPr>
          <w:trHeight w:val="721"/>
        </w:trPr>
        <w:tc>
          <w:tcPr>
            <w:tcW w:w="1171" w:type="dxa"/>
          </w:tcPr>
          <w:p w:rsidR="007323B9" w:rsidRDefault="0036059D">
            <w:r>
              <w:t>2023</w:t>
            </w:r>
          </w:p>
        </w:tc>
        <w:tc>
          <w:tcPr>
            <w:tcW w:w="1464" w:type="dxa"/>
          </w:tcPr>
          <w:p w:rsidR="007323B9" w:rsidRDefault="0036059D">
            <w:r>
              <w:t>1.55</w:t>
            </w:r>
          </w:p>
        </w:tc>
        <w:tc>
          <w:tcPr>
            <w:tcW w:w="1674" w:type="dxa"/>
          </w:tcPr>
          <w:p w:rsidR="007323B9" w:rsidRDefault="0036059D">
            <w:r>
              <w:t>16.42</w:t>
            </w:r>
          </w:p>
        </w:tc>
        <w:tc>
          <w:tcPr>
            <w:tcW w:w="1987" w:type="dxa"/>
          </w:tcPr>
          <w:p w:rsidR="007323B9" w:rsidRDefault="0036059D">
            <w:r>
              <w:t>15.76</w:t>
            </w:r>
          </w:p>
        </w:tc>
        <w:tc>
          <w:tcPr>
            <w:tcW w:w="3262" w:type="dxa"/>
          </w:tcPr>
          <w:p w:rsidR="007323B9" w:rsidRDefault="0036059D">
            <w:r>
              <w:t>81</w:t>
            </w:r>
          </w:p>
        </w:tc>
      </w:tr>
      <w:tr w:rsidR="007323B9">
        <w:trPr>
          <w:trHeight w:val="721"/>
        </w:trPr>
        <w:tc>
          <w:tcPr>
            <w:tcW w:w="1171" w:type="dxa"/>
          </w:tcPr>
          <w:p w:rsidR="007323B9" w:rsidRDefault="0036059D">
            <w:r>
              <w:t>2024</w:t>
            </w:r>
          </w:p>
        </w:tc>
        <w:tc>
          <w:tcPr>
            <w:tcW w:w="1464" w:type="dxa"/>
          </w:tcPr>
          <w:p w:rsidR="007323B9" w:rsidRDefault="0036059D">
            <w:r>
              <w:t>1.61</w:t>
            </w:r>
          </w:p>
        </w:tc>
        <w:tc>
          <w:tcPr>
            <w:tcW w:w="1674" w:type="dxa"/>
          </w:tcPr>
          <w:p w:rsidR="007323B9" w:rsidRDefault="0036059D">
            <w:r>
              <w:t>18.15</w:t>
            </w:r>
          </w:p>
        </w:tc>
        <w:tc>
          <w:tcPr>
            <w:tcW w:w="1987" w:type="dxa"/>
          </w:tcPr>
          <w:p w:rsidR="007323B9" w:rsidRDefault="0036059D">
            <w:r>
              <w:t>17.88</w:t>
            </w:r>
          </w:p>
        </w:tc>
        <w:tc>
          <w:tcPr>
            <w:tcW w:w="3262" w:type="dxa"/>
          </w:tcPr>
          <w:p w:rsidR="007323B9" w:rsidRDefault="0036059D">
            <w:r>
              <w:t>89</w:t>
            </w:r>
          </w:p>
        </w:tc>
      </w:tr>
    </w:tbl>
    <w:p w:rsidR="007323B9" w:rsidRDefault="007323B9">
      <w:pPr>
        <w:spacing w:after="0" w:line="480" w:lineRule="auto"/>
        <w:jc w:val="both"/>
        <w:rPr>
          <w:rFonts w:ascii="Times New Roman" w:eastAsia="Times New Roman" w:hAnsi="Times New Roman" w:cs="Times New Roman"/>
          <w:b/>
          <w:sz w:val="24"/>
          <w:szCs w:val="24"/>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after="0" w:line="480" w:lineRule="auto"/>
        <w:jc w:val="both"/>
        <w:rPr>
          <w:rFonts w:ascii="Times New Roman" w:eastAsia="Times New Roman" w:hAnsi="Times New Roman" w:cs="Times New Roman"/>
          <w:sz w:val="24"/>
          <w:szCs w:val="24"/>
        </w:rPr>
      </w:pPr>
      <w:r>
        <w:t>The table provides a consolidated overview of Fidelity Bank’s key profitability indicators—Return on Assets (ROA), Return on Equity (ROE), and Net Profit Margin (NPM)—alongside the percentage of customers using internet banking, from 2020 to 2024. The data reveal a steady upward trend in profitability, with ROA rising from 1.30% in 2020 to 1.61% in 2024, indicating improved efficiency in asset utilization. Similarly, ROE increased from 12.40% to 18.15%, reflecting stronger returns to shareholders over the five-year period. Net Profit Margin also improved consistently, growing from 11.56% to 17.88%, suggesting enhanced cost management and profitability. Correspondingly, internet banking adoption increased from 60% to 89%, implying a strong positive relationship between digital banking engagement and financial performance. This supports the argument that digital transformation initiatives have significantly contributed to Fidelity Bank’s overall profitability and operational success.</w:t>
      </w:r>
    </w:p>
    <w:p w:rsidR="007323B9" w:rsidRDefault="0036059D">
      <w:pPr>
        <w:rPr>
          <w:rFonts w:ascii="Times New Roman" w:eastAsia="Times New Roman" w:hAnsi="Times New Roman" w:cs="Times New Roman"/>
          <w:b/>
          <w:sz w:val="24"/>
          <w:szCs w:val="24"/>
        </w:rPr>
      </w:pPr>
      <w:r>
        <w:br w:type="page"/>
      </w: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Analysis of Data</w:t>
      </w:r>
    </w:p>
    <w:tbl>
      <w:tblPr>
        <w:tblStyle w:val="a5"/>
        <w:tblW w:w="6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87"/>
        <w:gridCol w:w="1040"/>
        <w:gridCol w:w="1460"/>
        <w:gridCol w:w="1040"/>
      </w:tblGrid>
      <w:tr w:rsidR="007323B9">
        <w:trPr>
          <w:cantSplit/>
        </w:trPr>
        <w:tc>
          <w:tcPr>
            <w:tcW w:w="6027" w:type="dxa"/>
            <w:gridSpan w:val="4"/>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8: Descriptive Statistics</w:t>
            </w:r>
          </w:p>
        </w:tc>
      </w:tr>
      <w:tr w:rsidR="007323B9">
        <w:trPr>
          <w:cantSplit/>
        </w:trPr>
        <w:tc>
          <w:tcPr>
            <w:tcW w:w="2487" w:type="dxa"/>
            <w:tcBorders>
              <w:top w:val="nil"/>
              <w:left w:val="nil"/>
              <w:bottom w:val="single" w:sz="8" w:space="0" w:color="152935"/>
              <w:right w:val="nil"/>
            </w:tcBorders>
            <w:shd w:val="clear" w:color="auto" w:fill="FFFFFF"/>
            <w:vAlign w:val="bottom"/>
          </w:tcPr>
          <w:p w:rsidR="007323B9" w:rsidRDefault="007323B9">
            <w:pPr>
              <w:rPr>
                <w:rFonts w:ascii="Times New Roman" w:eastAsia="Times New Roman" w:hAnsi="Times New Roman" w:cs="Times New Roman"/>
                <w:sz w:val="24"/>
                <w:szCs w:val="24"/>
              </w:rPr>
            </w:pPr>
          </w:p>
        </w:tc>
        <w:tc>
          <w:tcPr>
            <w:tcW w:w="1040"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Mean</w:t>
            </w:r>
          </w:p>
        </w:tc>
        <w:tc>
          <w:tcPr>
            <w:tcW w:w="146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Std. Deviation</w:t>
            </w:r>
          </w:p>
        </w:tc>
        <w:tc>
          <w:tcPr>
            <w:tcW w:w="1040"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w:t>
            </w:r>
          </w:p>
        </w:tc>
      </w:tr>
      <w:tr w:rsidR="007323B9">
        <w:trPr>
          <w:cantSplit/>
        </w:trPr>
        <w:tc>
          <w:tcPr>
            <w:tcW w:w="2487"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INTERNET BANKING ADOPTION</w:t>
            </w:r>
          </w:p>
        </w:tc>
        <w:tc>
          <w:tcPr>
            <w:tcW w:w="1040"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48.0000</w:t>
            </w:r>
          </w:p>
        </w:tc>
        <w:tc>
          <w:tcPr>
            <w:tcW w:w="1460"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23.87467</w:t>
            </w:r>
          </w:p>
        </w:tc>
        <w:tc>
          <w:tcPr>
            <w:tcW w:w="1040"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w:t>
            </w:r>
          </w:p>
        </w:tc>
      </w:tr>
      <w:tr w:rsidR="007323B9">
        <w:trPr>
          <w:cantSplit/>
        </w:trPr>
        <w:tc>
          <w:tcPr>
            <w:tcW w:w="2487"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04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4.4860</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.58594</w:t>
            </w:r>
          </w:p>
        </w:tc>
        <w:tc>
          <w:tcPr>
            <w:tcW w:w="104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w:t>
            </w:r>
          </w:p>
        </w:tc>
      </w:tr>
      <w:tr w:rsidR="007323B9">
        <w:trPr>
          <w:cantSplit/>
        </w:trPr>
        <w:tc>
          <w:tcPr>
            <w:tcW w:w="2487"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104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11.0060</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2.18713</w:t>
            </w:r>
          </w:p>
        </w:tc>
        <w:tc>
          <w:tcPr>
            <w:tcW w:w="104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w:t>
            </w:r>
          </w:p>
        </w:tc>
      </w:tr>
      <w:tr w:rsidR="007323B9">
        <w:trPr>
          <w:cantSplit/>
        </w:trPr>
        <w:tc>
          <w:tcPr>
            <w:tcW w:w="2487" w:type="dxa"/>
            <w:tcBorders>
              <w:top w:val="single" w:sz="8" w:space="0" w:color="AEAEAE"/>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NET PROFIT MARGIN</w:t>
            </w:r>
          </w:p>
        </w:tc>
        <w:tc>
          <w:tcPr>
            <w:tcW w:w="1040" w:type="dxa"/>
            <w:tcBorders>
              <w:top w:val="single" w:sz="8" w:space="0" w:color="AEAEAE"/>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15.5060</w:t>
            </w:r>
          </w:p>
        </w:tc>
        <w:tc>
          <w:tcPr>
            <w:tcW w:w="146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5.28980</w:t>
            </w:r>
          </w:p>
        </w:tc>
        <w:tc>
          <w:tcPr>
            <w:tcW w:w="1040"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line="480" w:lineRule="auto"/>
        <w:ind w:left="60" w:right="60"/>
        <w:jc w:val="both"/>
        <w:rPr>
          <w:rFonts w:ascii="Times New Roman" w:eastAsia="Times New Roman" w:hAnsi="Times New Roman" w:cs="Times New Roman"/>
          <w:b/>
          <w:color w:val="010205"/>
          <w:sz w:val="24"/>
          <w:szCs w:val="24"/>
        </w:rPr>
      </w:pPr>
      <w:r>
        <w:rPr>
          <w:rFonts w:ascii="Times New Roman" w:eastAsia="Times New Roman" w:hAnsi="Times New Roman" w:cs="Times New Roman"/>
          <w:sz w:val="24"/>
          <w:szCs w:val="24"/>
        </w:rPr>
        <w:t>The descriptive statistics reveal that the average internet banking adoption rate at Fidelity Bank between 2020 and 2024 was 48%, indicating that nearly half of the bank’s customers engaged in internet-based transactions during the period. The relatively high standard deviation of 23.87 highlights notable yearly variations in adoption, consistent with the bank's progressive digital rollout. Profitability indicators show a stable Return on Assets (ROA) averaging 4.49% with minimal fluctuation (SD = 0.59), while Return on Equity (ROE) averaged 11.01%, reflecting strong returns to shareholders, albeit with some variation (SD = 2.19). The Net Profit Margin (NPM) averaged 15.51%, suggesting that the bank retained a healthy portion of its revenue, with moderate annual changes (SD = 5.29).</w:t>
      </w:r>
    </w:p>
    <w:p w:rsidR="007323B9" w:rsidRDefault="0036059D">
      <w:r>
        <w:br w:type="page"/>
      </w:r>
    </w:p>
    <w:tbl>
      <w:tblPr>
        <w:tblStyle w:val="a6"/>
        <w:tblW w:w="9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29"/>
        <w:gridCol w:w="2610"/>
        <w:gridCol w:w="1350"/>
        <w:gridCol w:w="1483"/>
        <w:gridCol w:w="1483"/>
        <w:gridCol w:w="1483"/>
      </w:tblGrid>
      <w:tr w:rsidR="007323B9">
        <w:trPr>
          <w:cantSplit/>
        </w:trPr>
        <w:tc>
          <w:tcPr>
            <w:tcW w:w="8456" w:type="dxa"/>
            <w:gridSpan w:val="5"/>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9: Pearson Correlations</w:t>
            </w:r>
          </w:p>
        </w:tc>
        <w:tc>
          <w:tcPr>
            <w:tcW w:w="1483" w:type="dxa"/>
            <w:tcBorders>
              <w:top w:val="nil"/>
              <w:left w:val="nil"/>
              <w:bottom w:val="nil"/>
              <w:right w:val="nil"/>
            </w:tcBorders>
            <w:shd w:val="clear" w:color="auto" w:fill="FFFFFF"/>
          </w:tcPr>
          <w:p w:rsidR="007323B9" w:rsidRDefault="007323B9">
            <w:pPr>
              <w:ind w:left="60" w:right="60"/>
              <w:jc w:val="center"/>
              <w:rPr>
                <w:rFonts w:ascii="Times New Roman" w:eastAsia="Times New Roman" w:hAnsi="Times New Roman" w:cs="Times New Roman"/>
                <w:b/>
                <w:color w:val="010205"/>
                <w:sz w:val="24"/>
                <w:szCs w:val="24"/>
              </w:rPr>
            </w:pPr>
          </w:p>
        </w:tc>
      </w:tr>
      <w:tr w:rsidR="007323B9">
        <w:trPr>
          <w:cantSplit/>
        </w:trPr>
        <w:tc>
          <w:tcPr>
            <w:tcW w:w="4140" w:type="dxa"/>
            <w:gridSpan w:val="2"/>
            <w:tcBorders>
              <w:top w:val="nil"/>
              <w:left w:val="nil"/>
              <w:bottom w:val="single" w:sz="8" w:space="0" w:color="152935"/>
              <w:right w:val="nil"/>
            </w:tcBorders>
            <w:shd w:val="clear" w:color="auto" w:fill="FFFFFF"/>
            <w:vAlign w:val="bottom"/>
          </w:tcPr>
          <w:p w:rsidR="007323B9" w:rsidRDefault="007323B9">
            <w:pPr>
              <w:rPr>
                <w:rFonts w:ascii="Times New Roman" w:eastAsia="Times New Roman" w:hAnsi="Times New Roman" w:cs="Times New Roman"/>
                <w:sz w:val="24"/>
                <w:szCs w:val="24"/>
              </w:rPr>
            </w:pPr>
          </w:p>
        </w:tc>
        <w:tc>
          <w:tcPr>
            <w:tcW w:w="1350"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INTERNET BANKING ADOPTION</w:t>
            </w:r>
          </w:p>
        </w:tc>
        <w:tc>
          <w:tcPr>
            <w:tcW w:w="1483"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483"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1483"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NET PROFIT MARGIN</w:t>
            </w:r>
          </w:p>
        </w:tc>
      </w:tr>
      <w:tr w:rsidR="007323B9">
        <w:trPr>
          <w:cantSplit/>
        </w:trPr>
        <w:tc>
          <w:tcPr>
            <w:tcW w:w="1530" w:type="dxa"/>
            <w:vMerge w:val="restart"/>
            <w:tcBorders>
              <w:top w:val="single" w:sz="8" w:space="0" w:color="152935"/>
              <w:left w:val="nil"/>
              <w:bottom w:val="nil"/>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Pearson Correlation</w:t>
            </w:r>
          </w:p>
        </w:tc>
        <w:tc>
          <w:tcPr>
            <w:tcW w:w="2610"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INTERNET BANKING ADOPTION</w:t>
            </w:r>
          </w:p>
        </w:tc>
        <w:tc>
          <w:tcPr>
            <w:tcW w:w="1350"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.014</w:t>
            </w:r>
          </w:p>
        </w:tc>
        <w:tc>
          <w:tcPr>
            <w:tcW w:w="1483"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-.569</w:t>
            </w:r>
          </w:p>
        </w:tc>
        <w:tc>
          <w:tcPr>
            <w:tcW w:w="1483"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-.569</w:t>
            </w:r>
          </w:p>
        </w:tc>
      </w:tr>
      <w:tr w:rsidR="007323B9">
        <w:trPr>
          <w:cantSplit/>
        </w:trPr>
        <w:tc>
          <w:tcPr>
            <w:tcW w:w="1530" w:type="dxa"/>
            <w:vMerge/>
            <w:tcBorders>
              <w:top w:val="single" w:sz="8" w:space="0" w:color="152935"/>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.014</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.718</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.718</w:t>
            </w:r>
          </w:p>
        </w:tc>
      </w:tr>
      <w:tr w:rsidR="007323B9">
        <w:trPr>
          <w:cantSplit/>
        </w:trPr>
        <w:tc>
          <w:tcPr>
            <w:tcW w:w="1530" w:type="dxa"/>
            <w:vMerge/>
            <w:tcBorders>
              <w:top w:val="single" w:sz="8" w:space="0" w:color="152935"/>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.740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.644</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.119</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.119</w:t>
            </w:r>
          </w:p>
        </w:tc>
      </w:tr>
      <w:tr w:rsidR="007323B9">
        <w:trPr>
          <w:cantSplit/>
        </w:trPr>
        <w:tc>
          <w:tcPr>
            <w:tcW w:w="1530" w:type="dxa"/>
            <w:vMerge/>
            <w:tcBorders>
              <w:top w:val="single" w:sz="8" w:space="0" w:color="152935"/>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nil"/>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NET PROFIT MARGIN</w:t>
            </w:r>
          </w:p>
        </w:tc>
        <w:tc>
          <w:tcPr>
            <w:tcW w:w="1350" w:type="dxa"/>
            <w:tcBorders>
              <w:top w:val="single" w:sz="8" w:space="0" w:color="AEAEAE"/>
              <w:left w:val="nil"/>
              <w:bottom w:val="nil"/>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-.569</w:t>
            </w:r>
          </w:p>
        </w:tc>
        <w:tc>
          <w:tcPr>
            <w:tcW w:w="1483" w:type="dxa"/>
            <w:tcBorders>
              <w:top w:val="single" w:sz="8" w:space="0" w:color="AEAEAE"/>
              <w:left w:val="single" w:sz="8" w:space="0" w:color="E0E0E0"/>
              <w:bottom w:val="nil"/>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.718</w:t>
            </w:r>
          </w:p>
        </w:tc>
        <w:tc>
          <w:tcPr>
            <w:tcW w:w="1483" w:type="dxa"/>
            <w:tcBorders>
              <w:top w:val="single" w:sz="8" w:space="0" w:color="AEAEAE"/>
              <w:left w:val="single" w:sz="8" w:space="0" w:color="E0E0E0"/>
              <w:bottom w:val="nil"/>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483" w:type="dxa"/>
            <w:tcBorders>
              <w:top w:val="single" w:sz="8" w:space="0" w:color="AEAEAE"/>
              <w:left w:val="single" w:sz="8" w:space="0" w:color="E0E0E0"/>
              <w:bottom w:val="nil"/>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r w:rsidR="007323B9">
        <w:trPr>
          <w:cantSplit/>
        </w:trPr>
        <w:tc>
          <w:tcPr>
            <w:tcW w:w="1530" w:type="dxa"/>
            <w:vMerge w:val="restart"/>
            <w:tcBorders>
              <w:top w:val="single" w:sz="8" w:space="0" w:color="AEAEAE"/>
              <w:left w:val="nil"/>
              <w:bottom w:val="nil"/>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Sig. (1-tailed)</w:t>
            </w:r>
          </w:p>
        </w:tc>
        <w:tc>
          <w:tcPr>
            <w:tcW w:w="2610"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INTERNET BANKING ADOPTION</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.491</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.158</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.158</w:t>
            </w:r>
          </w:p>
        </w:tc>
      </w:tr>
      <w:tr w:rsidR="007323B9">
        <w:trPr>
          <w:cantSplit/>
        </w:trPr>
        <w:tc>
          <w:tcPr>
            <w:tcW w:w="1530" w:type="dxa"/>
            <w:vMerge/>
            <w:tcBorders>
              <w:top w:val="single" w:sz="8" w:space="0" w:color="AEAEAE"/>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.491</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.086</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.086</w:t>
            </w:r>
          </w:p>
        </w:tc>
      </w:tr>
      <w:tr w:rsidR="007323B9">
        <w:trPr>
          <w:cantSplit/>
        </w:trPr>
        <w:tc>
          <w:tcPr>
            <w:tcW w:w="1530" w:type="dxa"/>
            <w:vMerge/>
            <w:tcBorders>
              <w:top w:val="single" w:sz="8" w:space="0" w:color="AEAEAE"/>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.076</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.121</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.424</w:t>
            </w:r>
          </w:p>
        </w:tc>
        <w:tc>
          <w:tcPr>
            <w:tcW w:w="1483"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.424</w:t>
            </w:r>
          </w:p>
        </w:tc>
      </w:tr>
      <w:tr w:rsidR="007323B9">
        <w:trPr>
          <w:cantSplit/>
        </w:trPr>
        <w:tc>
          <w:tcPr>
            <w:tcW w:w="1530" w:type="dxa"/>
            <w:vMerge/>
            <w:tcBorders>
              <w:top w:val="single" w:sz="8" w:space="0" w:color="AEAEAE"/>
              <w:left w:val="nil"/>
              <w:bottom w:val="nil"/>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610" w:type="dxa"/>
            <w:tcBorders>
              <w:top w:val="single" w:sz="8" w:space="0" w:color="AEAEAE"/>
              <w:left w:val="nil"/>
              <w:bottom w:val="nil"/>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NET PROFIT MARGIN</w:t>
            </w:r>
          </w:p>
        </w:tc>
        <w:tc>
          <w:tcPr>
            <w:tcW w:w="1350" w:type="dxa"/>
            <w:tcBorders>
              <w:top w:val="single" w:sz="8" w:space="0" w:color="AEAEAE"/>
              <w:left w:val="nil"/>
              <w:bottom w:val="nil"/>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.158</w:t>
            </w:r>
          </w:p>
        </w:tc>
        <w:tc>
          <w:tcPr>
            <w:tcW w:w="1483" w:type="dxa"/>
            <w:tcBorders>
              <w:top w:val="single" w:sz="8" w:space="0" w:color="AEAEAE"/>
              <w:left w:val="single" w:sz="8" w:space="0" w:color="E0E0E0"/>
              <w:bottom w:val="nil"/>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.086</w:t>
            </w:r>
          </w:p>
        </w:tc>
        <w:tc>
          <w:tcPr>
            <w:tcW w:w="1483" w:type="dxa"/>
            <w:tcBorders>
              <w:top w:val="single" w:sz="8" w:space="0" w:color="AEAEAE"/>
              <w:left w:val="single" w:sz="8" w:space="0" w:color="E0E0E0"/>
              <w:bottom w:val="nil"/>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483" w:type="dxa"/>
            <w:tcBorders>
              <w:top w:val="single" w:sz="8" w:space="0" w:color="AEAEAE"/>
              <w:left w:val="single" w:sz="8" w:space="0" w:color="E0E0E0"/>
              <w:bottom w:val="nil"/>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r>
    </w:tbl>
    <w:p w:rsidR="007323B9" w:rsidRDefault="007323B9">
      <w:pPr>
        <w:spacing w:after="0" w:line="480" w:lineRule="auto"/>
        <w:jc w:val="both"/>
        <w:rPr>
          <w:rFonts w:ascii="Times New Roman" w:eastAsia="Times New Roman" w:hAnsi="Times New Roman" w:cs="Times New Roman"/>
          <w:b/>
          <w:sz w:val="24"/>
          <w:szCs w:val="24"/>
        </w:rPr>
      </w:pP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adoption of online banking and return on assets (ROA) have a very weak positive association (r = 0.014), according to the Pearson correlation values, which is statistically insignificant (p = 0.491). This implies that variations in the use of online banking have no impact on ROA. In contrast, there is a somewhat negative connection (r = -0.569) between the use of online banking and both net profit margin (NPM) and return on equity (ROE), but these correlations are not statistically significant (p = 0.158). It is interesting to note that ROA and ROE and NPM have a significant positive connection (r = 0.718), suggesting that these profitability metrics often move in tandem. However, due to the small sample size (n = 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none of these relationships reach statistical significance at the conventional 0.05 level, suggesting that while trends are visible, firm conclusions about causality or strength of association should be made cautiously.</w:t>
      </w:r>
    </w:p>
    <w:tbl>
      <w:tblPr>
        <w:tblStyle w:val="a7"/>
        <w:tblW w:w="7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04"/>
        <w:gridCol w:w="1038"/>
        <w:gridCol w:w="1100"/>
        <w:gridCol w:w="1487"/>
        <w:gridCol w:w="1487"/>
        <w:gridCol w:w="1487"/>
      </w:tblGrid>
      <w:tr w:rsidR="007323B9">
        <w:trPr>
          <w:cantSplit/>
        </w:trPr>
        <w:tc>
          <w:tcPr>
            <w:tcW w:w="7403" w:type="dxa"/>
            <w:gridSpan w:val="6"/>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10: Model Summary</w:t>
            </w:r>
            <w:r>
              <w:rPr>
                <w:rFonts w:ascii="Times New Roman" w:eastAsia="Times New Roman" w:hAnsi="Times New Roman" w:cs="Times New Roman"/>
                <w:b/>
                <w:color w:val="010205"/>
                <w:sz w:val="24"/>
                <w:szCs w:val="24"/>
                <w:vertAlign w:val="superscript"/>
              </w:rPr>
              <w:t>b</w:t>
            </w:r>
          </w:p>
        </w:tc>
      </w:tr>
      <w:tr w:rsidR="007323B9">
        <w:trPr>
          <w:cantSplit/>
        </w:trPr>
        <w:tc>
          <w:tcPr>
            <w:tcW w:w="804" w:type="dxa"/>
            <w:tcBorders>
              <w:top w:val="nil"/>
              <w:left w:val="nil"/>
              <w:bottom w:val="single" w:sz="8" w:space="0" w:color="152935"/>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Model</w:t>
            </w:r>
          </w:p>
        </w:tc>
        <w:tc>
          <w:tcPr>
            <w:tcW w:w="1038"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w:t>
            </w:r>
          </w:p>
        </w:tc>
        <w:tc>
          <w:tcPr>
            <w:tcW w:w="110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 Square</w:t>
            </w:r>
          </w:p>
        </w:tc>
        <w:tc>
          <w:tcPr>
            <w:tcW w:w="1487"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Adjusted R Square</w:t>
            </w:r>
          </w:p>
        </w:tc>
        <w:tc>
          <w:tcPr>
            <w:tcW w:w="1487"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Std. Error of the Estimate</w:t>
            </w:r>
          </w:p>
        </w:tc>
        <w:tc>
          <w:tcPr>
            <w:tcW w:w="1487"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Durbin-Watson</w:t>
            </w:r>
          </w:p>
        </w:tc>
      </w:tr>
      <w:tr w:rsidR="007323B9">
        <w:trPr>
          <w:cantSplit/>
        </w:trPr>
        <w:tc>
          <w:tcPr>
            <w:tcW w:w="804" w:type="dxa"/>
            <w:tcBorders>
              <w:top w:val="single" w:sz="8" w:space="0" w:color="152935"/>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038" w:type="dxa"/>
            <w:tcBorders>
              <w:top w:val="single" w:sz="8" w:space="0" w:color="152935"/>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.997</w:t>
            </w:r>
            <w:r>
              <w:rPr>
                <w:rFonts w:ascii="Times New Roman" w:eastAsia="Times New Roman" w:hAnsi="Times New Roman" w:cs="Times New Roman"/>
                <w:color w:val="010205"/>
                <w:sz w:val="24"/>
                <w:szCs w:val="24"/>
                <w:vertAlign w:val="superscript"/>
              </w:rPr>
              <w:t>a</w:t>
            </w:r>
          </w:p>
        </w:tc>
        <w:tc>
          <w:tcPr>
            <w:tcW w:w="1100" w:type="dxa"/>
            <w:tcBorders>
              <w:top w:val="single" w:sz="8" w:space="0" w:color="152935"/>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.994</w:t>
            </w:r>
          </w:p>
        </w:tc>
        <w:tc>
          <w:tcPr>
            <w:tcW w:w="1487" w:type="dxa"/>
            <w:tcBorders>
              <w:top w:val="single" w:sz="8" w:space="0" w:color="152935"/>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.975</w:t>
            </w:r>
          </w:p>
        </w:tc>
        <w:tc>
          <w:tcPr>
            <w:tcW w:w="1487" w:type="dxa"/>
            <w:tcBorders>
              <w:top w:val="single" w:sz="8" w:space="0" w:color="152935"/>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3.77813</w:t>
            </w:r>
          </w:p>
        </w:tc>
        <w:tc>
          <w:tcPr>
            <w:tcW w:w="1487" w:type="dxa"/>
            <w:tcBorders>
              <w:top w:val="single" w:sz="8" w:space="0" w:color="152935"/>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2.830</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line="480" w:lineRule="auto"/>
        <w:jc w:val="both"/>
        <w:rPr>
          <w:rFonts w:ascii="Times New Roman" w:eastAsia="Times New Roman" w:hAnsi="Times New Roman" w:cs="Times New Roman"/>
          <w:color w:val="010205"/>
          <w:sz w:val="24"/>
          <w:szCs w:val="24"/>
        </w:rPr>
      </w:pPr>
      <w:r>
        <w:rPr>
          <w:rFonts w:ascii="Times New Roman" w:eastAsia="Times New Roman" w:hAnsi="Times New Roman" w:cs="Times New Roman"/>
          <w:sz w:val="24"/>
          <w:szCs w:val="24"/>
        </w:rPr>
        <w:t>According to the correlation value R = 0.997, the model summary shows a very significant positive association between the adoption of online banking and the profitability measures (ROA, ROE, and NPM). The use of online banking accounts for 99.4% of the variation in the dependent variables (profitability), according to the R Square value of 0.994, indicating a very good explanatory power of the model. Even after controlling for sample size and predictor count, the Adjusted R Square of 0.975 shows that 97.5% of the variation can be confidently explained. Indicating a strong model fit, the Standard Error of the Estimate (3.78) shows the average distance between the observed values and the regression line. This gap is pretty small. Given the short sample size, the Durbin-Watson statistic of 2.830, which is somewhat over the optimal range of 1.5 to 2.5, indicates modest positive autocorrelation in the residuals. All things considered, the model seems to suit the data very well.</w:t>
      </w:r>
    </w:p>
    <w:tbl>
      <w:tblPr>
        <w:tblStyle w:val="a8"/>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1"/>
        <w:gridCol w:w="1299"/>
        <w:gridCol w:w="1486"/>
        <w:gridCol w:w="1037"/>
        <w:gridCol w:w="1424"/>
        <w:gridCol w:w="1037"/>
        <w:gridCol w:w="1037"/>
      </w:tblGrid>
      <w:tr w:rsidR="007323B9">
        <w:trPr>
          <w:cantSplit/>
        </w:trPr>
        <w:tc>
          <w:tcPr>
            <w:tcW w:w="8061" w:type="dxa"/>
            <w:gridSpan w:val="7"/>
            <w:tcBorders>
              <w:top w:val="nil"/>
              <w:left w:val="nil"/>
              <w:bottom w:val="nil"/>
              <w:right w:val="nil"/>
            </w:tcBorders>
            <w:shd w:val="clear" w:color="auto" w:fill="FFFFFF"/>
            <w:vAlign w:val="center"/>
          </w:tcPr>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Testing the Research Hypotheses</w:t>
            </w:r>
          </w:p>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11: Regression Analysis - ANOVA</w:t>
            </w:r>
            <w:r>
              <w:rPr>
                <w:rFonts w:ascii="Times New Roman" w:eastAsia="Times New Roman" w:hAnsi="Times New Roman" w:cs="Times New Roman"/>
                <w:b/>
                <w:color w:val="010205"/>
                <w:sz w:val="24"/>
                <w:szCs w:val="24"/>
                <w:vertAlign w:val="superscript"/>
              </w:rPr>
              <w:t>a</w:t>
            </w:r>
          </w:p>
        </w:tc>
      </w:tr>
      <w:tr w:rsidR="007323B9">
        <w:trPr>
          <w:cantSplit/>
        </w:trPr>
        <w:tc>
          <w:tcPr>
            <w:tcW w:w="2040" w:type="dxa"/>
            <w:gridSpan w:val="2"/>
            <w:tcBorders>
              <w:top w:val="nil"/>
              <w:left w:val="nil"/>
              <w:bottom w:val="single" w:sz="8" w:space="0" w:color="152935"/>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Model</w:t>
            </w:r>
          </w:p>
        </w:tc>
        <w:tc>
          <w:tcPr>
            <w:tcW w:w="1486"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Sum of Squares</w:t>
            </w:r>
          </w:p>
        </w:tc>
        <w:tc>
          <w:tcPr>
            <w:tcW w:w="1037"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df</w:t>
            </w:r>
          </w:p>
        </w:tc>
        <w:tc>
          <w:tcPr>
            <w:tcW w:w="1424"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Mean Square</w:t>
            </w:r>
          </w:p>
        </w:tc>
        <w:tc>
          <w:tcPr>
            <w:tcW w:w="1037"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F</w:t>
            </w:r>
          </w:p>
        </w:tc>
        <w:tc>
          <w:tcPr>
            <w:tcW w:w="1037"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Sig.</w:t>
            </w:r>
          </w:p>
        </w:tc>
      </w:tr>
      <w:tr w:rsidR="007323B9">
        <w:trPr>
          <w:cantSplit/>
        </w:trPr>
        <w:tc>
          <w:tcPr>
            <w:tcW w:w="741" w:type="dxa"/>
            <w:vMerge w:val="restart"/>
            <w:tcBorders>
              <w:top w:val="single" w:sz="8" w:space="0" w:color="152935"/>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299"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Regression</w:t>
            </w:r>
          </w:p>
        </w:tc>
        <w:tc>
          <w:tcPr>
            <w:tcW w:w="1486"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2265.726</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w:t>
            </w:r>
          </w:p>
        </w:tc>
        <w:tc>
          <w:tcPr>
            <w:tcW w:w="1424"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755.242</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52.909</w:t>
            </w:r>
          </w:p>
        </w:tc>
        <w:tc>
          <w:tcPr>
            <w:tcW w:w="1037"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.101</w:t>
            </w:r>
            <w:r>
              <w:rPr>
                <w:rFonts w:ascii="Times New Roman" w:eastAsia="Times New Roman" w:hAnsi="Times New Roman" w:cs="Times New Roman"/>
                <w:color w:val="010205"/>
                <w:sz w:val="24"/>
                <w:szCs w:val="24"/>
                <w:vertAlign w:val="superscript"/>
              </w:rPr>
              <w:t>b</w:t>
            </w:r>
          </w:p>
        </w:tc>
      </w:tr>
      <w:tr w:rsidR="007323B9">
        <w:trPr>
          <w:cantSplit/>
        </w:trPr>
        <w:tc>
          <w:tcPr>
            <w:tcW w:w="741"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299"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Residual</w:t>
            </w:r>
          </w:p>
        </w:tc>
        <w:tc>
          <w:tcPr>
            <w:tcW w:w="1486"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14.274</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w:t>
            </w:r>
          </w:p>
        </w:tc>
        <w:tc>
          <w:tcPr>
            <w:tcW w:w="1424"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14.274</w:t>
            </w:r>
          </w:p>
        </w:tc>
        <w:tc>
          <w:tcPr>
            <w:tcW w:w="103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37" w:type="dxa"/>
            <w:tcBorders>
              <w:top w:val="single" w:sz="8" w:space="0" w:color="AEAEAE"/>
              <w:left w:val="single" w:sz="8" w:space="0" w:color="E0E0E0"/>
              <w:bottom w:val="single" w:sz="8" w:space="0" w:color="AEAEAE"/>
              <w:right w:val="nil"/>
            </w:tcBorders>
            <w:shd w:val="clear" w:color="auto" w:fill="FFFFFF"/>
            <w:vAlign w:val="center"/>
          </w:tcPr>
          <w:p w:rsidR="007323B9" w:rsidRDefault="007323B9">
            <w:pPr>
              <w:rPr>
                <w:rFonts w:ascii="Times New Roman" w:eastAsia="Times New Roman" w:hAnsi="Times New Roman" w:cs="Times New Roman"/>
                <w:sz w:val="24"/>
                <w:szCs w:val="24"/>
              </w:rPr>
            </w:pPr>
          </w:p>
        </w:tc>
      </w:tr>
      <w:tr w:rsidR="007323B9">
        <w:trPr>
          <w:cantSplit/>
        </w:trPr>
        <w:tc>
          <w:tcPr>
            <w:tcW w:w="741"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99" w:type="dxa"/>
            <w:tcBorders>
              <w:top w:val="single" w:sz="8" w:space="0" w:color="AEAEAE"/>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Total</w:t>
            </w:r>
          </w:p>
        </w:tc>
        <w:tc>
          <w:tcPr>
            <w:tcW w:w="1486" w:type="dxa"/>
            <w:tcBorders>
              <w:top w:val="single" w:sz="8" w:space="0" w:color="AEAEAE"/>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2280.000</w:t>
            </w:r>
          </w:p>
        </w:tc>
        <w:tc>
          <w:tcPr>
            <w:tcW w:w="1037"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w:t>
            </w:r>
          </w:p>
        </w:tc>
        <w:tc>
          <w:tcPr>
            <w:tcW w:w="14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3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37" w:type="dxa"/>
            <w:tcBorders>
              <w:top w:val="single" w:sz="8" w:space="0" w:color="AEAEAE"/>
              <w:left w:val="single" w:sz="8" w:space="0" w:color="E0E0E0"/>
              <w:bottom w:val="single" w:sz="8" w:space="0" w:color="152935"/>
              <w:right w:val="nil"/>
            </w:tcBorders>
            <w:shd w:val="clear" w:color="auto" w:fill="FFFFFF"/>
            <w:vAlign w:val="center"/>
          </w:tcPr>
          <w:p w:rsidR="007323B9" w:rsidRDefault="007323B9">
            <w:pPr>
              <w:rPr>
                <w:rFonts w:ascii="Times New Roman" w:eastAsia="Times New Roman" w:hAnsi="Times New Roman" w:cs="Times New Roman"/>
                <w:sz w:val="24"/>
                <w:szCs w:val="24"/>
              </w:rPr>
            </w:pP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7323B9">
      <w:pPr>
        <w:rPr>
          <w:rFonts w:ascii="Times New Roman" w:eastAsia="Times New Roman" w:hAnsi="Times New Roman" w:cs="Times New Roman"/>
          <w:sz w:val="24"/>
          <w:szCs w:val="24"/>
        </w:rPr>
      </w:pPr>
    </w:p>
    <w:p w:rsidR="007323B9" w:rsidRDefault="0036059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used to investigate the impact of online banking usage on Fidelity Bank's profitability measures (ROA, ROE, and NPM) is statistically significant, as shown in the ANOVA table. With a comparatively high F-ratio of 52.909, the regression model is able to account for a significant amount of the variability in the dependent variables. However, the findings are not statistically significant at the 5% level since the significance value (p = 0.110) is higher than the standard alpha threshold of 0.05.</w:t>
      </w:r>
    </w:p>
    <w:tbl>
      <w:tblPr>
        <w:tblStyle w:val="a9"/>
        <w:tblW w:w="9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2"/>
        <w:gridCol w:w="2134"/>
        <w:gridCol w:w="1344"/>
        <w:gridCol w:w="1344"/>
        <w:gridCol w:w="1483"/>
        <w:gridCol w:w="1035"/>
        <w:gridCol w:w="1035"/>
      </w:tblGrid>
      <w:tr w:rsidR="007323B9">
        <w:trPr>
          <w:cantSplit/>
        </w:trPr>
        <w:tc>
          <w:tcPr>
            <w:tcW w:w="9117" w:type="dxa"/>
            <w:gridSpan w:val="7"/>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 xml:space="preserve">Table 12: </w:t>
            </w:r>
            <w:r>
              <w:rPr>
                <w:rFonts w:ascii="Times New Roman" w:eastAsia="Times New Roman" w:hAnsi="Times New Roman" w:cs="Times New Roman"/>
                <w:b/>
                <w:sz w:val="24"/>
                <w:szCs w:val="24"/>
              </w:rPr>
              <w:t>Interpretation of Regression Coefficients</w:t>
            </w:r>
          </w:p>
        </w:tc>
      </w:tr>
      <w:tr w:rsidR="007323B9">
        <w:trPr>
          <w:cantSplit/>
        </w:trPr>
        <w:tc>
          <w:tcPr>
            <w:tcW w:w="2876" w:type="dxa"/>
            <w:gridSpan w:val="2"/>
            <w:vMerge w:val="restart"/>
            <w:tcBorders>
              <w:top w:val="nil"/>
              <w:left w:val="nil"/>
              <w:bottom w:val="nil"/>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Model</w:t>
            </w:r>
          </w:p>
        </w:tc>
        <w:tc>
          <w:tcPr>
            <w:tcW w:w="2688" w:type="dxa"/>
            <w:gridSpan w:val="2"/>
            <w:tcBorders>
              <w:top w:val="nil"/>
              <w:left w:val="nil"/>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Unstandardized Coefficients</w:t>
            </w:r>
          </w:p>
        </w:tc>
        <w:tc>
          <w:tcPr>
            <w:tcW w:w="1483" w:type="dxa"/>
            <w:tcBorders>
              <w:top w:val="nil"/>
              <w:left w:val="single" w:sz="8" w:space="0" w:color="E0E0E0"/>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Standardized Coefficients</w:t>
            </w:r>
          </w:p>
        </w:tc>
        <w:tc>
          <w:tcPr>
            <w:tcW w:w="1035" w:type="dxa"/>
            <w:vMerge w:val="restart"/>
            <w:tcBorders>
              <w:top w:val="nil"/>
              <w:left w:val="single" w:sz="8" w:space="0" w:color="E0E0E0"/>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t</w:t>
            </w:r>
          </w:p>
        </w:tc>
        <w:tc>
          <w:tcPr>
            <w:tcW w:w="1035" w:type="dxa"/>
            <w:vMerge w:val="restart"/>
            <w:tcBorders>
              <w:top w:val="nil"/>
              <w:left w:val="single" w:sz="8" w:space="0" w:color="E0E0E0"/>
              <w:bottom w:val="nil"/>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Sig.</w:t>
            </w:r>
          </w:p>
        </w:tc>
      </w:tr>
      <w:tr w:rsidR="007323B9">
        <w:trPr>
          <w:cantSplit/>
        </w:trPr>
        <w:tc>
          <w:tcPr>
            <w:tcW w:w="2876" w:type="dxa"/>
            <w:gridSpan w:val="2"/>
            <w:vMerge/>
            <w:tcBorders>
              <w:top w:val="nil"/>
              <w:left w:val="nil"/>
              <w:bottom w:val="nil"/>
              <w:right w:val="nil"/>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344"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B</w:t>
            </w:r>
          </w:p>
        </w:tc>
        <w:tc>
          <w:tcPr>
            <w:tcW w:w="1344"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Std. Error</w:t>
            </w:r>
          </w:p>
        </w:tc>
        <w:tc>
          <w:tcPr>
            <w:tcW w:w="1483"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Beta</w:t>
            </w:r>
          </w:p>
        </w:tc>
        <w:tc>
          <w:tcPr>
            <w:tcW w:w="1035" w:type="dxa"/>
            <w:vMerge/>
            <w:tcBorders>
              <w:top w:val="nil"/>
              <w:left w:val="single" w:sz="8" w:space="0" w:color="E0E0E0"/>
              <w:bottom w:val="nil"/>
              <w:right w:val="single" w:sz="8" w:space="0" w:color="E0E0E0"/>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035" w:type="dxa"/>
            <w:vMerge/>
            <w:tcBorders>
              <w:top w:val="nil"/>
              <w:left w:val="single" w:sz="8" w:space="0" w:color="E0E0E0"/>
              <w:bottom w:val="nil"/>
              <w:right w:val="nil"/>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r>
      <w:tr w:rsidR="007323B9">
        <w:trPr>
          <w:cantSplit/>
        </w:trPr>
        <w:tc>
          <w:tcPr>
            <w:tcW w:w="742" w:type="dxa"/>
            <w:vMerge w:val="restart"/>
            <w:tcBorders>
              <w:top w:val="single" w:sz="8" w:space="0" w:color="152935"/>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2134"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(Constant)</w:t>
            </w:r>
          </w:p>
        </w:tc>
        <w:tc>
          <w:tcPr>
            <w:tcW w:w="1344"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10.896</w:t>
            </w:r>
          </w:p>
        </w:tc>
        <w:tc>
          <w:tcPr>
            <w:tcW w:w="1344"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17.050</w:t>
            </w:r>
          </w:p>
        </w:tc>
        <w:tc>
          <w:tcPr>
            <w:tcW w:w="1483"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35"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.639</w:t>
            </w:r>
          </w:p>
        </w:tc>
        <w:tc>
          <w:tcPr>
            <w:tcW w:w="1035"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.638</w:t>
            </w:r>
          </w:p>
        </w:tc>
      </w:tr>
      <w:tr w:rsidR="007323B9">
        <w:trPr>
          <w:cantSplit/>
        </w:trPr>
        <w:tc>
          <w:tcPr>
            <w:tcW w:w="74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134"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344"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-8.681</w:t>
            </w:r>
          </w:p>
        </w:tc>
        <w:tc>
          <w:tcPr>
            <w:tcW w:w="1344"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7.847</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-.213</w:t>
            </w:r>
          </w:p>
        </w:tc>
        <w:tc>
          <w:tcPr>
            <w:tcW w:w="1035"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-1.106</w:t>
            </w:r>
          </w:p>
        </w:tc>
        <w:tc>
          <w:tcPr>
            <w:tcW w:w="1035"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.468</w:t>
            </w:r>
          </w:p>
        </w:tc>
      </w:tr>
      <w:tr w:rsidR="007323B9">
        <w:trPr>
          <w:cantSplit/>
        </w:trPr>
        <w:tc>
          <w:tcPr>
            <w:tcW w:w="74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134"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1344"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10.266</w:t>
            </w:r>
          </w:p>
        </w:tc>
        <w:tc>
          <w:tcPr>
            <w:tcW w:w="1344"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1.475</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.940</w:t>
            </w:r>
          </w:p>
        </w:tc>
        <w:tc>
          <w:tcPr>
            <w:tcW w:w="1035"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6.962</w:t>
            </w:r>
          </w:p>
        </w:tc>
        <w:tc>
          <w:tcPr>
            <w:tcW w:w="1035"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.091</w:t>
            </w:r>
          </w:p>
        </w:tc>
      </w:tr>
      <w:tr w:rsidR="007323B9">
        <w:trPr>
          <w:cantSplit/>
        </w:trPr>
        <w:tc>
          <w:tcPr>
            <w:tcW w:w="74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2134" w:type="dxa"/>
            <w:tcBorders>
              <w:top w:val="single" w:sz="8" w:space="0" w:color="AEAEAE"/>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NET PROFIT MARGIN</w:t>
            </w:r>
          </w:p>
        </w:tc>
        <w:tc>
          <w:tcPr>
            <w:tcW w:w="1344" w:type="dxa"/>
            <w:tcBorders>
              <w:top w:val="single" w:sz="8" w:space="0" w:color="AEAEAE"/>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-2.382</w:t>
            </w:r>
          </w:p>
        </w:tc>
        <w:tc>
          <w:tcPr>
            <w:tcW w:w="1344"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.670</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-.528</w:t>
            </w:r>
          </w:p>
        </w:tc>
        <w:tc>
          <w:tcPr>
            <w:tcW w:w="1035"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-3.557</w:t>
            </w:r>
          </w:p>
        </w:tc>
        <w:tc>
          <w:tcPr>
            <w:tcW w:w="1035"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.174</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of regression coefficients sheds light on how each of the profitability metrics—Net Profit Margin (NPM), Return on Equity (ROE), and Return on Assets (ROA)—affects the adoption of online banking.</w:t>
      </w:r>
    </w:p>
    <w:p w:rsidR="007323B9" w:rsidRDefault="0036059D">
      <w:pPr>
        <w:numPr>
          <w:ilvl w:val="0"/>
          <w:numId w:val="7"/>
        </w:numPr>
        <w:spacing w:before="28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Constant (B = 10.896, p = 0.638): The constant represents the predicted value of internet banking adoption when all the predictors (ROA, ROE, and NPM) are zero. However, this result is not statistically significant (p &gt; 0.05), meaning it does not provide meaningful interpretation alone.</w:t>
      </w:r>
    </w:p>
    <w:p w:rsidR="007323B9" w:rsidRDefault="0036059D">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Assets (ROA): The coefficient for ROA is -8.681, indicating a negative relationship with internet banking adoption. However, the relationship is not statistically significant (p = 0.468 &gt; 0.05). This suggests that changes in ROA do not have a significant influence on internet banking adoption in this model.</w:t>
      </w:r>
    </w:p>
    <w:p w:rsidR="007323B9" w:rsidRDefault="0036059D">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Equity (ROE): The ROE coefficient is 10.266, indicating a substantial positive correlation with the use of online banking. Additionally, the standardized beta value of 0.940 indicates that it has the greatest impact of all the factors. Considering the tiny sample size, the p-value of 0.091 is near enough to imply marginal significance even though it is marginally over the usual cutoff of 0.05.</w:t>
      </w:r>
    </w:p>
    <w:p w:rsidR="007323B9" w:rsidRDefault="0036059D">
      <w:pPr>
        <w:numPr>
          <w:ilvl w:val="0"/>
          <w:numId w:val="7"/>
        </w:numPr>
        <w:spacing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Net Profit Margin (NPM): The coefficient points to a negative impact on the uptake of online banking at -2.382. Nevertheless, this variable is also not statistically significant (p = 0.174), suggesting that changes in NPM have no discernible impact on the use of online banking.</w:t>
      </w:r>
    </w:p>
    <w:tbl>
      <w:tblPr>
        <w:tblStyle w:val="aa"/>
        <w:tblW w:w="999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29"/>
        <w:gridCol w:w="1394"/>
        <w:gridCol w:w="1350"/>
        <w:gridCol w:w="1350"/>
        <w:gridCol w:w="1080"/>
        <w:gridCol w:w="990"/>
        <w:gridCol w:w="1068"/>
        <w:gridCol w:w="1068"/>
        <w:gridCol w:w="1068"/>
      </w:tblGrid>
      <w:tr w:rsidR="007323B9">
        <w:trPr>
          <w:cantSplit/>
        </w:trPr>
        <w:tc>
          <w:tcPr>
            <w:tcW w:w="7862" w:type="dxa"/>
            <w:gridSpan w:val="7"/>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13: Coefficients</w:t>
            </w:r>
            <w:r>
              <w:rPr>
                <w:rFonts w:ascii="Times New Roman" w:eastAsia="Times New Roman" w:hAnsi="Times New Roman" w:cs="Times New Roman"/>
                <w:b/>
                <w:color w:val="010205"/>
                <w:sz w:val="24"/>
                <w:szCs w:val="24"/>
                <w:vertAlign w:val="superscript"/>
              </w:rPr>
              <w:t>a</w:t>
            </w:r>
          </w:p>
        </w:tc>
        <w:tc>
          <w:tcPr>
            <w:tcW w:w="2136" w:type="dxa"/>
            <w:gridSpan w:val="2"/>
            <w:vMerge w:val="restart"/>
            <w:tcBorders>
              <w:top w:val="nil"/>
              <w:left w:val="nil"/>
              <w:right w:val="nil"/>
            </w:tcBorders>
            <w:shd w:val="clear" w:color="auto" w:fill="FFFFFF"/>
          </w:tcPr>
          <w:p w:rsidR="007323B9" w:rsidRDefault="007323B9">
            <w:pPr>
              <w:ind w:left="60" w:right="60"/>
              <w:jc w:val="center"/>
              <w:rPr>
                <w:rFonts w:ascii="Times New Roman" w:eastAsia="Times New Roman" w:hAnsi="Times New Roman" w:cs="Times New Roman"/>
                <w:color w:val="264A60"/>
                <w:sz w:val="24"/>
                <w:szCs w:val="24"/>
              </w:rPr>
            </w:pPr>
          </w:p>
          <w:p w:rsidR="007323B9" w:rsidRDefault="0036059D">
            <w:pPr>
              <w:ind w:left="60" w:right="60"/>
              <w:jc w:val="center"/>
              <w:rPr>
                <w:rFonts w:ascii="Times New Roman" w:eastAsia="Times New Roman" w:hAnsi="Times New Roman" w:cs="Times New Roman"/>
                <w:b/>
                <w:color w:val="010205"/>
                <w:sz w:val="24"/>
                <w:szCs w:val="24"/>
              </w:rPr>
            </w:pPr>
            <w:r>
              <w:rPr>
                <w:rFonts w:ascii="Times New Roman" w:eastAsia="Times New Roman" w:hAnsi="Times New Roman" w:cs="Times New Roman"/>
                <w:color w:val="264A60"/>
                <w:sz w:val="24"/>
                <w:szCs w:val="24"/>
              </w:rPr>
              <w:t>Collinearity Statistics</w:t>
            </w:r>
          </w:p>
        </w:tc>
      </w:tr>
      <w:tr w:rsidR="007323B9">
        <w:trPr>
          <w:cantSplit/>
        </w:trPr>
        <w:tc>
          <w:tcPr>
            <w:tcW w:w="2024" w:type="dxa"/>
            <w:gridSpan w:val="2"/>
            <w:vMerge w:val="restart"/>
            <w:tcBorders>
              <w:top w:val="nil"/>
              <w:left w:val="nil"/>
              <w:bottom w:val="nil"/>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Model</w:t>
            </w:r>
          </w:p>
        </w:tc>
        <w:tc>
          <w:tcPr>
            <w:tcW w:w="2700" w:type="dxa"/>
            <w:gridSpan w:val="2"/>
            <w:tcBorders>
              <w:top w:val="nil"/>
              <w:left w:val="nil"/>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95.0% Confidence Interval for B</w:t>
            </w:r>
          </w:p>
        </w:tc>
        <w:tc>
          <w:tcPr>
            <w:tcW w:w="3138" w:type="dxa"/>
            <w:gridSpan w:val="3"/>
            <w:tcBorders>
              <w:top w:val="nil"/>
              <w:left w:val="single" w:sz="8" w:space="0" w:color="E0E0E0"/>
              <w:bottom w:val="nil"/>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Correlations</w:t>
            </w:r>
          </w:p>
        </w:tc>
        <w:tc>
          <w:tcPr>
            <w:tcW w:w="2136" w:type="dxa"/>
            <w:gridSpan w:val="2"/>
            <w:vMerge/>
            <w:tcBorders>
              <w:top w:val="nil"/>
              <w:left w:val="nil"/>
              <w:right w:val="nil"/>
            </w:tcBorders>
            <w:shd w:val="clear" w:color="auto" w:fill="FFFFFF"/>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r>
      <w:tr w:rsidR="007323B9">
        <w:trPr>
          <w:cantSplit/>
        </w:trPr>
        <w:tc>
          <w:tcPr>
            <w:tcW w:w="2024" w:type="dxa"/>
            <w:gridSpan w:val="2"/>
            <w:vMerge/>
            <w:tcBorders>
              <w:top w:val="nil"/>
              <w:left w:val="nil"/>
              <w:bottom w:val="nil"/>
              <w:right w:val="nil"/>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350" w:type="dxa"/>
            <w:tcBorders>
              <w:top w:val="nil"/>
              <w:left w:val="nil"/>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Lower Bound</w:t>
            </w:r>
          </w:p>
        </w:tc>
        <w:tc>
          <w:tcPr>
            <w:tcW w:w="135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Upper Bound</w:t>
            </w:r>
          </w:p>
        </w:tc>
        <w:tc>
          <w:tcPr>
            <w:tcW w:w="108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Zero-order</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Partial</w:t>
            </w:r>
          </w:p>
        </w:tc>
        <w:tc>
          <w:tcPr>
            <w:tcW w:w="1068"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Part</w:t>
            </w:r>
          </w:p>
        </w:tc>
        <w:tc>
          <w:tcPr>
            <w:tcW w:w="1068" w:type="dxa"/>
            <w:tcBorders>
              <w:top w:val="nil"/>
              <w:left w:val="single" w:sz="8" w:space="0" w:color="E0E0E0"/>
              <w:bottom w:val="single" w:sz="8" w:space="0" w:color="152935"/>
              <w:right w:val="nil"/>
            </w:tcBorders>
            <w:shd w:val="clear" w:color="auto" w:fill="FFFFFF"/>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Tolerance</w:t>
            </w:r>
          </w:p>
        </w:tc>
        <w:tc>
          <w:tcPr>
            <w:tcW w:w="1068" w:type="dxa"/>
            <w:tcBorders>
              <w:top w:val="nil"/>
              <w:left w:val="single" w:sz="8" w:space="0" w:color="E0E0E0"/>
              <w:bottom w:val="single" w:sz="8" w:space="0" w:color="152935"/>
              <w:right w:val="nil"/>
            </w:tcBorders>
            <w:shd w:val="clear" w:color="auto" w:fill="FFFFFF"/>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VIF</w:t>
            </w:r>
          </w:p>
        </w:tc>
      </w:tr>
      <w:tr w:rsidR="007323B9">
        <w:trPr>
          <w:cantSplit/>
        </w:trPr>
        <w:tc>
          <w:tcPr>
            <w:tcW w:w="630" w:type="dxa"/>
            <w:vMerge w:val="restart"/>
            <w:tcBorders>
              <w:top w:val="single" w:sz="8" w:space="0" w:color="152935"/>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394"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(Constant)</w:t>
            </w:r>
          </w:p>
        </w:tc>
        <w:tc>
          <w:tcPr>
            <w:tcW w:w="1350"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-205.745</w:t>
            </w:r>
          </w:p>
        </w:tc>
        <w:tc>
          <w:tcPr>
            <w:tcW w:w="1350"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227.536</w:t>
            </w:r>
          </w:p>
        </w:tc>
        <w:tc>
          <w:tcPr>
            <w:tcW w:w="108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9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68" w:type="dxa"/>
            <w:tcBorders>
              <w:top w:val="single" w:sz="8" w:space="0" w:color="152935"/>
              <w:left w:val="single" w:sz="8" w:space="0" w:color="E0E0E0"/>
              <w:bottom w:val="single" w:sz="8" w:space="0" w:color="AEAEAE"/>
              <w:right w:val="nil"/>
            </w:tcBorders>
            <w:shd w:val="clear" w:color="auto" w:fill="FFFFFF"/>
            <w:vAlign w:val="center"/>
          </w:tcPr>
          <w:p w:rsidR="007323B9" w:rsidRDefault="007323B9">
            <w:pPr>
              <w:rPr>
                <w:rFonts w:ascii="Times New Roman" w:eastAsia="Times New Roman" w:hAnsi="Times New Roman" w:cs="Times New Roman"/>
                <w:sz w:val="24"/>
                <w:szCs w:val="24"/>
              </w:rPr>
            </w:pPr>
          </w:p>
        </w:tc>
        <w:tc>
          <w:tcPr>
            <w:tcW w:w="1068" w:type="dxa"/>
            <w:tcBorders>
              <w:top w:val="single" w:sz="8" w:space="0" w:color="152935"/>
              <w:left w:val="single" w:sz="8" w:space="0" w:color="E0E0E0"/>
              <w:bottom w:val="single" w:sz="8" w:space="0" w:color="AEAEAE"/>
              <w:right w:val="nil"/>
            </w:tcBorders>
            <w:shd w:val="clear" w:color="auto" w:fill="FFFFFF"/>
          </w:tcPr>
          <w:p w:rsidR="007323B9" w:rsidRDefault="007323B9">
            <w:pPr>
              <w:ind w:left="60" w:right="60"/>
              <w:jc w:val="center"/>
              <w:rPr>
                <w:rFonts w:ascii="Times New Roman" w:eastAsia="Times New Roman" w:hAnsi="Times New Roman" w:cs="Times New Roman"/>
                <w:color w:val="264A60"/>
                <w:sz w:val="24"/>
                <w:szCs w:val="24"/>
              </w:rPr>
            </w:pPr>
          </w:p>
        </w:tc>
        <w:tc>
          <w:tcPr>
            <w:tcW w:w="1068" w:type="dxa"/>
            <w:tcBorders>
              <w:top w:val="single" w:sz="8" w:space="0" w:color="152935"/>
              <w:left w:val="single" w:sz="8" w:space="0" w:color="E0E0E0"/>
              <w:bottom w:val="single" w:sz="8" w:space="0" w:color="AEAEAE"/>
              <w:right w:val="nil"/>
            </w:tcBorders>
            <w:shd w:val="clear" w:color="auto" w:fill="FFFFFF"/>
          </w:tcPr>
          <w:p w:rsidR="007323B9" w:rsidRDefault="007323B9">
            <w:pPr>
              <w:ind w:left="60" w:right="60"/>
              <w:jc w:val="center"/>
              <w:rPr>
                <w:rFonts w:ascii="Times New Roman" w:eastAsia="Times New Roman" w:hAnsi="Times New Roman" w:cs="Times New Roman"/>
                <w:color w:val="264A60"/>
                <w:sz w:val="24"/>
                <w:szCs w:val="24"/>
              </w:rPr>
            </w:pPr>
          </w:p>
        </w:tc>
      </w:tr>
      <w:tr w:rsidR="007323B9">
        <w:trPr>
          <w:cantSplit/>
        </w:trPr>
        <w:tc>
          <w:tcPr>
            <w:tcW w:w="630"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394"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rPr>
            </w:pPr>
            <w:r>
              <w:rPr>
                <w:rFonts w:ascii="Times New Roman" w:eastAsia="Times New Roman" w:hAnsi="Times New Roman" w:cs="Times New Roman"/>
                <w:color w:val="264A60"/>
              </w:rPr>
              <w:t>RETURN ON ASSET</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-108.382</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91.021</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.014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-.742</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-.088</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.169</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5.924</w:t>
            </w:r>
          </w:p>
        </w:tc>
      </w:tr>
      <w:tr w:rsidR="007323B9">
        <w:trPr>
          <w:cantSplit/>
        </w:trPr>
        <w:tc>
          <w:tcPr>
            <w:tcW w:w="630"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394"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rPr>
            </w:pPr>
            <w:r>
              <w:rPr>
                <w:rFonts w:ascii="Times New Roman" w:eastAsia="Times New Roman" w:hAnsi="Times New Roman" w:cs="Times New Roman"/>
                <w:color w:val="264A60"/>
              </w:rPr>
              <w:t>RETURN ON EQUITY</w:t>
            </w:r>
          </w:p>
        </w:tc>
        <w:tc>
          <w:tcPr>
            <w:tcW w:w="1350"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-8.470</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29.002</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.740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.990</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.551</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.343</w:t>
            </w:r>
          </w:p>
        </w:tc>
        <w:tc>
          <w:tcPr>
            <w:tcW w:w="1068"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2.914</w:t>
            </w:r>
          </w:p>
        </w:tc>
      </w:tr>
      <w:tr w:rsidR="007323B9">
        <w:trPr>
          <w:cantSplit/>
        </w:trPr>
        <w:tc>
          <w:tcPr>
            <w:tcW w:w="630"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394" w:type="dxa"/>
            <w:tcBorders>
              <w:top w:val="single" w:sz="8" w:space="0" w:color="AEAEAE"/>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rPr>
            </w:pPr>
            <w:r>
              <w:rPr>
                <w:rFonts w:ascii="Times New Roman" w:eastAsia="Times New Roman" w:hAnsi="Times New Roman" w:cs="Times New Roman"/>
                <w:color w:val="264A60"/>
              </w:rPr>
              <w:t>NET PROFIT MARGIN</w:t>
            </w:r>
          </w:p>
        </w:tc>
        <w:tc>
          <w:tcPr>
            <w:tcW w:w="1350" w:type="dxa"/>
            <w:tcBorders>
              <w:top w:val="single" w:sz="8" w:space="0" w:color="AEAEAE"/>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-10.894</w:t>
            </w:r>
          </w:p>
        </w:tc>
        <w:tc>
          <w:tcPr>
            <w:tcW w:w="135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6.129</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-.569</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-.963</w:t>
            </w:r>
          </w:p>
        </w:tc>
        <w:tc>
          <w:tcPr>
            <w:tcW w:w="1068"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-.281</w:t>
            </w:r>
          </w:p>
        </w:tc>
        <w:tc>
          <w:tcPr>
            <w:tcW w:w="1068"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.284</w:t>
            </w:r>
          </w:p>
        </w:tc>
        <w:tc>
          <w:tcPr>
            <w:tcW w:w="1068"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3.519</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7323B9">
      <w:pPr>
        <w:spacing w:line="480" w:lineRule="auto"/>
        <w:jc w:val="both"/>
        <w:rPr>
          <w:rFonts w:ascii="Times New Roman" w:eastAsia="Times New Roman" w:hAnsi="Times New Roman" w:cs="Times New Roman"/>
          <w:sz w:val="24"/>
          <w:szCs w:val="24"/>
        </w:rPr>
      </w:pPr>
    </w:p>
    <w:p w:rsidR="007323B9" w:rsidRDefault="0036059D">
      <w:pPr>
        <w:spacing w:line="480" w:lineRule="auto"/>
        <w:jc w:val="both"/>
        <w:rPr>
          <w:rFonts w:ascii="Times New Roman" w:eastAsia="Times New Roman" w:hAnsi="Times New Roman" w:cs="Times New Roman"/>
          <w:color w:val="010205"/>
          <w:sz w:val="24"/>
          <w:szCs w:val="24"/>
        </w:rPr>
      </w:pPr>
      <w:r>
        <w:rPr>
          <w:rFonts w:ascii="Times New Roman" w:eastAsia="Times New Roman" w:hAnsi="Times New Roman" w:cs="Times New Roman"/>
          <w:sz w:val="24"/>
          <w:szCs w:val="24"/>
        </w:rPr>
        <w:t>Since all of the Variance Inflation Factor (VIF) values are below the critical threshold of 10, ROA has a moderate VIF of 5.924, while ROE and NPM have VIFs of 2.914 and 3.519, respectively, all within acceptable limits, and tolerance values are above the minimum acceptable level of 0.1, the collinearity statistics in Table 13 show that there is no serious multicollinearity among the independent variables (ROA, ROE, and NPM). This suggests that the regression coefficients are reliable and the model is not adversely affected by multicollinearity.</w:t>
      </w:r>
    </w:p>
    <w:tbl>
      <w:tblPr>
        <w:tblStyle w:val="ab"/>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02"/>
        <w:gridCol w:w="1236"/>
        <w:gridCol w:w="1112"/>
        <w:gridCol w:w="990"/>
        <w:gridCol w:w="990"/>
        <w:gridCol w:w="1080"/>
        <w:gridCol w:w="1170"/>
        <w:gridCol w:w="990"/>
      </w:tblGrid>
      <w:tr w:rsidR="007323B9">
        <w:trPr>
          <w:cantSplit/>
        </w:trPr>
        <w:tc>
          <w:tcPr>
            <w:tcW w:w="7380" w:type="dxa"/>
            <w:gridSpan w:val="7"/>
            <w:tcBorders>
              <w:top w:val="nil"/>
              <w:left w:val="nil"/>
              <w:bottom w:val="nil"/>
              <w:right w:val="nil"/>
            </w:tcBorders>
            <w:shd w:val="clear" w:color="auto" w:fill="FFFFFF"/>
            <w:vAlign w:val="center"/>
          </w:tcPr>
          <w:p w:rsidR="007323B9" w:rsidRDefault="0036059D">
            <w:pPr>
              <w:ind w:left="60" w:right="60"/>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Table 14: Collinearity Diagnostics</w:t>
            </w:r>
            <w:r>
              <w:rPr>
                <w:rFonts w:ascii="Times New Roman" w:eastAsia="Times New Roman" w:hAnsi="Times New Roman" w:cs="Times New Roman"/>
                <w:b/>
                <w:color w:val="010205"/>
                <w:sz w:val="24"/>
                <w:szCs w:val="24"/>
                <w:vertAlign w:val="superscript"/>
              </w:rPr>
              <w:t>a</w:t>
            </w:r>
          </w:p>
        </w:tc>
        <w:tc>
          <w:tcPr>
            <w:tcW w:w="990" w:type="dxa"/>
            <w:tcBorders>
              <w:top w:val="nil"/>
              <w:left w:val="nil"/>
              <w:bottom w:val="nil"/>
              <w:right w:val="nil"/>
            </w:tcBorders>
            <w:shd w:val="clear" w:color="auto" w:fill="FFFFFF"/>
          </w:tcPr>
          <w:p w:rsidR="007323B9" w:rsidRDefault="007323B9">
            <w:pPr>
              <w:ind w:left="60" w:right="60"/>
              <w:jc w:val="center"/>
              <w:rPr>
                <w:rFonts w:ascii="Times New Roman" w:eastAsia="Times New Roman" w:hAnsi="Times New Roman" w:cs="Times New Roman"/>
                <w:b/>
                <w:color w:val="010205"/>
                <w:sz w:val="24"/>
                <w:szCs w:val="24"/>
              </w:rPr>
            </w:pPr>
          </w:p>
        </w:tc>
      </w:tr>
      <w:tr w:rsidR="007323B9">
        <w:trPr>
          <w:cantSplit/>
        </w:trPr>
        <w:tc>
          <w:tcPr>
            <w:tcW w:w="802" w:type="dxa"/>
            <w:vMerge w:val="restart"/>
            <w:tcBorders>
              <w:top w:val="nil"/>
              <w:left w:val="nil"/>
              <w:bottom w:val="nil"/>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Model</w:t>
            </w:r>
          </w:p>
        </w:tc>
        <w:tc>
          <w:tcPr>
            <w:tcW w:w="1236" w:type="dxa"/>
            <w:vMerge w:val="restart"/>
            <w:tcBorders>
              <w:top w:val="nil"/>
              <w:left w:val="nil"/>
              <w:bottom w:val="nil"/>
              <w:right w:val="nil"/>
            </w:tcBorders>
            <w:shd w:val="clear" w:color="auto" w:fill="FFFFFF"/>
            <w:vAlign w:val="bottom"/>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Dimension</w:t>
            </w:r>
          </w:p>
        </w:tc>
        <w:tc>
          <w:tcPr>
            <w:tcW w:w="1112" w:type="dxa"/>
            <w:vMerge w:val="restart"/>
            <w:tcBorders>
              <w:top w:val="nil"/>
              <w:left w:val="nil"/>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Eigenvalue</w:t>
            </w:r>
          </w:p>
        </w:tc>
        <w:tc>
          <w:tcPr>
            <w:tcW w:w="990" w:type="dxa"/>
            <w:vMerge w:val="restart"/>
            <w:tcBorders>
              <w:top w:val="nil"/>
              <w:left w:val="single" w:sz="8" w:space="0" w:color="E0E0E0"/>
              <w:bottom w:val="nil"/>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Condition Index</w:t>
            </w:r>
          </w:p>
        </w:tc>
        <w:tc>
          <w:tcPr>
            <w:tcW w:w="3240" w:type="dxa"/>
            <w:gridSpan w:val="3"/>
            <w:tcBorders>
              <w:top w:val="nil"/>
              <w:left w:val="single" w:sz="8" w:space="0" w:color="E0E0E0"/>
              <w:bottom w:val="nil"/>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Variance Proportions</w:t>
            </w:r>
          </w:p>
        </w:tc>
        <w:tc>
          <w:tcPr>
            <w:tcW w:w="990" w:type="dxa"/>
            <w:tcBorders>
              <w:top w:val="nil"/>
              <w:left w:val="single" w:sz="8" w:space="0" w:color="E0E0E0"/>
              <w:bottom w:val="nil"/>
              <w:right w:val="nil"/>
            </w:tcBorders>
            <w:shd w:val="clear" w:color="auto" w:fill="FFFFFF"/>
          </w:tcPr>
          <w:p w:rsidR="007323B9" w:rsidRDefault="007323B9">
            <w:pPr>
              <w:ind w:left="60" w:right="60"/>
              <w:jc w:val="center"/>
              <w:rPr>
                <w:rFonts w:ascii="Times New Roman" w:eastAsia="Times New Roman" w:hAnsi="Times New Roman" w:cs="Times New Roman"/>
                <w:color w:val="264A60"/>
                <w:sz w:val="24"/>
                <w:szCs w:val="24"/>
              </w:rPr>
            </w:pPr>
          </w:p>
        </w:tc>
      </w:tr>
      <w:tr w:rsidR="007323B9">
        <w:trPr>
          <w:cantSplit/>
        </w:trPr>
        <w:tc>
          <w:tcPr>
            <w:tcW w:w="802" w:type="dxa"/>
            <w:vMerge/>
            <w:tcBorders>
              <w:top w:val="nil"/>
              <w:left w:val="nil"/>
              <w:bottom w:val="nil"/>
              <w:right w:val="nil"/>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236" w:type="dxa"/>
            <w:vMerge/>
            <w:tcBorders>
              <w:top w:val="nil"/>
              <w:left w:val="nil"/>
              <w:bottom w:val="nil"/>
              <w:right w:val="nil"/>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1112" w:type="dxa"/>
            <w:vMerge/>
            <w:tcBorders>
              <w:top w:val="nil"/>
              <w:left w:val="nil"/>
              <w:bottom w:val="nil"/>
              <w:right w:val="single" w:sz="8" w:space="0" w:color="E0E0E0"/>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990" w:type="dxa"/>
            <w:vMerge/>
            <w:tcBorders>
              <w:top w:val="nil"/>
              <w:left w:val="single" w:sz="8" w:space="0" w:color="E0E0E0"/>
              <w:bottom w:val="nil"/>
              <w:right w:val="single" w:sz="8" w:space="0" w:color="E0E0E0"/>
            </w:tcBorders>
            <w:shd w:val="clear" w:color="auto" w:fill="FFFFFF"/>
            <w:vAlign w:val="bottom"/>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264A60"/>
                <w:sz w:val="24"/>
                <w:szCs w:val="24"/>
              </w:rPr>
            </w:pP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(Constant)</w:t>
            </w:r>
          </w:p>
        </w:tc>
        <w:tc>
          <w:tcPr>
            <w:tcW w:w="1080" w:type="dxa"/>
            <w:tcBorders>
              <w:top w:val="nil"/>
              <w:left w:val="single" w:sz="8" w:space="0" w:color="E0E0E0"/>
              <w:bottom w:val="single" w:sz="8" w:space="0" w:color="152935"/>
              <w:right w:val="single" w:sz="8" w:space="0" w:color="E0E0E0"/>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ASSET</w:t>
            </w:r>
          </w:p>
        </w:tc>
        <w:tc>
          <w:tcPr>
            <w:tcW w:w="1170" w:type="dxa"/>
            <w:tcBorders>
              <w:top w:val="nil"/>
              <w:left w:val="single" w:sz="8" w:space="0" w:color="E0E0E0"/>
              <w:bottom w:val="single" w:sz="8" w:space="0" w:color="152935"/>
              <w:right w:val="nil"/>
            </w:tcBorders>
            <w:shd w:val="clear" w:color="auto" w:fill="FFFFFF"/>
            <w:vAlign w:val="bottom"/>
          </w:tcPr>
          <w:p w:rsidR="007323B9" w:rsidRDefault="0036059D">
            <w:pPr>
              <w:ind w:left="60" w:right="60"/>
              <w:jc w:val="center"/>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RETURN ON EQUITY</w:t>
            </w:r>
          </w:p>
        </w:tc>
        <w:tc>
          <w:tcPr>
            <w:tcW w:w="990" w:type="dxa"/>
            <w:tcBorders>
              <w:top w:val="nil"/>
              <w:left w:val="single" w:sz="8" w:space="0" w:color="E0E0E0"/>
              <w:bottom w:val="single" w:sz="8" w:space="0" w:color="152935"/>
              <w:right w:val="nil"/>
            </w:tcBorders>
            <w:shd w:val="clear" w:color="auto" w:fill="FFFFFF"/>
          </w:tcPr>
          <w:p w:rsidR="007323B9" w:rsidRDefault="0036059D">
            <w:pPr>
              <w:ind w:left="60" w:right="60"/>
              <w:jc w:val="center"/>
              <w:rPr>
                <w:rFonts w:ascii="Times New Roman" w:eastAsia="Times New Roman" w:hAnsi="Times New Roman" w:cs="Times New Roman"/>
                <w:sz w:val="24"/>
                <w:szCs w:val="24"/>
              </w:rPr>
            </w:pPr>
            <w:r>
              <w:rPr>
                <w:rFonts w:ascii="Times New Roman" w:eastAsia="Times New Roman" w:hAnsi="Times New Roman" w:cs="Times New Roman"/>
                <w:color w:val="264A60"/>
                <w:sz w:val="24"/>
                <w:szCs w:val="24"/>
              </w:rPr>
              <w:t>NET PROFIT MARGIN</w:t>
            </w:r>
          </w:p>
        </w:tc>
      </w:tr>
      <w:tr w:rsidR="007323B9">
        <w:trPr>
          <w:cantSplit/>
        </w:trPr>
        <w:tc>
          <w:tcPr>
            <w:tcW w:w="802" w:type="dxa"/>
            <w:vMerge w:val="restart"/>
            <w:tcBorders>
              <w:top w:val="single" w:sz="8" w:space="0" w:color="152935"/>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236" w:type="dxa"/>
            <w:tcBorders>
              <w:top w:val="single" w:sz="8" w:space="0" w:color="152935"/>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112" w:type="dxa"/>
            <w:tcBorders>
              <w:top w:val="single" w:sz="8" w:space="0" w:color="152935"/>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3.924</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c>
          <w:tcPr>
            <w:tcW w:w="1170"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c>
          <w:tcPr>
            <w:tcW w:w="990" w:type="dxa"/>
            <w:tcBorders>
              <w:top w:val="single" w:sz="8" w:space="0" w:color="152935"/>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r>
      <w:tr w:rsidR="007323B9">
        <w:trPr>
          <w:cantSplit/>
        </w:trPr>
        <w:tc>
          <w:tcPr>
            <w:tcW w:w="80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236"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2</w:t>
            </w:r>
          </w:p>
        </w:tc>
        <w:tc>
          <w:tcPr>
            <w:tcW w:w="1112"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.060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8.116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.01</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c>
          <w:tcPr>
            <w:tcW w:w="117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.04</w:t>
            </w:r>
          </w:p>
        </w:tc>
        <w:tc>
          <w:tcPr>
            <w:tcW w:w="99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w:t>
            </w:r>
          </w:p>
        </w:tc>
      </w:tr>
      <w:tr w:rsidR="007323B9">
        <w:trPr>
          <w:cantSplit/>
        </w:trPr>
        <w:tc>
          <w:tcPr>
            <w:tcW w:w="80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236" w:type="dxa"/>
            <w:tcBorders>
              <w:top w:val="single" w:sz="8" w:space="0" w:color="AEAEAE"/>
              <w:left w:val="nil"/>
              <w:bottom w:val="single" w:sz="8" w:space="0" w:color="AEAEAE"/>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3</w:t>
            </w:r>
          </w:p>
        </w:tc>
        <w:tc>
          <w:tcPr>
            <w:tcW w:w="1112" w:type="dxa"/>
            <w:tcBorders>
              <w:top w:val="single" w:sz="8" w:space="0" w:color="AEAEAE"/>
              <w:left w:val="nil"/>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.015</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16.255</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.37</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c>
          <w:tcPr>
            <w:tcW w:w="117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.31</w:t>
            </w:r>
          </w:p>
        </w:tc>
        <w:tc>
          <w:tcPr>
            <w:tcW w:w="990" w:type="dxa"/>
            <w:tcBorders>
              <w:top w:val="single" w:sz="8" w:space="0" w:color="AEAEAE"/>
              <w:left w:val="single" w:sz="8" w:space="0" w:color="E0E0E0"/>
              <w:bottom w:val="single" w:sz="8" w:space="0" w:color="AEAEAE"/>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.02</w:t>
            </w:r>
          </w:p>
        </w:tc>
      </w:tr>
      <w:tr w:rsidR="007323B9">
        <w:trPr>
          <w:cantSplit/>
        </w:trPr>
        <w:tc>
          <w:tcPr>
            <w:tcW w:w="802" w:type="dxa"/>
            <w:vMerge/>
            <w:tcBorders>
              <w:top w:val="single" w:sz="8" w:space="0" w:color="152935"/>
              <w:left w:val="nil"/>
              <w:bottom w:val="single" w:sz="8" w:space="0" w:color="152935"/>
              <w:right w:val="nil"/>
            </w:tcBorders>
            <w:shd w:val="clear" w:color="auto" w:fill="E0E0E0"/>
          </w:tcPr>
          <w:p w:rsidR="007323B9" w:rsidRDefault="007323B9">
            <w:pPr>
              <w:widowControl w:val="0"/>
              <w:pBdr>
                <w:top w:val="nil"/>
                <w:left w:val="nil"/>
                <w:bottom w:val="nil"/>
                <w:right w:val="nil"/>
                <w:between w:val="nil"/>
              </w:pBdr>
              <w:spacing w:after="0"/>
              <w:rPr>
                <w:rFonts w:ascii="Times New Roman" w:eastAsia="Times New Roman" w:hAnsi="Times New Roman" w:cs="Times New Roman"/>
                <w:color w:val="010205"/>
                <w:sz w:val="24"/>
                <w:szCs w:val="24"/>
              </w:rPr>
            </w:pPr>
          </w:p>
        </w:tc>
        <w:tc>
          <w:tcPr>
            <w:tcW w:w="1236" w:type="dxa"/>
            <w:tcBorders>
              <w:top w:val="single" w:sz="8" w:space="0" w:color="AEAEAE"/>
              <w:left w:val="nil"/>
              <w:bottom w:val="single" w:sz="8" w:space="0" w:color="152935"/>
              <w:right w:val="nil"/>
            </w:tcBorders>
            <w:shd w:val="clear" w:color="auto" w:fill="E0E0E0"/>
          </w:tcPr>
          <w:p w:rsidR="007323B9" w:rsidRDefault="0036059D">
            <w:pPr>
              <w:ind w:left="60" w:right="60"/>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4</w:t>
            </w:r>
          </w:p>
        </w:tc>
        <w:tc>
          <w:tcPr>
            <w:tcW w:w="1112" w:type="dxa"/>
            <w:tcBorders>
              <w:top w:val="single" w:sz="8" w:space="0" w:color="AEAEAE"/>
              <w:left w:val="nil"/>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.002</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48.273</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.62</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w:t>
            </w:r>
          </w:p>
        </w:tc>
        <w:tc>
          <w:tcPr>
            <w:tcW w:w="1170"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.65</w:t>
            </w:r>
          </w:p>
        </w:tc>
        <w:tc>
          <w:tcPr>
            <w:tcW w:w="990" w:type="dxa"/>
            <w:tcBorders>
              <w:top w:val="single" w:sz="8" w:space="0" w:color="AEAEAE"/>
              <w:left w:val="single" w:sz="8" w:space="0" w:color="E0E0E0"/>
              <w:bottom w:val="single" w:sz="8" w:space="0" w:color="152935"/>
              <w:right w:val="nil"/>
            </w:tcBorders>
            <w:shd w:val="clear" w:color="auto" w:fill="FFFFFF"/>
          </w:tcPr>
          <w:p w:rsidR="007323B9" w:rsidRDefault="0036059D">
            <w:pPr>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.70</w:t>
            </w:r>
          </w:p>
        </w:tc>
      </w:tr>
    </w:tbl>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Researcher’s Computation (2025)</w:t>
      </w:r>
    </w:p>
    <w:p w:rsidR="007323B9" w:rsidRDefault="0036059D">
      <w:pPr>
        <w:spacing w:line="480" w:lineRule="auto"/>
        <w:jc w:val="both"/>
        <w:rPr>
          <w:rFonts w:ascii="Times New Roman" w:eastAsia="Times New Roman" w:hAnsi="Times New Roman" w:cs="Times New Roman"/>
          <w:color w:val="010205"/>
          <w:sz w:val="24"/>
          <w:szCs w:val="24"/>
        </w:rPr>
      </w:pPr>
      <w:r>
        <w:rPr>
          <w:rFonts w:ascii="Times New Roman" w:eastAsia="Times New Roman" w:hAnsi="Times New Roman" w:cs="Times New Roman"/>
          <w:sz w:val="24"/>
          <w:szCs w:val="24"/>
        </w:rPr>
        <w:t>Table 14 presents the collinearity diagnostics for the regression model, showing the eigenvalues, condition index, and variance proportions for each variable. The eigenvalues represent the variance explained by each component, and the condition index indicates the potential for multicollinearity. A condition index greater than 10 suggests possible collinearity problems, with values above 30 being more concerning. In this case, the condition index increases from 1.000 in Dimension 1 to 48.273 in Dimension 4, indicating some degree of multicollinearity. The variance proportions reveal how much of the variance in each variable is shared with the others. For example, in Dimension 4, 65% of the variance is associated with "Return on Equity" and 70% with "Net Profit Margin," suggesting potential collinearity between these two variables. This implies that multicollinearity may be affecting the model, particularly between Return on Equity and Net Profit Margin.</w:t>
      </w:r>
    </w:p>
    <w:p w:rsidR="007323B9" w:rsidRDefault="0036059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Discussion of Findings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Adoption of online banking has a variable impact on Fidelity Bank's profitability metrics, according to the results of the regression study. The results of the correlation study showed that there were weak correlations between the adoption of online banking and Net Profit Margin (NPM), Return on Equity (ROE), and Return on Assets (ROA). The strongest negative correlation was with NPM. This implies that even while the use of online banking is growing, these profitability metrics could not be much improven by it. The notion that variables other than the extent of internet banking use are important in determining the bank's profitability from its assets is supported by the poor link between internet banking adoption and ROA.</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regression analysis sheds more light on the connections between these factors. The model's R-squared score of 0.994 suggests that the variables it contains account for a significant amount of the variance in profitability measures. The outcomes of the various predictors, such as return on equity, return on asset, and net profit margin, are inconsistent in spite of this. Remarkably, with a significance value of 0.091, Return on Equity shown a comparatively larger correlation with the usage of online banking (Beta = 0.940). Despite being statistically significant, the effect of online banking usage on ROE is only marginally significant, suggesting that internet banking may have a modest but beneficial influence on shareholder returns.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analysis indicates some multicollinearity issues, as highlighted by the collinearity diagnostics. The condition index, especially in Dimension 4, suggests potential problems with collinearity between Return on Equity and Net Profit Margin, which may have affected the regression results. This multicollinearity could be masking the true relationships between the independent and dependent variables, making it difficult to fully isolate the effects of internet banking adoption on profitability. These issues may explain why certain variables like Net Profit Margin did not show a statistically significant relationship with internet banking adoption, despite the theoretical expectation that such a relationship should exist.</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findings suggest that while internet banking adoption has some impact on Fidelity Bank’s profitability, it is not the sole or even the most significant factor. The bank’s profitability indicators, such as ROA, ROE, and NPM, are influenced by a variety of internal and external factors, including strategic decisions, market conditions, and operational efficiency. Therefore, while internet banking adoption may contribute to overall profitability, other business strategies and external factors should be considered to fully understand and enhance the bank’s financial performance.</w:t>
      </w:r>
    </w:p>
    <w:p w:rsidR="007323B9" w:rsidRDefault="0036059D">
      <w:pPr>
        <w:rPr>
          <w:rFonts w:ascii="Times New Roman" w:eastAsia="Times New Roman" w:hAnsi="Times New Roman" w:cs="Times New Roman"/>
          <w:b/>
          <w:sz w:val="24"/>
          <w:szCs w:val="24"/>
        </w:rPr>
      </w:pPr>
      <w:r>
        <w:br w:type="page"/>
      </w:r>
    </w:p>
    <w:p w:rsidR="007323B9" w:rsidRDefault="0036059D">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FIVE</w:t>
      </w:r>
    </w:p>
    <w:p w:rsidR="007323B9" w:rsidRDefault="0036059D">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FINDINGS, CONCLUSION AND RECOMMENDATIONS</w:t>
      </w:r>
    </w:p>
    <w:p w:rsidR="007323B9" w:rsidRDefault="0036059D">
      <w:pPr>
        <w:pStyle w:val="Heading3"/>
        <w:spacing w:before="280" w:after="280" w:line="480" w:lineRule="auto"/>
        <w:jc w:val="both"/>
        <w:rPr>
          <w:sz w:val="24"/>
          <w:szCs w:val="24"/>
        </w:rPr>
      </w:pPr>
      <w:r>
        <w:rPr>
          <w:sz w:val="24"/>
          <w:szCs w:val="24"/>
        </w:rPr>
        <w:t>5.1 Summary of Findings</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study assessed the impact of internet banking on the profitability of Fidelity Bank PLC from 2020 to 2024, using Return on Assets (ROA), Return on Equity (ROE), and Net Profit Margin (NPM) as performance indicators. The results showed consistent growth in all three profitability metrics over the five-year period. ROA improved from 1.30% in 2020 to 1.61% in 2024, reflecting increased efficiency in the utilization of total assets. Similarly, ROE rose from 12.40% to 18.15%, indicating improved returns to shareholders, while NPM climbed steadily from 11.56% to 17.88%, highlighting stronger revenue retention and cost efficiency. These upward trends suggest that the bank’s overall financial performance strengthened in tandem with rising digital adoption.</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increase in profitability indicators corresponded with a marked growth in internet banking usage. As Fidelity Bank rolled out new digital features such as mobile apps, upgraded security systems, and expanded digital payment platforms, customer adoption of internet banking rose from 60% in 2020 to 89% in 2024. This pattern suggests a positive correlation between digital banking expansion and financial outcomes. Each year’s launch of advanced features appeared to stimulate higher customer engagement, which in turn contributed to improved operational outcomes and profitability.</w:t>
      </w:r>
    </w:p>
    <w:p w:rsidR="007323B9" w:rsidRDefault="0036059D">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Moreover, the results indicate that internet banking significantly enhanced customer convenience and transaction volume, which likely contributed to increased income generation and reduced operational costs. The higher ROE and NPM figures in the latter years reflect Fidelity Bank’s growing efficiency in turning revenue into profit while rewarding shareholders more substantially. These findings affirm the hypothesis that technological advancement in banking not only supports improved service delivery but also serves as a driver of financial sustainability and growth.</w:t>
      </w:r>
    </w:p>
    <w:p w:rsidR="007323B9" w:rsidRDefault="0036059D">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Implications of Findings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of this study have important implications for the banking industry, especially for financial institutions aiming to improve their profitability through digital innovation. The positive relationship between internet banking adoption and profitability highlights how banks can leverage digital platforms to enhance financial performance. By offering convenient, efficient online banking services, financial institutions can boost operational efficiency, increase customer engagement, and ultimately drive higher returns, as shown by the growing ROA, ROE, and NPM figures. Banks that invest in robust digital banking solutions can expect improved financial outcomes.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policymakers and banking regulators, the results of the study emphasize the need to foster digital banking adoption as a means to promote financial inclusion and support broader economic growth. Encouraging the integration of internet banking into the financial ecosystem can provide more people with access to banking services, especially in underserved regions, thus contributing to the development of a more inclusive economy. Moreover, the study suggests that government support in the form of favorable regulations and incentives for banks adopting digital technologies can have a positive ripple effect on the financial sector.</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banks themselves, the study underscores the importance of continuously evolving and upgrading their digital offerings to stay competitive in an increasingly tech-driven financial landscape. The growing customer engagement with internet banking platforms directly impacts profitability, making it essential for banks to prioritize customer satisfaction and security. By enhancing the user experience and ensuring safe online banking environments, banks can retain customer trust and loyalty, which are crucial for long-term success in the digital banking era.</w:t>
      </w:r>
    </w:p>
    <w:p w:rsidR="007323B9" w:rsidRDefault="0036059D">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Conclusion</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has unequivocally shown a favorable correlation between Fidelity Bank's profitability and the use of online banking. The implementation of digital banking features had a major impact on the bank's financial performance, according to a five-year review of key profitability measures, such as ROA, ROE, and NPM. Features like digital wallets, mobile banking applications, and improved security measures were essential for boosting consumer interaction and accelerating transactions, both of which had a direct effect on profitability. The steady increase in profitability metrics from 2020 to 2024 provides further evidence of how crucial digital banking is to attaining financial expansion.</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survey shows that online banking is a strategic asset for financial organizations as well as a tool for client convenience. Better operational efficiency and customer satisfaction have undoubtedly resulted from the bank's efforts to enhance online features and the growing acceptance and use of internet banking services. This is consistent with the larger banking trend, which holds that digital transformation plays a significant role in boosting profitability and competitiveness in the contemporary financial environment.</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internet banking has proven to be an essential aspect of Fidelity Bank’s strategy for enhancing profitability. The findings of this study underline the importance of continuing to invest in digital banking innovations to meet customer demands and improve financial outcomes. Moving forward, banks can use the insights from this research to further refine their digital offerings, improve customer experiences, and solidify their position in an increasingly competitive market.</w:t>
      </w:r>
    </w:p>
    <w:p w:rsidR="007323B9" w:rsidRDefault="0036059D">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5.4 Recommendations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findings of this study, the following recommendations are made:</w:t>
      </w:r>
    </w:p>
    <w:p w:rsidR="007323B9" w:rsidRDefault="0036059D">
      <w:pPr>
        <w:numPr>
          <w:ilvl w:val="0"/>
          <w:numId w:val="5"/>
        </w:numPr>
        <w:spacing w:before="28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Enhance Digital Banking Services: By including additional services that cater to the changing demands of their clientele, Fidelity Bank and other financial organizations should keep innovating and enhancing their online banking systems. To increase consumer confidence, this entails launching new services like digital wallets, improving mobile banking applications, and putting additional security measures in place.</w:t>
      </w:r>
    </w:p>
    <w:p w:rsidR="007323B9" w:rsidRDefault="0036059D">
      <w:pPr>
        <w:numPr>
          <w:ilvl w:val="0"/>
          <w:numId w:val="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 in Cybersecurity: As more customers adopt internet banking, ensuring robust security protocols should be a top priority. Banks must invest in advanced cybersecurity technologies to protect user data and prevent fraud, which will encourage further adoption of internet banking.</w:t>
      </w:r>
    </w:p>
    <w:p w:rsidR="007323B9" w:rsidRDefault="0036059D">
      <w:pPr>
        <w:numPr>
          <w:ilvl w:val="0"/>
          <w:numId w:val="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Education and Awareness: Banks should concentrate on teaching consumers the advantages of online banking and how to use these platforms safely in order to boost the use of internet banking across a wider audience. Workshops, online guides, and focused advertising efforts might do this.</w:t>
      </w:r>
    </w:p>
    <w:p w:rsidR="007323B9" w:rsidRDefault="0036059D">
      <w:pPr>
        <w:numPr>
          <w:ilvl w:val="0"/>
          <w:numId w:val="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Leverage Data Analytics: In order to better understand consumer behavior and provide individualized financial services, banks should make use of data analytics. Financial institutions may provide tailored solutions that address particular consumer demands by examining transaction patterns and preferences, which will eventually increase profitability.</w:t>
      </w:r>
    </w:p>
    <w:p w:rsidR="007323B9" w:rsidRDefault="0036059D">
      <w:pPr>
        <w:numPr>
          <w:ilvl w:val="0"/>
          <w:numId w:val="5"/>
        </w:numPr>
        <w:spacing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Collaborate with E-payment Providers: Strategic partnerships with e-payment providers can help expand the bank’s reach and improve transaction capabilities. Expanding collaborations with fintech companies can open new avenues for financial inclusion and service delivery.</w:t>
      </w:r>
    </w:p>
    <w:p w:rsidR="007323B9" w:rsidRDefault="0036059D">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 Areas for Further Studies</w:t>
      </w:r>
    </w:p>
    <w:p w:rsidR="007323B9" w:rsidRDefault="0036059D">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study focused on the impact of internet banking on profitability in Fidelity Bank, further research is needed to explore the following areas:</w:t>
      </w:r>
    </w:p>
    <w:p w:rsidR="007323B9" w:rsidRDefault="0036059D">
      <w:pPr>
        <w:numPr>
          <w:ilvl w:val="0"/>
          <w:numId w:val="6"/>
        </w:numPr>
        <w:spacing w:before="28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Future research could compare the impact of internet banking on profitability across different banks in Nigeria or in other countries. </w:t>
      </w:r>
    </w:p>
    <w:p w:rsidR="007323B9" w:rsidRDefault="0036059D">
      <w:pPr>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studies could examine the long-term impact of internet banking on profitability beyond the five-year period covered in this study. </w:t>
      </w:r>
    </w:p>
    <w:p w:rsidR="007323B9" w:rsidRDefault="0036059D">
      <w:pPr>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Future research could focus on the relationship between internet banking adoption and customer satisfaction, loyalty, and retention. </w:t>
      </w:r>
    </w:p>
    <w:p w:rsidR="007323B9" w:rsidRDefault="0036059D">
      <w:pPr>
        <w:numPr>
          <w:ilvl w:val="0"/>
          <w:numId w:val="6"/>
        </w:numPr>
        <w:spacing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growing prevalence of mobile banking, research could explore the specific impact of mobile banking adoption on profitability, as mobile banking may have distinct effects on customer behavior and bank profitability compared to traditional internet banking.</w:t>
      </w:r>
    </w:p>
    <w:p w:rsidR="007323B9" w:rsidRDefault="0036059D">
      <w:pPr>
        <w:rPr>
          <w:rFonts w:ascii="Times New Roman" w:eastAsia="Times New Roman" w:hAnsi="Times New Roman" w:cs="Times New Roman"/>
          <w:b/>
          <w:sz w:val="24"/>
          <w:szCs w:val="24"/>
        </w:rPr>
      </w:pPr>
      <w:r>
        <w:br w:type="page"/>
      </w:r>
    </w:p>
    <w:p w:rsidR="007323B9" w:rsidRDefault="0036059D">
      <w:pPr>
        <w:pStyle w:val="Heading3"/>
        <w:jc w:val="center"/>
        <w:rPr>
          <w:sz w:val="24"/>
          <w:szCs w:val="24"/>
        </w:rPr>
      </w:pPr>
      <w:r>
        <w:rPr>
          <w:sz w:val="24"/>
          <w:szCs w:val="24"/>
        </w:rPr>
        <w:t>REFERENCES</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Adegbite, A., &amp; Olayemi, T. (2020). Asset utilization and bank profitability: Evidence from selected African banks. </w:t>
      </w:r>
      <w:r>
        <w:rPr>
          <w:rFonts w:ascii="Times New Roman" w:eastAsia="Times New Roman" w:hAnsi="Times New Roman" w:cs="Times New Roman"/>
          <w:i/>
          <w:sz w:val="24"/>
          <w:szCs w:val="24"/>
        </w:rPr>
        <w:t>African Journal of Banking and Finance</w:t>
      </w:r>
      <w:r>
        <w:rPr>
          <w:rFonts w:ascii="Times New Roman" w:eastAsia="Times New Roman" w:hAnsi="Times New Roman" w:cs="Times New Roman"/>
          <w:sz w:val="24"/>
          <w:szCs w:val="24"/>
        </w:rPr>
        <w:t xml:space="preserve">, 17(2), 78-95.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Adegbite, A., &amp; Olayemi, T. (2020). Asset utilization and bank profitability: Evidence from selected African banks. </w:t>
      </w:r>
      <w:r>
        <w:rPr>
          <w:rFonts w:ascii="Times New Roman" w:eastAsia="Times New Roman" w:hAnsi="Times New Roman" w:cs="Times New Roman"/>
          <w:i/>
          <w:sz w:val="24"/>
          <w:szCs w:val="24"/>
        </w:rPr>
        <w:t>African Journal of Banking and Finance</w:t>
      </w:r>
      <w:r>
        <w:rPr>
          <w:rFonts w:ascii="Times New Roman" w:eastAsia="Times New Roman" w:hAnsi="Times New Roman" w:cs="Times New Roman"/>
          <w:sz w:val="24"/>
          <w:szCs w:val="24"/>
        </w:rPr>
        <w:t xml:space="preserve">, 17(2), 78-95.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Adegbite, A., &amp; Olayemi, T. (2020). Asset utilization and bank profitability: Evidence from selected African banks. </w:t>
      </w:r>
      <w:r>
        <w:rPr>
          <w:rFonts w:ascii="Times New Roman" w:eastAsia="Times New Roman" w:hAnsi="Times New Roman" w:cs="Times New Roman"/>
          <w:i/>
          <w:sz w:val="24"/>
          <w:szCs w:val="24"/>
        </w:rPr>
        <w:t>African Journal of Banking and Finance</w:t>
      </w:r>
      <w:r>
        <w:rPr>
          <w:rFonts w:ascii="Times New Roman" w:eastAsia="Times New Roman" w:hAnsi="Times New Roman" w:cs="Times New Roman"/>
          <w:sz w:val="24"/>
          <w:szCs w:val="24"/>
        </w:rPr>
        <w:t xml:space="preserve">, 17(2), 78-95.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Adegbite, A., &amp; Olayemi, T. (2022). </w:t>
      </w:r>
      <w:r>
        <w:rPr>
          <w:rFonts w:ascii="Times New Roman" w:eastAsia="Times New Roman" w:hAnsi="Times New Roman" w:cs="Times New Roman"/>
          <w:i/>
          <w:sz w:val="24"/>
          <w:szCs w:val="24"/>
        </w:rPr>
        <w:t>Regulatory challenges and financial performance of commercial banks in Nigeria</w:t>
      </w:r>
      <w:r>
        <w:rPr>
          <w:rFonts w:ascii="Times New Roman" w:eastAsia="Times New Roman" w:hAnsi="Times New Roman" w:cs="Times New Roman"/>
          <w:sz w:val="24"/>
          <w:szCs w:val="24"/>
        </w:rPr>
        <w:t>. Journal of Banking and Finance Research, 14(2), 112-130.</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Adegbite, T., &amp; Olayemi, R. (2018). The impact of internet banking on commercial bank profitability in Nigeria. </w:t>
      </w:r>
      <w:r>
        <w:rPr>
          <w:rFonts w:ascii="Times New Roman" w:eastAsia="Times New Roman" w:hAnsi="Times New Roman" w:cs="Times New Roman"/>
          <w:i/>
          <w:sz w:val="24"/>
          <w:szCs w:val="24"/>
        </w:rPr>
        <w:t>International Journal of Finance and Banking Studies, 7</w:t>
      </w:r>
      <w:r>
        <w:rPr>
          <w:rFonts w:ascii="Times New Roman" w:eastAsia="Times New Roman" w:hAnsi="Times New Roman" w:cs="Times New Roman"/>
          <w:sz w:val="24"/>
          <w:szCs w:val="24"/>
        </w:rPr>
        <w:t xml:space="preserve">(3), 45-60.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Adewoye, J. O. (2019). </w:t>
      </w:r>
      <w:r>
        <w:rPr>
          <w:rFonts w:ascii="Times New Roman" w:eastAsia="Times New Roman" w:hAnsi="Times New Roman" w:cs="Times New Roman"/>
          <w:i/>
          <w:sz w:val="24"/>
          <w:szCs w:val="24"/>
        </w:rPr>
        <w:t>Impact of internet banking on financial performance of Nigerian banks</w:t>
      </w:r>
      <w:r>
        <w:rPr>
          <w:rFonts w:ascii="Times New Roman" w:eastAsia="Times New Roman" w:hAnsi="Times New Roman" w:cs="Times New Roman"/>
          <w:sz w:val="24"/>
          <w:szCs w:val="24"/>
        </w:rPr>
        <w:t>. African Journal of Business and Economic Research, 15(1), 89-105.</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Adewuyi, I. D., &amp; Olowookere, E. I. (2021). Digital banking adoption and financial inclusion in Nigeria: Opportunities and challenges. </w:t>
      </w:r>
      <w:r>
        <w:rPr>
          <w:rFonts w:ascii="Times New Roman" w:eastAsia="Times New Roman" w:hAnsi="Times New Roman" w:cs="Times New Roman"/>
          <w:i/>
          <w:sz w:val="24"/>
          <w:szCs w:val="24"/>
        </w:rPr>
        <w:t>Journal of Banking and Finance Research</w:t>
      </w:r>
      <w:r>
        <w:rPr>
          <w:rFonts w:ascii="Times New Roman" w:eastAsia="Times New Roman" w:hAnsi="Times New Roman" w:cs="Times New Roman"/>
          <w:sz w:val="24"/>
          <w:szCs w:val="24"/>
        </w:rPr>
        <w:t xml:space="preserve">, 15(2), 45-61.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Adusei, M. (2018). Determinants of bank profitability in Africa: Do global factors matter? </w:t>
      </w:r>
      <w:r>
        <w:rPr>
          <w:rFonts w:ascii="Times New Roman" w:eastAsia="Times New Roman" w:hAnsi="Times New Roman" w:cs="Times New Roman"/>
          <w:i/>
          <w:sz w:val="24"/>
          <w:szCs w:val="24"/>
        </w:rPr>
        <w:t>International Journal of Finance and Economics</w:t>
      </w:r>
      <w:r>
        <w:rPr>
          <w:rFonts w:ascii="Times New Roman" w:eastAsia="Times New Roman" w:hAnsi="Times New Roman" w:cs="Times New Roman"/>
          <w:sz w:val="24"/>
          <w:szCs w:val="24"/>
        </w:rPr>
        <w:t xml:space="preserve">, 23(2), 160-175.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Agboola, A. A. (2018). </w:t>
      </w:r>
      <w:r>
        <w:rPr>
          <w:rFonts w:ascii="Times New Roman" w:eastAsia="Times New Roman" w:hAnsi="Times New Roman" w:cs="Times New Roman"/>
          <w:i/>
          <w:sz w:val="24"/>
          <w:szCs w:val="24"/>
        </w:rPr>
        <w:t>Electronic payment systems and financial performance of commercial banks in Nigeria</w:t>
      </w:r>
      <w:r>
        <w:rPr>
          <w:rFonts w:ascii="Times New Roman" w:eastAsia="Times New Roman" w:hAnsi="Times New Roman" w:cs="Times New Roman"/>
          <w:sz w:val="24"/>
          <w:szCs w:val="24"/>
        </w:rPr>
        <w:t>. International Journal of Finance and Economics, 23(4), 311-329.</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Ahmed, A., &amp; Garba, M. (2023). The impact of digital banking on commercial bank profitability in Sub-Saharan Africa. </w:t>
      </w:r>
      <w:r>
        <w:rPr>
          <w:rFonts w:ascii="Times New Roman" w:eastAsia="Times New Roman" w:hAnsi="Times New Roman" w:cs="Times New Roman"/>
          <w:i/>
          <w:sz w:val="24"/>
          <w:szCs w:val="24"/>
        </w:rPr>
        <w:t>Journal of Banking and Financial Technology, 9</w:t>
      </w:r>
      <w:r>
        <w:rPr>
          <w:rFonts w:ascii="Times New Roman" w:eastAsia="Times New Roman" w:hAnsi="Times New Roman" w:cs="Times New Roman"/>
          <w:sz w:val="24"/>
          <w:szCs w:val="24"/>
        </w:rPr>
        <w:t xml:space="preserve">(1), 23-39.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Alalwan, A. A., Dwivedi, Y. K., &amp; Williams, M. D. (2016). Customers' intention and adoption of telebanking in Jordan. </w:t>
      </w:r>
      <w:r>
        <w:rPr>
          <w:rFonts w:ascii="Times New Roman" w:eastAsia="Times New Roman" w:hAnsi="Times New Roman" w:cs="Times New Roman"/>
          <w:i/>
          <w:sz w:val="24"/>
          <w:szCs w:val="24"/>
        </w:rPr>
        <w:t>Information Systems Management</w:t>
      </w:r>
      <w:r>
        <w:rPr>
          <w:rFonts w:ascii="Times New Roman" w:eastAsia="Times New Roman" w:hAnsi="Times New Roman" w:cs="Times New Roman"/>
          <w:sz w:val="24"/>
          <w:szCs w:val="24"/>
        </w:rPr>
        <w:t xml:space="preserve">, 33(2), 154-178.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Aliyu, A. A., &amp; Tasmin, R. (2019). The impact of cybersecurity threats on the adoption of e-banking in Nigeria. </w:t>
      </w:r>
      <w:r>
        <w:rPr>
          <w:rFonts w:ascii="Times New Roman" w:eastAsia="Times New Roman" w:hAnsi="Times New Roman" w:cs="Times New Roman"/>
          <w:i/>
          <w:sz w:val="24"/>
          <w:szCs w:val="24"/>
        </w:rPr>
        <w:t>Journal of Financial Technology</w:t>
      </w:r>
      <w:r>
        <w:rPr>
          <w:rFonts w:ascii="Times New Roman" w:eastAsia="Times New Roman" w:hAnsi="Times New Roman" w:cs="Times New Roman"/>
          <w:sz w:val="24"/>
          <w:szCs w:val="24"/>
        </w:rPr>
        <w:t xml:space="preserve">, 10(1), 78-94.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Arner, D. W., Barberis, J., &amp; Buckley, R. P. (2017). FinTech, RegTech, and the reconceptualization of financial regulation. </w:t>
      </w:r>
      <w:r>
        <w:rPr>
          <w:rFonts w:ascii="Times New Roman" w:eastAsia="Times New Roman" w:hAnsi="Times New Roman" w:cs="Times New Roman"/>
          <w:i/>
          <w:sz w:val="24"/>
          <w:szCs w:val="24"/>
        </w:rPr>
        <w:t>Northwestern Journal of International Law &amp; Business</w:t>
      </w:r>
      <w:r>
        <w:rPr>
          <w:rFonts w:ascii="Times New Roman" w:eastAsia="Times New Roman" w:hAnsi="Times New Roman" w:cs="Times New Roman"/>
          <w:sz w:val="24"/>
          <w:szCs w:val="24"/>
        </w:rPr>
        <w:t xml:space="preserve">, 37(3), 371-413.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Ayo, C. K., Adewoye, J. O., &amp; Oni, A. A. (2020). The impact of information technology on banking operations in Nigeria. </w:t>
      </w:r>
      <w:r>
        <w:rPr>
          <w:rFonts w:ascii="Times New Roman" w:eastAsia="Times New Roman" w:hAnsi="Times New Roman" w:cs="Times New Roman"/>
          <w:i/>
          <w:sz w:val="24"/>
          <w:szCs w:val="24"/>
        </w:rPr>
        <w:t>Journal of Internet Banking and Commerce, 25</w:t>
      </w:r>
      <w:r>
        <w:rPr>
          <w:rFonts w:ascii="Times New Roman" w:eastAsia="Times New Roman" w:hAnsi="Times New Roman" w:cs="Times New Roman"/>
          <w:sz w:val="24"/>
          <w:szCs w:val="24"/>
        </w:rPr>
        <w:t>(1), 1-17.</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Ayo, C. K., Ekong, U. O., Fatudimu, I. T., &amp; Adebiyi, A. A. (2016). </w:t>
      </w:r>
      <w:r>
        <w:rPr>
          <w:rFonts w:ascii="Times New Roman" w:eastAsia="Times New Roman" w:hAnsi="Times New Roman" w:cs="Times New Roman"/>
          <w:i/>
          <w:sz w:val="24"/>
          <w:szCs w:val="24"/>
        </w:rPr>
        <w:t>The role of e-banking in modern financial transactions: A Nigerian perspective</w:t>
      </w:r>
      <w:r>
        <w:rPr>
          <w:rFonts w:ascii="Times New Roman" w:eastAsia="Times New Roman" w:hAnsi="Times New Roman" w:cs="Times New Roman"/>
          <w:sz w:val="24"/>
          <w:szCs w:val="24"/>
        </w:rPr>
        <w:t>. Journal of Financial Innovation, 10(2), 145-160.</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Bello, K., &amp; Yusuf, A. (2022). The relationship between internet banking and financial performance of Nigerian banks. </w:t>
      </w:r>
      <w:r>
        <w:rPr>
          <w:rFonts w:ascii="Times New Roman" w:eastAsia="Times New Roman" w:hAnsi="Times New Roman" w:cs="Times New Roman"/>
          <w:i/>
          <w:sz w:val="24"/>
          <w:szCs w:val="24"/>
        </w:rPr>
        <w:t>African Journal of Business Management, 16</w:t>
      </w:r>
      <w:r>
        <w:rPr>
          <w:rFonts w:ascii="Times New Roman" w:eastAsia="Times New Roman" w:hAnsi="Times New Roman" w:cs="Times New Roman"/>
          <w:sz w:val="24"/>
          <w:szCs w:val="24"/>
        </w:rPr>
        <w:t xml:space="preserve">(4), 78-95.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Bank of Nigeria (CBN). (2020). </w:t>
      </w:r>
      <w:r>
        <w:rPr>
          <w:rFonts w:ascii="Times New Roman" w:eastAsia="Times New Roman" w:hAnsi="Times New Roman" w:cs="Times New Roman"/>
          <w:i/>
          <w:sz w:val="24"/>
          <w:szCs w:val="24"/>
        </w:rPr>
        <w:t>Digital banking transformation in Nigeria: A regulatory perspective</w:t>
      </w:r>
      <w:r>
        <w:rPr>
          <w:rFonts w:ascii="Times New Roman" w:eastAsia="Times New Roman" w:hAnsi="Times New Roman" w:cs="Times New Roman"/>
          <w:sz w:val="24"/>
          <w:szCs w:val="24"/>
        </w:rPr>
        <w:t>. CBN Annual Report.</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Chukwu, E., &amp; Adebayo, F. (2020). The influence of internet banking on financial performance of deposit money banks in Nigeria. </w:t>
      </w:r>
      <w:r>
        <w:rPr>
          <w:rFonts w:ascii="Times New Roman" w:eastAsia="Times New Roman" w:hAnsi="Times New Roman" w:cs="Times New Roman"/>
          <w:i/>
          <w:sz w:val="24"/>
          <w:szCs w:val="24"/>
        </w:rPr>
        <w:t>Nigerian Journal of Banking and Economics, 12</w:t>
      </w:r>
      <w:r>
        <w:rPr>
          <w:rFonts w:ascii="Times New Roman" w:eastAsia="Times New Roman" w:hAnsi="Times New Roman" w:cs="Times New Roman"/>
          <w:sz w:val="24"/>
          <w:szCs w:val="24"/>
        </w:rPr>
        <w:t xml:space="preserve">(2), 50-66.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Chukwu, O. C., &amp; Eze, P. O. (2020). </w:t>
      </w:r>
      <w:r>
        <w:rPr>
          <w:rFonts w:ascii="Times New Roman" w:eastAsia="Times New Roman" w:hAnsi="Times New Roman" w:cs="Times New Roman"/>
          <w:i/>
          <w:sz w:val="24"/>
          <w:szCs w:val="24"/>
        </w:rPr>
        <w:t>Cybersecurity challenges in the adoption of internet banking in Nigeria</w:t>
      </w:r>
      <w:r>
        <w:rPr>
          <w:rFonts w:ascii="Times New Roman" w:eastAsia="Times New Roman" w:hAnsi="Times New Roman" w:cs="Times New Roman"/>
          <w:sz w:val="24"/>
          <w:szCs w:val="24"/>
        </w:rPr>
        <w:t>. Journal of Information Security and Banking, 7(3), 65-79.</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Creswell, J. W., &amp; Creswell, J. D. (2018). </w:t>
      </w:r>
      <w:r>
        <w:rPr>
          <w:rFonts w:ascii="Times New Roman" w:eastAsia="Times New Roman" w:hAnsi="Times New Roman" w:cs="Times New Roman"/>
          <w:i/>
          <w:sz w:val="24"/>
          <w:szCs w:val="24"/>
        </w:rPr>
        <w:t>Research design: Qualitative, quantitative, and mixed methods approaches</w:t>
      </w:r>
      <w:r>
        <w:rPr>
          <w:rFonts w:ascii="Times New Roman" w:eastAsia="Times New Roman" w:hAnsi="Times New Roman" w:cs="Times New Roman"/>
          <w:sz w:val="24"/>
          <w:szCs w:val="24"/>
        </w:rPr>
        <w:t xml:space="preserve"> (5th ed.). SAGE Publications.</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Egbunike, C. F., &amp; Okerekeoti, C. U. (2019). Macroeconomic factors, firm characteristics and financial performance: Evidence from listed firms in Nigeria. </w:t>
      </w:r>
      <w:r>
        <w:rPr>
          <w:rFonts w:ascii="Times New Roman" w:eastAsia="Times New Roman" w:hAnsi="Times New Roman" w:cs="Times New Roman"/>
          <w:i/>
          <w:sz w:val="24"/>
          <w:szCs w:val="24"/>
        </w:rPr>
        <w:t>Heliyon, 5</w:t>
      </w:r>
      <w:r>
        <w:rPr>
          <w:rFonts w:ascii="Times New Roman" w:eastAsia="Times New Roman" w:hAnsi="Times New Roman" w:cs="Times New Roman"/>
          <w:sz w:val="24"/>
          <w:szCs w:val="24"/>
        </w:rPr>
        <w:t xml:space="preserve">(11), e02934.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Ekezie, B. O. (2021). </w:t>
      </w:r>
      <w:r>
        <w:rPr>
          <w:rFonts w:ascii="Times New Roman" w:eastAsia="Times New Roman" w:hAnsi="Times New Roman" w:cs="Times New Roman"/>
          <w:i/>
          <w:sz w:val="24"/>
          <w:szCs w:val="24"/>
        </w:rPr>
        <w:t>Customer resistance to digital banking and its impact on financial institutions in Nigeria</w:t>
      </w:r>
      <w:r>
        <w:rPr>
          <w:rFonts w:ascii="Times New Roman" w:eastAsia="Times New Roman" w:hAnsi="Times New Roman" w:cs="Times New Roman"/>
          <w:sz w:val="24"/>
          <w:szCs w:val="24"/>
        </w:rPr>
        <w:t>. Nigerian Journal of Banking and Economics, 9(1), 47-63.</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P. N. (2021). The role of COVID-19 in accelerating digital banking adoption in Nigeria. </w:t>
      </w:r>
      <w:r>
        <w:rPr>
          <w:rFonts w:ascii="Times New Roman" w:eastAsia="Times New Roman" w:hAnsi="Times New Roman" w:cs="Times New Roman"/>
          <w:i/>
          <w:sz w:val="24"/>
          <w:szCs w:val="24"/>
        </w:rPr>
        <w:t>African Journal of Economics and Business</w:t>
      </w:r>
      <w:r>
        <w:rPr>
          <w:rFonts w:ascii="Times New Roman" w:eastAsia="Times New Roman" w:hAnsi="Times New Roman" w:cs="Times New Roman"/>
          <w:sz w:val="24"/>
          <w:szCs w:val="24"/>
        </w:rPr>
        <w:t xml:space="preserve">, 9(3), 112-130.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P., &amp; Okonkwo, C. (2020). The role of e-banking in enhancing profitability of deposit money banks in Nigeria. </w:t>
      </w:r>
      <w:r>
        <w:rPr>
          <w:rFonts w:ascii="Times New Roman" w:eastAsia="Times New Roman" w:hAnsi="Times New Roman" w:cs="Times New Roman"/>
          <w:i/>
          <w:sz w:val="24"/>
          <w:szCs w:val="24"/>
        </w:rPr>
        <w:t>Journal of Economic and Financial Studies, 8</w:t>
      </w:r>
      <w:r>
        <w:rPr>
          <w:rFonts w:ascii="Times New Roman" w:eastAsia="Times New Roman" w:hAnsi="Times New Roman" w:cs="Times New Roman"/>
          <w:sz w:val="24"/>
          <w:szCs w:val="24"/>
        </w:rPr>
        <w:t xml:space="preserve">(1), 32-48.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Gitman, L. J., &amp; Zutter, C. J. (2020). </w:t>
      </w:r>
      <w:r>
        <w:rPr>
          <w:rFonts w:ascii="Times New Roman" w:eastAsia="Times New Roman" w:hAnsi="Times New Roman" w:cs="Times New Roman"/>
          <w:i/>
          <w:sz w:val="24"/>
          <w:szCs w:val="24"/>
        </w:rPr>
        <w:t>Principles of managerial finance</w:t>
      </w:r>
      <w:r>
        <w:rPr>
          <w:rFonts w:ascii="Times New Roman" w:eastAsia="Times New Roman" w:hAnsi="Times New Roman" w:cs="Times New Roman"/>
          <w:sz w:val="24"/>
          <w:szCs w:val="24"/>
        </w:rPr>
        <w:t xml:space="preserve"> (15th ed.). Pearson.</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Gomber, P., Koch, J. A., &amp; Siering, M. (2017). Digital finance and FinTech: Current research and future research directions. </w:t>
      </w:r>
      <w:r>
        <w:rPr>
          <w:rFonts w:ascii="Times New Roman" w:eastAsia="Times New Roman" w:hAnsi="Times New Roman" w:cs="Times New Roman"/>
          <w:i/>
          <w:sz w:val="24"/>
          <w:szCs w:val="24"/>
        </w:rPr>
        <w:t>Journal of Business Economics,</w:t>
      </w:r>
      <w:r>
        <w:rPr>
          <w:rFonts w:ascii="Times New Roman" w:eastAsia="Times New Roman" w:hAnsi="Times New Roman" w:cs="Times New Roman"/>
          <w:sz w:val="24"/>
          <w:szCs w:val="24"/>
        </w:rPr>
        <w:t xml:space="preserve"> 87(5), 537-580. https://doi.org/10.1007/s11573-017-0852-x</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Hassan, Y., &amp; Musa, A. (2021). Online banking and profitability of commercial banks in Ghana. </w:t>
      </w:r>
      <w:r>
        <w:rPr>
          <w:rFonts w:ascii="Times New Roman" w:eastAsia="Times New Roman" w:hAnsi="Times New Roman" w:cs="Times New Roman"/>
          <w:i/>
          <w:sz w:val="24"/>
          <w:szCs w:val="24"/>
        </w:rPr>
        <w:t>West African Journal of Financial Studies, 10</w:t>
      </w:r>
      <w:r>
        <w:rPr>
          <w:rFonts w:ascii="Times New Roman" w:eastAsia="Times New Roman" w:hAnsi="Times New Roman" w:cs="Times New Roman"/>
          <w:sz w:val="24"/>
          <w:szCs w:val="24"/>
        </w:rPr>
        <w:t xml:space="preserve">(2), 67-83.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Ifeanyi, O. (2020). The impact of e-banking on the profitability of Nigerian banks: A study of selected deposit money banks. </w:t>
      </w:r>
      <w:r>
        <w:rPr>
          <w:rFonts w:ascii="Times New Roman" w:eastAsia="Times New Roman" w:hAnsi="Times New Roman" w:cs="Times New Roman"/>
          <w:i/>
          <w:sz w:val="24"/>
          <w:szCs w:val="24"/>
        </w:rPr>
        <w:t>Journal of Finance and Investment</w:t>
      </w:r>
      <w:r>
        <w:rPr>
          <w:rFonts w:ascii="Times New Roman" w:eastAsia="Times New Roman" w:hAnsi="Times New Roman" w:cs="Times New Roman"/>
          <w:sz w:val="24"/>
          <w:szCs w:val="24"/>
        </w:rPr>
        <w:t xml:space="preserve">, 12(3), 143-159.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Kamau, G., &amp; Oluoch, T. (2019). Digital banking and financial performance of commercial banks in Kenya. </w:t>
      </w:r>
      <w:r>
        <w:rPr>
          <w:rFonts w:ascii="Times New Roman" w:eastAsia="Times New Roman" w:hAnsi="Times New Roman" w:cs="Times New Roman"/>
          <w:i/>
          <w:sz w:val="24"/>
          <w:szCs w:val="24"/>
        </w:rPr>
        <w:t>Journal of Banking Innovations, 7</w:t>
      </w:r>
      <w:r>
        <w:rPr>
          <w:rFonts w:ascii="Times New Roman" w:eastAsia="Times New Roman" w:hAnsi="Times New Roman" w:cs="Times New Roman"/>
          <w:sz w:val="24"/>
          <w:szCs w:val="24"/>
        </w:rPr>
        <w:t xml:space="preserve">(4), 89-105.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Kariuki, J., &amp; Mugo, R. (2019). Factors influencing the adoption of internet banking in Kenya. </w:t>
      </w:r>
      <w:r>
        <w:rPr>
          <w:rFonts w:ascii="Times New Roman" w:eastAsia="Times New Roman" w:hAnsi="Times New Roman" w:cs="Times New Roman"/>
          <w:i/>
          <w:sz w:val="24"/>
          <w:szCs w:val="24"/>
        </w:rPr>
        <w:t>African Journal of Business Management, 13</w:t>
      </w:r>
      <w:r>
        <w:rPr>
          <w:rFonts w:ascii="Times New Roman" w:eastAsia="Times New Roman" w:hAnsi="Times New Roman" w:cs="Times New Roman"/>
          <w:sz w:val="24"/>
          <w:szCs w:val="24"/>
        </w:rPr>
        <w:t xml:space="preserve">(7), 250-261.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Mothobi, O., &amp; Grzybowski, L. (2017). Infrastructure deficiencies and adoption of mobile money in Sub-Saharan Africa. </w:t>
      </w:r>
      <w:r>
        <w:rPr>
          <w:rFonts w:ascii="Times New Roman" w:eastAsia="Times New Roman" w:hAnsi="Times New Roman" w:cs="Times New Roman"/>
          <w:i/>
          <w:sz w:val="24"/>
          <w:szCs w:val="24"/>
        </w:rPr>
        <w:t>Information Economics and Policy</w:t>
      </w:r>
      <w:r>
        <w:rPr>
          <w:rFonts w:ascii="Times New Roman" w:eastAsia="Times New Roman" w:hAnsi="Times New Roman" w:cs="Times New Roman"/>
          <w:sz w:val="24"/>
          <w:szCs w:val="24"/>
        </w:rPr>
        <w:t xml:space="preserve">, 40, 71-79.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T. T. H., &amp; Huynh, P. A. (2018). The roles of mobile money in the development of banking system: Evidence from Vietnam. </w:t>
      </w:r>
      <w:r>
        <w:rPr>
          <w:rFonts w:ascii="Times New Roman" w:eastAsia="Times New Roman" w:hAnsi="Times New Roman" w:cs="Times New Roman"/>
          <w:i/>
          <w:sz w:val="24"/>
          <w:szCs w:val="24"/>
        </w:rPr>
        <w:t>Asian Economic and Financial Review</w:t>
      </w:r>
      <w:r>
        <w:rPr>
          <w:rFonts w:ascii="Times New Roman" w:eastAsia="Times New Roman" w:hAnsi="Times New Roman" w:cs="Times New Roman"/>
          <w:sz w:val="24"/>
          <w:szCs w:val="24"/>
        </w:rPr>
        <w:t xml:space="preserve">, 8(5), 621-628.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Njoroge, S., &amp; Wambua, M. (2019). Net profit margin trends in Kenyan banks: The role of digital banking. </w:t>
      </w:r>
      <w:r>
        <w:rPr>
          <w:rFonts w:ascii="Times New Roman" w:eastAsia="Times New Roman" w:hAnsi="Times New Roman" w:cs="Times New Roman"/>
          <w:i/>
          <w:sz w:val="24"/>
          <w:szCs w:val="24"/>
        </w:rPr>
        <w:t>East African Journal of Finance, 6</w:t>
      </w:r>
      <w:r>
        <w:rPr>
          <w:rFonts w:ascii="Times New Roman" w:eastAsia="Times New Roman" w:hAnsi="Times New Roman" w:cs="Times New Roman"/>
          <w:sz w:val="24"/>
          <w:szCs w:val="24"/>
        </w:rPr>
        <w:t xml:space="preserve">(2), 41-58.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Nwankwo, G. O. (2017). </w:t>
      </w:r>
      <w:r>
        <w:rPr>
          <w:rFonts w:ascii="Times New Roman" w:eastAsia="Times New Roman" w:hAnsi="Times New Roman" w:cs="Times New Roman"/>
          <w:i/>
          <w:sz w:val="24"/>
          <w:szCs w:val="24"/>
        </w:rPr>
        <w:t>Financial performance measurement in Nigerian commercial banks: A review of profitability indicators</w:t>
      </w:r>
      <w:r>
        <w:rPr>
          <w:rFonts w:ascii="Times New Roman" w:eastAsia="Times New Roman" w:hAnsi="Times New Roman" w:cs="Times New Roman"/>
          <w:sz w:val="24"/>
          <w:szCs w:val="24"/>
        </w:rPr>
        <w:t>. Nigerian Financial Review, 12(2), 27-41.</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Nzotta, S. M., &amp; Okereke, C. N. (2019). Bank profitability and financial stability in Nigeria. </w:t>
      </w:r>
      <w:r>
        <w:rPr>
          <w:rFonts w:ascii="Times New Roman" w:eastAsia="Times New Roman" w:hAnsi="Times New Roman" w:cs="Times New Roman"/>
          <w:i/>
          <w:sz w:val="24"/>
          <w:szCs w:val="24"/>
        </w:rPr>
        <w:t>Nigerian Journal of Banking and Finance</w:t>
      </w:r>
      <w:r>
        <w:rPr>
          <w:rFonts w:ascii="Times New Roman" w:eastAsia="Times New Roman" w:hAnsi="Times New Roman" w:cs="Times New Roman"/>
          <w:sz w:val="24"/>
          <w:szCs w:val="24"/>
        </w:rPr>
        <w:t xml:space="preserve">, 11(3), 89-105.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Obamuyi, T. M. (2018). Financial performance and economic growth: The role of commercial banks. </w:t>
      </w:r>
      <w:r>
        <w:rPr>
          <w:rFonts w:ascii="Times New Roman" w:eastAsia="Times New Roman" w:hAnsi="Times New Roman" w:cs="Times New Roman"/>
          <w:i/>
          <w:sz w:val="24"/>
          <w:szCs w:val="24"/>
        </w:rPr>
        <w:t>Journal of Economic Studies</w:t>
      </w:r>
      <w:r>
        <w:rPr>
          <w:rFonts w:ascii="Times New Roman" w:eastAsia="Times New Roman" w:hAnsi="Times New Roman" w:cs="Times New Roman"/>
          <w:sz w:val="24"/>
          <w:szCs w:val="24"/>
        </w:rPr>
        <w:t xml:space="preserve">, 45(4), 98-114.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Ogunlowo, O. J., Adewuyi, M. O., &amp; Adebayo, A. T. (2022). Technological innovations and the future of internet banking in Nigeria. </w:t>
      </w:r>
      <w:r>
        <w:rPr>
          <w:rFonts w:ascii="Times New Roman" w:eastAsia="Times New Roman" w:hAnsi="Times New Roman" w:cs="Times New Roman"/>
          <w:i/>
          <w:sz w:val="24"/>
          <w:szCs w:val="24"/>
        </w:rPr>
        <w:t>Nigerian Journal of Banking and Economics</w:t>
      </w:r>
      <w:r>
        <w:rPr>
          <w:rFonts w:ascii="Times New Roman" w:eastAsia="Times New Roman" w:hAnsi="Times New Roman" w:cs="Times New Roman"/>
          <w:sz w:val="24"/>
          <w:szCs w:val="24"/>
        </w:rPr>
        <w:t xml:space="preserve">, 20(4), 65-83.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Okafor, B., &amp; Adeyemi, T. (2018). Internet banking and return on equity in Nigerian banks. </w:t>
      </w:r>
      <w:r>
        <w:rPr>
          <w:rFonts w:ascii="Times New Roman" w:eastAsia="Times New Roman" w:hAnsi="Times New Roman" w:cs="Times New Roman"/>
          <w:i/>
          <w:sz w:val="24"/>
          <w:szCs w:val="24"/>
        </w:rPr>
        <w:t>Journal of Financial Research, 5</w:t>
      </w:r>
      <w:r>
        <w:rPr>
          <w:rFonts w:ascii="Times New Roman" w:eastAsia="Times New Roman" w:hAnsi="Times New Roman" w:cs="Times New Roman"/>
          <w:sz w:val="24"/>
          <w:szCs w:val="24"/>
        </w:rPr>
        <w:t>(3), 28-45.</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Okonkwo, C. A., &amp; Eke, J. C. (2020). Regulatory policies and the growth of digital banking in Nigeria. </w:t>
      </w:r>
      <w:r>
        <w:rPr>
          <w:rFonts w:ascii="Times New Roman" w:eastAsia="Times New Roman" w:hAnsi="Times New Roman" w:cs="Times New Roman"/>
          <w:i/>
          <w:sz w:val="24"/>
          <w:szCs w:val="24"/>
        </w:rPr>
        <w:t>International Journal of Finance and Banking Studies</w:t>
      </w:r>
      <w:r>
        <w:rPr>
          <w:rFonts w:ascii="Times New Roman" w:eastAsia="Times New Roman" w:hAnsi="Times New Roman" w:cs="Times New Roman"/>
          <w:sz w:val="24"/>
          <w:szCs w:val="24"/>
        </w:rPr>
        <w:t xml:space="preserve">, 14(1), 55-72.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Okoye, L. U., Alabi, J. O., &amp; Ogbu, C. E. (2021). </w:t>
      </w:r>
      <w:r>
        <w:rPr>
          <w:rFonts w:ascii="Times New Roman" w:eastAsia="Times New Roman" w:hAnsi="Times New Roman" w:cs="Times New Roman"/>
          <w:i/>
          <w:sz w:val="24"/>
          <w:szCs w:val="24"/>
        </w:rPr>
        <w:t>Internet banking adoption and bank profitability in Nigeria: A case study approach</w:t>
      </w:r>
      <w:r>
        <w:rPr>
          <w:rFonts w:ascii="Times New Roman" w:eastAsia="Times New Roman" w:hAnsi="Times New Roman" w:cs="Times New Roman"/>
          <w:sz w:val="24"/>
          <w:szCs w:val="24"/>
        </w:rPr>
        <w:t>. Journal of Business and Financial Studies, 19(4), 88-102.</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Olarewaju, O. M., &amp; Folayan, D. O. (2018). Bank asset quality and profitability in Nigeria: A co-integration analysis. </w:t>
      </w:r>
      <w:r>
        <w:rPr>
          <w:rFonts w:ascii="Times New Roman" w:eastAsia="Times New Roman" w:hAnsi="Times New Roman" w:cs="Times New Roman"/>
          <w:i/>
          <w:sz w:val="24"/>
          <w:szCs w:val="24"/>
        </w:rPr>
        <w:t>Journal of African Financial Studies</w:t>
      </w:r>
      <w:r>
        <w:rPr>
          <w:rFonts w:ascii="Times New Roman" w:eastAsia="Times New Roman" w:hAnsi="Times New Roman" w:cs="Times New Roman"/>
          <w:sz w:val="24"/>
          <w:szCs w:val="24"/>
        </w:rPr>
        <w:t xml:space="preserve">, 22(1), 27-46.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Olokoyo, F. O. (2020). Profitability analysis of Nigerian commercial banks: An empirical approach. </w:t>
      </w:r>
      <w:r>
        <w:rPr>
          <w:rFonts w:ascii="Times New Roman" w:eastAsia="Times New Roman" w:hAnsi="Times New Roman" w:cs="Times New Roman"/>
          <w:i/>
          <w:sz w:val="24"/>
          <w:szCs w:val="24"/>
        </w:rPr>
        <w:t>African Journal of Banking and Finance</w:t>
      </w:r>
      <w:r>
        <w:rPr>
          <w:rFonts w:ascii="Times New Roman" w:eastAsia="Times New Roman" w:hAnsi="Times New Roman" w:cs="Times New Roman"/>
          <w:sz w:val="24"/>
          <w:szCs w:val="24"/>
        </w:rPr>
        <w:t xml:space="preserve">, 15(1), 55-74.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Oluwatolani, J. O., Joshua, T. S., &amp; Philip, B. O. (2011). </w:t>
      </w:r>
      <w:r>
        <w:rPr>
          <w:rFonts w:ascii="Times New Roman" w:eastAsia="Times New Roman" w:hAnsi="Times New Roman" w:cs="Times New Roman"/>
          <w:i/>
          <w:sz w:val="24"/>
          <w:szCs w:val="24"/>
        </w:rPr>
        <w:t>The impact of electronic banking on service delivery in Nigerian banks</w:t>
      </w:r>
      <w:r>
        <w:rPr>
          <w:rFonts w:ascii="Times New Roman" w:eastAsia="Times New Roman" w:hAnsi="Times New Roman" w:cs="Times New Roman"/>
          <w:sz w:val="24"/>
          <w:szCs w:val="24"/>
        </w:rPr>
        <w:t>. International Journal of Economic and Business Research, 8(3), 203-219.</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Oseni, A. I., &amp; Salami, K. A. (2019). </w:t>
      </w:r>
      <w:r>
        <w:rPr>
          <w:rFonts w:ascii="Times New Roman" w:eastAsia="Times New Roman" w:hAnsi="Times New Roman" w:cs="Times New Roman"/>
          <w:i/>
          <w:sz w:val="24"/>
          <w:szCs w:val="24"/>
        </w:rPr>
        <w:t>Competitive advantage in the digital banking era: The case of Nigerian commercial banks</w:t>
      </w:r>
      <w:r>
        <w:rPr>
          <w:rFonts w:ascii="Times New Roman" w:eastAsia="Times New Roman" w:hAnsi="Times New Roman" w:cs="Times New Roman"/>
          <w:sz w:val="24"/>
          <w:szCs w:val="24"/>
        </w:rPr>
        <w:t>. African Banking and Financial Review, 5(2), 132-150.</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Ozili, P. K. (2018). Impact of digital finance on financial inclusion and stability. </w:t>
      </w:r>
      <w:r>
        <w:rPr>
          <w:rFonts w:ascii="Times New Roman" w:eastAsia="Times New Roman" w:hAnsi="Times New Roman" w:cs="Times New Roman"/>
          <w:i/>
          <w:sz w:val="24"/>
          <w:szCs w:val="24"/>
        </w:rPr>
        <w:t>Borsa Istanbul Review</w:t>
      </w:r>
      <w:r>
        <w:rPr>
          <w:rFonts w:ascii="Times New Roman" w:eastAsia="Times New Roman" w:hAnsi="Times New Roman" w:cs="Times New Roman"/>
          <w:sz w:val="24"/>
          <w:szCs w:val="24"/>
        </w:rPr>
        <w:t>, 18(4), 329-340. https://doi.org/10.1016/j.bir.2017.12.003</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Rogers, E. M. (2003). </w:t>
      </w:r>
      <w:r>
        <w:rPr>
          <w:rFonts w:ascii="Times New Roman" w:eastAsia="Times New Roman" w:hAnsi="Times New Roman" w:cs="Times New Roman"/>
          <w:i/>
          <w:sz w:val="24"/>
          <w:szCs w:val="24"/>
        </w:rPr>
        <w:t>Diffusion of innovations</w:t>
      </w:r>
      <w:r>
        <w:rPr>
          <w:rFonts w:ascii="Times New Roman" w:eastAsia="Times New Roman" w:hAnsi="Times New Roman" w:cs="Times New Roman"/>
          <w:sz w:val="24"/>
          <w:szCs w:val="24"/>
        </w:rPr>
        <w:t xml:space="preserve"> (5th ed.). Free Press.</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Shaikh, A. A., &amp; Karjaluoto, H. (2023). Mobile banking adoption: A literature review. </w:t>
      </w:r>
      <w:r>
        <w:rPr>
          <w:rFonts w:ascii="Times New Roman" w:eastAsia="Times New Roman" w:hAnsi="Times New Roman" w:cs="Times New Roman"/>
          <w:i/>
          <w:sz w:val="24"/>
          <w:szCs w:val="24"/>
        </w:rPr>
        <w:t>Telematics and Informatics</w:t>
      </w:r>
      <w:r>
        <w:rPr>
          <w:rFonts w:ascii="Times New Roman" w:eastAsia="Times New Roman" w:hAnsi="Times New Roman" w:cs="Times New Roman"/>
          <w:sz w:val="24"/>
          <w:szCs w:val="24"/>
        </w:rPr>
        <w:t>, 32(1), 129-142. https://doi.org/10.1016/j.tele.2022.05.003</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J., &amp; Brown, L. (2021). Digital transactions and bank profitability: Evidence from European banks. </w:t>
      </w:r>
      <w:r>
        <w:rPr>
          <w:rFonts w:ascii="Times New Roman" w:eastAsia="Times New Roman" w:hAnsi="Times New Roman" w:cs="Times New Roman"/>
          <w:i/>
          <w:sz w:val="24"/>
          <w:szCs w:val="24"/>
        </w:rPr>
        <w:t>European Journal of Banking Studies, 11</w:t>
      </w:r>
      <w:r>
        <w:rPr>
          <w:rFonts w:ascii="Times New Roman" w:eastAsia="Times New Roman" w:hAnsi="Times New Roman" w:cs="Times New Roman"/>
          <w:sz w:val="24"/>
          <w:szCs w:val="24"/>
        </w:rPr>
        <w:t xml:space="preserve">(3), 95-112.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Uchenna, E. E., &amp; Chukwuma, O. O. (2018). Internet banking and rural financial inclusion in Nigeria: A critical analysis. </w:t>
      </w:r>
      <w:r>
        <w:rPr>
          <w:rFonts w:ascii="Times New Roman" w:eastAsia="Times New Roman" w:hAnsi="Times New Roman" w:cs="Times New Roman"/>
          <w:i/>
          <w:sz w:val="24"/>
          <w:szCs w:val="24"/>
        </w:rPr>
        <w:t>Journal of Development Finance</w:t>
      </w:r>
      <w:r>
        <w:rPr>
          <w:rFonts w:ascii="Times New Roman" w:eastAsia="Times New Roman" w:hAnsi="Times New Roman" w:cs="Times New Roman"/>
          <w:sz w:val="24"/>
          <w:szCs w:val="24"/>
        </w:rPr>
        <w:t xml:space="preserve">, 5(2), 88-103.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Umar, M., &amp; Sun, G. (2021). Diversification strategies and financial performance in banking: The moderating role of digital banking. </w:t>
      </w:r>
      <w:r>
        <w:rPr>
          <w:rFonts w:ascii="Times New Roman" w:eastAsia="Times New Roman" w:hAnsi="Times New Roman" w:cs="Times New Roman"/>
          <w:i/>
          <w:sz w:val="24"/>
          <w:szCs w:val="24"/>
        </w:rPr>
        <w:t>Journal of Banking and Financial Innovation</w:t>
      </w:r>
      <w:r>
        <w:rPr>
          <w:rFonts w:ascii="Times New Roman" w:eastAsia="Times New Roman" w:hAnsi="Times New Roman" w:cs="Times New Roman"/>
          <w:sz w:val="24"/>
          <w:szCs w:val="24"/>
        </w:rPr>
        <w:t xml:space="preserve">, 19(2), 77-94.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R., &amp; Johnson, D. (2017). Determinants of return on assets in U.S. commercial banks. </w:t>
      </w:r>
      <w:r>
        <w:rPr>
          <w:rFonts w:ascii="Times New Roman" w:eastAsia="Times New Roman" w:hAnsi="Times New Roman" w:cs="Times New Roman"/>
          <w:i/>
          <w:sz w:val="24"/>
          <w:szCs w:val="24"/>
        </w:rPr>
        <w:t>American Journal of Financial Economics, 9</w:t>
      </w:r>
      <w:r>
        <w:rPr>
          <w:rFonts w:ascii="Times New Roman" w:eastAsia="Times New Roman" w:hAnsi="Times New Roman" w:cs="Times New Roman"/>
          <w:sz w:val="24"/>
          <w:szCs w:val="24"/>
        </w:rPr>
        <w:t xml:space="preserve">(2), 54-70. </w:t>
      </w:r>
    </w:p>
    <w:p w:rsidR="007323B9" w:rsidRDefault="0036059D">
      <w:pPr>
        <w:spacing w:before="280" w:after="28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Yermack, D. (2017). Corporate governance and blockchains. </w:t>
      </w:r>
      <w:r>
        <w:rPr>
          <w:rFonts w:ascii="Times New Roman" w:eastAsia="Times New Roman" w:hAnsi="Times New Roman" w:cs="Times New Roman"/>
          <w:i/>
          <w:sz w:val="24"/>
          <w:szCs w:val="24"/>
        </w:rPr>
        <w:t>Review of Finance</w:t>
      </w:r>
      <w:r>
        <w:rPr>
          <w:rFonts w:ascii="Times New Roman" w:eastAsia="Times New Roman" w:hAnsi="Times New Roman" w:cs="Times New Roman"/>
          <w:sz w:val="24"/>
          <w:szCs w:val="24"/>
        </w:rPr>
        <w:t xml:space="preserve">, 21(1), 7-31. </w:t>
      </w:r>
    </w:p>
    <w:p w:rsidR="007323B9" w:rsidRDefault="0036059D">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Yusuf, M., &amp; Hassan, K. (2023). The impact of financial technology on profitability of Nigerian commercial banks. </w:t>
      </w:r>
      <w:r>
        <w:rPr>
          <w:rFonts w:ascii="Times New Roman" w:eastAsia="Times New Roman" w:hAnsi="Times New Roman" w:cs="Times New Roman"/>
          <w:i/>
          <w:sz w:val="24"/>
          <w:szCs w:val="24"/>
        </w:rPr>
        <w:t>Nigerian Journal of Finance and Economics, 14</w:t>
      </w:r>
      <w:r>
        <w:rPr>
          <w:rFonts w:ascii="Times New Roman" w:eastAsia="Times New Roman" w:hAnsi="Times New Roman" w:cs="Times New Roman"/>
          <w:sz w:val="24"/>
          <w:szCs w:val="24"/>
        </w:rPr>
        <w:t xml:space="preserve">(1), 12-30. </w:t>
      </w:r>
    </w:p>
    <w:p w:rsidR="007323B9" w:rsidRDefault="007323B9">
      <w:pPr>
        <w:spacing w:before="280" w:line="240" w:lineRule="auto"/>
        <w:ind w:left="720" w:hanging="720"/>
        <w:jc w:val="both"/>
        <w:rPr>
          <w:rFonts w:ascii="Times New Roman" w:eastAsia="Times New Roman" w:hAnsi="Times New Roman" w:cs="Times New Roman"/>
          <w:sz w:val="24"/>
          <w:szCs w:val="24"/>
        </w:rPr>
      </w:pPr>
    </w:p>
    <w:sectPr w:rsidR="007323B9">
      <w:headerReference w:type="default" r:id="rId8"/>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553" w:rsidRDefault="00B74553">
      <w:pPr>
        <w:spacing w:after="0" w:line="240" w:lineRule="auto"/>
      </w:pPr>
      <w:r>
        <w:separator/>
      </w:r>
    </w:p>
  </w:endnote>
  <w:endnote w:type="continuationSeparator" w:id="0">
    <w:p w:rsidR="00B74553" w:rsidRDefault="00B74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553" w:rsidRDefault="00B74553">
      <w:pPr>
        <w:spacing w:after="0" w:line="240" w:lineRule="auto"/>
      </w:pPr>
      <w:r>
        <w:separator/>
      </w:r>
    </w:p>
  </w:footnote>
  <w:footnote w:type="continuationSeparator" w:id="0">
    <w:p w:rsidR="00B74553" w:rsidRDefault="00B74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3B9" w:rsidRDefault="0036059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C2CA3">
      <w:rPr>
        <w:noProof/>
        <w:color w:val="000000"/>
      </w:rPr>
      <w:t>1</w:t>
    </w:r>
    <w:r>
      <w:rPr>
        <w:color w:val="000000"/>
      </w:rPr>
      <w:fldChar w:fldCharType="end"/>
    </w:r>
  </w:p>
  <w:p w:rsidR="007323B9" w:rsidRDefault="007323B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9E0"/>
    <w:multiLevelType w:val="multilevel"/>
    <w:tmpl w:val="200E3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09758C"/>
    <w:multiLevelType w:val="multilevel"/>
    <w:tmpl w:val="8B466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1BF56A4"/>
    <w:multiLevelType w:val="multilevel"/>
    <w:tmpl w:val="47E0D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2CDD4C23"/>
    <w:multiLevelType w:val="multilevel"/>
    <w:tmpl w:val="458098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310951BB"/>
    <w:multiLevelType w:val="multilevel"/>
    <w:tmpl w:val="8AF458B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5BD4489"/>
    <w:multiLevelType w:val="multilevel"/>
    <w:tmpl w:val="1A2ED2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3F61390B"/>
    <w:multiLevelType w:val="multilevel"/>
    <w:tmpl w:val="508A2B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3F931E20"/>
    <w:multiLevelType w:val="multilevel"/>
    <w:tmpl w:val="E99462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4E764E1D"/>
    <w:multiLevelType w:val="multilevel"/>
    <w:tmpl w:val="CAC44C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668A08D8"/>
    <w:multiLevelType w:val="multilevel"/>
    <w:tmpl w:val="DB68B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B9619D3"/>
    <w:multiLevelType w:val="multilevel"/>
    <w:tmpl w:val="DC80A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77251BDD"/>
    <w:multiLevelType w:val="multilevel"/>
    <w:tmpl w:val="451E09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7E374CD3"/>
    <w:multiLevelType w:val="multilevel"/>
    <w:tmpl w:val="F9DAE68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num>
  <w:num w:numId="2">
    <w:abstractNumId w:val="7"/>
  </w:num>
  <w:num w:numId="3">
    <w:abstractNumId w:val="9"/>
  </w:num>
  <w:num w:numId="4">
    <w:abstractNumId w:val="2"/>
  </w:num>
  <w:num w:numId="5">
    <w:abstractNumId w:val="3"/>
  </w:num>
  <w:num w:numId="6">
    <w:abstractNumId w:val="11"/>
  </w:num>
  <w:num w:numId="7">
    <w:abstractNumId w:val="10"/>
  </w:num>
  <w:num w:numId="8">
    <w:abstractNumId w:val="6"/>
  </w:num>
  <w:num w:numId="9">
    <w:abstractNumId w:val="5"/>
  </w:num>
  <w:num w:numId="10">
    <w:abstractNumId w:val="8"/>
  </w:num>
  <w:num w:numId="11">
    <w:abstractNumId w:val="1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3B9"/>
    <w:rsid w:val="002F26E4"/>
    <w:rsid w:val="0036059D"/>
    <w:rsid w:val="003C2CA3"/>
    <w:rsid w:val="007323B9"/>
    <w:rsid w:val="008310E5"/>
    <w:rsid w:val="00B74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25463-D9BD-4DD7-ADC9-3ABECC73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link w:val="Heading4Char"/>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083D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D49"/>
    <w:rPr>
      <w:rFonts w:ascii="Tahoma" w:hAnsi="Tahoma" w:cs="Tahoma"/>
      <w:sz w:val="16"/>
      <w:szCs w:val="16"/>
    </w:rPr>
  </w:style>
  <w:style w:type="paragraph" w:styleId="ListParagraph">
    <w:name w:val="List Paragraph"/>
    <w:basedOn w:val="Normal"/>
    <w:uiPriority w:val="34"/>
    <w:qFormat/>
    <w:rsid w:val="00CD2C65"/>
    <w:pPr>
      <w:ind w:left="720"/>
      <w:contextualSpacing/>
    </w:pPr>
    <w:rPr>
      <w:rFonts w:cs="SimSun"/>
      <w:lang w:val="en-GB"/>
    </w:rPr>
  </w:style>
  <w:style w:type="paragraph" w:styleId="NormalWeb">
    <w:name w:val="Normal (Web)"/>
    <w:basedOn w:val="Normal"/>
    <w:uiPriority w:val="99"/>
    <w:unhideWhenUsed/>
    <w:rsid w:val="004949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493A"/>
    <w:rPr>
      <w:b/>
      <w:bCs/>
    </w:rPr>
  </w:style>
  <w:style w:type="character" w:customStyle="1" w:styleId="Heading3Char">
    <w:name w:val="Heading 3 Char"/>
    <w:basedOn w:val="DefaultParagraphFont"/>
    <w:link w:val="Heading3"/>
    <w:uiPriority w:val="9"/>
    <w:rsid w:val="00EE492E"/>
    <w:rPr>
      <w:rFonts w:ascii="Times New Roman" w:eastAsia="Times New Roman" w:hAnsi="Times New Roman" w:cs="Times New Roman"/>
      <w:b/>
      <w:bCs/>
      <w:sz w:val="27"/>
      <w:szCs w:val="27"/>
    </w:rPr>
  </w:style>
  <w:style w:type="character" w:styleId="Emphasis">
    <w:name w:val="Emphasis"/>
    <w:basedOn w:val="DefaultParagraphFont"/>
    <w:uiPriority w:val="20"/>
    <w:qFormat/>
    <w:rsid w:val="00EE492E"/>
    <w:rPr>
      <w:i/>
      <w:iCs/>
    </w:rPr>
  </w:style>
  <w:style w:type="character" w:styleId="Hyperlink">
    <w:name w:val="Hyperlink"/>
    <w:basedOn w:val="DefaultParagraphFont"/>
    <w:uiPriority w:val="99"/>
    <w:unhideWhenUsed/>
    <w:rsid w:val="00EE492E"/>
    <w:rPr>
      <w:color w:val="0000FF" w:themeColor="hyperlink"/>
      <w:u w:val="single"/>
    </w:rPr>
  </w:style>
  <w:style w:type="character" w:customStyle="1" w:styleId="Heading4Char">
    <w:name w:val="Heading 4 Char"/>
    <w:basedOn w:val="DefaultParagraphFont"/>
    <w:link w:val="Heading4"/>
    <w:uiPriority w:val="9"/>
    <w:rsid w:val="00B635D7"/>
    <w:rPr>
      <w:rFonts w:asciiTheme="majorHAnsi" w:eastAsiaTheme="majorEastAsia" w:hAnsiTheme="majorHAnsi" w:cstheme="majorBidi"/>
      <w:b/>
      <w:bCs/>
      <w:i/>
      <w:iCs/>
      <w:color w:val="4F81BD" w:themeColor="accent1"/>
    </w:rPr>
  </w:style>
  <w:style w:type="character" w:customStyle="1" w:styleId="katex-mathml">
    <w:name w:val="katex-mathml"/>
    <w:basedOn w:val="DefaultParagraphFont"/>
    <w:rsid w:val="008C67A4"/>
  </w:style>
  <w:style w:type="character" w:customStyle="1" w:styleId="mord">
    <w:name w:val="mord"/>
    <w:basedOn w:val="DefaultParagraphFont"/>
    <w:rsid w:val="008C67A4"/>
  </w:style>
  <w:style w:type="character" w:customStyle="1" w:styleId="mrel">
    <w:name w:val="mrel"/>
    <w:basedOn w:val="DefaultParagraphFont"/>
    <w:rsid w:val="008C67A4"/>
  </w:style>
  <w:style w:type="character" w:customStyle="1" w:styleId="vlist-s">
    <w:name w:val="vlist-s"/>
    <w:basedOn w:val="DefaultParagraphFont"/>
    <w:rsid w:val="008C67A4"/>
  </w:style>
  <w:style w:type="character" w:customStyle="1" w:styleId="mbin">
    <w:name w:val="mbin"/>
    <w:basedOn w:val="DefaultParagraphFont"/>
    <w:rsid w:val="008C67A4"/>
  </w:style>
  <w:style w:type="character" w:customStyle="1" w:styleId="mpunct">
    <w:name w:val="mpunct"/>
    <w:basedOn w:val="DefaultParagraphFont"/>
    <w:rsid w:val="008C67A4"/>
  </w:style>
  <w:style w:type="table" w:styleId="TableGrid">
    <w:name w:val="Table Grid"/>
    <w:basedOn w:val="TableNormal"/>
    <w:uiPriority w:val="59"/>
    <w:rsid w:val="001B7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0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769"/>
  </w:style>
  <w:style w:type="paragraph" w:styleId="Footer">
    <w:name w:val="footer"/>
    <w:basedOn w:val="Normal"/>
    <w:link w:val="FooterChar"/>
    <w:uiPriority w:val="99"/>
    <w:unhideWhenUsed/>
    <w:rsid w:val="00CB0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769"/>
  </w:style>
  <w:style w:type="character" w:customStyle="1" w:styleId="sr-only">
    <w:name w:val="sr-only"/>
    <w:basedOn w:val="DefaultParagraphFont"/>
    <w:rsid w:val="00574DFB"/>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AiQQ+MwptZu22SxJarTEINaDJg==">CgMxLjAyDmguZjAxd3p3ajE2Y29sOAByITFsSjkwc1NMa2NhMWtWMHpZUHRvUktUa0NJX2VFTGVJNQ==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17243</Words>
  <Characters>98286</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2026-05-28T13:25:00Z</dcterms:created>
  <dcterms:modified xsi:type="dcterms:W3CDTF">2026-05-28T13:25:00Z</dcterms:modified>
</cp:coreProperties>
</file>