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3B71B">
      <w:pPr>
        <w:pStyle w:val="11"/>
        <w:spacing w:beforeAutospacing="0" w:afterAutospacing="0"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r>
        <w:rPr>
          <w:b/>
          <w:bCs/>
          <w:color w:val="0E101A"/>
          <w:lang w:val="en-GB"/>
        </w:rPr>
        <w:t>TITLE PAGE</w:t>
      </w:r>
    </w:p>
    <w:p w14:paraId="2C785AF8">
      <w:pPr>
        <w:spacing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p>
    <w:p w14:paraId="3D594184">
      <w:pPr>
        <w:spacing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 xml:space="preserve">IMPACT OF FINANCIAL INSTITUTIONS ON ECONOMIC </w:t>
      </w:r>
    </w:p>
    <w:p w14:paraId="3005CBA3">
      <w:pPr>
        <w:spacing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GROWTH IN NIGERIA</w:t>
      </w:r>
    </w:p>
    <w:p w14:paraId="4682DE7C">
      <w:pPr>
        <w:spacing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p>
    <w:p w14:paraId="7684ED56">
      <w:pPr>
        <w:pStyle w:val="11"/>
        <w:spacing w:beforeAutospacing="0" w:afterAutospacing="0" w:line="480" w:lineRule="auto"/>
        <w:jc w:val="center"/>
        <w:rPr>
          <w:b/>
          <w:bCs/>
          <w:color w:val="0E101A"/>
          <w:lang w:val="en-GB"/>
        </w:rPr>
      </w:pPr>
      <w:r>
        <w:rPr>
          <w:b/>
          <w:bCs/>
          <w:color w:val="0E101A"/>
          <w:lang w:val="en-GB"/>
        </w:rPr>
        <w:t>BY</w:t>
      </w:r>
    </w:p>
    <w:p w14:paraId="0C0F0E61">
      <w:pPr>
        <w:spacing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p>
    <w:p w14:paraId="6FC72A9C">
      <w:pPr>
        <w:spacing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p>
    <w:p w14:paraId="2CEE5A7C">
      <w:pPr>
        <w:spacing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p>
    <w:p w14:paraId="53C2BA49">
      <w:pPr>
        <w:spacing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p>
    <w:p w14:paraId="57B7BBEE">
      <w:pPr>
        <w:spacing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p>
    <w:p w14:paraId="4B2BCB44">
      <w:pPr>
        <w:pStyle w:val="11"/>
        <w:spacing w:beforeAutospacing="0" w:afterAutospacing="0" w:line="480" w:lineRule="auto"/>
        <w:jc w:val="center"/>
        <w:rPr>
          <w:b/>
          <w:bCs/>
          <w:color w:val="0E101A"/>
          <w:lang w:val="en-GB"/>
        </w:rPr>
      </w:pPr>
      <w:r>
        <w:rPr>
          <w:b/>
          <w:bCs/>
          <w:color w:val="0E101A"/>
          <w:lang w:val="en-GB"/>
        </w:rPr>
        <w:t xml:space="preserve">A PROJECT REPORT SUBMITTED TO THE DEPARTMENT OF </w:t>
      </w:r>
      <w:r>
        <w:rPr>
          <w:rFonts w:hint="default"/>
          <w:b/>
          <w:bCs/>
          <w:color w:val="0E101A"/>
          <w:lang w:val="en-GB"/>
        </w:rPr>
        <w:t>ECONOMICS</w:t>
      </w:r>
      <w:r>
        <w:rPr>
          <w:b/>
          <w:bCs/>
          <w:color w:val="0E101A"/>
          <w:lang w:val="en-GB"/>
        </w:rPr>
        <w:t>, GODFREY OKOYE UNIVERSITY, ENUGU</w:t>
      </w:r>
    </w:p>
    <w:p w14:paraId="64AEA97D">
      <w:pPr>
        <w:pStyle w:val="11"/>
        <w:spacing w:beforeAutospacing="0" w:afterAutospacing="0" w:line="480" w:lineRule="auto"/>
        <w:jc w:val="center"/>
        <w:rPr>
          <w:b/>
          <w:bCs/>
          <w:color w:val="0E101A"/>
          <w:lang w:val="en-GB"/>
        </w:rPr>
      </w:pPr>
    </w:p>
    <w:p w14:paraId="40D3CA09">
      <w:pPr>
        <w:pStyle w:val="11"/>
        <w:spacing w:beforeAutospacing="0" w:afterAutospacing="0" w:line="480" w:lineRule="auto"/>
        <w:jc w:val="center"/>
        <w:rPr>
          <w:b/>
          <w:bCs/>
          <w:color w:val="0E101A"/>
          <w:lang w:val="en-GB"/>
        </w:rPr>
      </w:pPr>
      <w:r>
        <w:rPr>
          <w:b/>
          <w:bCs/>
          <w:color w:val="0E101A"/>
          <w:lang w:val="en-GB"/>
        </w:rPr>
        <w:t>FACULTY OF MANAGEMENT AND SOCIAL SCIENCES</w:t>
      </w:r>
    </w:p>
    <w:p w14:paraId="6A21BAB4">
      <w:pPr>
        <w:pStyle w:val="11"/>
        <w:spacing w:beforeAutospacing="0" w:afterAutospacing="0" w:line="480" w:lineRule="auto"/>
        <w:jc w:val="center"/>
        <w:rPr>
          <w:b/>
          <w:bCs/>
          <w:color w:val="0E101A"/>
          <w:lang w:val="en-GB"/>
        </w:rPr>
      </w:pPr>
    </w:p>
    <w:p w14:paraId="5743928D">
      <w:pPr>
        <w:pStyle w:val="11"/>
        <w:spacing w:beforeAutospacing="0" w:afterAutospacing="0" w:line="480" w:lineRule="auto"/>
        <w:jc w:val="center"/>
        <w:rPr>
          <w:rFonts w:hint="default"/>
          <w:b/>
          <w:bCs/>
          <w:color w:val="0E101A"/>
          <w:lang w:val="en-GB"/>
        </w:rPr>
      </w:pPr>
      <w:r>
        <w:rPr>
          <w:b/>
          <w:bCs/>
          <w:color w:val="0E101A"/>
          <w:lang w:val="en-GB"/>
        </w:rPr>
        <w:t xml:space="preserve">IN PARTIAL FULFILMENT OF THE REQUIREMENTS FOR THE AWARD OF BACHELOR OF SCIENCE (B. Sc.) HONOURS DEGREE IN </w:t>
      </w:r>
      <w:r>
        <w:rPr>
          <w:rFonts w:hint="default"/>
          <w:b/>
          <w:bCs/>
          <w:color w:val="0E101A"/>
          <w:lang w:val="en-GB"/>
        </w:rPr>
        <w:t>ECONOMICS</w:t>
      </w:r>
    </w:p>
    <w:p w14:paraId="65372ED6">
      <w:pPr>
        <w:pStyle w:val="11"/>
        <w:spacing w:beforeAutospacing="0" w:afterAutospacing="0" w:line="480" w:lineRule="auto"/>
        <w:jc w:val="center"/>
        <w:rPr>
          <w:b/>
          <w:bCs/>
          <w:color w:val="0E101A"/>
          <w:lang w:val="en-GB"/>
        </w:rPr>
      </w:pPr>
    </w:p>
    <w:p w14:paraId="17140973">
      <w:pPr>
        <w:pStyle w:val="11"/>
        <w:spacing w:beforeAutospacing="0" w:afterAutospacing="0" w:line="480" w:lineRule="auto"/>
        <w:jc w:val="center"/>
        <w:rPr>
          <w:rFonts w:hint="default"/>
          <w:b/>
          <w:bCs/>
          <w:color w:val="0E101A"/>
          <w:lang w:val="en-US"/>
        </w:rPr>
      </w:pPr>
    </w:p>
    <w:p w14:paraId="04D88DF1">
      <w:pPr>
        <w:pStyle w:val="11"/>
        <w:spacing w:beforeAutospacing="0" w:afterAutospacing="0" w:line="480" w:lineRule="auto"/>
        <w:jc w:val="center"/>
        <w:rPr>
          <w:rFonts w:hint="default"/>
          <w:b/>
          <w:bCs/>
          <w:color w:val="0E101A"/>
          <w:lang w:val="en-US"/>
        </w:rPr>
      </w:pPr>
    </w:p>
    <w:p w14:paraId="5895B287">
      <w:pPr>
        <w:pStyle w:val="11"/>
        <w:spacing w:beforeAutospacing="0" w:afterAutospacing="0" w:line="480" w:lineRule="auto"/>
        <w:jc w:val="center"/>
        <w:rPr>
          <w:rFonts w:hint="default"/>
          <w:b/>
          <w:bCs/>
          <w:color w:val="0E101A"/>
          <w:lang w:val="en-US"/>
        </w:rPr>
      </w:pPr>
    </w:p>
    <w:p w14:paraId="0C4FBD9A">
      <w:pPr>
        <w:pStyle w:val="11"/>
        <w:spacing w:beforeAutospacing="0" w:afterAutospacing="0" w:line="480" w:lineRule="auto"/>
        <w:jc w:val="center"/>
        <w:rPr>
          <w:rFonts w:hint="default"/>
          <w:b/>
          <w:bCs/>
          <w:color w:val="0E101A"/>
          <w:lang w:val="en-US"/>
        </w:rPr>
      </w:pPr>
      <w:r>
        <w:rPr>
          <w:rFonts w:hint="default"/>
          <w:b/>
          <w:bCs/>
          <w:color w:val="0E101A"/>
          <w:lang w:val="en-US"/>
        </w:rPr>
        <w:t>JULY 2026</w:t>
      </w:r>
    </w:p>
    <w:p w14:paraId="14D6F8A0"/>
    <w:p w14:paraId="334B828B"/>
    <w:p w14:paraId="1135CFA1">
      <w:pPr>
        <w:pStyle w:val="11"/>
        <w:spacing w:beforeAutospacing="0" w:afterAutospacing="0" w:line="480" w:lineRule="auto"/>
        <w:jc w:val="center"/>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b/>
          <w:bCs/>
          <w:color w:val="0E101A"/>
          <w:lang w:val="en-US"/>
        </w:rPr>
        <w:t xml:space="preserve">ABSTRACT </w:t>
      </w:r>
    </w:p>
    <w:p w14:paraId="56AF6230">
      <w:pPr>
        <w:pStyle w:val="2"/>
        <w:spacing w:before="300" w:after="20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This academic investigation analyzes the way financial institutions influence economic growth of Nigeria for the duration of time from 1990 until 2024 which covers three and a half decades. Because the discussion regarding the connection between finance and expansion remains unsettled among scholars, this academic investigation examines how four financial sector indicators, specifically Domestic Credit to</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Private Sector (DCPS), Broad Money Supply (M2), Interest Rate Spread (IRS), and Inflation (INF), affect</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growth of real GDP per capita. Academic theories like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Finance-Led Growth (Supply-Leading) Hypothesis, McKinnon Shaw Financial Repression and Deepening Framework, and Schumpeter's Theory of Economic Development provide the foundation for this analysis. The investigation utilized information from</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World Bank Development Indicators and Central Bank of Nigeria (CBN) Statistical Bulletin while using tools such as descriptive statistics, Augmented Dickey-Fuller (ADF) and Phillips Perron (PP) unit root tests, Johansen Cointegration technique,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Vector Error Correction Model (VECM). Many people believe that unit root results show all five variables reaching stability at first difference, I(1), which makes the use of cointegration analysis necessary for the data. The Johansen cointegration test indicates a single long-run equilibrium relationship among variables, and for this reason,</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VECM was estimated. It has been observed that a single equilibrium exists despite the evidence being marginal in nature for the study.</w:t>
      </w:r>
    </w:p>
    <w:p w14:paraId="76385095">
      <w:pPr>
        <w:pStyle w:val="2"/>
        <w:spacing w:before="300" w:after="20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Long-run VECM estimates show that domestic credit to private sector has a positive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statistically significant impact on economic growth (coefficient = 678.26; t-statistic = 5.38). The interest rate spread also creates a positive and significant effect in the long run (coefficient = 1,344.90; t-statistic = 6.98), which means that banking intermediation margins help the expansion of output in the nation. Many experts claim that broad money supply is linked to economic growth in a negative way (coefficient = −413.29; t-statistic = 6.05), and this result happens because money grows without actual production activity. Inflation shows a positive effect that is not statistically significant for</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growth (coefficient = 8.28; t-statistic = 0.50). During the short run, no financial sector variable shows a significant impact on economic growth of Nigeria. </w:t>
      </w:r>
      <w:r>
        <w:rPr>
          <w:rFonts w:hint="default" w:eastAsia="Cambria" w:cs="Times New Roman"/>
          <w:b w:val="0"/>
          <w:bCs w:val="0"/>
          <w:color w:val="000000" w:themeColor="text1"/>
          <w:sz w:val="24"/>
          <w:szCs w:val="24"/>
          <w:lang w:val="en-US"/>
          <w14:textFill>
            <w14:solidFill>
              <w14:schemeClr w14:val="tx1"/>
            </w14:solidFill>
          </w14:textFill>
        </w:rPr>
        <w:t>E</w:t>
      </w:r>
      <w:r>
        <w:rPr>
          <w:rFonts w:hint="default" w:ascii="Times New Roman" w:hAnsi="Times New Roman" w:eastAsia="Cambria" w:cs="Times New Roman"/>
          <w:b w:val="0"/>
          <w:bCs w:val="0"/>
          <w:color w:val="000000" w:themeColor="text1"/>
          <w:sz w:val="24"/>
          <w:szCs w:val="24"/>
          <w14:textFill>
            <w14:solidFill>
              <w14:schemeClr w14:val="tx1"/>
            </w14:solidFill>
          </w14:textFill>
        </w:rPr>
        <w:t>rror correction term (ECT = −0.0387) was found to have the correct negative sign but economic growth does not return to balance quickly. This value suggests a slow speed of adjustment of about 3.87 percent every year toward the long-run equilibrium. While heteroskedasticity is not found in the model residuals, serial correlation was seen in the tests, so more study might be needed to improve the model refinement in the future years.</w:t>
      </w:r>
    </w:p>
    <w:p w14:paraId="310DAD98">
      <w:pPr>
        <w:pStyle w:val="2"/>
        <w:spacing w:before="300" w:after="20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eastAsia="Cambria" w:cs="Times New Roman"/>
          <w:b w:val="0"/>
          <w:bCs w:val="0"/>
          <w:color w:val="000000" w:themeColor="text1"/>
          <w:sz w:val="24"/>
          <w:szCs w:val="24"/>
          <w:lang w:val="en-US"/>
          <w14:textFill>
            <w14:solidFill>
              <w14:schemeClr w14:val="tx1"/>
            </w14:solidFill>
          </w14:textFill>
        </w:rPr>
        <w:t>R</w:t>
      </w:r>
      <w:r>
        <w:rPr>
          <w:rFonts w:hint="default" w:ascii="Times New Roman" w:hAnsi="Times New Roman" w:eastAsia="Cambria" w:cs="Times New Roman"/>
          <w:b w:val="0"/>
          <w:bCs w:val="0"/>
          <w:color w:val="000000" w:themeColor="text1"/>
          <w:sz w:val="24"/>
          <w:szCs w:val="24"/>
          <w14:textFill>
            <w14:solidFill>
              <w14:schemeClr w14:val="tx1"/>
            </w14:solidFill>
          </w14:textFill>
        </w:rPr>
        <w:t>esults of this study demonstrate that financial institutions have strong long-run effects on economic growth of Nigeria. Credit given to private sector and the efficiency of intermediation are seen as the most powerful ways for this effect to happen in the country. Because of these results, the research suggests that Central Bank of Nigeria should keep its strict monetary policy so that price increases stay low in the economy for the benefit of the nation. The government and banking organizations should increase the amount of money flowing to individuals with low income and working positions through specialized development finance institutions and credit guarantee systems. It is often stated by researchers that the banking industry needs more competition so that the costs of working with banks become lower and more people can get money. Financial institutions must remain the focus of these improvements because financial institutions ensure the economic growth of the country continues. Improving these systems will help Nigeria reach its goals and provide a better future for the citizens who live there.</w:t>
      </w:r>
    </w:p>
    <w:p w14:paraId="51BC8956">
      <w:pPr>
        <w:pStyle w:val="2"/>
        <w:spacing w:before="300" w:after="200" w:line="480" w:lineRule="auto"/>
        <w:jc w:val="left"/>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15B6EB1D">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7824B924">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07F40E96">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68A0A40D">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4DDE263">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041B644C">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6B02C5FA">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2DC9A48A">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1C48843">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6E8CF388">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274E595B">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38DF3634">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065913AE">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48D392D2">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34326055">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49CDD278">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4E1DA8A2">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3EB5343F">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0BAC93B1">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4BB6607D">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1E513975">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6C197102">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2C74567">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37B207F6">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252226EA">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2258D518">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1F17C44A">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0AF82357">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1EDF3B7B">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05B89280">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1550660">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4738B46">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3A87E7DA">
      <w:pPr>
        <w:pStyle w:val="2"/>
        <w:spacing w:before="300" w:after="200" w:line="480" w:lineRule="auto"/>
        <w:jc w:val="center"/>
        <w:rPr>
          <w:rFonts w:hint="default" w:ascii="Times New Roman" w:hAnsi="Times New Roman" w:eastAsia="Cambria" w:cs="Times New Roman"/>
          <w:b/>
          <w:bCs/>
          <w:color w:val="000000" w:themeColor="text1"/>
          <w:sz w:val="24"/>
          <w:szCs w:val="24"/>
          <w14:textFill>
            <w14:solidFill>
              <w14:schemeClr w14:val="tx1"/>
            </w14:solidFill>
          </w14:textFill>
        </w:rPr>
      </w:pPr>
    </w:p>
    <w:p w14:paraId="03CF3080">
      <w:pPr>
        <w:rPr>
          <w:rFonts w:hint="default" w:ascii="Times New Roman" w:hAnsi="Times New Roman" w:eastAsia="Cambria" w:cs="Times New Roman"/>
          <w:b/>
          <w:bCs/>
          <w:color w:val="000000" w:themeColor="text1"/>
          <w:sz w:val="24"/>
          <w:szCs w:val="24"/>
          <w14:textFill>
            <w14:solidFill>
              <w14:schemeClr w14:val="tx1"/>
            </w14:solidFill>
          </w14:textFill>
        </w:rPr>
      </w:pPr>
    </w:p>
    <w:p w14:paraId="03581281">
      <w:pPr>
        <w:rPr>
          <w:rFonts w:hint="default" w:ascii="Times New Roman" w:hAnsi="Times New Roman" w:eastAsia="Cambria" w:cs="Times New Roman"/>
          <w:b/>
          <w:bCs/>
          <w:color w:val="000000" w:themeColor="text1"/>
          <w:sz w:val="24"/>
          <w:szCs w:val="24"/>
          <w14:textFill>
            <w14:solidFill>
              <w14:schemeClr w14:val="tx1"/>
            </w14:solidFill>
          </w14:textFill>
        </w:rPr>
      </w:pPr>
    </w:p>
    <w:p w14:paraId="3752A03E">
      <w:pPr>
        <w:rPr>
          <w:rFonts w:hint="default" w:ascii="Times New Roman" w:hAnsi="Times New Roman" w:eastAsia="Cambria" w:cs="Times New Roman"/>
          <w:b/>
          <w:bCs/>
          <w:color w:val="000000" w:themeColor="text1"/>
          <w:sz w:val="24"/>
          <w:szCs w:val="24"/>
          <w14:textFill>
            <w14:solidFill>
              <w14:schemeClr w14:val="tx1"/>
            </w14:solidFill>
          </w14:textFill>
        </w:rPr>
      </w:pPr>
    </w:p>
    <w:p w14:paraId="07920E59">
      <w:pPr>
        <w:rPr>
          <w:rFonts w:hint="default" w:ascii="Times New Roman" w:hAnsi="Times New Roman" w:eastAsia="Cambria" w:cs="Times New Roman"/>
          <w:b/>
          <w:bCs/>
          <w:color w:val="000000" w:themeColor="text1"/>
          <w:sz w:val="24"/>
          <w:szCs w:val="24"/>
          <w14:textFill>
            <w14:solidFill>
              <w14:schemeClr w14:val="tx1"/>
            </w14:solidFill>
          </w14:textFill>
        </w:rPr>
      </w:pPr>
    </w:p>
    <w:p w14:paraId="7E56AD9A">
      <w:pPr>
        <w:rPr>
          <w:rFonts w:hint="default" w:ascii="Times New Roman" w:hAnsi="Times New Roman" w:eastAsia="Cambria" w:cs="Times New Roman"/>
          <w:b/>
          <w:bCs/>
          <w:color w:val="000000" w:themeColor="text1"/>
          <w:sz w:val="24"/>
          <w:szCs w:val="24"/>
          <w14:textFill>
            <w14:solidFill>
              <w14:schemeClr w14:val="tx1"/>
            </w14:solidFill>
          </w14:textFill>
        </w:rPr>
      </w:pPr>
    </w:p>
    <w:p w14:paraId="2C679A79">
      <w:pPr>
        <w:pStyle w:val="2"/>
        <w:spacing w:before="300" w:after="200" w:line="480" w:lineRule="auto"/>
        <w:jc w:val="center"/>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CHAPTER ONE</w:t>
      </w:r>
      <w:r>
        <w:rPr>
          <w:rFonts w:hint="default" w:ascii="Times New Roman" w:hAnsi="Times New Roman" w:eastAsia="Cambria" w:cs="Times New Roman"/>
          <w:b/>
          <w:bCs/>
          <w:color w:val="000000" w:themeColor="text1"/>
          <w:sz w:val="24"/>
          <w:szCs w:val="24"/>
          <w:lang w:val="en-US"/>
          <w14:textFill>
            <w14:solidFill>
              <w14:schemeClr w14:val="tx1"/>
            </w14:solidFill>
          </w14:textFill>
        </w:rPr>
        <w:t xml:space="preserve"> </w:t>
      </w:r>
    </w:p>
    <w:p w14:paraId="460AEF1A">
      <w:pPr>
        <w:pStyle w:val="2"/>
        <w:spacing w:before="300" w:after="200" w:line="48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INTRODUCTION</w:t>
      </w:r>
    </w:p>
    <w:p w14:paraId="47D7315F">
      <w:pPr>
        <w:pStyle w:val="3"/>
        <w:spacing w:before="240" w:after="160" w:line="48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1.1 Background </w:t>
      </w:r>
      <w:r>
        <w:rPr>
          <w:rFonts w:hint="default" w:eastAsia="Cambria" w:cs="Times New Roman"/>
          <w:b/>
          <w:bCs/>
          <w:color w:val="000000" w:themeColor="text1"/>
          <w:sz w:val="24"/>
          <w:szCs w:val="24"/>
          <w:lang w:val="en-US"/>
          <w14:textFill>
            <w14:solidFill>
              <w14:schemeClr w14:val="tx1"/>
            </w14:solidFill>
          </w14:textFill>
        </w:rPr>
        <w:t xml:space="preserve">of </w:t>
      </w:r>
      <w:r>
        <w:rPr>
          <w:rFonts w:hint="default" w:ascii="Times New Roman" w:hAnsi="Times New Roman" w:eastAsia="Cambria" w:cs="Times New Roman"/>
          <w:b/>
          <w:bCs/>
          <w:color w:val="000000" w:themeColor="text1"/>
          <w:sz w:val="24"/>
          <w:szCs w:val="24"/>
          <w14:textFill>
            <w14:solidFill>
              <w14:schemeClr w14:val="tx1"/>
            </w14:solidFill>
          </w14:textFill>
        </w:rPr>
        <w:t>Study</w:t>
      </w:r>
    </w:p>
    <w:p w14:paraId="1C2F6A39">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Finance industr</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ies</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 around the world, holds a strategic importance that underpins and guides economic progress. It is a tool which facilitates productive activities through capital mobilization, proper resource allocation and the bridging of finance gaps between entities with excess funds</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and th</w:t>
      </w:r>
      <w:r>
        <w:rPr>
          <w:rFonts w:hint="default" w:cs="Times New Roman"/>
          <w:b w:val="0"/>
          <w:bCs w:val="0"/>
          <w:i w:val="0"/>
          <w:iCs w:val="0"/>
          <w:color w:val="000000" w:themeColor="text1"/>
          <w:sz w:val="24"/>
          <w:szCs w:val="24"/>
          <w:lang w:val="en-US"/>
          <w14:textFill>
            <w14:solidFill>
              <w14:schemeClr w14:val="tx1"/>
            </w14:solidFill>
          </w14:textFill>
        </w:rPr>
        <w:t>e ones</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 with</w:t>
      </w:r>
      <w:r>
        <w:rPr>
          <w:rFonts w:hint="default" w:cs="Times New Roman"/>
          <w:b w:val="0"/>
          <w:bCs w:val="0"/>
          <w:i w:val="0"/>
          <w:iCs w:val="0"/>
          <w:color w:val="000000" w:themeColor="text1"/>
          <w:sz w:val="24"/>
          <w:szCs w:val="24"/>
          <w:lang w:val="en-US"/>
          <w14:textFill>
            <w14:solidFill>
              <w14:schemeClr w14:val="tx1"/>
            </w14:solidFill>
          </w14:textFill>
        </w:rPr>
        <w:t>out</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 (Li., 2023). In Nigeria,</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financial sector</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s</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 (most particularly banks) has a history of determining national economic trajectory through funding activities that promote productive purposes and the attraction of private investment. The emergence of rapidly growing economies alongside cyclical reformations of financial sector</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s</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 has drawn attention to methods by</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which banks contribute to this trajectory, including the accumulation of fragmented savings and directing same towards productive ends (Uzoamaka &amp; Nebo, 2016). Of all financial instruments or institution types available, the bank is by far the most prominent intermediary as their activities are characterized by the mobilization of public and private savings and investment to provide credit to projects, businesses, public agencies and private individuals (Dong et al., 2020). Nigerian banks are seen as crucial agents in development of Nigerian economy</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in fact literature abounds as to the positive influence Nigerian banks can bring to her growth endeavors (Taiwo et al., 2018).</w:t>
      </w:r>
    </w:p>
    <w:p w14:paraId="15AA8439">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It’s been a pattern recently all over the globe, with widening and strengthening financial inclusion and market growth and these represent potential avenues for boosting expansion in low</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income and lower</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middle income countries (Sant Anna &amp; Figueiredo, 2024). For a nation to achieve sustained growth, its financial infrastructure must grow even stronger (Fowowe, 2020).</w:t>
      </w:r>
    </w:p>
    <w:p w14:paraId="41ACB0B1">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 Nigeria's financial environment, although making slow improvements has characterized by poor financial inclusion, limited credit access, and regulatory inflexibilities (Dagwom et al., 2024). It is important to close financial sector-driven funding gaps for SMEs and Large enterprises as lack of funding remains a major bottleneck for Nigeria’s development progress, despite its considerable capital flows and its investment resources (Boachie &amp; Adu-Darko, 2024). Given that banks form a significant component of financial sector, this paper therefore examines the effect of banks’ operations on savings mobilization, aggregation and ensuring financial stability.</w:t>
      </w:r>
    </w:p>
    <w:p w14:paraId="71C08B8D">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The Nigerian Financial System comprises the banking sector and the non-banking sector. Nevertheless, the banking sector constitutes a major fraction of overall financial intermediation and credit generation essential for Nigeria’s development process (Ifeoma et al., 2023). Numerous scholars emphasize the role of fund mobilization which banks achieve by collecting funds and channeling same into productive uses (Gabriel et al., 2019). Recent literature have demonstrated how efficient banks contribute positively to countries’ economies through their role in fund mobilization and directing these to high-growth areas such as technology, agriculture</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manufacturing (Okunade et al., 2022). Yet, the specific channels by which Nigerian banks contribute to broader economic aims, considering the local macro economic environment and regulatory framework need investigation.</w:t>
      </w:r>
    </w:p>
    <w:p w14:paraId="493ACA9E">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In the real world, a well-functioning financial system channels domestic savings to highest yielding investments as well as transferring financial capital to any promising and financially promising investment. Financial development covers four (4) dimensions of financial deepening: Size,</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stability</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inclusiveness of financial intermediaries, markets</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instruments. These are vital for the real development process, especially in developing countries like Nigeria with certain structural vulnerabilities like underdevelopment, low savings and a narrow scope for credit mobilization (Gizaw, Kedir &amp; Lemma, 2024). The growth level of any economy is being influenced directly and indirectly by financial variables. Such variables as investment, domestic credit to private sector,</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broad money supply</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(M2), inflation, interest rate spread</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others, if optimally channel into productive ventures , enhances economy development. The research model of this study is derived using the interaction of Nigerian’s’ economy GDP growth with a four variables measurement of her financial sector development: domestic credit to the private sector,broad money supply</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(M2),interest rate spread and inflation,which allow the analysis of how development of financial sector impact GDP growth of Nigeria,which is essential in evaluating Nigeria policy reforms and economic development</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sustainability</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w:t>
      </w:r>
    </w:p>
    <w:p w14:paraId="1248B79E">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The theoretical implication is that a highly efficient financial development institution channels funds from savers to high potential areas that yield the most investment funds, fosters innovative business models, support of long run capital investments, and leads to increase in productivity and efficient resource allocation (Emeh &amp; Udo, 2024). As the country’s developmental drive continues to gather pace, so also do the role of financial institutions be given increased attention. Numerous scholars attest to the role of banks as intermediary institutions in collection of savings, facilitating transaction between individuals and directing flow of credit to the various segments of production activities, thereby facilitating employment creation and accelerating growth (Nkamnebe, Okafor &amp; Ogbuabor, 2023). There exist two schools of thoughts on causality between finance and economic development; a priori has posit ‘finance-led-growth’ perspective while the empirical analyses have identified two schools; demand-led and supply-led, with bidirectional effects being identified in a few case studies (Bank-Ola &amp; Adelakun, 2021). Against backdrop, this study investigates effect</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s</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 of financial development on economic growth in Nigeria, with the help of broad money supply (M2), interest rate spread, inflatio</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n,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private credit to GDP ratio as regressors for the period 1990-2023. How can Nigerian finance be developed rather than experience fluctuations in achieving sustainable GDP growth despite a backdrop of successive bank reformations, technological innovations and widening market which continue to affect economics and sectors in general; despite the severe structural handicaps that have barred financial development from achieving its dividend, macro economic instability, lack of sufficient reforms in some segments, low productivity in industry and financial segregation. Growth for economic success continues to be a policy goal for developing countries around the globe; this is certainly true for Nigeria being Africa’s most populous country. According to economic thought, (and confirmed empirically), growth is primarily influenced by innovations. Endogenous growth theory emphasizes accumulated knowledge and technological advancements (Romer 1990), whilst the Schumpeterian vision stressed the role of entrepreneurial innovation. </w:t>
      </w:r>
    </w:p>
    <w:p w14:paraId="0AE2F388">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cs="Times New Roman"/>
          <w:b w:val="0"/>
          <w:bCs w:val="0"/>
          <w:i w:val="0"/>
          <w:iCs w:val="0"/>
          <w:color w:val="000000" w:themeColor="text1"/>
          <w:sz w:val="24"/>
          <w:szCs w:val="24"/>
          <w:lang w:val="en-US"/>
          <w14:textFill>
            <w14:solidFill>
              <w14:schemeClr w14:val="tx1"/>
            </w14:solidFill>
          </w14:textFill>
        </w:rPr>
        <w:t>(</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King and Levine</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1993) did empirical study, showed</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financial development is positively correlated to economic growth, and highlighted significant roles played by finance in boosting up the growth, namely ; Lowering transaction costs, the spreading of financial risk and promoting efficient use of resource allocation and investment.</w:t>
      </w:r>
    </w:p>
    <w:p w14:paraId="7304605C">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Hence, this project is therefore looking at impact of the financial sector reform of Nigeria on the growth of the economy through the Schumpeterian theory of economic growth. Financial sector reforms Nigeria, has experienced an upsurge in the past 20 years with changes from 2004/2005 banking reform that saw downsized operating bank number from 89 in 2004 to 25 banks in 2005 to introduction of</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Asset Management Corporation of Nigeria</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(AMCON) in 2010, with the latest being the Banking Sector Recapitalization Program in 2024 to regain confidence in the Nigeria Financial system.</w:t>
      </w:r>
    </w:p>
    <w:p w14:paraId="22181281">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In the modern day, Nigerian financial institutions consist of commercial banks, mortgage banks, insurance companies, microfinance banks, pension fund administrators and a very fast growing number of financial technology providers. Recent data clearly shows the growing role of finance in driving Nigeria’s economy; Banking sector’s real growth rate as at 2024 rose by about 30.9</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percent leading to a total real GDP growth rate of 3.4</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percent; while growth rate for the finance and insurance sector increased by 27.78</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percent on the fourth quarter of 2024 (Nigeria Bureau of Statistics, 2024).</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R</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elationship between Nigeria’s economic growth and financial sector development is multi-faceted. The financial sector has made immense strides yet some constraints still persist. </w:t>
      </w:r>
    </w:p>
    <w:p w14:paraId="0A537398">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The high cost of borrowing has limited access of SMEs, which make up most of the businesses in Nigeria to loans from financial institutions. Non</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performing loan and infrastructure limitations in operations make functioning a bit costly. Additionally, the sustained macroeconomic volatilities which manifest as currency devaluation and high level of inflation impeded smooth functioning and growth of Nigerian financial system. Nigerian Financial institutions over the years had financed various businesses such as agriculture, trade, manufacturing</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small</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medium scale enterprises (SMEs) through credit. Institutions such as Central Bank of Nigeria (CBN), Bank of Industry (BOI) and micro finance institutions have designed programmes and policies to improve access to finance. </w:t>
      </w:r>
    </w:p>
    <w:p w14:paraId="2FD6ADEB">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Nevertheless, these measures notwithstanding, access to credit to the private sector remains low, high interest rate regimes persist</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financial exclusion continue to militate against effective functioning of the financial institutions and their contributions to economic growth. Accordingly, this study aims at examining</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contributions of Nigerian financial institution to economic development.</w:t>
      </w:r>
    </w:p>
    <w:p w14:paraId="3CBF368D">
      <w:pPr>
        <w:pStyle w:val="3"/>
        <w:spacing w:before="240" w:after="160" w:line="480" w:lineRule="auto"/>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1.2 Statement of problem </w:t>
      </w:r>
    </w:p>
    <w:p w14:paraId="59B86699">
      <w:pPr>
        <w:pStyle w:val="3"/>
        <w:spacing w:before="240" w:after="160" w:line="480" w:lineRule="auto"/>
        <w:jc w:val="both"/>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In spite of apparent progress </w:t>
      </w:r>
      <w:r>
        <w:rPr>
          <w:rFonts w:hint="default" w:eastAsia="Cambria" w:cs="Times New Roman"/>
          <w:b w:val="0"/>
          <w:bCs w:val="0"/>
          <w:color w:val="000000" w:themeColor="text1"/>
          <w:sz w:val="24"/>
          <w:szCs w:val="24"/>
          <w:lang w:val="en-US"/>
          <w14:textFill>
            <w14:solidFill>
              <w14:schemeClr w14:val="tx1"/>
            </w14:solidFill>
          </w14:textFill>
        </w:rPr>
        <w:t xml:space="preserve">in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Nigerian financial system, over waves of reform during the past two decades, concerns still revolve around the efficiency and effectiveness of financial institutions in supporting an inclusive and sustainable growth development of Nigeria. Several related questions need to be systemically analyzed.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D</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espite having witnessed significant growth and tremendous expansion in the real terms, from approximately 30.9% in 2024, the impact and developmental outcome of the growth recorded in Nigerian banks across sectors and regions has remained questionable. It might be useful to analyse the percentage contribution of financial sector in Nigerian GDP from an average of 6.10 percent in 2024 Q4 to the intermediation efficiency, allocation pattern, and contribution it make on agriculture, manufacturing and services sector.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D</w:t>
      </w:r>
      <w:r>
        <w:rPr>
          <w:rFonts w:hint="default" w:ascii="Times New Roman" w:hAnsi="Times New Roman" w:eastAsia="Cambria" w:cs="Times New Roman"/>
          <w:b w:val="0"/>
          <w:bCs w:val="0"/>
          <w:color w:val="000000" w:themeColor="text1"/>
          <w:sz w:val="24"/>
          <w:szCs w:val="24"/>
          <w14:textFill>
            <w14:solidFill>
              <w14:schemeClr w14:val="tx1"/>
            </w14:solidFill>
          </w14:textFill>
        </w:rPr>
        <w:t>espite several government initiated policy for financial access for all Nigerian citizen, a number of people remain exclude from Nigerian financial services. Over the decade of financial reform in Nigerian financial institutions especially banking sector, access to credit remained one of the serious problems in Nigerian economic system. For instance, more than 96% of Nigerian businesses remain non-formal enterprise sector contributing over 48% to total GDP. Small</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medium enterprises in the financial sector of Nigerian Economy faces significant problems to obtain a loan/credit because of high interest rates-caused by increased monetary policy rate of Central Bank of Nigeria, it increased by over 800 basis points in 2024 to 27.5%, loan requirements or</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Collateral and, banks lack of clear credit appraisal methods. It is important to note if </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financial sector</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w:t>
      </w:r>
      <w:r>
        <w:rPr>
          <w:rFonts w:hint="default" w:eastAsia="Cambria" w:cs="Times New Roman"/>
          <w:b w:val="0"/>
          <w:bCs w:val="0"/>
          <w:color w:val="000000" w:themeColor="text1"/>
          <w:sz w:val="24"/>
          <w:szCs w:val="24"/>
          <w:lang w:val="en-US"/>
          <w14:textFill>
            <w14:solidFill>
              <w14:schemeClr w14:val="tx1"/>
            </w14:solidFill>
          </w14:textFill>
        </w:rPr>
        <w:t>are</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truly facilitating the objective of economic growth, which include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generation of employment, fostering of innovation and ensuring structural diversification of the economy. Furthermore, Despite the persistent efforts and numerous strategy in enhancing access, a significant number of people were exclude in the Nigerian financial services. Formal inclusion have increase from 56</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percent in 2020 to 64 percent in 2023, but a large percentage</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(36%) of adults still remained excluded from</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formal</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Financial Services. Exclusion is highest in rural communities, where women and young people are more often without financial services. Such exclude can bring serious issue related to income, poverty and inclusive growth. Beside those with limited access, their welfare impact and range of services that people utilize is very low. Fourth, concerns about the viability and stability of financial institutions persist. The CBN policy directive on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recapitalization</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in 2024 points to potential issues in capitalization buffers-exacerbated by the effects of sharp currency devaluation on the real value of banks' equity. The 2004-2005 bank consolidation exercises seem to have resulted in real capital positions far below the minimum required capital thresholds at the time the 2024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recapitalization</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was announced, after accounting for depreciation of real value in local and global terms. Fifth, doubts remain about the quality and efficiency of financial intermediation in Nigeria. While Nigerian banks accumulated significant deposits and assets over the years, their ability to efficiently transform these into productive investments is questioned. The persistence of large intermediation spreads (differences between deposit and lending rates), the propensity of banks to invest in sovereign debt, the concentration of credit among a few large</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w:t>
      </w:r>
    </w:p>
    <w:p w14:paraId="4AFB2B6A">
      <w:pPr>
        <w:pStyle w:val="3"/>
        <w:spacing w:before="240" w:after="160" w:line="480" w:lineRule="auto"/>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1.3 Research Questions </w:t>
      </w:r>
    </w:p>
    <w:p w14:paraId="060063FC">
      <w:pPr>
        <w:pStyle w:val="3"/>
        <w:numPr>
          <w:ilvl w:val="0"/>
          <w:numId w:val="1"/>
        </w:numPr>
        <w:spacing w:before="240" w:after="160" w:line="480" w:lineRule="auto"/>
        <w:ind w:left="425" w:leftChars="0" w:hanging="425" w:firstLineChars="0"/>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What is the effect of bank credit to the private sector on economic growth in Nigeria?</w:t>
      </w:r>
    </w:p>
    <w:p w14:paraId="1836DADA">
      <w:pPr>
        <w:pStyle w:val="3"/>
        <w:numPr>
          <w:ilvl w:val="0"/>
          <w:numId w:val="1"/>
        </w:numPr>
        <w:spacing w:before="240" w:after="160" w:line="480" w:lineRule="auto"/>
        <w:ind w:left="425" w:leftChars="0" w:hanging="425" w:firstLineChars="0"/>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How does financial sector development (financial deepening) influence economic growth in Nigeria?</w:t>
      </w:r>
    </w:p>
    <w:p w14:paraId="503112E3">
      <w:pPr>
        <w:pStyle w:val="3"/>
        <w:numPr>
          <w:ilvl w:val="0"/>
          <w:numId w:val="1"/>
        </w:numPr>
        <w:spacing w:before="240" w:after="160" w:line="480" w:lineRule="auto"/>
        <w:ind w:left="425" w:leftChars="0" w:hanging="425" w:firstLineChars="0"/>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What is the relationship between commercial bank deposits (savings mobilization) and economic growth in Nigeria?</w:t>
      </w:r>
    </w:p>
    <w:p w14:paraId="394460AA">
      <w:pPr>
        <w:pStyle w:val="3"/>
        <w:numPr>
          <w:ilvl w:val="0"/>
          <w:numId w:val="1"/>
        </w:numPr>
        <w:spacing w:before="240" w:after="160" w:line="480" w:lineRule="auto"/>
        <w:ind w:left="425" w:leftChars="0" w:hanging="425" w:firstLineChars="0"/>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What is the impact of financial institutions' lending rates on private sector investment and economic growth in Nigeria?</w:t>
      </w:r>
    </w:p>
    <w:p w14:paraId="55DBE129">
      <w:pPr>
        <w:pStyle w:val="3"/>
        <w:spacing w:before="240" w:after="160" w:line="480" w:lineRule="auto"/>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1.4 Research Objectives </w:t>
      </w:r>
    </w:p>
    <w:p w14:paraId="72F0D20A">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eastAsia="Cambria" w:cs="Times New Roman"/>
          <w:b w:val="0"/>
          <w:bCs w:val="0"/>
          <w:color w:val="000000" w:themeColor="text1"/>
          <w:sz w:val="24"/>
          <w:szCs w:val="24"/>
          <w:lang w:val="en-US"/>
          <w14:textFill>
            <w14:solidFill>
              <w14:schemeClr w14:val="tx1"/>
            </w14:solidFill>
          </w14:textFill>
        </w:rPr>
        <w:t>P</w:t>
      </w:r>
      <w:r>
        <w:rPr>
          <w:rFonts w:hint="default" w:ascii="Times New Roman" w:hAnsi="Times New Roman" w:eastAsia="Cambria" w:cs="Times New Roman"/>
          <w:b w:val="0"/>
          <w:bCs w:val="0"/>
          <w:color w:val="000000" w:themeColor="text1"/>
          <w:sz w:val="24"/>
          <w:szCs w:val="24"/>
          <w14:textFill>
            <w14:solidFill>
              <w14:schemeClr w14:val="tx1"/>
            </w14:solidFill>
          </w14:textFill>
        </w:rPr>
        <w:t>rimary objective</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of this study </w:t>
      </w:r>
      <w:r>
        <w:rPr>
          <w:rFonts w:hint="default" w:eastAsia="Cambria" w:cs="Times New Roman"/>
          <w:b w:val="0"/>
          <w:bCs w:val="0"/>
          <w:color w:val="000000" w:themeColor="text1"/>
          <w:sz w:val="24"/>
          <w:szCs w:val="24"/>
          <w:lang w:val="en-US"/>
          <w14:textFill>
            <w14:solidFill>
              <w14:schemeClr w14:val="tx1"/>
            </w14:solidFill>
          </w14:textFill>
        </w:rPr>
        <w:t xml:space="preserve">are </w:t>
      </w:r>
      <w:r>
        <w:rPr>
          <w:rFonts w:hint="default" w:ascii="Times New Roman" w:hAnsi="Times New Roman" w:eastAsia="Cambria" w:cs="Times New Roman"/>
          <w:b w:val="0"/>
          <w:bCs w:val="0"/>
          <w:color w:val="000000" w:themeColor="text1"/>
          <w:sz w:val="24"/>
          <w:szCs w:val="24"/>
          <w14:textFill>
            <w14:solidFill>
              <w14:schemeClr w14:val="tx1"/>
            </w14:solidFill>
          </w14:textFill>
        </w:rPr>
        <w:t>to examine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role</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of financial institutions in boosting economic growth in Nigeria. Specifically, th</w:t>
      </w:r>
      <w:r>
        <w:rPr>
          <w:rFonts w:hint="default" w:eastAsia="Cambria" w:cs="Times New Roman"/>
          <w:b w:val="0"/>
          <w:bCs w:val="0"/>
          <w:color w:val="000000" w:themeColor="text1"/>
          <w:sz w:val="24"/>
          <w:szCs w:val="24"/>
          <w:lang w:val="en-US"/>
          <w14:textFill>
            <w14:solidFill>
              <w14:schemeClr w14:val="tx1"/>
            </w14:solidFill>
          </w14:textFill>
        </w:rPr>
        <w:t xml:space="preserve">is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study aims to: </w:t>
      </w:r>
    </w:p>
    <w:p w14:paraId="5D9C21C6">
      <w:pPr>
        <w:pStyle w:val="3"/>
        <w:numPr>
          <w:ilvl w:val="0"/>
          <w:numId w:val="2"/>
        </w:numPr>
        <w:tabs>
          <w:tab w:val="clear" w:pos="425"/>
        </w:tabs>
        <w:spacing w:before="240" w:after="160" w:line="480" w:lineRule="auto"/>
        <w:ind w:left="425" w:leftChars="0" w:hanging="425" w:firstLineChars="0"/>
        <w:outlineLvl w:val="1"/>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Examine the effect of bank credit to the private sector on economic growth in Nigeria.</w:t>
      </w:r>
    </w:p>
    <w:p w14:paraId="742C8B28">
      <w:pPr>
        <w:pStyle w:val="3"/>
        <w:numPr>
          <w:ilvl w:val="0"/>
          <w:numId w:val="2"/>
        </w:numPr>
        <w:tabs>
          <w:tab w:val="clear" w:pos="425"/>
        </w:tabs>
        <w:spacing w:before="240" w:after="160" w:line="480" w:lineRule="auto"/>
        <w:ind w:left="425" w:leftChars="0" w:hanging="425" w:firstLineChars="0"/>
        <w:outlineLvl w:val="1"/>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Assess the influence of financial sector development (financial deepening) on economic growth in Nigeria.</w:t>
      </w:r>
    </w:p>
    <w:p w14:paraId="3556C3AF">
      <w:pPr>
        <w:pStyle w:val="3"/>
        <w:numPr>
          <w:ilvl w:val="0"/>
          <w:numId w:val="2"/>
        </w:numPr>
        <w:tabs>
          <w:tab w:val="clear" w:pos="425"/>
        </w:tabs>
        <w:spacing w:before="240" w:after="160" w:line="480" w:lineRule="auto"/>
        <w:ind w:left="425" w:leftChars="0" w:hanging="425" w:firstLineChars="0"/>
        <w:outlineLvl w:val="1"/>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Determine the relationship between commercial bank deposits (savings mobilization) and economic growth in Nigeria.</w:t>
      </w:r>
    </w:p>
    <w:p w14:paraId="6945801F">
      <w:pPr>
        <w:pStyle w:val="3"/>
        <w:numPr>
          <w:ilvl w:val="0"/>
          <w:numId w:val="2"/>
        </w:numPr>
        <w:tabs>
          <w:tab w:val="clear" w:pos="425"/>
        </w:tabs>
        <w:spacing w:before="240" w:after="160" w:line="480" w:lineRule="auto"/>
        <w:ind w:left="425" w:leftChars="0" w:hanging="425" w:firstLineChars="0"/>
        <w:outlineLvl w:val="1"/>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Evaluate the impact of financial institutions' lending rates on economic growth in Nigeria.</w:t>
      </w:r>
    </w:p>
    <w:p w14:paraId="6DA5851A">
      <w:pPr>
        <w:pStyle w:val="3"/>
        <w:spacing w:before="240" w:after="160" w:line="480" w:lineRule="auto"/>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1.5 Research Hypotheses</w:t>
      </w:r>
    </w:p>
    <w:p w14:paraId="02850E16">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Flowing from</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objectives of this research, the following hypotheses will be tested in null form. </w:t>
      </w:r>
    </w:p>
    <w:p w14:paraId="7CE2C32E">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Null Hypotheses (H0) </w:t>
      </w:r>
    </w:p>
    <w:p w14:paraId="6E205299">
      <w:pPr>
        <w:pStyle w:val="3"/>
        <w:numPr>
          <w:numId w:val="0"/>
        </w:numPr>
        <w:spacing w:before="240" w:after="160" w:line="480" w:lineRule="auto"/>
        <w:jc w:val="both"/>
        <w:outlineLvl w:val="1"/>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H0: Bank credit to the private sector has no significant effect on economic growth in Nigeria.</w:t>
      </w:r>
    </w:p>
    <w:p w14:paraId="12B6A962">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H0: Financial sector development (financial deepening) has no significant influence on economic growth in Nigeria.</w:t>
      </w:r>
    </w:p>
    <w:p w14:paraId="602924E0">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H0: There is no significant relationship between commercial bank deposits (savings mobilization) and economic growth in Nigeria.</w:t>
      </w:r>
    </w:p>
    <w:p w14:paraId="261FFD50">
      <w:pPr>
        <w:pStyle w:val="3"/>
        <w:spacing w:before="240" w:after="160" w:line="480" w:lineRule="auto"/>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H0: Financial institutions' lending rates have no significant impact on economic growth in Nigeria.</w:t>
      </w:r>
    </w:p>
    <w:p w14:paraId="11365119">
      <w:pPr>
        <w:pStyle w:val="2"/>
        <w:spacing w:before="300" w:after="200" w:line="480" w:lineRule="auto"/>
        <w:jc w:val="both"/>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1.6 Significance of study</w:t>
      </w:r>
    </w:p>
    <w:p w14:paraId="16FAEE2A">
      <w:pPr>
        <w:pStyle w:val="2"/>
        <w:spacing w:before="300" w:after="20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eastAsia="Cambria" w:cs="Times New Roman"/>
          <w:b w:val="0"/>
          <w:bCs w:val="0"/>
          <w:color w:val="000000" w:themeColor="text1"/>
          <w:sz w:val="24"/>
          <w:szCs w:val="24"/>
          <w:lang w:val="en-US"/>
          <w14:textFill>
            <w14:solidFill>
              <w14:schemeClr w14:val="tx1"/>
            </w14:solidFill>
          </w14:textFill>
        </w:rPr>
        <w:t>F</w:t>
      </w:r>
      <w:r>
        <w:rPr>
          <w:rFonts w:hint="default" w:ascii="Times New Roman" w:hAnsi="Times New Roman" w:eastAsia="Cambria" w:cs="Times New Roman"/>
          <w:b w:val="0"/>
          <w:bCs w:val="0"/>
          <w:color w:val="000000" w:themeColor="text1"/>
          <w:sz w:val="24"/>
          <w:szCs w:val="24"/>
          <w14:textFill>
            <w14:solidFill>
              <w14:schemeClr w14:val="tx1"/>
            </w14:solidFill>
          </w14:textFill>
        </w:rPr>
        <w:t>indings from this research work will be of considerable usefulness and importance to Nigerian policy makers, Central Bank of Nigeria, scholars and students in economics and finance, members of the investing public, financial institutions and Government of Nigeria. For</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Nigerian policy makers result</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of the study will be of assistance to them in evolving efficient financial and monetary policies aimed at enhancing sustainable economic growth in Nigeria. For Central Bank of Nigeria the study would provide guide lines in evolving appropriate policy on credit disbursement and supervision and regulation of the Nigerian banks to facilitate the desired efficient intermediation in order to promote economic growth. It would also gives the regulators the much needed insights for improvement of the efficiency of Nigerian's financial intermediation function. For students and scholars of economics and finance and in particular in Nigeria, it is intended that finding</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of th</w:t>
      </w:r>
      <w:r>
        <w:rPr>
          <w:rFonts w:hint="default" w:eastAsia="Cambria" w:cs="Times New Roman"/>
          <w:b w:val="0"/>
          <w:bCs w:val="0"/>
          <w:color w:val="000000" w:themeColor="text1"/>
          <w:sz w:val="24"/>
          <w:szCs w:val="24"/>
          <w:lang w:val="en-US"/>
          <w14:textFill>
            <w14:solidFill>
              <w14:schemeClr w14:val="tx1"/>
            </w14:solidFill>
          </w14:textFill>
        </w:rPr>
        <w:t>is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research work would serve as reference document for further research in this areas. </w:t>
      </w:r>
    </w:p>
    <w:p w14:paraId="6B9EDDFD">
      <w:pPr>
        <w:pStyle w:val="2"/>
        <w:spacing w:before="300" w:after="20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For investors and financial practitioners and for policy makers in Nigeria, the results will help guide decision in order to further deepen financial development linkages, improve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contributions of financial sector to overall economic growth strategy</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boost up the performance of</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Nigerian Economy, The study would also help the Government</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achieve its target on growth in the Nigerian Economy.</w:t>
      </w:r>
    </w:p>
    <w:p w14:paraId="1978A3CD">
      <w:pPr>
        <w:pStyle w:val="2"/>
        <w:spacing w:before="300" w:after="200" w:line="480" w:lineRule="auto"/>
        <w:jc w:val="both"/>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1.7 Scope of Study </w:t>
      </w:r>
    </w:p>
    <w:p w14:paraId="3D7A306E">
      <w:pPr>
        <w:pStyle w:val="11"/>
        <w:keepNext w:val="0"/>
        <w:keepLines w:val="0"/>
        <w:widowControl/>
        <w:suppressLineNumbers w:val="0"/>
        <w:spacing w:line="480" w:lineRule="auto"/>
        <w:jc w:val="both"/>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color w:val="000000" w:themeColor="text1"/>
          <w:lang w:val="en-US"/>
          <w14:textFill>
            <w14:solidFill>
              <w14:schemeClr w14:val="tx1"/>
            </w14:solidFill>
          </w14:textFill>
        </w:rPr>
        <w:t>This s</w:t>
      </w:r>
      <w:r>
        <w:rPr>
          <w:color w:val="000000" w:themeColor="text1"/>
          <w14:textFill>
            <w14:solidFill>
              <w14:schemeClr w14:val="tx1"/>
            </w14:solidFill>
          </w14:textFill>
        </w:rPr>
        <w:t>tudy researches the impact of financial institutions on economic growth in Nigeria for year</w:t>
      </w:r>
      <w:r>
        <w:rPr>
          <w:rFonts w:hint="default"/>
          <w:color w:val="000000" w:themeColor="text1"/>
          <w:lang w:val="en-US"/>
          <w14:textFill>
            <w14:solidFill>
              <w14:schemeClr w14:val="tx1"/>
            </w14:solidFill>
          </w14:textFill>
        </w:rPr>
        <w:t>s</w:t>
      </w:r>
      <w:r>
        <w:rPr>
          <w:color w:val="000000" w:themeColor="text1"/>
          <w14:textFill>
            <w14:solidFill>
              <w14:schemeClr w14:val="tx1"/>
            </w14:solidFill>
          </w14:textFill>
        </w:rPr>
        <w:t xml:space="preserve"> rang</w:t>
      </w:r>
      <w:r>
        <w:rPr>
          <w:rFonts w:hint="default"/>
          <w:color w:val="000000" w:themeColor="text1"/>
          <w:lang w:val="en-US"/>
          <w14:textFill>
            <w14:solidFill>
              <w14:schemeClr w14:val="tx1"/>
            </w14:solidFill>
          </w14:textFill>
        </w:rPr>
        <w:t>ing</w:t>
      </w:r>
      <w:r>
        <w:rPr>
          <w:color w:val="000000" w:themeColor="text1"/>
          <w14:textFill>
            <w14:solidFill>
              <w14:schemeClr w14:val="tx1"/>
            </w14:solidFill>
          </w14:textFill>
        </w:rPr>
        <w:t xml:space="preserve"> between 1990-2024 and more specific to Gross Domestic Product, private sector credit from banks, money supply, interest rate, inflation rate.</w:t>
      </w:r>
    </w:p>
    <w:p w14:paraId="2BA77EB8">
      <w:pPr>
        <w:pStyle w:val="2"/>
        <w:spacing w:before="300" w:after="200" w:line="480" w:lineRule="auto"/>
        <w:jc w:val="both"/>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1.8 Limitatio</w:t>
      </w:r>
      <w:r>
        <w:rPr>
          <w:rFonts w:hint="default" w:eastAsia="Cambria" w:cs="Times New Roman"/>
          <w:b/>
          <w:bCs/>
          <w:color w:val="000000" w:themeColor="text1"/>
          <w:sz w:val="24"/>
          <w:szCs w:val="24"/>
          <w:lang w:val="en-US"/>
          <w14:textFill>
            <w14:solidFill>
              <w14:schemeClr w14:val="tx1"/>
            </w14:solidFill>
          </w14:textFill>
        </w:rPr>
        <w:t>ns</w:t>
      </w:r>
      <w:r>
        <w:rPr>
          <w:rFonts w:hint="default" w:ascii="Times New Roman" w:hAnsi="Times New Roman" w:eastAsia="Cambria" w:cs="Times New Roman"/>
          <w:b/>
          <w:bCs/>
          <w:color w:val="000000" w:themeColor="text1"/>
          <w:sz w:val="24"/>
          <w:szCs w:val="24"/>
          <w14:textFill>
            <w14:solidFill>
              <w14:schemeClr w14:val="tx1"/>
            </w14:solidFill>
          </w14:textFill>
        </w:rPr>
        <w:t xml:space="preserve"> of Study </w:t>
      </w:r>
    </w:p>
    <w:p w14:paraId="24C13F11">
      <w:pPr>
        <w:pStyle w:val="2"/>
        <w:spacing w:before="300" w:after="20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Problems that may arise during the course of study include likely to be, in availability of data, there may be series inconsistency or data missing. The time would be a constraint and the research has time allocated that would not accommodate extensive survey or data collection to the extent as to which it might affect the outcome, thus secondary data from reliable source like central bank of Nigeria, world bank is to be preferred, the database is to compare one country macro-economic data as more comparable in statistical accuracy.</w:t>
      </w:r>
    </w:p>
    <w:p w14:paraId="7673A153">
      <w:pPr>
        <w:pStyle w:val="2"/>
        <w:spacing w:before="300" w:after="200" w:line="480" w:lineRule="auto"/>
        <w:jc w:val="cente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2A0CBBA">
      <w:pPr>
        <w:pStyle w:val="2"/>
        <w:spacing w:before="300" w:after="200" w:line="480" w:lineRule="auto"/>
        <w:jc w:val="center"/>
        <w:rPr>
          <w:rFonts w:hint="default" w:ascii="Times New Roman" w:hAnsi="Times New Roman" w:eastAsia="Cambria" w:cs="Times New Roman"/>
          <w:b/>
          <w:bCs/>
          <w:color w:val="000000" w:themeColor="text1"/>
          <w:sz w:val="24"/>
          <w:szCs w:val="24"/>
          <w14:textFill>
            <w14:solidFill>
              <w14:schemeClr w14:val="tx1"/>
            </w14:solidFill>
          </w14:textFill>
        </w:rPr>
      </w:pPr>
    </w:p>
    <w:p w14:paraId="5E821429">
      <w:pPr>
        <w:rPr>
          <w:rFonts w:hint="default" w:ascii="Times New Roman" w:hAnsi="Times New Roman" w:eastAsia="Cambria" w:cs="Times New Roman"/>
          <w:b/>
          <w:bCs/>
          <w:color w:val="000000" w:themeColor="text1"/>
          <w:sz w:val="24"/>
          <w:szCs w:val="24"/>
          <w14:textFill>
            <w14:solidFill>
              <w14:schemeClr w14:val="tx1"/>
            </w14:solidFill>
          </w14:textFill>
        </w:rPr>
      </w:pPr>
    </w:p>
    <w:p w14:paraId="42B7AD48">
      <w:pPr>
        <w:rPr>
          <w:rFonts w:hint="default" w:ascii="Times New Roman" w:hAnsi="Times New Roman" w:eastAsia="Cambria" w:cs="Times New Roman"/>
          <w:b/>
          <w:bCs/>
          <w:color w:val="000000" w:themeColor="text1"/>
          <w:sz w:val="24"/>
          <w:szCs w:val="24"/>
          <w14:textFill>
            <w14:solidFill>
              <w14:schemeClr w14:val="tx1"/>
            </w14:solidFill>
          </w14:textFill>
        </w:rPr>
      </w:pPr>
    </w:p>
    <w:p w14:paraId="0D0E0844">
      <w:pPr>
        <w:rPr>
          <w:rFonts w:hint="default" w:ascii="Times New Roman" w:hAnsi="Times New Roman" w:eastAsia="Cambria" w:cs="Times New Roman"/>
          <w:b/>
          <w:bCs/>
          <w:color w:val="000000" w:themeColor="text1"/>
          <w:sz w:val="24"/>
          <w:szCs w:val="24"/>
          <w14:textFill>
            <w14:solidFill>
              <w14:schemeClr w14:val="tx1"/>
            </w14:solidFill>
          </w14:textFill>
        </w:rPr>
      </w:pPr>
    </w:p>
    <w:p w14:paraId="080C1293">
      <w:pPr>
        <w:rPr>
          <w:rFonts w:hint="default" w:ascii="Times New Roman" w:hAnsi="Times New Roman" w:eastAsia="Cambria" w:cs="Times New Roman"/>
          <w:b/>
          <w:bCs/>
          <w:color w:val="000000" w:themeColor="text1"/>
          <w:sz w:val="24"/>
          <w:szCs w:val="24"/>
          <w14:textFill>
            <w14:solidFill>
              <w14:schemeClr w14:val="tx1"/>
            </w14:solidFill>
          </w14:textFill>
        </w:rPr>
      </w:pPr>
    </w:p>
    <w:p w14:paraId="4BA4F37C">
      <w:pPr>
        <w:rPr>
          <w:rFonts w:hint="default" w:ascii="Times New Roman" w:hAnsi="Times New Roman" w:eastAsia="Cambria" w:cs="Times New Roman"/>
          <w:b/>
          <w:bCs/>
          <w:color w:val="000000" w:themeColor="text1"/>
          <w:sz w:val="24"/>
          <w:szCs w:val="24"/>
          <w14:textFill>
            <w14:solidFill>
              <w14:schemeClr w14:val="tx1"/>
            </w14:solidFill>
          </w14:textFill>
        </w:rPr>
      </w:pPr>
    </w:p>
    <w:p w14:paraId="22D391BB">
      <w:pPr>
        <w:rPr>
          <w:rFonts w:hint="default" w:ascii="Times New Roman" w:hAnsi="Times New Roman" w:eastAsia="Cambria" w:cs="Times New Roman"/>
          <w:b/>
          <w:bCs/>
          <w:color w:val="000000" w:themeColor="text1"/>
          <w:sz w:val="24"/>
          <w:szCs w:val="24"/>
          <w14:textFill>
            <w14:solidFill>
              <w14:schemeClr w14:val="tx1"/>
            </w14:solidFill>
          </w14:textFill>
        </w:rPr>
      </w:pPr>
    </w:p>
    <w:p w14:paraId="2F5AC576">
      <w:pPr>
        <w:rPr>
          <w:rFonts w:hint="default" w:ascii="Times New Roman" w:hAnsi="Times New Roman" w:eastAsia="Cambria" w:cs="Times New Roman"/>
          <w:b/>
          <w:bCs/>
          <w:color w:val="000000" w:themeColor="text1"/>
          <w:sz w:val="24"/>
          <w:szCs w:val="24"/>
          <w14:textFill>
            <w14:solidFill>
              <w14:schemeClr w14:val="tx1"/>
            </w14:solidFill>
          </w14:textFill>
        </w:rPr>
      </w:pPr>
    </w:p>
    <w:p w14:paraId="59704062">
      <w:pPr>
        <w:rPr>
          <w:rFonts w:hint="default" w:ascii="Times New Roman" w:hAnsi="Times New Roman" w:eastAsia="Cambria" w:cs="Times New Roman"/>
          <w:b/>
          <w:bCs/>
          <w:color w:val="000000" w:themeColor="text1"/>
          <w:sz w:val="24"/>
          <w:szCs w:val="24"/>
          <w14:textFill>
            <w14:solidFill>
              <w14:schemeClr w14:val="tx1"/>
            </w14:solidFill>
          </w14:textFill>
        </w:rPr>
      </w:pPr>
    </w:p>
    <w:p w14:paraId="7CC58D53">
      <w:pPr>
        <w:rPr>
          <w:rFonts w:hint="default" w:ascii="Times New Roman" w:hAnsi="Times New Roman" w:eastAsia="Cambria" w:cs="Times New Roman"/>
          <w:b/>
          <w:bCs/>
          <w:color w:val="000000" w:themeColor="text1"/>
          <w:sz w:val="24"/>
          <w:szCs w:val="24"/>
          <w14:textFill>
            <w14:solidFill>
              <w14:schemeClr w14:val="tx1"/>
            </w14:solidFill>
          </w14:textFill>
        </w:rPr>
      </w:pPr>
    </w:p>
    <w:p w14:paraId="529C3CFC">
      <w:pPr>
        <w:rPr>
          <w:rFonts w:hint="default" w:ascii="Times New Roman" w:hAnsi="Times New Roman" w:eastAsia="Cambria" w:cs="Times New Roman"/>
          <w:b/>
          <w:bCs/>
          <w:color w:val="000000" w:themeColor="text1"/>
          <w:sz w:val="24"/>
          <w:szCs w:val="24"/>
          <w14:textFill>
            <w14:solidFill>
              <w14:schemeClr w14:val="tx1"/>
            </w14:solidFill>
          </w14:textFill>
        </w:rPr>
      </w:pPr>
    </w:p>
    <w:p w14:paraId="2BD23FFD">
      <w:pPr>
        <w:rPr>
          <w:rFonts w:hint="default" w:ascii="Times New Roman" w:hAnsi="Times New Roman" w:eastAsia="Cambria" w:cs="Times New Roman"/>
          <w:b/>
          <w:bCs/>
          <w:color w:val="000000" w:themeColor="text1"/>
          <w:sz w:val="24"/>
          <w:szCs w:val="24"/>
          <w14:textFill>
            <w14:solidFill>
              <w14:schemeClr w14:val="tx1"/>
            </w14:solidFill>
          </w14:textFill>
        </w:rPr>
      </w:pPr>
    </w:p>
    <w:p w14:paraId="2EEC7761">
      <w:pPr>
        <w:rPr>
          <w:rFonts w:hint="default" w:ascii="Times New Roman" w:hAnsi="Times New Roman" w:eastAsia="Cambria" w:cs="Times New Roman"/>
          <w:b/>
          <w:bCs/>
          <w:color w:val="000000" w:themeColor="text1"/>
          <w:sz w:val="24"/>
          <w:szCs w:val="24"/>
          <w14:textFill>
            <w14:solidFill>
              <w14:schemeClr w14:val="tx1"/>
            </w14:solidFill>
          </w14:textFill>
        </w:rPr>
      </w:pPr>
    </w:p>
    <w:p w14:paraId="51121D30">
      <w:pPr>
        <w:rPr>
          <w:rFonts w:hint="default" w:ascii="Times New Roman" w:hAnsi="Times New Roman" w:eastAsia="Cambria" w:cs="Times New Roman"/>
          <w:b/>
          <w:bCs/>
          <w:color w:val="000000" w:themeColor="text1"/>
          <w:sz w:val="24"/>
          <w:szCs w:val="24"/>
          <w14:textFill>
            <w14:solidFill>
              <w14:schemeClr w14:val="tx1"/>
            </w14:solidFill>
          </w14:textFill>
        </w:rPr>
      </w:pPr>
    </w:p>
    <w:p w14:paraId="742C9056">
      <w:pPr>
        <w:rPr>
          <w:rFonts w:hint="default" w:ascii="Times New Roman" w:hAnsi="Times New Roman" w:eastAsia="Cambria" w:cs="Times New Roman"/>
          <w:b/>
          <w:bCs/>
          <w:color w:val="000000" w:themeColor="text1"/>
          <w:sz w:val="24"/>
          <w:szCs w:val="24"/>
          <w14:textFill>
            <w14:solidFill>
              <w14:schemeClr w14:val="tx1"/>
            </w14:solidFill>
          </w14:textFill>
        </w:rPr>
      </w:pPr>
    </w:p>
    <w:p w14:paraId="74AFE2A8">
      <w:pPr>
        <w:rPr>
          <w:rFonts w:hint="default" w:ascii="Times New Roman" w:hAnsi="Times New Roman" w:eastAsia="Cambria" w:cs="Times New Roman"/>
          <w:b/>
          <w:bCs/>
          <w:color w:val="000000" w:themeColor="text1"/>
          <w:sz w:val="24"/>
          <w:szCs w:val="24"/>
          <w14:textFill>
            <w14:solidFill>
              <w14:schemeClr w14:val="tx1"/>
            </w14:solidFill>
          </w14:textFill>
        </w:rPr>
      </w:pPr>
    </w:p>
    <w:p w14:paraId="6C88D427">
      <w:pPr>
        <w:rPr>
          <w:rFonts w:hint="default" w:ascii="Times New Roman" w:hAnsi="Times New Roman" w:eastAsia="Cambria" w:cs="Times New Roman"/>
          <w:b/>
          <w:bCs/>
          <w:color w:val="000000" w:themeColor="text1"/>
          <w:sz w:val="24"/>
          <w:szCs w:val="24"/>
          <w14:textFill>
            <w14:solidFill>
              <w14:schemeClr w14:val="tx1"/>
            </w14:solidFill>
          </w14:textFill>
        </w:rPr>
      </w:pPr>
    </w:p>
    <w:p w14:paraId="1485098E">
      <w:pPr>
        <w:rPr>
          <w:rFonts w:hint="default" w:ascii="Times New Roman" w:hAnsi="Times New Roman" w:eastAsia="Cambria" w:cs="Times New Roman"/>
          <w:b/>
          <w:bCs/>
          <w:color w:val="000000" w:themeColor="text1"/>
          <w:sz w:val="24"/>
          <w:szCs w:val="24"/>
          <w14:textFill>
            <w14:solidFill>
              <w14:schemeClr w14:val="tx1"/>
            </w14:solidFill>
          </w14:textFill>
        </w:rPr>
      </w:pPr>
    </w:p>
    <w:p w14:paraId="2AE6F1AD">
      <w:pPr>
        <w:rPr>
          <w:rFonts w:hint="default" w:ascii="Times New Roman" w:hAnsi="Times New Roman" w:eastAsia="Cambria" w:cs="Times New Roman"/>
          <w:b/>
          <w:bCs/>
          <w:color w:val="000000" w:themeColor="text1"/>
          <w:sz w:val="24"/>
          <w:szCs w:val="24"/>
          <w14:textFill>
            <w14:solidFill>
              <w14:schemeClr w14:val="tx1"/>
            </w14:solidFill>
          </w14:textFill>
        </w:rPr>
      </w:pPr>
    </w:p>
    <w:p w14:paraId="797BA78A">
      <w:pPr>
        <w:rPr>
          <w:rFonts w:hint="default" w:ascii="Times New Roman" w:hAnsi="Times New Roman" w:eastAsia="Cambria" w:cs="Times New Roman"/>
          <w:b/>
          <w:bCs/>
          <w:color w:val="000000" w:themeColor="text1"/>
          <w:sz w:val="24"/>
          <w:szCs w:val="24"/>
          <w14:textFill>
            <w14:solidFill>
              <w14:schemeClr w14:val="tx1"/>
            </w14:solidFill>
          </w14:textFill>
        </w:rPr>
      </w:pPr>
    </w:p>
    <w:p w14:paraId="47645A9B">
      <w:pPr>
        <w:rPr>
          <w:rFonts w:hint="default" w:ascii="Times New Roman" w:hAnsi="Times New Roman" w:eastAsia="Cambria" w:cs="Times New Roman"/>
          <w:b/>
          <w:bCs/>
          <w:color w:val="000000" w:themeColor="text1"/>
          <w:sz w:val="24"/>
          <w:szCs w:val="24"/>
          <w14:textFill>
            <w14:solidFill>
              <w14:schemeClr w14:val="tx1"/>
            </w14:solidFill>
          </w14:textFill>
        </w:rPr>
      </w:pPr>
    </w:p>
    <w:p w14:paraId="3CA2872C">
      <w:pPr>
        <w:rPr>
          <w:rFonts w:hint="default" w:ascii="Times New Roman" w:hAnsi="Times New Roman" w:eastAsia="Cambria" w:cs="Times New Roman"/>
          <w:b/>
          <w:bCs/>
          <w:color w:val="000000" w:themeColor="text1"/>
          <w:sz w:val="24"/>
          <w:szCs w:val="24"/>
          <w14:textFill>
            <w14:solidFill>
              <w14:schemeClr w14:val="tx1"/>
            </w14:solidFill>
          </w14:textFill>
        </w:rPr>
      </w:pPr>
    </w:p>
    <w:p w14:paraId="7BB0FC1B">
      <w:pPr>
        <w:rPr>
          <w:rFonts w:hint="default" w:ascii="Times New Roman" w:hAnsi="Times New Roman" w:eastAsia="Cambria" w:cs="Times New Roman"/>
          <w:b/>
          <w:bCs/>
          <w:color w:val="000000" w:themeColor="text1"/>
          <w:sz w:val="24"/>
          <w:szCs w:val="24"/>
          <w14:textFill>
            <w14:solidFill>
              <w14:schemeClr w14:val="tx1"/>
            </w14:solidFill>
          </w14:textFill>
        </w:rPr>
      </w:pPr>
    </w:p>
    <w:p w14:paraId="56127833">
      <w:pPr>
        <w:rPr>
          <w:rFonts w:hint="default" w:ascii="Times New Roman" w:hAnsi="Times New Roman" w:eastAsia="Cambria" w:cs="Times New Roman"/>
          <w:b/>
          <w:bCs/>
          <w:color w:val="000000" w:themeColor="text1"/>
          <w:sz w:val="24"/>
          <w:szCs w:val="24"/>
          <w14:textFill>
            <w14:solidFill>
              <w14:schemeClr w14:val="tx1"/>
            </w14:solidFill>
          </w14:textFill>
        </w:rPr>
      </w:pPr>
    </w:p>
    <w:p w14:paraId="23E788E8">
      <w:pPr>
        <w:rPr>
          <w:rFonts w:hint="default" w:ascii="Times New Roman" w:hAnsi="Times New Roman" w:eastAsia="Cambria" w:cs="Times New Roman"/>
          <w:b/>
          <w:bCs/>
          <w:color w:val="000000" w:themeColor="text1"/>
          <w:sz w:val="24"/>
          <w:szCs w:val="24"/>
          <w14:textFill>
            <w14:solidFill>
              <w14:schemeClr w14:val="tx1"/>
            </w14:solidFill>
          </w14:textFill>
        </w:rPr>
      </w:pPr>
    </w:p>
    <w:p w14:paraId="2D29C2A1">
      <w:pPr>
        <w:rPr>
          <w:rFonts w:hint="default" w:ascii="Times New Roman" w:hAnsi="Times New Roman" w:eastAsia="Cambria" w:cs="Times New Roman"/>
          <w:b/>
          <w:bCs/>
          <w:color w:val="000000" w:themeColor="text1"/>
          <w:sz w:val="24"/>
          <w:szCs w:val="24"/>
          <w14:textFill>
            <w14:solidFill>
              <w14:schemeClr w14:val="tx1"/>
            </w14:solidFill>
          </w14:textFill>
        </w:rPr>
      </w:pPr>
    </w:p>
    <w:p w14:paraId="5DBE68DC">
      <w:pPr>
        <w:rPr>
          <w:rFonts w:hint="default" w:ascii="Times New Roman" w:hAnsi="Times New Roman" w:eastAsia="Cambria" w:cs="Times New Roman"/>
          <w:b/>
          <w:bCs/>
          <w:color w:val="000000" w:themeColor="text1"/>
          <w:sz w:val="24"/>
          <w:szCs w:val="24"/>
          <w14:textFill>
            <w14:solidFill>
              <w14:schemeClr w14:val="tx1"/>
            </w14:solidFill>
          </w14:textFill>
        </w:rPr>
      </w:pPr>
    </w:p>
    <w:p w14:paraId="410B95DD">
      <w:pPr>
        <w:rPr>
          <w:rFonts w:hint="default" w:ascii="Times New Roman" w:hAnsi="Times New Roman" w:eastAsia="Cambria" w:cs="Times New Roman"/>
          <w:b/>
          <w:bCs/>
          <w:color w:val="000000" w:themeColor="text1"/>
          <w:sz w:val="24"/>
          <w:szCs w:val="24"/>
          <w14:textFill>
            <w14:solidFill>
              <w14:schemeClr w14:val="tx1"/>
            </w14:solidFill>
          </w14:textFill>
        </w:rPr>
      </w:pPr>
    </w:p>
    <w:p w14:paraId="50C71B2E">
      <w:pPr>
        <w:rPr>
          <w:rFonts w:hint="default" w:ascii="Times New Roman" w:hAnsi="Times New Roman" w:eastAsia="Cambria" w:cs="Times New Roman"/>
          <w:b/>
          <w:bCs/>
          <w:color w:val="000000" w:themeColor="text1"/>
          <w:sz w:val="24"/>
          <w:szCs w:val="24"/>
          <w14:textFill>
            <w14:solidFill>
              <w14:schemeClr w14:val="tx1"/>
            </w14:solidFill>
          </w14:textFill>
        </w:rPr>
      </w:pPr>
    </w:p>
    <w:p w14:paraId="21876420">
      <w:pPr>
        <w:rPr>
          <w:rFonts w:hint="default" w:ascii="Times New Roman" w:hAnsi="Times New Roman" w:eastAsia="Cambria" w:cs="Times New Roman"/>
          <w:b/>
          <w:bCs/>
          <w:color w:val="000000" w:themeColor="text1"/>
          <w:sz w:val="24"/>
          <w:szCs w:val="24"/>
          <w14:textFill>
            <w14:solidFill>
              <w14:schemeClr w14:val="tx1"/>
            </w14:solidFill>
          </w14:textFill>
        </w:rPr>
      </w:pPr>
    </w:p>
    <w:p w14:paraId="476EE5C6">
      <w:pPr>
        <w:rPr>
          <w:rFonts w:hint="default" w:ascii="Times New Roman" w:hAnsi="Times New Roman" w:eastAsia="Cambria" w:cs="Times New Roman"/>
          <w:b/>
          <w:bCs/>
          <w:color w:val="000000" w:themeColor="text1"/>
          <w:sz w:val="24"/>
          <w:szCs w:val="24"/>
          <w14:textFill>
            <w14:solidFill>
              <w14:schemeClr w14:val="tx1"/>
            </w14:solidFill>
          </w14:textFill>
        </w:rPr>
      </w:pPr>
    </w:p>
    <w:p w14:paraId="711A2B49">
      <w:pPr>
        <w:rPr>
          <w:rFonts w:hint="default" w:ascii="Times New Roman" w:hAnsi="Times New Roman" w:eastAsia="Cambria" w:cs="Times New Roman"/>
          <w:b/>
          <w:bCs/>
          <w:color w:val="000000" w:themeColor="text1"/>
          <w:sz w:val="24"/>
          <w:szCs w:val="24"/>
          <w14:textFill>
            <w14:solidFill>
              <w14:schemeClr w14:val="tx1"/>
            </w14:solidFill>
          </w14:textFill>
        </w:rPr>
      </w:pPr>
    </w:p>
    <w:p w14:paraId="4E65D5A3">
      <w:pPr>
        <w:rPr>
          <w:rFonts w:hint="default" w:ascii="Times New Roman" w:hAnsi="Times New Roman" w:eastAsia="Cambria" w:cs="Times New Roman"/>
          <w:b/>
          <w:bCs/>
          <w:color w:val="000000" w:themeColor="text1"/>
          <w:sz w:val="24"/>
          <w:szCs w:val="24"/>
          <w14:textFill>
            <w14:solidFill>
              <w14:schemeClr w14:val="tx1"/>
            </w14:solidFill>
          </w14:textFill>
        </w:rPr>
      </w:pPr>
    </w:p>
    <w:p w14:paraId="6FF184C3">
      <w:pPr>
        <w:rPr>
          <w:rFonts w:hint="default" w:ascii="Times New Roman" w:hAnsi="Times New Roman" w:eastAsia="Cambria" w:cs="Times New Roman"/>
          <w:b/>
          <w:bCs/>
          <w:color w:val="000000" w:themeColor="text1"/>
          <w:sz w:val="24"/>
          <w:szCs w:val="24"/>
          <w14:textFill>
            <w14:solidFill>
              <w14:schemeClr w14:val="tx1"/>
            </w14:solidFill>
          </w14:textFill>
        </w:rPr>
      </w:pPr>
    </w:p>
    <w:p w14:paraId="72ACC6FC">
      <w:pPr>
        <w:rPr>
          <w:rFonts w:hint="default" w:ascii="Times New Roman" w:hAnsi="Times New Roman" w:eastAsia="Cambria" w:cs="Times New Roman"/>
          <w:b/>
          <w:bCs/>
          <w:color w:val="000000" w:themeColor="text1"/>
          <w:sz w:val="24"/>
          <w:szCs w:val="24"/>
          <w14:textFill>
            <w14:solidFill>
              <w14:schemeClr w14:val="tx1"/>
            </w14:solidFill>
          </w14:textFill>
        </w:rPr>
      </w:pPr>
    </w:p>
    <w:p w14:paraId="6E0191B9">
      <w:pPr>
        <w:rPr>
          <w:rFonts w:hint="default" w:ascii="Times New Roman" w:hAnsi="Times New Roman" w:eastAsia="Cambria" w:cs="Times New Roman"/>
          <w:b/>
          <w:bCs/>
          <w:color w:val="000000" w:themeColor="text1"/>
          <w:sz w:val="24"/>
          <w:szCs w:val="24"/>
          <w14:textFill>
            <w14:solidFill>
              <w14:schemeClr w14:val="tx1"/>
            </w14:solidFill>
          </w14:textFill>
        </w:rPr>
      </w:pPr>
    </w:p>
    <w:p w14:paraId="49AEB868">
      <w:pPr>
        <w:rPr>
          <w:rFonts w:hint="default" w:ascii="Times New Roman" w:hAnsi="Times New Roman" w:eastAsia="Cambria" w:cs="Times New Roman"/>
          <w:b/>
          <w:bCs/>
          <w:color w:val="000000" w:themeColor="text1"/>
          <w:sz w:val="24"/>
          <w:szCs w:val="24"/>
          <w14:textFill>
            <w14:solidFill>
              <w14:schemeClr w14:val="tx1"/>
            </w14:solidFill>
          </w14:textFill>
        </w:rPr>
      </w:pPr>
    </w:p>
    <w:p w14:paraId="7EAA917A">
      <w:pPr>
        <w:rPr>
          <w:rFonts w:hint="default" w:ascii="Times New Roman" w:hAnsi="Times New Roman" w:eastAsia="Cambria" w:cs="Times New Roman"/>
          <w:b/>
          <w:bCs/>
          <w:color w:val="000000" w:themeColor="text1"/>
          <w:sz w:val="24"/>
          <w:szCs w:val="24"/>
          <w14:textFill>
            <w14:solidFill>
              <w14:schemeClr w14:val="tx1"/>
            </w14:solidFill>
          </w14:textFill>
        </w:rPr>
      </w:pPr>
    </w:p>
    <w:p w14:paraId="75743E89">
      <w:pPr>
        <w:rPr>
          <w:rFonts w:hint="default" w:ascii="Times New Roman" w:hAnsi="Times New Roman" w:eastAsia="Cambria" w:cs="Times New Roman"/>
          <w:b/>
          <w:bCs/>
          <w:color w:val="000000" w:themeColor="text1"/>
          <w:sz w:val="24"/>
          <w:szCs w:val="24"/>
          <w14:textFill>
            <w14:solidFill>
              <w14:schemeClr w14:val="tx1"/>
            </w14:solidFill>
          </w14:textFill>
        </w:rPr>
      </w:pPr>
    </w:p>
    <w:p w14:paraId="5D939695">
      <w:pPr>
        <w:pStyle w:val="2"/>
        <w:spacing w:before="300" w:after="200" w:line="48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CHAPTER TWO</w:t>
      </w:r>
    </w:p>
    <w:p w14:paraId="10A32C19">
      <w:pPr>
        <w:pStyle w:val="2"/>
        <w:spacing w:before="300" w:after="200" w:line="48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LITERATURE REVIEW</w:t>
      </w:r>
    </w:p>
    <w:p w14:paraId="69237676">
      <w:pPr>
        <w:pStyle w:val="4"/>
        <w:numPr>
          <w:numId w:val="0"/>
        </w:numPr>
        <w:spacing w:before="200" w:after="120" w:line="480" w:lineRule="auto"/>
        <w:ind w:leftChars="0"/>
        <w:outlineLvl w:val="2"/>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cs="Times New Roman"/>
          <w:b/>
          <w:bCs/>
          <w:color w:val="000000" w:themeColor="text1"/>
          <w:sz w:val="24"/>
          <w:szCs w:val="24"/>
          <w:lang w:val="en-US"/>
          <w14:textFill>
            <w14:solidFill>
              <w14:schemeClr w14:val="tx1"/>
            </w14:solidFill>
          </w14:textFill>
        </w:rPr>
        <w:t xml:space="preserve">2.1 </w:t>
      </w: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Theoretical Framework </w:t>
      </w:r>
    </w:p>
    <w:p w14:paraId="57233ED1">
      <w:pPr>
        <w:pStyle w:val="4"/>
        <w:numPr>
          <w:ilvl w:val="0"/>
          <w:numId w:val="0"/>
        </w:numPr>
        <w:spacing w:before="200" w:after="120" w:line="480" w:lineRule="auto"/>
        <w:ind w:leftChars="0"/>
        <w:outlineLvl w:val="2"/>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2.1.1 Financial Institutions </w:t>
      </w:r>
    </w:p>
    <w:p w14:paraId="1A844C2B">
      <w:pPr>
        <w:pStyle w:val="4"/>
        <w:numPr>
          <w:ilvl w:val="0"/>
          <w:numId w:val="0"/>
        </w:numPr>
        <w:spacing w:before="200" w:after="120" w:line="480" w:lineRule="auto"/>
        <w:ind w:leftChars="0"/>
        <w:jc w:val="both"/>
        <w:outlineLvl w:val="2"/>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Financial institutions are firms whose main operations involve financial transactions, such as collecting deposits, making loans, managing investments, and facilitating currency transactions. They link economic participants with excess money resources (savers) to those in need of money resources (borrowers). Financial institutions in Nigeria consist of, but are not limited to, commercial banks (conventional), microfinance institutions that provide financial services at the grassroots, insurance companies, mortgage firms, pension funds administrator and an exploding financial technology industry. </w:t>
      </w:r>
    </w:p>
    <w:p w14:paraId="51B751CA">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The economic indispensable nature of financial institutions stem from their roles of performing numerous crucial tasks which range from mobilizing savings from millions of individuals, providing those savings for use by investors, providing for an easy means of payment transactions, and helping consumers and companies to manage financial risks, while also producing a pool of intelligence for the productive usage of capital. </w:t>
      </w:r>
    </w:p>
    <w:p w14:paraId="4C79D764">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Financial institutions are considered significant for both the monetary policy and macroeconomic stabilization, Central bank of Nigeria considers financial institutions  a vehicle for capital accumulation, economic stability and growth of monetary aggregates ( CBN, 2019). Financial institutions nurture the culture of saving, facilitate investment process and provide the credit requirements for efficient functioning of productive sectors of the economy as they contribute to creation of employment, poverty reduction and industrial development. Financial institutions are believed to facilitate economic growth through identifying and financing profitable innovative entrepreneurs </w:t>
      </w:r>
      <w:r>
        <w:rPr>
          <w:rFonts w:hint="default" w:cs="Times New Roman"/>
          <w:b w:val="0"/>
          <w:bCs w:val="0"/>
          <w:color w:val="000000" w:themeColor="text1"/>
          <w:sz w:val="24"/>
          <w:szCs w:val="24"/>
          <w:lang w:val="en-US"/>
          <w14:textFill>
            <w14:solidFill>
              <w14:schemeClr w14:val="tx1"/>
            </w14:solidFill>
          </w14:textFill>
        </w:rPr>
        <w:t>(</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Schumpeter</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1911). </w:t>
      </w:r>
    </w:p>
    <w:p w14:paraId="0DA7AC2F">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cs="Times New Roman"/>
          <w:b w:val="0"/>
          <w:bCs w:val="0"/>
          <w:color w:val="000000" w:themeColor="text1"/>
          <w:sz w:val="24"/>
          <w:szCs w:val="24"/>
          <w:lang w:val="en-US"/>
          <w14:textFill>
            <w14:solidFill>
              <w14:schemeClr w14:val="tx1"/>
            </w14:solidFill>
          </w14:textFill>
        </w:rPr>
        <w:t>(</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Goldsmith</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1969) also argued that finance growth improves efficiency of process of capital accumulation and promotes economic growth. So, financial institutions are believed to be the catalysts for economic transformation through optimal allocation of resources in a productive way. </w:t>
      </w:r>
    </w:p>
    <w:p w14:paraId="56824CB7">
      <w:pPr>
        <w:pStyle w:val="4"/>
        <w:spacing w:before="200" w:after="12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2.1.2 Economic Growth</w:t>
      </w:r>
    </w:p>
    <w:p w14:paraId="72242892">
      <w:pPr>
        <w:pStyle w:val="11"/>
        <w:keepNext w:val="0"/>
        <w:keepLines w:val="0"/>
        <w:widowControl/>
        <w:suppressLineNumbers w:val="0"/>
        <w:spacing w:line="480" w:lineRule="auto"/>
        <w:jc w:val="both"/>
      </w:pPr>
      <w:r>
        <w:t>Economic growth means an increase in an economy's goods and services output</w:t>
      </w:r>
      <w:r>
        <w:rPr>
          <w:rFonts w:hint="default"/>
          <w:lang w:val="en-US"/>
        </w:rPr>
        <w:t xml:space="preserve">,  </w:t>
      </w:r>
      <w:r>
        <w:t>at the same time an increase in goods and services produce</w:t>
      </w:r>
      <w:r>
        <w:rPr>
          <w:rFonts w:hint="default"/>
          <w:lang w:val="en-US"/>
        </w:rPr>
        <w:t>d</w:t>
      </w:r>
      <w:r>
        <w:t xml:space="preserve"> per individual per period of time. Alternatively, Economic growth is increase in total output as</w:t>
      </w:r>
      <w:r>
        <w:rPr>
          <w:rFonts w:hint="default"/>
          <w:lang w:val="en-US"/>
        </w:rPr>
        <w:t xml:space="preserve"> </w:t>
      </w:r>
      <w:r>
        <w:t>consequence of increase in a nation’s productivity and as a consequence of a nation investing increased amount of inputs both physical and human inputs in the production process as suggested by Roser (2021). However the generally acknowledged measure of economic growth is the year to year variation of real gross domestic product per person.</w:t>
      </w:r>
    </w:p>
    <w:p w14:paraId="1A85F4CC">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One major different of economic growth from economic development should be borne in mind. The former simply refers to an increase in economic output, while the latter suggests an increase in living standards. The process for growth to continue in a sustainable way means more than simply more physical capital, the growth process itself needs to incorporate improved efficiency in its operation; innovation of superior technology; investment in human skills; as well as effective policies and institution to encourage innovative and efficient activities </w:t>
      </w:r>
      <w:r>
        <w:rPr>
          <w:rFonts w:hint="default" w:ascii="Times New Roman" w:hAnsi="Times New Roman" w:cs="Times New Roman"/>
          <w:b w:val="0"/>
          <w:bCs w:val="0"/>
          <w:color w:val="000000" w:themeColor="text1"/>
          <w:sz w:val="24"/>
          <w:szCs w:val="24"/>
          <w:lang w:val="en-US"/>
          <w14:textFill>
            <w14:solidFill>
              <w14:schemeClr w14:val="tx1"/>
            </w14:solidFill>
          </w14:textFill>
        </w:rPr>
        <w:t>(</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Adetokunbo &amp; Yusuf, 2024). </w:t>
      </w:r>
    </w:p>
    <w:p w14:paraId="46CCCDF2">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Economic growth reflects changes in the productive capacity, technologies employed, employment level, and national income. </w:t>
      </w:r>
    </w:p>
    <w:p w14:paraId="677A401D">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According to Todaro and Smith (2015), Economic growth refers to a sustained increase in total output or aggregate economic activity and is usually accompanied by structural and institutional transformation of the economy. Key drivers of economic growth comprise capital investment, technological development, human capital development, availability of natural resources, economic stability, and the financial system. By increasing the supply and allocating the investable resources </w:t>
      </w:r>
      <w:r>
        <w:rPr>
          <w:rFonts w:hint="default" w:ascii="Times New Roman" w:hAnsi="Times New Roman" w:cs="Times New Roman"/>
          <w:b w:val="0"/>
          <w:bCs w:val="0"/>
          <w:color w:val="000000" w:themeColor="text1"/>
          <w:sz w:val="24"/>
          <w:szCs w:val="24"/>
          <w:lang w:val="en-US"/>
          <w14:textFill>
            <w14:solidFill>
              <w14:schemeClr w14:val="tx1"/>
            </w14:solidFill>
          </w14:textFill>
        </w:rPr>
        <w:t>efficiently</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 financial system</w:t>
      </w:r>
      <w:r>
        <w:rPr>
          <w:rFonts w:hint="default" w:cs="Times New Roman"/>
          <w:b w:val="0"/>
          <w:bCs w:val="0"/>
          <w:color w:val="000000" w:themeColor="text1"/>
          <w:sz w:val="24"/>
          <w:szCs w:val="24"/>
          <w:lang w:val="en-US"/>
          <w14:textFill>
            <w14:solidFill>
              <w14:schemeClr w14:val="tx1"/>
            </w14:solidFill>
          </w14:textFill>
        </w:rPr>
        <w:t xml:space="preserve">s’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enhance economic</w:t>
      </w: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growth</w:t>
      </w:r>
      <w:r>
        <w:rPr>
          <w:rFonts w:hint="default" w:ascii="Times New Roman" w:hAnsi="Times New Roman" w:cs="Times New Roman"/>
          <w:b w:val="0"/>
          <w:bCs w:val="0"/>
          <w:color w:val="000000" w:themeColor="text1"/>
          <w:sz w:val="24"/>
          <w:szCs w:val="24"/>
          <w:lang w:val="en-US"/>
          <w14:textFill>
            <w14:solidFill>
              <w14:schemeClr w14:val="tx1"/>
            </w14:solidFill>
          </w14:textFill>
        </w:rPr>
        <w:t>.</w:t>
      </w:r>
    </w:p>
    <w:p w14:paraId="3623A122">
      <w:pPr>
        <w:pStyle w:val="3"/>
        <w:spacing w:before="240" w:after="16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2.1.3</w:t>
      </w:r>
      <w:r>
        <w:rPr>
          <w:rFonts w:hint="default" w:ascii="Times New Roman" w:hAnsi="Times New Roman" w:cs="Times New Roman"/>
          <w:b/>
          <w:bCs/>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Financial Institutions and Economic Growth in Nigeria </w:t>
      </w:r>
    </w:p>
    <w:p w14:paraId="68182F4B">
      <w:pPr>
        <w:pStyle w:val="3"/>
        <w:spacing w:before="240" w:after="16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It is a widely explored topic in economic literature whether financial institutions contribute to economic growth, and most studies attest to a positive relationship (Adewole et al., 2023). The contribution of financial institutions to growth arises from their ability to mobilizes savings, provide credit, facilitates investment, and promote financial inclusion. Nigeria's financial system has seen significant transformation and reform following Structural Adjustment Program, introduced in 1986, with various policy interventions including recapitalization and consolidation aimed at improving the banking system and enhancing their operation capabilities of the commercial banks by the CBN (Akinpelumi, Nwakanma &amp; Nnamdi, 2021).</w:t>
      </w:r>
    </w:p>
    <w:p w14:paraId="7BC52AD2">
      <w:pPr>
        <w:pStyle w:val="3"/>
        <w:spacing w:before="240" w:after="16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The 2004 banking consolidation exercise saw a reduction in the number of commercial banks, with a view of enhancing market efficiency, operational efficiency and the overall competition in the banking sector. Credit</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investment financing by financial institutions to the productive sectors (agriculture, manufacturing, telecoms, trade etc.) of the Nigerian economy has expanded significantly in post-consolidation era. However, the financial sector is currently besieged by challenges such as high lending interest rates, inadequate financial inclusion, large percentage of non-performing loans, weak compliance with financial sector regulations, exchange rate instability, high rate of inflation, corruption, and fraud (Efanga, Ugwuanyi &amp; Ekanem, 2022), which can be a hinder to </w:t>
      </w:r>
      <w:r>
        <w:rPr>
          <w:rFonts w:hint="default" w:ascii="Times New Roman" w:hAnsi="Times New Roman" w:cs="Times New Roman"/>
          <w:b w:val="0"/>
          <w:bCs w:val="0"/>
          <w:color w:val="000000" w:themeColor="text1"/>
          <w:sz w:val="24"/>
          <w:szCs w:val="24"/>
          <w:lang w:val="en-US"/>
          <w14:textFill>
            <w14:solidFill>
              <w14:schemeClr w14:val="tx1"/>
            </w14:solidFill>
          </w14:textFill>
        </w:rPr>
        <w:t>actualizing</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its developmental role on the economy.</w:t>
      </w:r>
    </w:p>
    <w:p w14:paraId="0748A471">
      <w:pPr>
        <w:pStyle w:val="3"/>
        <w:spacing w:before="240" w:after="16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2.1.4 Broad Money Supply (M2) </w:t>
      </w:r>
    </w:p>
    <w:p w14:paraId="655D0C05">
      <w:pPr>
        <w:pStyle w:val="3"/>
        <w:spacing w:before="240" w:after="16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cs="Times New Roman"/>
          <w:b w:val="0"/>
          <w:bCs w:val="0"/>
          <w:color w:val="000000" w:themeColor="text1"/>
          <w:sz w:val="24"/>
          <w:szCs w:val="24"/>
          <w:lang w:val="en-US"/>
          <w14:textFill>
            <w14:solidFill>
              <w14:schemeClr w14:val="tx1"/>
            </w14:solidFill>
          </w14:textFill>
        </w:rPr>
        <w:t>M</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oney supply, a quantity of money available to serve as medium of exchange and unit of account, defined broadly in Nigerian context as stock of money available to the public which consists of cash holdings by the general public plus bank deposits which is readily converted to cash (Decker &amp; Goodhart, 2022). According to CBN (2024), Money supply refers to stock of money that are in existence in an economy for the purpose of transacting, investing</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saving at any given time and an indication as a monetary aggregate. As monetary policy is geared toward affecting the economy’s economic conditions through influences of some variables namely money supply in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economy as a variable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interest rate etc (Adewuyi et al., 2024). Broad money supply (M2) measures widest available money in the economy; M1 include cash, </w:t>
      </w:r>
      <w:r>
        <w:rPr>
          <w:rFonts w:hint="default" w:ascii="Times New Roman" w:hAnsi="Times New Roman" w:cs="Times New Roman"/>
          <w:b w:val="0"/>
          <w:bCs w:val="0"/>
          <w:color w:val="000000" w:themeColor="text1"/>
          <w:sz w:val="24"/>
          <w:szCs w:val="24"/>
          <w:lang w:val="en-US"/>
          <w14:textFill>
            <w14:solidFill>
              <w14:schemeClr w14:val="tx1"/>
            </w14:solidFill>
          </w14:textFill>
        </w:rPr>
        <w:t>check able</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deposit in bank; where M1 includes currency and bank deposits but excludes government and bank-deposits held at the central bank; broader in the sense it include M1+</w:t>
      </w:r>
      <w:r>
        <w:rPr>
          <w:rFonts w:hint="default" w:ascii="Times New Roman" w:hAnsi="Times New Roman" w:cs="Times New Roman"/>
          <w:b w:val="0"/>
          <w:bCs w:val="0"/>
          <w:color w:val="000000" w:themeColor="text1"/>
          <w:sz w:val="24"/>
          <w:szCs w:val="24"/>
          <w:lang w:val="en-US"/>
          <w14:textFill>
            <w14:solidFill>
              <w14:schemeClr w14:val="tx1"/>
            </w14:solidFill>
          </w14:textFill>
        </w:rPr>
        <w:t>savings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deposit, time deposit. The CBN defines it as measure of </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stock of money in the economy </w:t>
      </w:r>
      <w:r>
        <w:rPr>
          <w:rFonts w:hint="default" w:cs="Times New Roman"/>
          <w:b w:val="0"/>
          <w:bCs w:val="0"/>
          <w:color w:val="000000" w:themeColor="text1"/>
          <w:sz w:val="24"/>
          <w:szCs w:val="24"/>
          <w:lang w:val="en-US"/>
          <w14:textFill>
            <w14:solidFill>
              <w14:schemeClr w14:val="tx1"/>
            </w14:solidFill>
          </w14:textFill>
        </w:rPr>
        <w:t>that's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available to be spent, saved or invested in productive or speculative ventures (CBN, 2024).</w:t>
      </w:r>
    </w:p>
    <w:p w14:paraId="402171F1">
      <w:pPr>
        <w:pStyle w:val="3"/>
        <w:spacing w:before="240" w:after="16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2.1.5 Credit to Private Sector </w:t>
      </w:r>
    </w:p>
    <w:p w14:paraId="3F3ADBA3">
      <w:pPr>
        <w:pStyle w:val="3"/>
        <w:spacing w:before="240" w:after="16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Private credit is the flow of </w:t>
      </w:r>
      <w:r>
        <w:rPr>
          <w:rFonts w:hint="default" w:cs="Times New Roman"/>
          <w:b w:val="0"/>
          <w:bCs w:val="0"/>
          <w:color w:val="000000" w:themeColor="text1"/>
          <w:sz w:val="24"/>
          <w:szCs w:val="24"/>
          <w:lang w:val="en-US"/>
          <w14:textFill>
            <w14:solidFill>
              <w14:schemeClr w14:val="tx1"/>
            </w14:solidFill>
          </w14:textFill>
        </w:rPr>
        <w:t xml:space="preserve">money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extended by financial institutions (like commercial banks) to individuals and enterprises (Chandio et al., 2024), and considered a strong indicator of financial development by measuring how intensely and productively financial institutions are supporting economic activity (Eseyin et al., 2022). It directs savings into the real sector which in turn spurs growth, by providing financing to firms and individuals with productive and profitable projects, as outlined by Levine (2005), finance contributes to growth via the direction of funds to highly productive capital accumulation in the private sector. In Nigeria, private credit provided to agriculture, trade, manufacturing, and telecommunications has played important roles.</w:t>
      </w:r>
    </w:p>
    <w:p w14:paraId="436B7517">
      <w:pPr>
        <w:pStyle w:val="3"/>
        <w:spacing w:before="240" w:after="16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2.1.6 Concept of Inflation Rate </w:t>
      </w:r>
    </w:p>
    <w:p w14:paraId="5BE0B364">
      <w:pPr>
        <w:pStyle w:val="3"/>
        <w:spacing w:before="240" w:after="16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Inflation rate describes a persistent increase in prices in general, a measurement of rise in prices. Inflation is traditionally measured by a </w:t>
      </w:r>
      <w:r>
        <w:rPr>
          <w:rFonts w:hint="default" w:cs="Times New Roman"/>
          <w:b w:val="0"/>
          <w:bCs w:val="0"/>
          <w:color w:val="000000" w:themeColor="text1"/>
          <w:sz w:val="24"/>
          <w:szCs w:val="24"/>
          <w:lang w:val="en-US"/>
          <w14:textFill>
            <w14:solidFill>
              <w14:schemeClr w14:val="tx1"/>
            </w14:solidFill>
          </w14:textFill>
        </w:rPr>
        <w:t>c</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onsumer </w:t>
      </w:r>
      <w:r>
        <w:rPr>
          <w:rFonts w:hint="default" w:cs="Times New Roman"/>
          <w:b w:val="0"/>
          <w:bCs w:val="0"/>
          <w:color w:val="000000" w:themeColor="text1"/>
          <w:sz w:val="24"/>
          <w:szCs w:val="24"/>
          <w:lang w:val="en-US"/>
          <w14:textFill>
            <w14:solidFill>
              <w14:schemeClr w14:val="tx1"/>
            </w14:solidFill>
          </w14:textFill>
        </w:rPr>
        <w:t>p</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rice </w:t>
      </w:r>
      <w:r>
        <w:rPr>
          <w:rFonts w:hint="default" w:cs="Times New Roman"/>
          <w:b w:val="0"/>
          <w:bCs w:val="0"/>
          <w:color w:val="000000" w:themeColor="text1"/>
          <w:sz w:val="24"/>
          <w:szCs w:val="24"/>
          <w:lang w:val="en-US"/>
          <w14:textFill>
            <w14:solidFill>
              <w14:schemeClr w14:val="tx1"/>
            </w14:solidFill>
          </w14:textFill>
        </w:rPr>
        <w:t>i</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ndex (CPI) that is computed from price changes</w:t>
      </w:r>
      <w:r>
        <w:rPr>
          <w:rFonts w:hint="default" w:cs="Times New Roman"/>
          <w:b w:val="0"/>
          <w:bCs w:val="0"/>
          <w:color w:val="000000" w:themeColor="text1"/>
          <w:sz w:val="24"/>
          <w:szCs w:val="24"/>
          <w:lang w:val="en-US"/>
          <w14:textFill>
            <w14:solidFill>
              <w14:schemeClr w14:val="tx1"/>
            </w14:solidFill>
          </w14:textFill>
        </w:rPr>
        <w:t xml:space="preserve"> in</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a selection of merchandise generally consumed by households (Salwati &amp; Wessel, 2021). Inflation basically involves changes in all Prices and it measures changes of aggregate prices, such as a price index for consumer goods or the prices of commodities. To the Monetarist economists (Friedman, 1963), the primary causes of inflation lie in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excessive money supply relative to level of output. </w:t>
      </w:r>
      <w:r>
        <w:rPr>
          <w:rFonts w:hint="default" w:cs="Times New Roman"/>
          <w:b w:val="0"/>
          <w:bCs w:val="0"/>
          <w:color w:val="000000" w:themeColor="text1"/>
          <w:sz w:val="24"/>
          <w:szCs w:val="24"/>
          <w:lang w:val="en-US"/>
          <w14:textFill>
            <w14:solidFill>
              <w14:schemeClr w14:val="tx1"/>
            </w14:solidFill>
          </w14:textFill>
        </w:rPr>
        <w:t>A</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ny definition of prices as a basket of goods or a index of relative prices which will be referred to as price level, the rate of inflation over a specified period is a measure of price index of the latter time relative to price index of the former time, subtracted from the quantity one. Seiler (2020) defines the concept to be an increase in price over a time horizon which is called general price increase, rate which currency devalues, price which items have inflated or rise.</w:t>
      </w:r>
    </w:p>
    <w:p w14:paraId="16A82F7F">
      <w:pPr>
        <w:pStyle w:val="3"/>
        <w:spacing w:before="240" w:after="16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2.1.7 Concept of Interest Rate </w:t>
      </w:r>
    </w:p>
    <w:p w14:paraId="16DCEC55">
      <w:pPr>
        <w:pStyle w:val="11"/>
        <w:keepNext w:val="0"/>
        <w:keepLines w:val="0"/>
        <w:widowControl/>
        <w:suppressLineNumbers w:val="0"/>
        <w:spacing w:line="480" w:lineRule="auto"/>
        <w:jc w:val="both"/>
      </w:pPr>
      <w:r>
        <w:rPr>
          <w:rFonts w:hint="default" w:eastAsia="Times New Roman" w:cs="Times New Roman"/>
          <w:b w:val="0"/>
          <w:bCs w:val="0"/>
          <w:color w:val="000000" w:themeColor="text1"/>
          <w:sz w:val="24"/>
          <w:szCs w:val="24"/>
          <w:lang w:val="en-US"/>
          <w14:textFill>
            <w14:solidFill>
              <w14:schemeClr w14:val="tx1"/>
            </w14:solidFill>
          </w14:textFill>
        </w:rPr>
        <w:t>I</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nterest rate is return on an investment (yield),</w:t>
      </w:r>
      <w:r>
        <w:rPr>
          <w:rFonts w:hint="default" w:eastAsia="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cost of borrowing money or the premium paid to delay consuming money into the future (Ihrig, Weinbach &amp; Wolla, 2021). Keynes (1936) stated that, an interest rate can be interpreted as the premium to be paid to anyone who refrains from consuming funds, in other words, as compensation for saving the money during the period. The modern central banks manage this rate for controlling the flow of liquidity in the economy. </w:t>
      </w:r>
      <w:r>
        <w:rPr>
          <w:rFonts w:hint="default" w:eastAsia="Times New Roman" w:cs="Times New Roman"/>
          <w:b w:val="0"/>
          <w:bCs w:val="0"/>
          <w:color w:val="000000" w:themeColor="text1"/>
          <w:sz w:val="24"/>
          <w:szCs w:val="24"/>
          <w:lang w:val="en-US"/>
          <w14:textFill>
            <w14:solidFill>
              <w14:schemeClr w14:val="tx1"/>
            </w14:solidFill>
          </w14:textFill>
        </w:rPr>
        <w:t>L</w:t>
      </w:r>
      <w:r>
        <w:t>evel of interest rate, however, is dependent on the demand and supply for money as well as the policy decisions taken by the central bank of a country (Ihrig, Weinbach &amp; Wolla, 2021). Monetary policy rate (MPR), which refers to</w:t>
      </w:r>
      <w:r>
        <w:rPr>
          <w:rFonts w:hint="default"/>
          <w:lang w:val="en-US"/>
        </w:rPr>
        <w:t xml:space="preserve"> </w:t>
      </w:r>
      <w:r>
        <w:t>rate at which central bank lends to the other commercial banks.</w:t>
      </w:r>
    </w:p>
    <w:p w14:paraId="1231D5C8">
      <w:pPr>
        <w:pStyle w:val="3"/>
        <w:spacing w:before="240" w:after="16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Cash Reserve Requirement (CRR), a proportion of cash deposit a bank must maintain with the CBN, is also another mechanism for influencing rates at the Nigerian economy. Open Market Operations (OMO), used to manage liquidity in banks, is a means by which the central bank deals in the financial markets to influence rates.</w:t>
      </w:r>
    </w:p>
    <w:p w14:paraId="246AC997">
      <w:pPr>
        <w:pStyle w:val="4"/>
        <w:numPr>
          <w:ilvl w:val="1"/>
          <w:numId w:val="3"/>
        </w:numPr>
        <w:spacing w:before="200" w:after="120" w:line="480" w:lineRule="auto"/>
        <w:ind w:left="0" w:leftChars="0" w:firstLine="0" w:firstLineChars="0"/>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Theoretical Literature</w:t>
      </w:r>
    </w:p>
    <w:p w14:paraId="3C856AB5">
      <w:pPr>
        <w:pStyle w:val="4"/>
        <w:numPr>
          <w:ilvl w:val="2"/>
          <w:numId w:val="3"/>
        </w:numPr>
        <w:spacing w:before="200" w:after="120" w:line="480" w:lineRule="auto"/>
        <w:ind w:left="0" w:leftChars="0" w:firstLine="0" w:firstLineChars="0"/>
        <w:outlineLvl w:val="2"/>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Supply Leading Hypothesis (Finance Led Growth Theory</w:t>
      </w:r>
      <w:r>
        <w:rPr>
          <w:rFonts w:hint="default" w:cs="Times New Roman"/>
          <w:b/>
          <w:bCs/>
          <w:color w:val="000000" w:themeColor="text1"/>
          <w:sz w:val="24"/>
          <w:szCs w:val="24"/>
          <w:lang w:val="en-US"/>
          <w14:textFill>
            <w14:solidFill>
              <w14:schemeClr w14:val="tx1"/>
            </w14:solidFill>
          </w14:textFill>
        </w:rPr>
        <w:t>)</w:t>
      </w:r>
    </w:p>
    <w:p w14:paraId="1256E06B">
      <w:pPr>
        <w:pStyle w:val="4"/>
        <w:numPr>
          <w:ilvl w:val="0"/>
          <w:numId w:val="0"/>
        </w:numPr>
        <w:spacing w:before="200" w:after="120" w:line="480" w:lineRule="auto"/>
        <w:ind w:leftChars="0"/>
        <w:jc w:val="both"/>
        <w:outlineLvl w:val="2"/>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upply leading hypothesis, which builds upon the theoretical underpinnings of Schumpeter’s developmental theory and was formalized in 1967 by Gurley and Shaw, suggests that an advanced financial system </w:t>
      </w:r>
      <w:r>
        <w:rPr>
          <w:rFonts w:hint="default" w:ascii="Times New Roman" w:hAnsi="Times New Roman" w:cs="Times New Roman"/>
          <w:b w:val="0"/>
          <w:bCs w:val="0"/>
          <w:color w:val="000000" w:themeColor="text1"/>
          <w:sz w:val="24"/>
          <w:szCs w:val="24"/>
          <w:lang w:val="en-US"/>
          <w14:textFill>
            <w14:solidFill>
              <w14:schemeClr w14:val="tx1"/>
            </w14:solidFill>
          </w14:textFill>
        </w:rPr>
        <w:t>precedes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and fosters economic growth. In the view of proponents, the financial system takes the lead by actively promoting saving, developing more efficient transmission mechanisms, reducing informational and transactional costs and facilitating credit towards innovative and productive investments (Levine., 2005). Financial systems therefore serve as the engines that accelerate entrepreneurship, capital accumulation and structure transformation for the benefit of developing countries. Key to the supply leading perspective is the role of financial development, measured typically by ratio of credit to private sector to GDP and also broadly money supply M2/GDP. The two measures essentially capture both the capacity to mobilize financial savings and the capability to deploy those funds efficiently into productive use. In economies like Nigeria, expansion of domestic credit and broad money should stimulate private investment and promote overall growth through relaxation of credit constraints that would have stifled such investment growth at its initial stage. However, economic and price stability as reflected by inflation and spreads could indeed determine the strength of such impacts from financial development to economic growth. Therefore, we anticipate positive coefficient for financial development variables and possibly negative one for those that reflect high levels of uncertainty in prices and a wider range for interest rates (Abu-Bader., 2008). A drawback of</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supply leading hypothesis is simplistic assumption of causality, assuming only one way causation, moving from finance to growth (Levine, 2008) and ignoring any possible reversed causation in an early stage of development and possibly</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bi</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directional causality when the level of financial markets are somewhat more developed (Liu, 2003). Nevertheless, the hypothesis is crucial in recognizing catalytic role</w:t>
      </w:r>
      <w:r>
        <w:rPr>
          <w:rFonts w:hint="default"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played by financial institutions in pooling</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re-allocating funds into production. In this context, supply leading approach indicates that deepening of Nigeria’s financial market may enhance positive credit to domestic investment by expanding broad money supply in Nigeria and by increasing total bank claims to domestic customers while poor macroeconomic conditions that characterized by high and unstable inflationary rates and spreads would have dampened such positive relation.</w:t>
      </w:r>
    </w:p>
    <w:p w14:paraId="119371A2">
      <w:pPr>
        <w:pStyle w:val="4"/>
        <w:numPr>
          <w:ilvl w:val="0"/>
          <w:numId w:val="0"/>
        </w:numPr>
        <w:spacing w:before="200" w:after="120" w:line="480" w:lineRule="auto"/>
        <w:ind w:leftChars="0"/>
        <w:jc w:val="both"/>
        <w:outlineLvl w:val="2"/>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br w:type="textWrapping"/>
      </w: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2.2.2 McKinnon Shaw Financial Repression (Deepening Theory) </w:t>
      </w:r>
    </w:p>
    <w:p w14:paraId="40DFC504">
      <w:pPr>
        <w:pStyle w:val="11"/>
        <w:keepNext w:val="0"/>
        <w:keepLines w:val="0"/>
        <w:widowControl/>
        <w:suppressLineNumbers w:val="0"/>
        <w:spacing w:line="480" w:lineRule="auto"/>
        <w:jc w:val="both"/>
        <w:rPr>
          <w:rFonts w:hint="default" w:ascii="Times New Roman" w:hAnsi="Times New Roman" w:eastAsia="Times New Roman" w:cs="Times New Roman"/>
          <w:b/>
          <w:bCs/>
          <w:color w:val="000000" w:themeColor="text1"/>
          <w:sz w:val="24"/>
          <w:szCs w:val="24"/>
          <w14:textFill>
            <w14:solidFill>
              <w14:schemeClr w14:val="tx1"/>
            </w14:solidFill>
          </w14:textFill>
        </w:rPr>
      </w:pPr>
      <w:r>
        <w:t>Financial liberalization is one of the most debated topics concerning economic development for developing economies. Developed by (McKinnon., 1973), this hypothesis was presented to the world at the same time as an independent work by Shaw (1973), and it is considered by far the most analytically impressive frameworks in this area of the economics literature. In McKinnon’s view, excessive repression of financial markets such as having interest rate ceilings, a high requirement of bank reserve holdings, government determined loan rates for public sector guaranteed loans etc. Will distort the signals within the economy, consequently suppressing saving mobilization, inefficient allocation of capital and inefficient investment, hindering the emergence of new productive ventures in the home country and, more concisely; impeding the potential to perform essential financial intermediation services (Fry., 1997).</w:t>
      </w:r>
      <w:r>
        <w:rPr>
          <w:rFonts w:hint="default"/>
          <w:lang w:val="en-US"/>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In turn, </w:t>
      </w:r>
      <w:r>
        <w:rPr>
          <w:rFonts w:hint="default" w:ascii="Times New Roman" w:hAnsi="Times New Roman" w:cs="Times New Roman"/>
          <w:b w:val="0"/>
          <w:bCs w:val="0"/>
          <w:color w:val="000000" w:themeColor="text1"/>
          <w:sz w:val="24"/>
          <w:szCs w:val="24"/>
          <w:lang w:val="en-US"/>
          <w14:textFill>
            <w14:solidFill>
              <w14:schemeClr w14:val="tx1"/>
            </w14:solidFill>
          </w14:textFill>
        </w:rPr>
        <w:t>liberalization</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in these markets where interest rates are free to reflect their equilibrium level will raise interest rate above zero; encourage the collection of savings and thus foster credit allocation towards productive avenues and boost capital formation (Nnanna., 2004). In the present study, economic growth could be achieved through McKinnon</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Shaw hypothesis, in this approach the increase of</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broad money(M2/GDP) will stimulate savings</w:t>
      </w:r>
      <w:r>
        <w:rPr>
          <w:rFonts w:hint="default" w:eastAsia="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hence, credit to private sectors will respond positively. Moreover, with adequate levels of low and predictable inflation, it would lead to positive incentives to save, which in turn can lead to increase in long-term investment via proper credit transmission mechanisms (Roubini., 1992). However, the</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McKinnon</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Shaw approach does make a few assumptions about the financial market that are less suitable in certain cases in developing countries such as lack of proper institution, existence of shallow markets, high levels of volatility and the presence of inflationary pressures that may hinder the efficiency of </w:t>
      </w:r>
      <w:r>
        <w:rPr>
          <w:rFonts w:hint="default" w:ascii="Times New Roman" w:hAnsi="Times New Roman" w:cs="Times New Roman"/>
          <w:b w:val="0"/>
          <w:bCs w:val="0"/>
          <w:color w:val="000000" w:themeColor="text1"/>
          <w:sz w:val="24"/>
          <w:szCs w:val="24"/>
          <w:lang w:val="en-US"/>
          <w14:textFill>
            <w14:solidFill>
              <w14:schemeClr w14:val="tx1"/>
            </w14:solidFill>
          </w14:textFill>
        </w:rPr>
        <w:t>liberalization</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(Stiglitz, 2000). From this view, low inflation rate and stable spreads are important factors that facilitate efficient functioning of banks to intermediate between savers and investors. High level of spreads may discourage lending due to higher cost, high</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inflation can affect saving because the</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real</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value</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of savings is erode due to this practice. The expansion of broad money and increased level of credit to private sector is therefore expected to stimulate domestic investment</w:t>
      </w:r>
      <w:r>
        <w:rPr>
          <w:rFonts w:hint="default" w:ascii="Times New Roman" w:hAnsi="Times New Roman" w:cs="Times New Roman"/>
          <w:b w:val="0"/>
          <w:bCs w:val="0"/>
          <w:color w:val="000000" w:themeColor="text1"/>
          <w:sz w:val="24"/>
          <w:szCs w:val="24"/>
          <w:lang w:val="en-US"/>
          <w14:textFill>
            <w14:solidFill>
              <w14:schemeClr w14:val="tx1"/>
            </w14:solidFill>
          </w14:textFill>
        </w:rPr>
        <w:t>.</w:t>
      </w:r>
    </w:p>
    <w:p w14:paraId="550D0082">
      <w:pPr>
        <w:pStyle w:val="4"/>
        <w:spacing w:before="200" w:after="12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2.2.3 Stage of Development Theory (Feedback Hypothesis) </w:t>
      </w:r>
    </w:p>
    <w:p w14:paraId="063550D9">
      <w:pPr>
        <w:pStyle w:val="4"/>
        <w:spacing w:before="200" w:after="120" w:line="480" w:lineRule="auto"/>
        <w:jc w:val="both"/>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The feedback hypothesis first introduced </w:t>
      </w:r>
      <w:r>
        <w:rPr>
          <w:rFonts w:hint="default" w:cs="Times New Roman"/>
          <w:b w:val="0"/>
          <w:bCs w:val="0"/>
          <w:color w:val="000000" w:themeColor="text1"/>
          <w:sz w:val="24"/>
          <w:szCs w:val="24"/>
          <w:lang w:val="en-US"/>
          <w14:textFill>
            <w14:solidFill>
              <w14:schemeClr w14:val="tx1"/>
            </w14:solidFill>
          </w14:textFill>
        </w:rPr>
        <w:t>(</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Hugh Patrick</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1966) hypothesizes that </w:t>
      </w:r>
      <w:r>
        <w:rPr>
          <w:rFonts w:hint="default" w:cs="Times New Roman"/>
          <w:b w:val="0"/>
          <w:bCs w:val="0"/>
          <w:color w:val="000000" w:themeColor="text1"/>
          <w:sz w:val="24"/>
          <w:szCs w:val="24"/>
          <w:lang w:val="en-US"/>
          <w14:textFill>
            <w14:solidFill>
              <w14:schemeClr w14:val="tx1"/>
            </w14:solidFill>
          </w14:textFill>
        </w:rPr>
        <w:t xml:space="preserve">any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form of </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relationship between financial development and economic growth depends on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stage</w:t>
      </w:r>
      <w:r>
        <w:rPr>
          <w:rFonts w:hint="default"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of development. In earlier stage of development, the supply of financial services side dominates, but as real economy</w:t>
      </w:r>
      <w:r>
        <w:rPr>
          <w:rFonts w:hint="default"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grow, demand</w:t>
      </w:r>
      <w:r>
        <w:rPr>
          <w:rFonts w:hint="default"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for financial services becomes more influential. Hence, the hypothesis supports a bi-causal relation between financial and growth literature implying a strong, and a positive interrelationship (Alenoghena et al., 2020). The Feedback Hypothesis postulates that the finance</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growth relationship operates at all level and stages of development, and thus are beneficial to each other at every stage. The interaction between the two has a direction that depends on the stages of development.</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br w:type="textWrapping"/>
      </w: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2.2.4 Schumpeterian Growth Theory </w:t>
      </w:r>
    </w:p>
    <w:p w14:paraId="3725DEC0">
      <w:pPr>
        <w:pStyle w:val="4"/>
        <w:spacing w:before="200" w:after="120" w:line="480" w:lineRule="auto"/>
        <w:jc w:val="both"/>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Financial analysis of economics took root from Joseph Schumpeter, who wrote on the subject in the early twentieth century. Schumpeter offered the thesis that a dynamic economy cannot be sustained, nor can financial institutions carry out their proper functions, without innovation and risk taking by innovative entrepreneurs. The core idea in his reasoning was that good banking system do more than just allocate funds. A banking system can identify opportunities for innovation and supply the resources with which those opportunity can be pursued and that good banking system will foster the creation and use of innovations. Innovation is thus not just the result of, but also cause of growth. He introduced the term "creative destruction," a process in which new ideas and products and processes displace the old. Innovations make existing capital stock obsolete.</w:t>
      </w:r>
    </w:p>
    <w:p w14:paraId="58DDE2DC">
      <w:pPr>
        <w:pStyle w:val="4"/>
        <w:spacing w:before="200" w:after="12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2.2.5 Endogenous Growth Theory </w:t>
      </w:r>
    </w:p>
    <w:p w14:paraId="07E72EAF">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The second of the dominant perspectives, arising with the contributions of Paul Romer (1990) and subsequently developed further by Philippe Aghion and Peter Howitt, provides a different story as to where economic growth comes from. Endogenous growth theory takes a contrasting view to prior approaches, as it claims that growth occurs endogenously to an economy itself by an explicit, and intentional, investment in innovation and accumulation of human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technological capital. </w:t>
      </w:r>
      <w:r>
        <w:rPr>
          <w:rFonts w:hint="default" w:cs="Times New Roman"/>
          <w:b w:val="0"/>
          <w:bCs w:val="0"/>
          <w:color w:val="000000" w:themeColor="text1"/>
          <w:sz w:val="24"/>
          <w:szCs w:val="24"/>
          <w:lang w:val="en-US"/>
          <w14:textFill>
            <w14:solidFill>
              <w14:schemeClr w14:val="tx1"/>
            </w14:solidFill>
          </w14:textFill>
        </w:rPr>
        <w:t>E</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mphasis of romer is particularly on the technological side</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he maintains that technological advances arise because individual, profit-seeking firms undertake research and development on an industrial scale. It is the role of financial intermediaries that is critical in ensuring that enterprises can get the funding they need to engage in these riskier R and D activities with uncertain returns. By enabling an economy's stock of technological know</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how to expand, efficient financial markets help to establish the environment for long</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run prosperity. </w:t>
      </w:r>
    </w:p>
    <w:p w14:paraId="2848563F">
      <w:pPr>
        <w:pStyle w:val="4"/>
        <w:spacing w:before="200" w:after="12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2.2.6 Financial Intermediation theory </w:t>
      </w:r>
    </w:p>
    <w:p w14:paraId="05615862">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First outlined by gurley</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shaw in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mid-1950's, the financial intermediation theory explains why financial intermediaries arise and persist. Further explored by subsequent researchers, the logic is that such intermediaries exist primarily to overcome the numerous market frictions which plague a hypothetical </w:t>
      </w:r>
      <w:r>
        <w:rPr>
          <w:rFonts w:hint="default" w:ascii="Times New Roman" w:hAnsi="Times New Roman" w:cs="Times New Roman"/>
          <w:b w:val="0"/>
          <w:bCs w:val="0"/>
          <w:color w:val="000000" w:themeColor="text1"/>
          <w:sz w:val="24"/>
          <w:szCs w:val="24"/>
          <w:lang w:val="en-US"/>
          <w14:textFill>
            <w14:solidFill>
              <w14:schemeClr w14:val="tx1"/>
            </w14:solidFill>
          </w14:textFill>
        </w:rPr>
        <w:t>friction less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perfect market. In a truly perfect market, it is easy enough for all</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savers to lend directly to all</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borrowers. In reality, however, it is quite a different matter for savers and borrowers to get acquainted, evaluating borrower credit-worthiness is difficult and costly, and monitoring loan performance after lending is likewise problematical. Financial intermediaries specialize in the various functions needed to overcome these friction-induced issues. They aggregate small individual loans from many</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savers into larger loans to businesses; they offer liquidity services to</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savers, while at the same time managing assets with a longer time dimension; they pool risks among , thus diversifying risk and mitigating systemic risk; and they develop information systems to monitor their</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clients</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and lend to those of appropriate credit quality.</w:t>
      </w:r>
    </w:p>
    <w:p w14:paraId="61DDA5EE">
      <w:pPr>
        <w:pStyle w:val="4"/>
        <w:spacing w:before="200" w:after="120" w:line="48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2.2.7 Theoretical Perspectives on Finance and Economic Growth</w:t>
      </w:r>
    </w:p>
    <w:p w14:paraId="42AC47F8">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Academic discourse has produced several competing perspectives on</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directional relationship between financial development and economic growth, each offering distinct insights into the nature of their interaction across time.</w:t>
      </w:r>
    </w:p>
    <w:p w14:paraId="6C508FFC">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Hugh Patrick's (1966) influential framework introduced supply-leading and demand-following hypotheses. </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S</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upply-leading view proposes that in early development stages, deliberate creation of financial institutions</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 expansion of financial services precede demand for those services. According to this view, when policymakers proactively establish new financial structures and broaden the range of available products, this expanded supply itself stimulates economic growth by mobilizing previously idle savings</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enabling investment in previously capital-starved sectors</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essentially unlocking latent growth potential.</w:t>
      </w:r>
    </w:p>
    <w:p w14:paraId="40725CCE">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The demand-following hypothesis presents a contrasting narrative, proposing that as the real economy expands and new industries emerge, enterprises increasingly require sophisticated financial services to sustain their operations. From this standpoint, financial development responds to growth rather than initiating it</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as enterprises grow larger and more complex, they generate demand for new financial products, prompting financial institutions to evolve and extend their service offerings. Patrick acknowledged that both patterns likely manifest, but at different developmental stages.</w:t>
      </w:r>
    </w:p>
    <w:p w14:paraId="785FA7A3">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Building on this framework, some scholars argue that treating the finance</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growth relationship as unidirectional oversimplifies what is fundamentally a bilateral dynamic. The feedback hypothesis recognizes that financial development and economic expansion mutually reinforce one another in a virtuous cycle</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well-developed financial systems accelerate growth through multiple channels, while a growing, more complex economy generates demand for increasingly sophisticated financial services, propelling further financial sector development. This bilateral perspective carries significant policy implications.</w:t>
      </w:r>
    </w:p>
    <w:p w14:paraId="7CECF35E">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Another dimension of the debate concerns bank-based versus market-based financial systems. Proponents of bank-based systems highlight banks' capacity to develop long-term client relationships, exercise oversight over corporate management, and mobilize retail savings effectively. Advocates for market</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based systems counter that equity and bond markets enable more effective risk diversification, discipline corporate managers through takeover threats, and facilitate capital allocation through price signals. However, Ross Levine and other contemporary scholars argue that the critical question is not which system a country relies upon, but whether its financial system</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however organized</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effectively delivers the services the economy requires. </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Q</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uality</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efficiency of financial services matter for growth than the specific institutional arrangements through which those services are provided.</w:t>
      </w:r>
    </w:p>
    <w:p w14:paraId="4DC7218F">
      <w:pPr>
        <w:numPr>
          <w:ilvl w:val="1"/>
          <w:numId w:val="3"/>
        </w:numPr>
        <w:spacing w:after="160" w:line="480" w:lineRule="auto"/>
        <w:ind w:left="0" w:leftChars="0" w:firstLine="0" w:firstLineChars="0"/>
        <w:jc w:val="both"/>
        <w:rPr>
          <w:rFonts w:hint="default" w:ascii="Times New Roman" w:hAnsi="Times New Roman" w:cs="Times New Roman"/>
          <w:b/>
          <w:bCs/>
          <w:i w:val="0"/>
          <w:iCs w:val="0"/>
          <w:color w:val="000000" w:themeColor="text1"/>
          <w:sz w:val="24"/>
          <w:szCs w:val="24"/>
          <w:lang w:val="en-US"/>
          <w14:textFill>
            <w14:solidFill>
              <w14:schemeClr w14:val="tx1"/>
            </w14:solidFill>
          </w14:textFill>
        </w:rPr>
      </w:pPr>
      <w:r>
        <w:rPr>
          <w:rFonts w:hint="default" w:ascii="Times New Roman" w:hAnsi="Times New Roman" w:cs="Times New Roman"/>
          <w:b/>
          <w:bCs/>
          <w:i w:val="0"/>
          <w:iCs w:val="0"/>
          <w:color w:val="000000" w:themeColor="text1"/>
          <w:sz w:val="24"/>
          <w:szCs w:val="24"/>
          <w:lang w:val="en-US"/>
          <w14:textFill>
            <w14:solidFill>
              <w14:schemeClr w14:val="tx1"/>
            </w14:solidFill>
          </w14:textFill>
        </w:rPr>
        <w:t xml:space="preserve">Empirical Literature </w:t>
      </w:r>
    </w:p>
    <w:p w14:paraId="3D7C1B92">
      <w:pPr>
        <w:numPr>
          <w:ilvl w:val="0"/>
          <w:numId w:val="0"/>
        </w:numPr>
        <w:spacing w:after="160" w:line="480" w:lineRule="auto"/>
        <w:ind w:leftChars="0"/>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(Akintola et al., 2020) carried out a research on influence of development of  financial sectors on economic growth in Nigeria, the data being quarterly, from first quarter of  year 2000 to fourth quarter of 2019 using Auto regressive Distributed Lag (ARDL) framework. Their result indicates financial depth, liquidity of banking sector and overall index all has a positive impact, statistically significant impact on real output in the long run, with, exchange rate, on the contrary, being associated with decline rate of real output. Akinpelumi, Nwakanma and Ikechukwu (2021) analyzed to what extent would institution finance influences the economy in Nigeria. </w:t>
      </w:r>
    </w:p>
    <w:p w14:paraId="6BC3259C">
      <w:pPr>
        <w:spacing w:after="160" w:line="480" w:lineRule="auto"/>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They obtained data from CBN statistical bulletin on time series 1981- 2019, they employed unit root testing, co integration analysis, error correction modelling, and Granger causality tests in their estimation approach and institution finance proxied with commercial bank credit, microfinance bank credit, mortgage bank credit, agricultural bank credit, NEXIM loan and World bank loan. </w:t>
      </w:r>
    </w:p>
    <w:p w14:paraId="753397EA">
      <w:pPr>
        <w:spacing w:after="160" w:line="480" w:lineRule="auto"/>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They found that microfinance bank credit, BOI credit, among the selected variables positively influences Nigerian economy. Monogbe, Achugbu, Uzowuru and Edori (2021) explored the relationship between the bank commercial loans and advances given to selected sectors and their poverty reduction impact in Nigeria between 1981 to 2019. Specifically they looked at their impact on manufacturing sector, agricultural sector and SMEs. (Albert et al., 2022) explored effects of financial development on Nigeria economic growth by regressing the four different models using</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OLS across their research; a real interest rate (IR) and a general gross domestic savings (GDS), a real interest rate and a private sector credit (PSC) as independent variable and as the case for another research a Savings (S) and PSC; using the Nigeria’s Gross Domestic Product (GDP) as a dependent variable.  Result show that impact of IR/GDS and IR/PSC are positive, and Savings/PSC both are positive in the short run but when both are pooled together real interest rate, real interest rate and saving has negative insignificant, the only variable with significant positive impact on growth rate was PSC, so a mix of both the effects is positive. </w:t>
      </w:r>
    </w:p>
    <w:p w14:paraId="7A64662F">
      <w:pPr>
        <w:spacing w:after="160" w:line="480" w:lineRule="auto"/>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(Appiah-Otoo., 2022) used a dataset for 31 provinces in China on financial technology and economic growth from 2011 to 2017 and applied an instrumental variable-generalized method of moments technique to estimate models and found out Fin Tech have positive influence on China economic growth. (Udeh., 2021) estimated the effect of the exchange rate on the Nigerian economy from 2009 to 2018 using OLS, found that it had a positive and statistically significant effect. (Umar et al., 2021) examined impact of financial development on economic growth for Nigeria from 1980 to 2019 using non linear ARDL analysis and establish long-run cointegrating relationship and with asymmetric effect; Positive financial development shock affects negatively economic growth in short-run and long-run, negative shock have similar impact; inflation has a strong significant positive relation with economic growth, whereas, financial Globalization uncertainty do not have a significant relationship with Nigerian Economic growth. </w:t>
      </w:r>
    </w:p>
    <w:p w14:paraId="1CD1720F">
      <w:pPr>
        <w:spacing w:after="160" w:line="480" w:lineRule="auto"/>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(Alenoghena et al., 2020) studied effects of financial development on economic growth in Nigeria for 1980–2018, using nonlinear autoregressive distributed lag (NARDL) model for estimation. Their findings suggest a U-shaped asymmetric effect and long run cointegration, with threshold regression revealing that financial development only stimulates Nigeria’s economy when broad money and credit to private sector reach thresholds level 17.73% of GDP, 6.03% of GDP, respectively. (Chen et al., 2020) analyzed asymmetric impact of financial development on economic growth in Kenya between 1972 and 2017 utilizing NARDL methodology. Findings document that</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positive shocks to financial development increase short</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run growth while negative shocks to financial development diminish long</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run growth. </w:t>
      </w:r>
    </w:p>
    <w:p w14:paraId="1EF9702A">
      <w:pPr>
        <w:spacing w:after="160" w:line="480" w:lineRule="auto"/>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(Okunlola et al., 2020) investigate causal relationships between indicators of financial development and economic growth using (Toda Yamamoto., 1995). They confirmed long-run bidirectional causal linkages between indicators of financial market development and Nigeria’s economic growth. (Imoagwu ., 2019) examined impact of financial development on Nigeria's economic growth between 1986 to 2017 with help of error correction and Toda Yamamoto models. Findings report positive short run, negative long run impact. Stock market </w:t>
      </w:r>
      <w:r>
        <w:rPr>
          <w:rFonts w:hint="default" w:cs="Times New Roman"/>
          <w:b w:val="0"/>
          <w:bCs w:val="0"/>
          <w:i w:val="0"/>
          <w:iCs w:val="0"/>
          <w:color w:val="000000" w:themeColor="text1"/>
          <w:sz w:val="24"/>
          <w:szCs w:val="24"/>
          <w:lang w:val="en-US"/>
          <w14:textFill>
            <w14:solidFill>
              <w14:schemeClr w14:val="tx1"/>
            </w14:solidFill>
          </w14:textFill>
        </w:rPr>
        <w:t>capitalization</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stimulate short run growth while hamper it in long run. </w:t>
      </w:r>
    </w:p>
    <w:p w14:paraId="31DA9157">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(Okpara et al., 2018) took the path of a vector error correction and Granger causality tests to explore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influence of financial development on the growth of Nigerian economy. They identified a long run cointegrating relationship among the variables and, confirmed the role of different financial development indicators as having a positive influence on Nigeria's economy. For Nigeria, financial development(FINDEV) as a driver of growth (e.g. </w:t>
      </w:r>
    </w:p>
    <w:p w14:paraId="40C2A279">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Fogel &amp; Norman, 2005) is already a heavily discussed economic topic and its impact has remained debated and subject to circumstances (Ikubor, 2020). In more recent works, (Bassey et al., 2024) established that the impacts of financial innovations (ATMs and POS transactions) and Reforms do impact on the Nigerian economy positively and their access do matter much more than depth under the FinTech growth model. In the other direction, (Alenoghena et al., 2020) find a U-shaped or an asymmetric effect, meaning that after a threshold of 17.73 percent of GDP Broad money(BM) and 6.03 percent of Private Sector Credit(PSC), growth of the Nigerian economy declines when below these levels. </w:t>
      </w:r>
    </w:p>
    <w:p w14:paraId="268599FB">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Conversely, (Ikubor., 2020), using PCA analysis of certain financial development indexes and an ARDL, report a steady positive impact of aggregated financial development (FINDEV) with a clear direction of growth causally leading to FINDEV in Nigeria (demand following hypothesis). </w:t>
      </w:r>
    </w:p>
    <w:p w14:paraId="1F407312">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These studies on FINDEV in Nigeria can be divided into two groups; one, which finds that innovations and reforms do contribute to some short run growth effect, and another which holds that some proxies of conventional financial depth generally have weak or negative effects unless higher efficiency levels can be attained. Evidence on the causality, however is equally inconsistent. While (Ikwuagwu &amp; Ugwuanyi, 2022) discover causality emanating from several FinDev indices and the GDP, others like (Briggs &amp; Goya, 2023) find the evidence to be contradictory: only a unidirectional causality exists from the GDP to the FinDev and while there is a reverse causality between the financial depth and the GDP, there is a bidirectional causality. </w:t>
      </w:r>
    </w:p>
    <w:p w14:paraId="28FE2C48">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Similarly, a demand follow hypothesis of causality from the GDP to the FinDev is established by (Mogbo., 2025), when considering the Private sector Credit and bank account ownership, though he recognizes the possible existence of a feedback Causality from GPD to FinDev in the Nigerian economy, reinforcing the results of Ikubor</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(2020). Unlike these studies</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(Ikwuagwu &amp; Ugwuanyi, 2022) observe that causality from FinDev to GDP goes in both the directions or exclusively, at the same time he argues that due to inconsistencies in findings by method, across time and across indices, he argues the causal determinants are not static. The findings also revealed inefficiencies. </w:t>
      </w:r>
    </w:p>
    <w:p w14:paraId="078B8672">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As observed by(Chinwe., 2022), when money supply and the size of stock market positively affected the Nigerian GDP, the private credit and insurance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penetration indices negatively contributed due to channel inefficiencies. </w:t>
      </w:r>
    </w:p>
    <w:p w14:paraId="12ED70AC">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Also, (Adelakun., 2021) placed strong emphasis on Financial reforms, loans to the manufacturing sector, and exchange Rate stability in boosting the economy of Nigeria, but also underlined that inflation can weaken those effects. </w:t>
      </w:r>
    </w:p>
    <w:p w14:paraId="77D3AFA6">
      <w:pPr>
        <w:pStyle w:val="3"/>
        <w:spacing w:before="240" w:after="160" w:line="480" w:lineRule="auto"/>
        <w:jc w:val="both"/>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Thus, the FinDev</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Growth linkage in Nigeria appears complex and</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context</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specific as can be depicted from the literature. This, raises the issue as to whether findev is truly a universal remedy or not and if it has some special features or functions in a development context.</w:t>
      </w:r>
    </w:p>
    <w:p w14:paraId="7D5E9328">
      <w:pPr>
        <w:pStyle w:val="2"/>
        <w:numPr>
          <w:ilvl w:val="1"/>
          <w:numId w:val="3"/>
        </w:numPr>
        <w:spacing w:before="300" w:after="200" w:line="480" w:lineRule="auto"/>
        <w:ind w:left="0" w:leftChars="0" w:firstLine="0" w:firstLineChars="0"/>
        <w:jc w:val="both"/>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Research Gap </w:t>
      </w:r>
    </w:p>
    <w:p w14:paraId="0AFE264A">
      <w:pPr>
        <w:pStyle w:val="2"/>
        <w:numPr>
          <w:ilvl w:val="0"/>
          <w:numId w:val="0"/>
        </w:numPr>
        <w:spacing w:before="300" w:after="200" w:line="480" w:lineRule="auto"/>
        <w:ind w:leftChars="0"/>
        <w:jc w:val="both"/>
        <w:outlineLvl w:val="0"/>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There exists an extensive body of empirical research investigating relationship</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between financial development and economic growth in Nigeria and developing countries generally, yet empirical results are often mixed, inconsistent and sometimes conflicting with regards to direction</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of causality (supply leading, demand following)</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type of link between financial development and economic growth (linear and nonlinear threshold dynamics). Furthermore, vast majorit</w:t>
      </w:r>
      <w:r>
        <w:rPr>
          <w:rFonts w:hint="default" w:eastAsia="Cambria" w:cs="Times New Roman"/>
          <w:b w:val="0"/>
          <w:bCs w:val="0"/>
          <w:color w:val="000000" w:themeColor="text1"/>
          <w:sz w:val="24"/>
          <w:szCs w:val="24"/>
          <w:lang w:val="en-US"/>
          <w14:textFill>
            <w14:solidFill>
              <w14:schemeClr w14:val="tx1"/>
            </w14:solidFill>
          </w14:textFill>
        </w:rPr>
        <w:t>ies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of existing research have </w:t>
      </w:r>
      <w:r>
        <w:rPr>
          <w:rFonts w:hint="default" w:eastAsia="Cambria" w:cs="Times New Roman"/>
          <w:b w:val="0"/>
          <w:bCs w:val="0"/>
          <w:color w:val="000000" w:themeColor="text1"/>
          <w:sz w:val="24"/>
          <w:szCs w:val="24"/>
          <w:lang w:val="en-US"/>
          <w14:textFill>
            <w14:solidFill>
              <w14:schemeClr w14:val="tx1"/>
            </w14:solidFill>
          </w14:textFill>
        </w:rPr>
        <w:t>analyzed</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a few financial variables separately, little research has been done on the simultaneous interplay among multiple factors (private credit, money supply, interest rate dynamics) on macroeconomic conditions influencing growth in Nigeria. Inflation, a crucial determinant of macroeconomic and financial stability, are often included as control variables instead of being integrated into the finance-growth dynamics. Similarly, only a handful of studies attempt to integrate measures of traditional financial depth and those of financial efficiency (proxied by interest rate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spreads) with the degree of macroeconomic stability to provide a holistic assessment of finance led-growth. </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hortcoming</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w:t>
      </w:r>
      <w:r>
        <w:rPr>
          <w:rFonts w:hint="default" w:eastAsia="Cambria" w:cs="Times New Roman"/>
          <w:b w:val="0"/>
          <w:bCs w:val="0"/>
          <w:color w:val="000000" w:themeColor="text1"/>
          <w:sz w:val="24"/>
          <w:szCs w:val="24"/>
          <w:lang w:val="en-US"/>
          <w14:textFill>
            <w14:solidFill>
              <w14:schemeClr w14:val="tx1"/>
            </w14:solidFill>
          </w14:textFill>
        </w:rPr>
        <w:t>are</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pronounced because, due to structural inefficiencies, credit misallocations, financial sector volatility and macroeconomic instability, the impact of the process of financial deepening on Nigeria’s growth have been diluted. Th</w:t>
      </w:r>
      <w:r>
        <w:rPr>
          <w:rFonts w:hint="default" w:eastAsia="Cambria" w:cs="Times New Roman"/>
          <w:b w:val="0"/>
          <w:bCs w:val="0"/>
          <w:color w:val="000000" w:themeColor="text1"/>
          <w:sz w:val="24"/>
          <w:szCs w:val="24"/>
          <w:lang w:val="en-US"/>
          <w14:textFill>
            <w14:solidFill>
              <w14:schemeClr w14:val="tx1"/>
            </w14:solidFill>
          </w14:textFill>
        </w:rPr>
        <w:t>is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study attempts to address this gap by estimating, link</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among GDP growth and these 4 financial indicators namely, private domestic credit, interest rate spread, the broadest measure of money supply and inflation in the Nigeria.</w:t>
      </w:r>
    </w:p>
    <w:p w14:paraId="312AAD00">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25746B79">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25EE7C1">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32363679">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1DBF11FA">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3897A33">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2575DC0E">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2C044F68">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3F79A19A">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62C9982E">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06A71E2D">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4C5C4EC3">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05432BD2">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C2E19FE">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7DC7F62D">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0E68BB8F">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442A84E">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44A879E2">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471AED80">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4D347E19">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28D21F5B">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31F634D0">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404A8CE1">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5F35C123">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0FEC962A">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2C537B78">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1914EC92">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3EC150FE">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36A13E4C">
      <w:pPr>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601E20FC">
      <w:pPr>
        <w:pStyle w:val="4"/>
        <w:spacing w:before="200" w:after="120" w:line="480" w:lineRule="auto"/>
        <w:jc w:val="center"/>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CHAPTER THREE</w:t>
      </w:r>
    </w:p>
    <w:p w14:paraId="44A1C3CE">
      <w:pPr>
        <w:pStyle w:val="4"/>
        <w:spacing w:before="200" w:after="120" w:line="480" w:lineRule="auto"/>
        <w:jc w:val="center"/>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RESEARCH METHODOLOGY</w:t>
      </w:r>
    </w:p>
    <w:p w14:paraId="5D773F75">
      <w:pPr>
        <w:pStyle w:val="4"/>
        <w:spacing w:before="200" w:after="120" w:line="480" w:lineRule="auto"/>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3.1 Research Design </w:t>
      </w:r>
    </w:p>
    <w:p w14:paraId="55848E03">
      <w:pPr>
        <w:pStyle w:val="4"/>
        <w:spacing w:before="200" w:after="12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eastAsia="Cambria" w:cs="Times New Roman"/>
          <w:b w:val="0"/>
          <w:bCs w:val="0"/>
          <w:color w:val="000000" w:themeColor="text1"/>
          <w:sz w:val="24"/>
          <w:szCs w:val="24"/>
          <w:lang w:val="en-US"/>
          <w14:textFill>
            <w14:solidFill>
              <w14:schemeClr w14:val="tx1"/>
            </w14:solidFill>
          </w14:textFill>
        </w:rPr>
        <w:t>R</w:t>
      </w:r>
      <w:r>
        <w:rPr>
          <w:rFonts w:hint="default" w:ascii="Times New Roman" w:hAnsi="Times New Roman" w:eastAsia="Cambria" w:cs="Times New Roman"/>
          <w:b w:val="0"/>
          <w:bCs w:val="0"/>
          <w:color w:val="000000" w:themeColor="text1"/>
          <w:sz w:val="24"/>
          <w:szCs w:val="24"/>
          <w14:textFill>
            <w14:solidFill>
              <w14:schemeClr w14:val="tx1"/>
            </w14:solidFill>
          </w14:textFill>
        </w:rPr>
        <w:t>esearch design is the procedure, strategy or set of plans used to carry out a study in the collection and analysis of measures of variables specified in the given research problem. Designs of research are useful as they form the logical framework guiding the researcher in identifying potential sources of data and making choices about suitable procedure for analysis (Nworuh</w:t>
      </w:r>
      <w:r>
        <w:rPr>
          <w:rFonts w:hint="default" w:eastAsia="Cambria" w:cs="Times New Roman"/>
          <w:b w:val="0"/>
          <w:bCs w:val="0"/>
          <w:color w:val="000000" w:themeColor="text1"/>
          <w:sz w:val="24"/>
          <w:szCs w:val="24"/>
          <w:lang w:val="en-US"/>
          <w14:textFill>
            <w14:solidFill>
              <w14:schemeClr w14:val="tx1"/>
            </w14:solidFill>
          </w14:textFill>
        </w:rPr>
        <w:t>.</w:t>
      </w:r>
      <w:r>
        <w:rPr>
          <w:rFonts w:hint="default" w:ascii="Times New Roman" w:hAnsi="Times New Roman" w:eastAsia="Cambria" w:cs="Times New Roman"/>
          <w:b w:val="0"/>
          <w:bCs w:val="0"/>
          <w:color w:val="000000" w:themeColor="text1"/>
          <w:sz w:val="24"/>
          <w:szCs w:val="24"/>
          <w14:textFill>
            <w14:solidFill>
              <w14:schemeClr w14:val="tx1"/>
            </w14:solidFill>
          </w14:textFill>
        </w:rPr>
        <w:t>, 2004). This research study uses causal-comparative research on the account that analysis in this study is based on the existing published data. This type of study can also be classified under experimental-explanatory exploratory survey research, commonly known as causal-comparative research, this research type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rests its conclusions and evidence on existing data, which is collected prior to the execution of a study by other researchers or observers, rather than developing any primary data collected through the manipulations that one could carry out under experimentation.</w:t>
      </w:r>
    </w:p>
    <w:p w14:paraId="6CD20650">
      <w:pPr>
        <w:pStyle w:val="4"/>
        <w:spacing w:before="200" w:after="120" w:line="480" w:lineRule="auto"/>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3.2 Theoretical Framework </w:t>
      </w:r>
    </w:p>
    <w:p w14:paraId="2A17764B">
      <w:pPr>
        <w:pStyle w:val="4"/>
        <w:spacing w:before="200" w:after="12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This research study is anchored on Finance Led Growth Theory which postulates that Financial Development is a Pre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requisite to Economic Growth. From</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perspective of</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Finance Led Growth theory, higher levels of investment, productivity, industrialization and consequently economic growth is associated with better Financial development of </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system</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It places financial sector at center stage by stressing their role of </w:t>
      </w:r>
      <w:r>
        <w:rPr>
          <w:rFonts w:hint="default" w:eastAsia="Cambria" w:cs="Times New Roman"/>
          <w:b w:val="0"/>
          <w:bCs w:val="0"/>
          <w:color w:val="000000" w:themeColor="text1"/>
          <w:sz w:val="24"/>
          <w:szCs w:val="24"/>
          <w:lang w:val="en-US"/>
          <w14:textFill>
            <w14:solidFill>
              <w14:schemeClr w14:val="tx1"/>
            </w14:solidFill>
          </w14:textFill>
        </w:rPr>
        <w:t>mobilizing</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savings, providing credits and facilitating investment in the economy, reducing transactions costs, encouraging technological innovations as well as capital accumulation. That implies that the depth, size and efficiency of financial system</w:t>
      </w:r>
      <w:r>
        <w:rPr>
          <w:rFonts w:hint="default"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have direct and positive link with the speed of economic growth. The concept Finance led growth theory is popularly associated with economic thinkers like Joseph Schumpeter, Ronald McKinnon and Edward Shaw.</w:t>
      </w:r>
    </w:p>
    <w:p w14:paraId="37E4F4D3">
      <w:pPr>
        <w:pStyle w:val="4"/>
        <w:spacing w:before="200" w:after="12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The longitudinal design is relevant methodology because it allows analysis of the impact of dynamic financial parameters namely interest rate spread, broadly defined money supply, and inflation on GDP of the economy; this will enable analysis of the structural as well as dynamics relationship of these variables on the economy. </w:t>
      </w:r>
      <w:r>
        <w:rPr>
          <w:rFonts w:hint="default" w:eastAsia="Cambria" w:cs="Times New Roman"/>
          <w:b w:val="0"/>
          <w:bCs w:val="0"/>
          <w:color w:val="000000" w:themeColor="text1"/>
          <w:sz w:val="24"/>
          <w:szCs w:val="24"/>
          <w:lang w:val="en-US"/>
          <w14:textFill>
            <w14:solidFill>
              <w14:schemeClr w14:val="tx1"/>
            </w14:solidFill>
          </w14:textFill>
        </w:rPr>
        <w:t>D</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ata set was </w:t>
      </w:r>
      <w:r>
        <w:rPr>
          <w:rFonts w:hint="default" w:eastAsia="Cambria" w:cs="Times New Roman"/>
          <w:b w:val="0"/>
          <w:bCs w:val="0"/>
          <w:color w:val="000000" w:themeColor="text1"/>
          <w:sz w:val="24"/>
          <w:szCs w:val="24"/>
          <w:lang w:val="en-US"/>
          <w14:textFill>
            <w14:solidFill>
              <w14:schemeClr w14:val="tx1"/>
            </w14:solidFill>
          </w14:textFill>
        </w:rPr>
        <w:t xml:space="preserve">gotten </w:t>
      </w:r>
      <w:r>
        <w:rPr>
          <w:rFonts w:hint="default" w:ascii="Times New Roman" w:hAnsi="Times New Roman" w:eastAsia="Cambria" w:cs="Times New Roman"/>
          <w:b w:val="0"/>
          <w:bCs w:val="0"/>
          <w:color w:val="000000" w:themeColor="text1"/>
          <w:sz w:val="24"/>
          <w:szCs w:val="24"/>
          <w14:textFill>
            <w14:solidFill>
              <w14:schemeClr w14:val="tx1"/>
            </w14:solidFill>
          </w14:textFill>
        </w:rPr>
        <w:t>from World Bank development indicators; which offers reliable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globally accepted macroeconomics data, and financial sector data. However, an obvious drawback of the data used for analysis the secondary sources on the other hand does not preclude the probability of an eventual upward revisions or reporting changes among the annual series or over the time period.</w:t>
      </w:r>
    </w:p>
    <w:p w14:paraId="4B5E34D8">
      <w:pPr>
        <w:pStyle w:val="4"/>
        <w:spacing w:before="200" w:after="120" w:line="480" w:lineRule="auto"/>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3.3 Preliminary Tests</w:t>
      </w:r>
    </w:p>
    <w:p w14:paraId="1C1F19D5">
      <w:pPr>
        <w:pStyle w:val="4"/>
        <w:spacing w:before="200" w:after="120" w:line="480" w:lineRule="auto"/>
        <w:jc w:val="both"/>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A preliminary tests (the preliminary analyses) will explore the distributional properties of time series variables, and examine some statistical features including description statistic, statistical tests, econometric test, unit root tests and co integration tests</w:t>
      </w:r>
      <w:r>
        <w:rPr>
          <w:rFonts w:hint="default" w:eastAsia="Cambria" w:cs="Times New Roman"/>
          <w:b w:val="0"/>
          <w:bCs w:val="0"/>
          <w:color w:val="000000" w:themeColor="text1"/>
          <w:sz w:val="24"/>
          <w:szCs w:val="24"/>
          <w:lang w:val="en-US"/>
          <w14:textFill>
            <w14:solidFill>
              <w14:schemeClr w14:val="tx1"/>
            </w14:solidFill>
          </w14:textFill>
        </w:rPr>
        <w:t>.</w:t>
      </w:r>
    </w:p>
    <w:p w14:paraId="060C343E">
      <w:pPr>
        <w:pStyle w:val="4"/>
        <w:spacing w:before="200" w:after="12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3.3.1 Economical Test</w:t>
      </w:r>
    </w:p>
    <w:p w14:paraId="05FA1C5B">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Economical Test is the one of the most important test that test long run and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short run coefficients of estimated coefficients from ARDL model with expectation from theory. Credit to the private sector, broad money supply, deposits of the banking sector were expected to positively and significantly affect real</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GDP</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growth, based on the McKinnon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Shaw financial liberalization hypothesis, as well as with Endogenous</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growth theory; in addition, the error correction term (ECT)</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was expected to take on a negative sign and statistically significant coefficient to verify that deviations from long</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run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equilibrium</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will</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eventually be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corrected. </w:t>
      </w:r>
      <w:r>
        <w:rPr>
          <w:rFonts w:hint="default" w:cs="Times New Roman"/>
          <w:b w:val="0"/>
          <w:bCs w:val="0"/>
          <w:color w:val="000000" w:themeColor="text1"/>
          <w:sz w:val="24"/>
          <w:szCs w:val="24"/>
          <w:lang w:val="en-US"/>
          <w14:textFill>
            <w14:solidFill>
              <w14:schemeClr w14:val="tx1"/>
            </w14:solidFill>
          </w14:textFill>
        </w:rPr>
        <w:t>C</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oefficients that differ with the theoretical expected were interpreted according to Nigerian's macro financial conditions. </w:t>
      </w:r>
    </w:p>
    <w:p w14:paraId="250C8BF2">
      <w:pPr>
        <w:pStyle w:val="4"/>
        <w:spacing w:before="200" w:after="12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3.3.2 Statistical test </w:t>
      </w:r>
    </w:p>
    <w:p w14:paraId="4C36673C">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This section involves test of significance of estimated long run and short run coefficients, and overall</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models goodness of fit. </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T-test is applied to test if individually, long-run and short-run coefficients differ significantly from zero</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at(1,5,10%)level of significance, respectively; while bounds test is a statistic that we compare F</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statistic derived from equation (3.8) with (Pesaran, Shin, and Smith., 2001) lower</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I (0) and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upper I (1) bounds for existence</w:t>
      </w:r>
      <w:r>
        <w:rPr>
          <w:rFonts w:hint="default"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of long-run relationship;Adjusted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squared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is</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the proportion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of</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the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variance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of</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real</w:t>
      </w:r>
      <w:r>
        <w:rPr>
          <w:rFonts w:hint="default" w:cs="Times New Roman"/>
          <w:b w:val="0"/>
          <w:bCs w:val="0"/>
          <w:color w:val="000000" w:themeColor="text1"/>
          <w:sz w:val="24"/>
          <w:szCs w:val="24"/>
          <w:lang w:val="en-US"/>
          <w14:textFill>
            <w14:solidFill>
              <w14:schemeClr w14:val="tx1"/>
            </w14:solidFill>
          </w14:textFill>
        </w:rPr>
        <w:t xml:space="preserve"> GDP</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explained by</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model, and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F-statistics test overall</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significance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of</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regression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model</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sin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regressions,which tests</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whether</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the entire set</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of regressors</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in long</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run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and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short</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run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are jointly</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significant</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at</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chosen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level of </w:t>
      </w:r>
      <w:r>
        <w:rPr>
          <w:rFonts w:hint="default" w:cs="Times New Roman"/>
          <w:b w:val="0"/>
          <w:bCs w:val="0"/>
          <w:color w:val="000000" w:themeColor="text1"/>
          <w:sz w:val="24"/>
          <w:szCs w:val="24"/>
          <w:lang w:val="en-US"/>
          <w14:textFill>
            <w14:solidFill>
              <w14:schemeClr w14:val="tx1"/>
            </w14:solidFill>
          </w14:textFill>
        </w:rPr>
        <w:t>significance's</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w:t>
      </w:r>
    </w:p>
    <w:p w14:paraId="2CBFBF4E">
      <w:pPr>
        <w:pStyle w:val="4"/>
        <w:spacing w:before="200" w:after="12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3.3.3</w:t>
      </w:r>
      <w:r>
        <w:rPr>
          <w:rFonts w:hint="default" w:cs="Times New Roman"/>
          <w:b/>
          <w:bCs/>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bCs/>
          <w:color w:val="000000" w:themeColor="text1"/>
          <w:sz w:val="24"/>
          <w:szCs w:val="24"/>
          <w14:textFill>
            <w14:solidFill>
              <w14:schemeClr w14:val="tx1"/>
            </w14:solidFill>
          </w14:textFill>
        </w:rPr>
        <w:t>Econometric test</w:t>
      </w:r>
    </w:p>
    <w:p w14:paraId="0C36F510">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Econometric tests</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are applied to guarantee that ARDL satisfy classical</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regression assumption so that the obtained estimates are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reliable.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Augmented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Dickey-Fuller(ADF) and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Phillips</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Perron(PP)</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unit</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root tests are employed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to</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assess whether</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no</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variable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is</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integrated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of</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order</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two;otherwise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ARDL</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bounds test would be unreliable. Breusch-Godfrey LM test is applied to examine whether</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there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is</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residual</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serial</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correlation;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Breusch- Pagan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Godfrey test is to verify heteroskedasticity</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in model and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Jaque</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Berratest to check for normality</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of</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residuals. </w:t>
      </w:r>
    </w:p>
    <w:p w14:paraId="205F7A68">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For diagnostic check of functionality Ramseys RESET test is carried outto check the presence of functional form</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misspecification,as well as the CUSUM and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CUSUM</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of</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squares tests</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are employed</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to verify whether the </w:t>
      </w:r>
      <w:r>
        <w:rPr>
          <w:rFonts w:hint="default" w:cs="Times New Roman"/>
          <w:b w:val="0"/>
          <w:bCs w:val="0"/>
          <w:color w:val="000000" w:themeColor="text1"/>
          <w:sz w:val="24"/>
          <w:szCs w:val="24"/>
          <w:lang w:val="en-US"/>
          <w14:textFill>
            <w14:solidFill>
              <w14:schemeClr w14:val="tx1"/>
            </w14:solidFill>
          </w14:textFill>
        </w:rPr>
        <w:t>estimated</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parameters in ARDL</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model remain</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stable in time (i.e., structurally</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stable).</w:t>
      </w:r>
    </w:p>
    <w:p w14:paraId="30B56360">
      <w:pPr>
        <w:pStyle w:val="4"/>
        <w:spacing w:before="200" w:after="12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 xml:space="preserve">3.3.4 Unit Root Test </w:t>
      </w:r>
    </w:p>
    <w:p w14:paraId="3A7754C9">
      <w:pPr>
        <w:pStyle w:val="4"/>
        <w:spacing w:before="200" w:after="120" w:line="480" w:lineRule="auto"/>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cs="Times New Roman"/>
          <w:b w:val="0"/>
          <w:bCs w:val="0"/>
          <w:color w:val="000000" w:themeColor="text1"/>
          <w:sz w:val="24"/>
          <w:szCs w:val="24"/>
          <w:lang w:val="en-US"/>
          <w14:textFill>
            <w14:solidFill>
              <w14:schemeClr w14:val="tx1"/>
            </w14:solidFill>
          </w14:textFill>
        </w:rPr>
        <w:t>U</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nit root test is a prior indicator </w:t>
      </w:r>
      <w:r>
        <w:rPr>
          <w:rFonts w:hint="default" w:cs="Times New Roman"/>
          <w:b w:val="0"/>
          <w:bCs w:val="0"/>
          <w:color w:val="000000" w:themeColor="text1"/>
          <w:sz w:val="24"/>
          <w:szCs w:val="24"/>
          <w:lang w:val="en-US"/>
          <w14:textFill>
            <w14:solidFill>
              <w14:schemeClr w14:val="tx1"/>
            </w14:solidFill>
          </w14:textFill>
        </w:rPr>
        <w:t>used to</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evaluat</w:t>
      </w:r>
      <w:r>
        <w:rPr>
          <w:rFonts w:hint="default" w:cs="Times New Roman"/>
          <w:b w:val="0"/>
          <w:bCs w:val="0"/>
          <w:color w:val="000000" w:themeColor="text1"/>
          <w:sz w:val="24"/>
          <w:szCs w:val="24"/>
          <w:lang w:val="en-US"/>
          <w14:textFill>
            <w14:solidFill>
              <w14:schemeClr w14:val="tx1"/>
            </w14:solidFill>
          </w14:textFill>
        </w:rPr>
        <w:t xml:space="preserve">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nature of </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stationarity properties of data under review. There are two major categories of data for time series analysis: stationary and non stationary data. In a stationary data, the effect of random shock is temporary as series return to the original mean over time. However, with the non stationary data, a random shock results in permanent deviation from the mean. For efficient estimation and meaningful policy implications, variables must be stationary.</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br w:type="textWrapping"/>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To avoid spurious regression, unit root properties of variables should be investigated before conducting the regression. A unit root process defines any variable whose first and second moments depends on the time. That means such variables are not stationary and in return could generate misleading results if not considered in their level and/or their differentiated form. The best known techniques used to test the presence of unit roots include Augmentative Dickey Fuller (ADF)</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Phillips-Perron (PP) tests for unit roots.</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ADF test formulates a given variable Y t, for instance, according to:</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br w:type="textWrapping"/>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Dyt = dyt-1 + Dyt-i + ut ..................................................................... 3.1</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br w:type="textWrapping"/>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Dyt = dyt-1 + Dyt-i + ut ..................................................................... 3.2</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br w:type="textWrapping"/>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To test existence of unit root, we shall check</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t-student ratio value of delta coefficient. Standard DF and ADF critical values are negative and are greater than absolute t values and are generally referred to as DF and ADF statistics. </w:t>
      </w:r>
      <w:r>
        <w:rPr>
          <w:rFonts w:hint="default" w:cs="Times New Roman"/>
          <w:b w:val="0"/>
          <w:bCs w:val="0"/>
          <w:color w:val="000000" w:themeColor="text1"/>
          <w:sz w:val="24"/>
          <w:szCs w:val="24"/>
          <w:lang w:val="en-US"/>
          <w14:textFill>
            <w14:solidFill>
              <w14:schemeClr w14:val="tx1"/>
            </w14:solidFill>
          </w14:textFill>
        </w:rPr>
        <w:t>A</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cceptance of null hypothesis means that Y t is not stationary.</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br w:type="textWrapping"/>
      </w:r>
      <w:r>
        <w:rPr>
          <w:rFonts w:hint="default" w:ascii="Times New Roman" w:hAnsi="Times New Roman" w:eastAsia="Times New Roman" w:cs="Times New Roman"/>
          <w:b/>
          <w:bCs/>
          <w:color w:val="000000" w:themeColor="text1"/>
          <w:sz w:val="24"/>
          <w:szCs w:val="24"/>
          <w14:textFill>
            <w14:solidFill>
              <w14:schemeClr w14:val="tx1"/>
            </w14:solidFill>
          </w14:textFill>
        </w:rPr>
        <w:t>Decision rule:</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 Reject H if </w:t>
      </w:r>
      <w:r>
        <w:rPr>
          <w:rFonts w:hint="default"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magnitude of DF or ADF t-statistic is greater than 5% critical value; otherwise accept H₀.</w:t>
      </w:r>
    </w:p>
    <w:p w14:paraId="1AE4BF97">
      <w:pPr>
        <w:rPr>
          <w:rFonts w:hint="default"/>
        </w:rPr>
      </w:pPr>
    </w:p>
    <w:p w14:paraId="5A50CB90">
      <w:pPr>
        <w:spacing w:after="120" w:line="480" w:lineRule="auto"/>
        <w:jc w:val="both"/>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3.3.5 Cointegration Test</w:t>
      </w:r>
    </w:p>
    <w:p w14:paraId="66EC5C77">
      <w:pPr>
        <w:spacing w:after="12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Cointegration is an econometric procedure for testing</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existence of a relationship among non</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stationary time series variables. A pair of time series variables are cointegrated if both time series trend together in the same direction and the time paths of the two variables are bound together and move in the same direction so they tend to converge to a long-run equilibrium relation. </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P</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rimary purpose of investigating cointegration between two or more non-stationary variables is to establish</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existence of a long</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run equilibrium relation between them. </w:t>
      </w:r>
    </w:p>
    <w:p w14:paraId="6B506A80">
      <w:pPr>
        <w:spacing w:after="12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As all variables used in this paper are either stationary at level form or at the first difference forms, we will utilize the ARDL bounds cointegration test. </w:t>
      </w:r>
    </w:p>
    <w:p w14:paraId="1E006B6F">
      <w:pPr>
        <w:spacing w:after="12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In order to make</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bounds test, we define a conditional ARDL (p, q1, q2) long run model as follows: </w:t>
      </w:r>
    </w:p>
    <w:p w14:paraId="5962A93E">
      <w:pPr>
        <w:spacing w:after="120" w:line="480" w:lineRule="auto"/>
        <w:jc w:val="both"/>
        <w:rPr>
          <w:rFonts w:hint="default" w:ascii="Times New Roman" w:hAnsi="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DEGt = b0 + Sb1DEGt-i + Sb2DDCPSt-i + Sb3DM2t-i + Sb4DIRSt-i + Sb5DINFt-i + d1EGt-1 + d2DCPSt-1 + d3M2t-1 + d4IRSt-1 + d5INFt-1 + et   ....   3.3</w:t>
      </w:r>
    </w:p>
    <w:p w14:paraId="400D6B2E">
      <w:pPr>
        <w:spacing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We compute an F statistic for testing the long-run relation by performing a Wald test on the unrestricted</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ECT parameters. The F statistic is compared with a set of upper and lower critical values developed by </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in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(1999) at </w:t>
      </w:r>
      <w:r>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5% significance level. </w:t>
      </w:r>
    </w:p>
    <w:p w14:paraId="2EA369B9">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H₀: d1 = d2 = d3 = d4 = d5 = 0 (No cointegration among the variables)</w:t>
      </w:r>
    </w:p>
    <w:p w14:paraId="25A62DDD">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H₁: d1 ≠ d2 ≠ d3 ≠ d4 ≠ d5 ≠ 0 (Cointegration exists among the variables)</w:t>
      </w:r>
    </w:p>
    <w:p w14:paraId="21EC7AAD">
      <w:pPr>
        <w:spacing w:after="160" w:line="480" w:lineRule="auto"/>
        <w:jc w:val="both"/>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w:p>
    <w:p w14:paraId="0B592724">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Decision Rule:</w:t>
      </w:r>
    </w:p>
    <w:p w14:paraId="1BE41A3C">
      <w:pPr>
        <w:pStyle w:val="11"/>
        <w:keepNext w:val="0"/>
        <w:keepLines w:val="0"/>
        <w:widowControl/>
        <w:suppressLineNumbers w:val="0"/>
        <w:spacing w:line="480" w:lineRule="auto"/>
        <w:jc w:val="both"/>
      </w:pPr>
      <w:r>
        <w:t>We reject H0 (no cointegration) if the value of F-statistic is above the critical upper bound and accept H1 (cointegration) if value is below critical lower bound. If the value is within lower and upper bounds, we may not find clear cointegration relationship among variables (Pesaran &amp; Shin, 1999).</w:t>
      </w:r>
    </w:p>
    <w:p w14:paraId="7A2D46E3">
      <w:pPr>
        <w:pStyle w:val="11"/>
        <w:keepNext w:val="0"/>
        <w:keepLines w:val="0"/>
        <w:widowControl/>
        <w:suppressLineNumbers w:val="0"/>
        <w:spacing w:line="480" w:lineRule="auto"/>
        <w:jc w:val="both"/>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3</w:t>
      </w:r>
      <w:r>
        <w:rPr>
          <w:rFonts w:hint="default" w:eastAsia="Times New Roman" w:cs="Times New Roman"/>
          <w:b/>
          <w:bCs/>
          <w:i w:val="0"/>
          <w:iCs w:val="0"/>
          <w:color w:val="000000" w:themeColor="text1"/>
          <w:sz w:val="24"/>
          <w:szCs w:val="24"/>
          <w:lang w:val="en-US"/>
          <w14:textFill>
            <w14:solidFill>
              <w14:schemeClr w14:val="tx1"/>
            </w14:solidFill>
          </w14:textFill>
        </w:rPr>
        <w:t>.3</w:t>
      </w: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.6 The Variable Vector</w:t>
      </w:r>
    </w:p>
    <w:p w14:paraId="22383FB2">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The system is defined around the vector of endogenous variables:</w:t>
      </w:r>
    </w:p>
    <w:p w14:paraId="5E9EA7F2">
      <w:pPr>
        <w:pStyle w:val="11"/>
        <w:keepNext w:val="0"/>
        <w:keepLines w:val="0"/>
        <w:widowControl/>
        <w:suppressLineNumbers w:val="0"/>
        <w:spacing w:line="480" w:lineRule="auto"/>
        <w:jc w:val="both"/>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m:oMathPara>
        <m:oMath>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Y</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GDP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BCPS</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FD</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DEP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LR</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p>
            <m:sSup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pPr>
            <m:e>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p>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sSup>
        </m:oMath>
      </m:oMathPara>
    </w:p>
    <w:p w14:paraId="652C039A">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Where Yₜ is a (5 × 1) vector of the endogenous variables, all expressed in their natural or log form as applicable, and the prime (′) denotes transposition.</w:t>
      </w:r>
    </w:p>
    <w:p w14:paraId="35738C21">
      <w:pPr>
        <w:pStyle w:val="11"/>
        <w:keepNext w:val="0"/>
        <w:keepLines w:val="0"/>
        <w:widowControl/>
        <w:suppressLineNumbers w:val="0"/>
        <w:spacing w:line="480" w:lineRule="auto"/>
        <w:jc w:val="both"/>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3</w:t>
      </w:r>
      <w:r>
        <w:rPr>
          <w:rFonts w:hint="default" w:eastAsia="Times New Roman" w:cs="Times New Roman"/>
          <w:b/>
          <w:bCs/>
          <w:i w:val="0"/>
          <w:iCs w:val="0"/>
          <w:color w:val="000000" w:themeColor="text1"/>
          <w:sz w:val="24"/>
          <w:szCs w:val="24"/>
          <w:lang w:val="en-US"/>
          <w14:textFill>
            <w14:solidFill>
              <w14:schemeClr w14:val="tx1"/>
            </w14:solidFill>
          </w14:textFill>
        </w:rPr>
        <w:t>.3</w:t>
      </w: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.7 General Matrix Form of the VECM</w:t>
      </w:r>
    </w:p>
    <w:p w14:paraId="2DE2FB75">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The general VECM(k−1) representation of the system is specified as:</w:t>
      </w:r>
    </w:p>
    <w:p w14:paraId="721D9114">
      <w:pPr>
        <w:pStyle w:val="11"/>
        <w:keepNext w:val="0"/>
        <w:keepLines w:val="0"/>
        <w:widowControl/>
        <w:suppressLineNumbers w:val="0"/>
        <w:spacing w:line="480" w:lineRule="auto"/>
        <w:jc w:val="both"/>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m:oMathPara>
        <m:oMath>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Y</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=μ+Π</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Y</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r>
                <m:rPr>
                  <m:sty m:val="b"/>
                </m:rPr>
                <w:rPr>
                  <w:rFonts w:hint="default" w:ascii="Times New Roman" w:hAnsi="Times New Roman" w:eastAsia="Times New Roman" w:cs="Times New Roman"/>
                  <w:color w:val="000000" w:themeColor="text1"/>
                  <w:sz w:val="24"/>
                  <w:szCs w:val="24"/>
                  <w14:textFill>
                    <w14:solidFill>
                      <w14:schemeClr w14:val="tx1"/>
                    </w14:solidFill>
                  </w14:textFill>
                </w:rPr>
                <m:t>k−1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Γ</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Y</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ε</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oMath>
      </m:oMathPara>
    </w:p>
    <w:p w14:paraId="60DA5A00">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Where:</w:t>
      </w:r>
    </w:p>
    <w:p w14:paraId="568B9306">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Yₜ = (5 × 1) vector of endogenous variables defined above</w:t>
      </w:r>
    </w:p>
    <w:p w14:paraId="1916BCB6">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Π = αβ′ = (5 × 5) impact matrix carrying long-run information</w:t>
      </w:r>
    </w:p>
    <w:p w14:paraId="76957F81">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α = (5 × 1) matrix of speed-of-adjustment coefficients (how fast each variable returns to equilibrium after a shock)</w:t>
      </w:r>
    </w:p>
    <w:p w14:paraId="526A8FB1">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β′ = (r × 5) matrix of cointegrating vectors, representing the long-run equilibrium relationship(s) among the variables (r = number of cointegrating relationships, determined by the Johansen trace/max-eigenvalue test)</w:t>
      </w:r>
    </w:p>
    <w:p w14:paraId="77AD3A2C">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Γᵢ = (5 × 5) matrices of short-run dynamic coefficients at lag i</w:t>
      </w:r>
    </w:p>
    <w:p w14:paraId="61C8E893">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k = optimal lag length of the underlying VAR (selected via AIC/SBC)</w:t>
      </w:r>
      <w:bookmarkStart w:id="0" w:name="_GoBack"/>
      <w:bookmarkEnd w:id="0"/>
    </w:p>
    <w:p w14:paraId="7CA41D05">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μ = (5 × 1) vector of intercept terms</w:t>
      </w:r>
    </w:p>
    <w:p w14:paraId="1B9D7898">
      <w:pPr>
        <w:pStyle w:val="11"/>
        <w:keepNext w:val="0"/>
        <w:keepLines w:val="0"/>
        <w:widowControl/>
        <w:suppressLineNumbers w:val="0"/>
        <w:spacing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εₜ = (5 × 1) vector of white noise error terms (residuals)</w:t>
      </w:r>
    </w:p>
    <w:p w14:paraId="0E74FD14">
      <w:pPr>
        <w:pStyle w:val="11"/>
        <w:keepNext w:val="0"/>
        <w:keepLines w:val="0"/>
        <w:widowControl/>
        <w:suppressLineNumbers w:val="0"/>
        <w:spacing w:line="480" w:lineRule="auto"/>
        <w:jc w:val="both"/>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3.</w:t>
      </w:r>
      <w:r>
        <w:rPr>
          <w:rFonts w:hint="default" w:ascii="Times New Roman" w:hAnsi="Times New Roman" w:eastAsia="Times New Roman" w:cs="Times New Roman"/>
          <w:b/>
          <w:bCs/>
          <w:i w:val="0"/>
          <w:iCs w:val="0"/>
          <w:color w:val="000000" w:themeColor="text1"/>
          <w:sz w:val="24"/>
          <w:szCs w:val="24"/>
          <w:lang w:val="en-US"/>
          <w14:textFill>
            <w14:solidFill>
              <w14:schemeClr w14:val="tx1"/>
            </w14:solidFill>
          </w14:textFill>
        </w:rPr>
        <w:t>4</w:t>
      </w: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 xml:space="preserve"> MODEL SPECIFICATION: AUTOREGRESSIVE DISTRIBUTED LAG (ARDL) MODEL</w:t>
      </w:r>
    </w:p>
    <w:p w14:paraId="38766D20">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3.</w:t>
      </w:r>
      <w:r>
        <w:rPr>
          <w:rFonts w:hint="default" w:cs="Times New Roman"/>
          <w:b/>
          <w:bCs/>
          <w:i w:val="0"/>
          <w:iCs w:val="0"/>
          <w:color w:val="000000" w:themeColor="text1"/>
          <w:sz w:val="24"/>
          <w:szCs w:val="24"/>
          <w:lang w:val="en-US"/>
          <w14:textFill>
            <w14:solidFill>
              <w14:schemeClr w14:val="tx1"/>
            </w14:solidFill>
          </w14:textFill>
        </w:rPr>
        <w:t>4.</w:t>
      </w: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1 Functional Form</w:t>
      </w:r>
    </w:p>
    <w:p w14:paraId="67CCF6C1">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In line with the objectives of this study, economic growth (proxied by GDP growth rate) is specified as a function of bank credit to the private sector, financial deepening, commercial bank deposits, and lending rate:</w:t>
      </w:r>
    </w:p>
    <w:p w14:paraId="599500BB">
      <w:pPr>
        <w:pStyle w:val="3"/>
        <w:spacing w:before="240" w:after="160" w:line="480" w:lineRule="auto"/>
        <w:jc w:val="both"/>
        <w:rPr>
          <w:rFonts w:hint="default" w:ascii="Times New Roman" w:hAnsi="Times New Roman" w:eastAsia="Times New Roman" w:cs="Times New Roman"/>
          <w:b w:val="0"/>
          <w:bCs w:val="0"/>
          <w:i/>
          <w:iCs/>
          <w:color w:val="000000" w:themeColor="text1"/>
          <w:sz w:val="24"/>
          <w:szCs w:val="24"/>
          <w14:textFill>
            <w14:solidFill>
              <w14:schemeClr w14:val="tx1"/>
            </w14:solidFill>
          </w14:textFill>
        </w:rPr>
      </w:pPr>
      <m:oMathPara>
        <m:oMath>
          <m:r>
            <m:rPr/>
            <w:rPr>
              <w:rFonts w:hint="default" w:ascii="Times New Roman" w:hAnsi="Times New Roman" w:eastAsia="Times New Roman" w:cs="Times New Roman"/>
              <w:color w:val="000000" w:themeColor="text1"/>
              <w:sz w:val="24"/>
              <w:szCs w:val="24"/>
              <w14:textFill>
                <w14:solidFill>
                  <w14:schemeClr w14:val="tx1"/>
                </w14:solidFill>
              </w14:textFill>
            </w:rPr>
            <m:t>GDP=f(BCPS,FD,DEP,LR)</m:t>
          </m:r>
        </m:oMath>
      </m:oMathPara>
    </w:p>
    <w:p w14:paraId="232ABAE8">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Where:</w:t>
      </w:r>
    </w:p>
    <w:p w14:paraId="650B5F01">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GDP = Gross Domestic Product growth rate (dependent variable)</w:t>
      </w:r>
    </w:p>
    <w:p w14:paraId="22C42F87">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BCPS = Bank Credit to the Private Sector (% of GDP)</w:t>
      </w:r>
    </w:p>
    <w:p w14:paraId="269D7E46">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FD = Financial Deepening, proxied by Broad Money Supply, M2 (% of GDP)</w:t>
      </w:r>
    </w:p>
    <w:p w14:paraId="05B08CA6">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DEP = Commercial Bank Deposits (total deposits, or as % of GDP)</w:t>
      </w:r>
    </w:p>
    <w:p w14:paraId="083075BC">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LR = Lending Rate (average commercial bank lending rate, %)</w:t>
      </w:r>
    </w:p>
    <w:p w14:paraId="6AEF78C9">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3</w:t>
      </w:r>
      <w:r>
        <w:rPr>
          <w:rFonts w:hint="default" w:cs="Times New Roman"/>
          <w:b/>
          <w:bCs/>
          <w:i w:val="0"/>
          <w:iCs w:val="0"/>
          <w:color w:val="000000" w:themeColor="text1"/>
          <w:sz w:val="24"/>
          <w:szCs w:val="24"/>
          <w:lang w:val="en-US"/>
          <w14:textFill>
            <w14:solidFill>
              <w14:schemeClr w14:val="tx1"/>
            </w14:solidFill>
          </w14:textFill>
        </w:rPr>
        <w:t>.4</w:t>
      </w: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.2 Econometric (Linear) Form</w:t>
      </w:r>
    </w:p>
    <w:p w14:paraId="3174FEBE">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m:oMathPara>
        <m:oMath>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GDP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BCPS</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2</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FD</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3</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DEP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4</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LR</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μ</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oMath>
      </m:oMathPara>
    </w:p>
    <w:p w14:paraId="74E9B647">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Where β₀ is the intercept, β₁–β₄ are the coefficients of the explanatory variables, μₜ is the stochastic error term, and t denotes the time period.</w:t>
      </w:r>
    </w:p>
    <w:p w14:paraId="16540709">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3</w:t>
      </w:r>
      <w:r>
        <w:rPr>
          <w:rFonts w:hint="default" w:cs="Times New Roman"/>
          <w:b/>
          <w:bCs/>
          <w:i w:val="0"/>
          <w:iCs w:val="0"/>
          <w:color w:val="000000" w:themeColor="text1"/>
          <w:sz w:val="24"/>
          <w:szCs w:val="24"/>
          <w:lang w:val="en-US"/>
          <w14:textFill>
            <w14:solidFill>
              <w14:schemeClr w14:val="tx1"/>
            </w14:solidFill>
          </w14:textFill>
        </w:rPr>
        <w:t>.4</w:t>
      </w: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.3 ARDL Model Specification</w:t>
      </w:r>
    </w:p>
    <w:p w14:paraId="4C093D48">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The ARDL(p, q₁, q₂, q₃, q₄) model, following Pesaran, Shin and Smith (2001), is specified as:</w:t>
      </w:r>
    </w:p>
    <w:p w14:paraId="63AF3B0C">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m:oMathPara>
        <m:oMath>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GDP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r>
                <m:rPr>
                  <m:sty m:val="b"/>
                </m:rPr>
                <w:rPr>
                  <w:rFonts w:hint="default" w:ascii="Times New Roman" w:hAnsi="Times New Roman" w:eastAsia="Times New Roman" w:cs="Times New Roman"/>
                  <w:color w:val="000000" w:themeColor="text1"/>
                  <w:sz w:val="24"/>
                  <w:szCs w:val="24"/>
                  <w14:textFill>
                    <w14:solidFill>
                      <w14:schemeClr w14:val="tx1"/>
                    </w14:solidFill>
                  </w14:textFill>
                </w:rPr>
                <m:t>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GDP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oMath>
      </m:oMathPara>
    </w:p>
    <w:p w14:paraId="5E81A737">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m:oMathPara>
        <m:oMath>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q</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BCPS</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2</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q</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2</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FD</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3</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oMath>
      </m:oMathPara>
    </w:p>
    <w:p w14:paraId="797FA6BE">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m:oMathPara>
        <m:oMath>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q</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3</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DEP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4</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q</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4</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LR</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5</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oMath>
      </m:oMathPara>
    </w:p>
    <w:p w14:paraId="72C334CF">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m:oMathPara>
        <m:oMath>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GDP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2</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BCPS</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3</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FD</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4</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DEP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5</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LR</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ε</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oMath>
      </m:oMathPara>
    </w:p>
    <w:p w14:paraId="6E1D13EC">
      <w:pPr>
        <w:pStyle w:val="3"/>
        <w:spacing w:before="240" w:after="160" w:line="480" w:lineRule="auto"/>
        <w:jc w:val="both"/>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Where Δ is the first difference operator; p, q₁, q₂, q₃, q₄ are the optimal lag lengths selected via the Akaike Information Criterion (AIC) or Schwarz Bayesian Criterion (SBC); the β terms capture the short-run dynamic coefficients; the δ terms capture the long-run relationship coefficients used in the bounds test; and εₜ is a white noise error term.</w:t>
      </w:r>
    </w:p>
    <w:p w14:paraId="5A4294F1">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3</w:t>
      </w:r>
      <w:r>
        <w:rPr>
          <w:rFonts w:hint="default" w:cs="Times New Roman"/>
          <w:b/>
          <w:bCs/>
          <w:i w:val="0"/>
          <w:iCs w:val="0"/>
          <w:color w:val="000000" w:themeColor="text1"/>
          <w:sz w:val="24"/>
          <w:szCs w:val="24"/>
          <w:lang w:val="en-US"/>
          <w14:textFill>
            <w14:solidFill>
              <w14:schemeClr w14:val="tx1"/>
            </w14:solidFill>
          </w14:textFill>
        </w:rPr>
        <w:t>.4</w:t>
      </w:r>
      <w:r>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t>.4 Error Correction Model (ECM) — Short-Run Dynamics</w:t>
      </w:r>
    </w:p>
    <w:p w14:paraId="2D80AF1A">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Once cointegration among the variables is confirmed via the ARDL Bounds Test, the short-run model incorporating the error correction term is specified as:</w:t>
      </w:r>
    </w:p>
    <w:p w14:paraId="2D2A6C4A">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m:oMathPara>
        <m:oMath>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GDP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r>
                <m:rPr>
                  <m:sty m:val="b"/>
                </m:rPr>
                <w:rPr>
                  <w:rFonts w:hint="default" w:ascii="Times New Roman" w:hAnsi="Times New Roman" w:eastAsia="Times New Roman" w:cs="Times New Roman"/>
                  <w:color w:val="000000" w:themeColor="text1"/>
                  <w:sz w:val="24"/>
                  <w:szCs w:val="24"/>
                  <w14:textFill>
                    <w14:solidFill>
                      <w14:schemeClr w14:val="tx1"/>
                    </w14:solidFill>
                  </w14:textFill>
                </w:rPr>
                <m:t>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GDP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q</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BCPS</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2</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oMath>
      </m:oMathPara>
    </w:p>
    <w:p w14:paraId="2D5F2872">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m:oMathPara>
        <m:oMath>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q</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2</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FD</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3</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q</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3</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DEP</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4</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nary>
            <m:naryPr>
              <m:chr m:val="∑"/>
              <m:limLoc m:val="undOv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naryPr>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i=0</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up>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q</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4</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p>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Δ</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LR</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t−i</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nary>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β</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5</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oMath>
      </m:oMathPara>
    </w:p>
    <w:p w14:paraId="51401CF8">
      <w:pPr>
        <w:pStyle w:val="3"/>
        <w:spacing w:before="240" w:after="160" w:line="480" w:lineRule="auto"/>
        <w:rPr>
          <w:rFonts w:hint="default" w:ascii="Times New Roman" w:hAnsi="Times New Roman" w:eastAsia="Times New Roman" w:cs="Times New Roman"/>
          <w:b/>
          <w:bCs/>
          <w:i w:val="0"/>
          <w:iCs w:val="0"/>
          <w:color w:val="000000" w:themeColor="text1"/>
          <w:sz w:val="24"/>
          <w:szCs w:val="24"/>
          <w14:textFill>
            <w14:solidFill>
              <w14:schemeClr w14:val="tx1"/>
            </w14:solidFill>
          </w14:textFill>
        </w:rPr>
      </w:pPr>
      <m:oMathPara>
        <m:oMath>
          <m:r>
            <m:rPr>
              <m:sty m:val="b"/>
            </m:rPr>
            <w:rPr>
              <w:rFonts w:hint="default" w:ascii="Times New Roman" w:hAnsi="Times New Roman" w:eastAsia="Times New Roman" w:cs="Times New Roman"/>
              <w:color w:val="000000" w:themeColor="text1"/>
              <w:sz w:val="24"/>
              <w:szCs w:val="24"/>
              <w14:textFill>
                <w14:solidFill>
                  <w14:schemeClr w14:val="tx1"/>
                </w14:solidFill>
              </w14:textFill>
            </w:rPr>
            <m:t>+λ</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ECT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t−1</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m:t>
          </m:r>
          <m:sSub>
            <m:sSubP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SubPr>
            <m:e>
              <m:r>
                <m:rPr>
                  <m:sty m:val="b"/>
                </m:rPr>
                <w:rPr>
                  <w:rFonts w:hint="default" w:ascii="Times New Roman" w:hAnsi="Times New Roman" w:eastAsia="Times New Roman" w:cs="Times New Roman"/>
                  <w:color w:val="000000" w:themeColor="text1"/>
                  <w:sz w:val="24"/>
                  <w:szCs w:val="24"/>
                  <w14:textFill>
                    <w14:solidFill>
                      <w14:schemeClr w14:val="tx1"/>
                    </w14:solidFill>
                  </w14:textFill>
                </w:rPr>
                <m:t>ε</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e>
            <m:sub>
              <m:r>
                <m:rPr>
                  <m:sty m:val="b"/>
                </m:rPr>
                <w:rPr>
                  <w:rFonts w:hint="default" w:ascii="Times New Roman" w:hAnsi="Times New Roman" w:eastAsia="Times New Roman" w:cs="Times New Roman"/>
                  <w:color w:val="000000" w:themeColor="text1"/>
                  <w:sz w:val="24"/>
                  <w:szCs w:val="24"/>
                  <w14:textFill>
                    <w14:solidFill>
                      <w14:schemeClr w14:val="tx1"/>
                    </w14:solidFill>
                  </w14:textFill>
                </w:rPr>
                <m:t>t</m:t>
              </m:r>
              <m:ctrlPr>
                <w:rPr>
                  <w:rFonts w:hint="default" w:ascii="Cambria Math" w:hAnsi="Cambria Math" w:eastAsia="Times New Roman" w:cs="Times New Roman"/>
                  <w:b/>
                  <w:bCs/>
                  <w:i w:val="0"/>
                  <w:iCs w:val="0"/>
                  <w:color w:val="000000" w:themeColor="text1"/>
                  <w:sz w:val="24"/>
                  <w:szCs w:val="24"/>
                  <w14:textFill>
                    <w14:solidFill>
                      <w14:schemeClr w14:val="tx1"/>
                    </w14:solidFill>
                  </w14:textFill>
                </w:rPr>
              </m:ctrlPr>
            </m:sub>
          </m:sSub>
        </m:oMath>
      </m:oMathPara>
    </w:p>
    <w:p w14:paraId="7DF7065C">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Where ECTₜ₋₁ is the Error Correction Term, defined as the lagged residual from the estimated long-run equation, and λ is the speed of adjustment coefficient. For the model to be valid, λ must be negative and statistically significant, confirming that the system converges back to long-run equilibrium following a short-run shock.</w:t>
      </w:r>
    </w:p>
    <w:p w14:paraId="57C392F4">
      <w:pPr>
        <w:rPr>
          <w:rFonts w:hint="default"/>
        </w:rPr>
      </w:pPr>
    </w:p>
    <w:p w14:paraId="10A3283E">
      <w:pPr>
        <w:pStyle w:val="3"/>
        <w:spacing w:before="240" w:after="160" w:line="48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3.</w:t>
      </w:r>
      <w:r>
        <w:rPr>
          <w:rFonts w:hint="default" w:eastAsia="Cambria" w:cs="Times New Roman"/>
          <w:b/>
          <w:bCs/>
          <w:color w:val="000000" w:themeColor="text1"/>
          <w:sz w:val="24"/>
          <w:szCs w:val="24"/>
          <w:lang w:val="en-US"/>
          <w14:textFill>
            <w14:solidFill>
              <w14:schemeClr w14:val="tx1"/>
            </w14:solidFill>
          </w14:textFill>
        </w:rPr>
        <w:t>5</w:t>
      </w:r>
      <w:r>
        <w:rPr>
          <w:rFonts w:hint="default" w:ascii="Times New Roman" w:hAnsi="Times New Roman" w:eastAsia="Cambria" w:cs="Times New Roman"/>
          <w:b/>
          <w:bCs/>
          <w:color w:val="000000" w:themeColor="text1"/>
          <w:sz w:val="24"/>
          <w:szCs w:val="24"/>
          <w14:textFill>
            <w14:solidFill>
              <w14:schemeClr w14:val="tx1"/>
            </w14:solidFill>
          </w14:textFill>
        </w:rPr>
        <w:t xml:space="preserve"> Data Sources and Econometric Software</w:t>
      </w:r>
    </w:p>
    <w:p w14:paraId="462476CE">
      <w:pPr>
        <w:pStyle w:val="11"/>
        <w:keepNext w:val="0"/>
        <w:keepLines w:val="0"/>
        <w:widowControl/>
        <w:suppressLineNumbers w:val="0"/>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The research utilizes secondary data which include Central Bank of Nigeria Statistical Bulletin and World Bank Development Indicators (WDI) within</w:t>
      </w:r>
      <w:r>
        <w:rPr>
          <w:rFonts w:hint="default"/>
          <w:color w:val="000000" w:themeColor="text1"/>
          <w:lang w:val="en-US"/>
          <w14:textFill>
            <w14:solidFill>
              <w14:schemeClr w14:val="tx1"/>
            </w14:solidFill>
          </w14:textFill>
        </w:rPr>
        <w:t xml:space="preserve"> </w:t>
      </w:r>
      <w:r>
        <w:rPr>
          <w:color w:val="000000" w:themeColor="text1"/>
          <w14:textFill>
            <w14:solidFill>
              <w14:schemeClr w14:val="tx1"/>
            </w14:solidFill>
          </w14:textFill>
        </w:rPr>
        <w:t>1990</w:t>
      </w:r>
      <w:r>
        <w:rPr>
          <w:rFonts w:hint="default"/>
          <w:color w:val="000000" w:themeColor="text1"/>
          <w:lang w:val="en-US"/>
          <w14:textFill>
            <w14:solidFill>
              <w14:schemeClr w14:val="tx1"/>
            </w14:solidFill>
          </w14:textFill>
        </w:rPr>
        <w:t>-</w:t>
      </w:r>
      <w:r>
        <w:rPr>
          <w:color w:val="000000" w:themeColor="text1"/>
          <w14:textFill>
            <w14:solidFill>
              <w14:schemeClr w14:val="tx1"/>
            </w14:solidFill>
          </w14:textFill>
        </w:rPr>
        <w:t>2024 respectively. The software used for estimation of data is E-views 13.</w:t>
      </w:r>
    </w:p>
    <w:p w14:paraId="163FA65A">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p>
    <w:p w14:paraId="23A61AD0">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p>
    <w:p w14:paraId="6DA40A31">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p>
    <w:p w14:paraId="1E3F862D">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p>
    <w:p w14:paraId="199A9AAA">
      <w:pPr>
        <w:spacing w:after="160" w:line="480" w:lineRule="auto"/>
        <w:jc w:val="both"/>
        <w:rPr>
          <w:rFonts w:hint="default" w:ascii="Times New Roman" w:hAnsi="Times New Roman" w:cs="Times New Roman"/>
          <w:color w:val="000000" w:themeColor="text1"/>
          <w:sz w:val="24"/>
          <w:szCs w:val="24"/>
          <w14:textFill>
            <w14:solidFill>
              <w14:schemeClr w14:val="tx1"/>
            </w14:solidFill>
          </w14:textFill>
        </w:rPr>
      </w:pPr>
    </w:p>
    <w:p w14:paraId="7CD6D8D5">
      <w:pPr>
        <w:spacing w:line="480" w:lineRule="auto"/>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CHAPTER FOUR</w:t>
      </w:r>
    </w:p>
    <w:p w14:paraId="6E80AE32">
      <w:pPr>
        <w:spacing w:line="48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 xml:space="preserve"> DATA PRESENTATION AND ANALYSIS</w:t>
      </w:r>
    </w:p>
    <w:p w14:paraId="654CA9BC">
      <w:pPr>
        <w:spacing w:line="480" w:lineRule="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b/>
          <w:bCs/>
          <w:color w:val="000000" w:themeColor="text1"/>
          <w:sz w:val="24"/>
          <w:szCs w:val="24"/>
          <w14:textFill>
            <w14:solidFill>
              <w14:schemeClr w14:val="tx1"/>
            </w14:solidFill>
          </w14:textFill>
        </w:rPr>
        <w:t xml:space="preserve">4.1.1 Descriptive Statistics </w:t>
      </w:r>
    </w:p>
    <w:p w14:paraId="6E6745D8">
      <w:pPr>
        <w:spacing w:line="48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D</w:t>
      </w:r>
      <w:r>
        <w:rPr>
          <w:rFonts w:hint="default" w:ascii="Times New Roman" w:hAnsi="Times New Roman" w:cs="Times New Roman"/>
          <w:color w:val="000000" w:themeColor="text1"/>
          <w:sz w:val="24"/>
          <w:szCs w:val="24"/>
          <w14:textFill>
            <w14:solidFill>
              <w14:schemeClr w14:val="tx1"/>
            </w14:solidFill>
          </w14:textFill>
        </w:rPr>
        <w:t>escriptive statistics aim at summarizing basic statistical properties of data, used in this study. The analysis included mean, median, maximum, minimum and standard deviation a</w:t>
      </w:r>
      <w:r>
        <w:rPr>
          <w:rFonts w:hint="default" w:ascii="Times New Roman" w:hAnsi="Times New Roman" w:cs="Times New Roman"/>
          <w:color w:val="000000" w:themeColor="text1"/>
          <w:sz w:val="24"/>
          <w:szCs w:val="24"/>
          <w:lang w:val="en-US"/>
          <w14:textFill>
            <w14:solidFill>
              <w14:schemeClr w14:val="tx1"/>
            </w14:solidFill>
          </w14:textFill>
        </w:rPr>
        <w:t>lso</w:t>
      </w:r>
      <w:r>
        <w:rPr>
          <w:rFonts w:hint="default" w:ascii="Times New Roman" w:hAnsi="Times New Roman" w:cs="Times New Roman"/>
          <w:color w:val="000000" w:themeColor="text1"/>
          <w:sz w:val="24"/>
          <w:szCs w:val="24"/>
          <w14:textFill>
            <w14:solidFill>
              <w14:schemeClr w14:val="tx1"/>
            </w14:solidFill>
          </w14:textFill>
        </w:rPr>
        <w:t xml:space="preserve"> skewness, kurtosis, Jarque</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Bera test, probability, sum and sum of squared deviations and number of observations for each variable. </w:t>
      </w:r>
    </w:p>
    <w:p w14:paraId="310D9C47">
      <w:pPr>
        <w:spacing w:line="480" w:lineRule="auto"/>
        <w:rPr>
          <w:rFonts w:hint="default" w:ascii="Times New Roman" w:hAnsi="Times New Roman" w:cs="Times New Roman"/>
          <w:b/>
          <w:bCs/>
          <w:color w:val="000000" w:themeColor="text1"/>
          <w:sz w:val="24"/>
          <w:szCs w:val="24"/>
          <w14:textFill>
            <w14:solidFill>
              <w14:schemeClr w14:val="tx1"/>
            </w14:solidFill>
          </w14:textFill>
        </w:rPr>
      </w:pPr>
    </w:p>
    <w:p w14:paraId="24F5BCE2">
      <w:pPr>
        <w:spacing w:line="480" w:lineRule="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Table 4.1:</w:t>
      </w:r>
      <w:r>
        <w:rPr>
          <w:rFonts w:hint="default" w:ascii="Times New Roman" w:hAnsi="Times New Roman" w:cs="Times New Roman"/>
          <w:b/>
          <w:bCs/>
          <w:color w:val="000000" w:themeColor="text1"/>
          <w:sz w:val="24"/>
          <w:szCs w:val="24"/>
          <w:lang w:val="en-US"/>
          <w14:textFill>
            <w14:solidFill>
              <w14:schemeClr w14:val="tx1"/>
            </w14:solidFill>
          </w14:textFill>
        </w:rPr>
        <w:t xml:space="preserve"> Check Appendix A</w:t>
      </w:r>
    </w:p>
    <w:p w14:paraId="632DFCDB">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In Table 4.1, mean economic growth (EG) is 1,562.22 and ranges from 480.67 to 3,088.72, indicating substantial economic fluctuations. A standard deviation of 772.13 demonstrates moderate spread around the mean, and the near-zero skewness coefficient (0.03) indicates a relatively symmetric distribution. The kurtosis of 1.85 (less than 3) reveals a platykurtic distribution, while a Jarque</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Bera probability of 0.38 is within acceptable range for normality. </w:t>
      </w:r>
    </w:p>
    <w:p w14:paraId="3A4D9EE5">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For domestic credit to private sector (DCPS),</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mean is 9.76%</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standard deviation is 4.19, suggesting moderate variability over the period. </w:t>
      </w:r>
    </w:p>
    <w:p w14:paraId="56A542A8">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A near-zero skewness (0.05) and slight excess kurtosis (3.63) coupled with a Jarque-Bera probability of 0.74 strongly suggest normality. The broad money supply (M2) averages 17.14 with a range of 0 to 27.38, showing significant differences in liquidity across</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study period. The standard deviation is 7.34, skewness is -0.46 (modest negative), and kurtosis is 2.52, indicating a nearly normal distribution with a Jarque-Bera probability of 0.46. However, the interest rate spread (IRS) is the only variable that presents a deviation from normality. </w:t>
      </w:r>
    </w:p>
    <w:p w14:paraId="51C8E4DC">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The mean is 7.27, and it displays a high degree of leptokurtosis (6.29), which is further evidenced by negative skewness (-1.12) and a very significant Jarque-Bera probability of 0.00001. </w:t>
      </w:r>
    </w:p>
    <w:p w14:paraId="1708501A">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This suggests the occurrence of extreme values at higher frequencies than a normal distribution. The most volatile variable in the data is inflation (INF), with a mean of 18.71% and a broad range of 5.39% to 72.84%, reflected in a standard deviation of 15.87. A high degree of positive skewness (2.07) and excess kurtosis (6.50) contribute to a highly right-skewed, leptokurtic distribution indicative of the prevalent hyper-inflation periods. In summary, while EG, DCPS</w:t>
      </w:r>
      <w:r>
        <w:rPr>
          <w:rFonts w:hint="default" w:eastAsia="Cambria" w:cs="Times New Roman"/>
          <w:b w:val="0"/>
          <w:bCs w:val="0"/>
          <w:color w:val="000000" w:themeColor="text1"/>
          <w:sz w:val="24"/>
          <w:szCs w:val="24"/>
          <w:lang w:val="en-US"/>
          <w14:textFill>
            <w14:solidFill>
              <w14:schemeClr w14:val="tx1"/>
            </w14:solidFill>
          </w14:textFill>
        </w:rPr>
        <w:t>,</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M2 are relatively stabl</w:t>
      </w:r>
      <w:r>
        <w:rPr>
          <w:rFonts w:hint="default" w:eastAsia="Cambria" w:cs="Times New Roman"/>
          <w:b w:val="0"/>
          <w:bCs w:val="0"/>
          <w:color w:val="000000" w:themeColor="text1"/>
          <w:sz w:val="24"/>
          <w:szCs w:val="24"/>
          <w:lang w:val="en-US"/>
          <w14:textFill>
            <w14:solidFill>
              <w14:schemeClr w14:val="tx1"/>
            </w14:solidFill>
          </w14:textFill>
        </w:rPr>
        <w:t>e,</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tend to follow a normal distribution pattern, both IRS and INF exhibit greater volatility and significantly deviate from normality, consistent with the overall economic instability witnessed during the period.</w:t>
      </w:r>
    </w:p>
    <w:p w14:paraId="49C87C4F">
      <w:pPr>
        <w:pStyle w:val="11"/>
        <w:keepNext w:val="0"/>
        <w:keepLines w:val="0"/>
        <w:widowControl/>
        <w:suppressLineNumbers w:val="0"/>
        <w:rPr>
          <w:b/>
          <w:bCs/>
        </w:rPr>
      </w:pPr>
      <w:r>
        <w:rPr>
          <w:b/>
          <w:bCs/>
        </w:rPr>
        <w:t xml:space="preserve">4.1.2 Unit Root Test </w:t>
      </w:r>
    </w:p>
    <w:p w14:paraId="7515C08E">
      <w:pPr>
        <w:pStyle w:val="11"/>
        <w:keepNext w:val="0"/>
        <w:keepLines w:val="0"/>
        <w:widowControl/>
        <w:suppressLineNumbers w:val="0"/>
        <w:spacing w:line="480" w:lineRule="auto"/>
        <w:jc w:val="both"/>
        <w:rPr>
          <w:b/>
          <w:bCs/>
        </w:rPr>
      </w:pPr>
      <w:r>
        <w:t>Because stationarity properties of time series data have great impact on the quality of the estimates obtained through regressions, it is necessary to investigate order of integration for each of variables utilized in this study.</w:t>
      </w:r>
      <w:r>
        <w:rPr>
          <w:rFonts w:hint="default"/>
          <w:lang w:val="en-US"/>
        </w:rPr>
        <w:t xml:space="preserve"> </w:t>
      </w:r>
      <w:r>
        <w:t xml:space="preserve">Unit root tests were carried out in both Augmented Dickey-Fuller (ADF) and Phillips-Perron (PP) test, as shown in table 4.2 below: </w:t>
      </w:r>
    </w:p>
    <w:p w14:paraId="27CD2DC5">
      <w:pPr>
        <w:pStyle w:val="11"/>
        <w:keepNext w:val="0"/>
        <w:keepLines w:val="0"/>
        <w:widowControl/>
        <w:suppressLineNumbers w:val="0"/>
        <w:spacing w:line="480" w:lineRule="auto"/>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Table 4.</w:t>
      </w:r>
      <w:r>
        <w:rPr>
          <w:rFonts w:hint="default" w:cs="Times New Roman"/>
          <w:b/>
          <w:bCs/>
          <w:color w:val="000000" w:themeColor="text1"/>
          <w:sz w:val="24"/>
          <w:szCs w:val="24"/>
          <w:lang w:val="en-US"/>
          <w14:textFill>
            <w14:solidFill>
              <w14:schemeClr w14:val="tx1"/>
            </w14:solidFill>
          </w14:textFill>
        </w:rPr>
        <w:t>2</w:t>
      </w: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sz w:val="24"/>
          <w:szCs w:val="24"/>
          <w:lang w:val="en-US"/>
          <w14:textFill>
            <w14:solidFill>
              <w14:schemeClr w14:val="tx1"/>
            </w14:solidFill>
          </w14:textFill>
        </w:rPr>
        <w:t xml:space="preserve"> Check Appendi</w:t>
      </w:r>
      <w:r>
        <w:rPr>
          <w:rFonts w:hint="default" w:cs="Times New Roman"/>
          <w:b/>
          <w:bCs/>
          <w:color w:val="000000" w:themeColor="text1"/>
          <w:sz w:val="24"/>
          <w:szCs w:val="24"/>
          <w:lang w:val="en-US"/>
          <w14:textFill>
            <w14:solidFill>
              <w14:schemeClr w14:val="tx1"/>
            </w14:solidFill>
          </w14:textFill>
        </w:rPr>
        <w:t>x B</w:t>
      </w:r>
    </w:p>
    <w:p w14:paraId="384E1471">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One persistent problem in analyzing macroeconomic time series data is the problem of non</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stationarity. Running a regression on non-stationary data at their levels using the OLS method results in a situation of spurious regression, where the reported R2 is high and t- statistics can be misinterpreted to imply significance when in fact, they do not. In our case, to avoid such a problem, Augmented Dickey-Fuller (ADF)</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Phillips</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Perron (PP) tests are carried out. </w:t>
      </w:r>
    </w:p>
    <w:p w14:paraId="5ED497EB">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From Table 4.2, it is evident that all five variables i.e. Economic Growth (EG), Domestic Credit to the Private Sector (DCPS), Broad Money Supply (M2), Interest Rate Spread (IRS) and Inflation (INF) are non</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stationary at levels, but all of them become stationary when we take the first difference of each variable. The calculated t- statistic is greater than the absolute value of the critical value at 5 percent for all variables when they are first differenced, which indicates that they are integrated of order I (1). In this paper we used the Johansen cointegration test because all</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variables are integrated of order I(1) in order to find whether variables share a long-run relationship and</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vector error correction model (VECM) is also used in order to analyse</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short-run dynamics</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adjustment towards long-run equilibrium. There are no I(2) variables, hence the VECM is appropriate for this research.</w:t>
      </w:r>
    </w:p>
    <w:p w14:paraId="1A67346E">
      <w:pPr>
        <w:pStyle w:val="11"/>
        <w:keepNext w:val="0"/>
        <w:keepLines w:val="0"/>
        <w:widowControl/>
        <w:suppressLineNumbers w:val="0"/>
        <w:rPr>
          <w:b/>
          <w:bCs/>
        </w:rPr>
      </w:pPr>
      <w:r>
        <w:rPr>
          <w:b/>
          <w:bCs/>
        </w:rPr>
        <w:t>4.1.3 Cointegration Test</w:t>
      </w:r>
    </w:p>
    <w:p w14:paraId="536DFA82">
      <w:pPr>
        <w:pStyle w:val="11"/>
        <w:keepNext w:val="0"/>
        <w:keepLines w:val="0"/>
        <w:widowControl/>
        <w:suppressLineNumbers w:val="0"/>
        <w:spacing w:line="480" w:lineRule="auto"/>
        <w:jc w:val="both"/>
      </w:pPr>
      <w:r>
        <w:t>In this test we can use Johansen cointegration test to find existence of stable long run relation amongst variable we select. It is based on testing statistic value compared with 10, 5 and 1 percent significant value and reject</w:t>
      </w:r>
      <w:r>
        <w:rPr>
          <w:rFonts w:hint="default"/>
          <w:lang w:val="en-US"/>
        </w:rPr>
        <w:t xml:space="preserve"> </w:t>
      </w:r>
      <w:r>
        <w:t xml:space="preserve">null hypothesis when test value is larger than significant value then we say that there exist long run equilibrium relation amongst selected variables. </w:t>
      </w:r>
    </w:p>
    <w:p w14:paraId="39B6D8F8">
      <w:pPr>
        <w:spacing w:line="480" w:lineRule="auto"/>
        <w:rPr>
          <w:rFonts w:hint="default"/>
          <w:b/>
          <w:bCs/>
          <w:lang w:val="en-US"/>
        </w:rPr>
      </w:pPr>
      <w:r>
        <w:rPr>
          <w:rFonts w:hint="default" w:ascii="Times New Roman" w:hAnsi="Times New Roman" w:cs="Times New Roman"/>
          <w:b/>
          <w:bCs/>
          <w:color w:val="000000" w:themeColor="text1"/>
          <w:sz w:val="24"/>
          <w:szCs w:val="24"/>
          <w14:textFill>
            <w14:solidFill>
              <w14:schemeClr w14:val="tx1"/>
            </w14:solidFill>
          </w14:textFill>
        </w:rPr>
        <w:t>Table 4.</w:t>
      </w:r>
      <w:r>
        <w:rPr>
          <w:rFonts w:hint="default" w:ascii="Times New Roman" w:hAnsi="Times New Roman" w:cs="Times New Roman"/>
          <w:b/>
          <w:bCs/>
          <w:color w:val="000000" w:themeColor="text1"/>
          <w:sz w:val="24"/>
          <w:szCs w:val="24"/>
          <w:lang w:val="en-US"/>
          <w14:textFill>
            <w14:solidFill>
              <w14:schemeClr w14:val="tx1"/>
            </w14:solidFill>
          </w14:textFill>
        </w:rPr>
        <w:t>3</w:t>
      </w: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sz w:val="24"/>
          <w:szCs w:val="24"/>
          <w:lang w:val="en-US"/>
          <w14:textFill>
            <w14:solidFill>
              <w14:schemeClr w14:val="tx1"/>
            </w14:solidFill>
          </w14:textFill>
        </w:rPr>
        <w:t xml:space="preserve"> Check Appendix C</w:t>
      </w:r>
    </w:p>
    <w:p w14:paraId="581262AB">
      <w:pPr>
        <w:pStyle w:val="11"/>
        <w:keepNext w:val="0"/>
        <w:keepLines w:val="0"/>
        <w:widowControl/>
        <w:suppressLineNumbers w:val="0"/>
        <w:spacing w:line="480" w:lineRule="auto"/>
        <w:jc w:val="left"/>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Results of </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Johansen Cointegration test, provided in Table 4.3, analyze possibility of a long-run cointegrating equilibrium relationship among selected variables. In terms of Trace test, the null of no cointegration (r = 0) cannot be rejected at the conventional level of significance of 5% due to the Trace statistic (69.50) which is less than the critical value (69.82), although not by much, resulting in a probability value of 0.053. In terms of other rank hypotheses at most one, two, and three cointegrating vectors, respective Trace statistics are well below their corresponding critical values and all null hypothesis were confirmed not rejected with associated probability values. </w:t>
      </w:r>
    </w:p>
    <w:p w14:paraId="70E86ACD">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The Maximum Eigenvalue test gives similar pattern with statistic value at no cointegration rank, 32.66, below critical value of 33.88 at 5% significance level and resulting probability value, 0.069, provides weak indication for a single cointegrating vector. </w:t>
      </w:r>
    </w:p>
    <w:p w14:paraId="3A825B76">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All subsequent rank hypotheses: at most one, two and three were found not to be rejected at their respective critical values, where the values for the Max-Eigen statistic are much lower (18.80 vs 27.58), (10.80 vs 21.13) and (4.42 vs 14.26), with all probabilities being far less than 0.05. At most four, the evidence is mixed across both methods with result of 2.82 vs 3.84 which yields probability of 0.093 for the Max-Eigen statistic, hence only marginal evidence at this rank. </w:t>
      </w:r>
    </w:p>
    <w:p w14:paraId="77E0C217">
      <w:pPr>
        <w:pStyle w:val="3"/>
        <w:spacing w:before="240" w:after="160" w:line="48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4.1.4 Long-Run VECM Regression Results</w:t>
      </w:r>
    </w:p>
    <w:p w14:paraId="6FEB2964">
      <w:pPr>
        <w:spacing w:line="480" w:lineRule="auto"/>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Table 4.</w:t>
      </w:r>
      <w:r>
        <w:rPr>
          <w:rFonts w:hint="default" w:ascii="Times New Roman" w:hAnsi="Times New Roman" w:cs="Times New Roman"/>
          <w:b/>
          <w:bCs/>
          <w:color w:val="000000" w:themeColor="text1"/>
          <w:sz w:val="24"/>
          <w:szCs w:val="24"/>
          <w:lang w:val="en-US"/>
          <w14:textFill>
            <w14:solidFill>
              <w14:schemeClr w14:val="tx1"/>
            </w14:solidFill>
          </w14:textFill>
        </w:rPr>
        <w:t>4</w:t>
      </w: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sz w:val="24"/>
          <w:szCs w:val="24"/>
          <w:lang w:val="en-US"/>
          <w14:textFill>
            <w14:solidFill>
              <w14:schemeClr w14:val="tx1"/>
            </w14:solidFill>
          </w14:textFill>
        </w:rPr>
        <w:t xml:space="preserve"> Check Appendix D</w:t>
      </w:r>
    </w:p>
    <w:p w14:paraId="161C6F50">
      <w:pPr>
        <w:spacing w:line="480" w:lineRule="auto"/>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The estimated VECM for long run showed that Domestic Credit to Private Sector (DCPS) had</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significant positive impact on economic growth with a coefficient of 678.26 and t-value of 5.38, </w:t>
      </w:r>
      <w:r>
        <w:rPr>
          <w:rFonts w:hint="default" w:eastAsia="Cambria" w:cs="Times New Roman"/>
          <w:b w:val="0"/>
          <w:bCs w:val="0"/>
          <w:color w:val="000000" w:themeColor="text1"/>
          <w:sz w:val="24"/>
          <w:szCs w:val="24"/>
          <w:lang w:val="en-US"/>
          <w14:textFill>
            <w14:solidFill>
              <w14:schemeClr w14:val="tx1"/>
            </w14:solidFill>
          </w14:textFill>
        </w:rPr>
        <w:t>showing</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that long-run productive activity in Nigeria is encouraged by sustained increase in credit to private sector. However, impact of broad Money Supply (M2) is negative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highly significant at 5 percent level, coefficient of -413.29 with t-value of 6.05. This means that</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increase in money supply that does not go with expansion of output will lead to economic distortions in long-run rather than genuine growth. </w:t>
      </w:r>
    </w:p>
    <w:p w14:paraId="0A8D6ED4">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Interest Rate Spread (IRS) exhibited highly significant positive effect with a coefficient 1344.90 and t-value of 6.98, which may signify that interest rate spread which measures intermediation margins for financial institution affects economic growth in the long-run possibly,</w:t>
      </w:r>
      <w:r>
        <w:rPr>
          <w:rFonts w:hint="default" w:eastAsia="Cambria" w:cs="Times New Roman"/>
          <w:b w:val="0"/>
          <w:bCs w:val="0"/>
          <w:color w:val="000000" w:themeColor="text1"/>
          <w:sz w:val="24"/>
          <w:szCs w:val="24"/>
          <w:lang w:val="en-US"/>
          <w14:textFill>
            <w14:solidFill>
              <w14:schemeClr w14:val="tx1"/>
            </w14:solidFill>
          </w14:textFill>
        </w:rPr>
        <w:t xml:space="preserve">based on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profitability of bank. </w:t>
      </w:r>
    </w:p>
    <w:p w14:paraId="5868A901">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For inflation (INF) the effect on growth is positive and insignificant in long-run (coefficient 8.28 with t-value 0.50). The R2 and F-value of the model are 0.2456 and 1.411 respectively, signifying that our selected financial variables are accounting for just some part of the variation of growth, whereas a good part remains ascribable to other structural and external factors beyond the present study specification.</w:t>
      </w:r>
    </w:p>
    <w:p w14:paraId="0C96EC81">
      <w:pPr>
        <w:pStyle w:val="3"/>
        <w:spacing w:before="240" w:after="160" w:line="48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4.1.5 Short-Run VECM Regression Results</w:t>
      </w:r>
    </w:p>
    <w:p w14:paraId="2D50E8D4">
      <w:pPr>
        <w:spacing w:line="480" w:lineRule="auto"/>
        <w:rPr>
          <w:rFonts w:hint="default" w:ascii="Times New Roman" w:hAnsi="Times New Roman" w:eastAsia="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Table 4.</w:t>
      </w:r>
      <w:r>
        <w:rPr>
          <w:rFonts w:hint="default" w:ascii="Times New Roman" w:hAnsi="Times New Roman" w:cs="Times New Roman"/>
          <w:b/>
          <w:bCs/>
          <w:color w:val="000000" w:themeColor="text1"/>
          <w:sz w:val="24"/>
          <w:szCs w:val="24"/>
          <w:lang w:val="en-US"/>
          <w14:textFill>
            <w14:solidFill>
              <w14:schemeClr w14:val="tx1"/>
            </w14:solidFill>
          </w14:textFill>
        </w:rPr>
        <w:t>5</w:t>
      </w: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sz w:val="24"/>
          <w:szCs w:val="24"/>
          <w:lang w:val="en-US"/>
          <w14:textFill>
            <w14:solidFill>
              <w14:schemeClr w14:val="tx1"/>
            </w14:solidFill>
          </w14:textFill>
        </w:rPr>
        <w:t xml:space="preserve"> Check Appendix E</w:t>
      </w:r>
    </w:p>
    <w:p w14:paraId="7953A8B8">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Table 4.5. It can be seen that error correction term (ECT) takes</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theoretical sign (-0.0387) but </w:t>
      </w:r>
      <w:r>
        <w:rPr>
          <w:rFonts w:hint="default" w:cs="Times New Roman"/>
          <w:b w:val="0"/>
          <w:bCs w:val="0"/>
          <w:i w:val="0"/>
          <w:iCs w:val="0"/>
          <w:color w:val="000000" w:themeColor="text1"/>
          <w:sz w:val="24"/>
          <w:szCs w:val="24"/>
          <w:lang w:val="en-US"/>
          <w14:textFill>
            <w14:solidFill>
              <w14:schemeClr w14:val="tx1"/>
            </w14:solidFill>
          </w14:textFill>
        </w:rPr>
        <w:t xml:space="preserve">is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associated t-statistic of 1.070 is not statistically significant at 5 percent level. Thus while the direction of adjustment following a departure from long run equilibrium is in correct direction, rate of convergence at approximately 3.87% per annum is not sufficiently fast to provide a strong self-correcting mechanism. </w:t>
      </w:r>
    </w:p>
    <w:p w14:paraId="085BADA3">
      <w:pPr>
        <w:pStyle w:val="3"/>
        <w:spacing w:before="240" w:after="160" w:line="480" w:lineRule="auto"/>
        <w:jc w:val="both"/>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 xml:space="preserve">That is, if there are shocks that tend to move the path of economic growth away from its long run trend, it would take a relatively long time for equilibrium to be re-established. None of the differenced explanatory variables is significant at 5%. The Interest Rate Spread (IRS) exhibits the highest t-statistic in the short run equation (1.91), which implies a weakly positive and still inconclusive immediate impact of this variable on economic growth. </w:t>
      </w:r>
      <w:r>
        <w:rPr>
          <w:rFonts w:hint="default" w:cs="Times New Roman"/>
          <w:b w:val="0"/>
          <w:bCs w:val="0"/>
          <w:i w:val="0"/>
          <w:iCs w:val="0"/>
          <w:color w:val="000000" w:themeColor="text1"/>
          <w:sz w:val="24"/>
          <w:szCs w:val="24"/>
          <w:lang w:val="en-US"/>
          <w14:textFill>
            <w14:solidFill>
              <w14:schemeClr w14:val="tx1"/>
            </w14:solidFill>
          </w14:textFill>
        </w:rPr>
        <w:t>B</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road money supply (M2) carries a positive short run coefficient (28.11), domestic credit (DCPS)</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inflation (INF) take negative short run coefficient, but none is significantly different from zero. All told, short run findings reveal a weak and transient interaction between financial institution variables and</w:t>
      </w:r>
      <w:r>
        <w:rPr>
          <w:rFonts w:hint="default"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4"/>
          <w:szCs w:val="24"/>
          <w14:textFill>
            <w14:solidFill>
              <w14:schemeClr w14:val="tx1"/>
            </w14:solidFill>
          </w14:textFill>
        </w:rPr>
        <w:t>growth path and this lends further credence to view that growth-enhancing impacts of financial sector development in Nigeria mainly occur via the long run.</w:t>
      </w:r>
    </w:p>
    <w:p w14:paraId="4E6E1D0B">
      <w:pPr>
        <w:pStyle w:val="3"/>
        <w:spacing w:before="240" w:after="160" w:line="48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4.1.6 Breusch-Godfrey Serial Correlation Test</w:t>
      </w:r>
    </w:p>
    <w:p w14:paraId="51F1D1E8">
      <w:pPr>
        <w:spacing w:line="480" w:lineRule="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Table 4.</w:t>
      </w:r>
      <w:r>
        <w:rPr>
          <w:rFonts w:hint="default" w:ascii="Times New Roman" w:hAnsi="Times New Roman" w:cs="Times New Roman"/>
          <w:b/>
          <w:bCs/>
          <w:color w:val="000000" w:themeColor="text1"/>
          <w:sz w:val="24"/>
          <w:szCs w:val="24"/>
          <w:lang w:val="en-US"/>
          <w14:textFill>
            <w14:solidFill>
              <w14:schemeClr w14:val="tx1"/>
            </w14:solidFill>
          </w14:textFill>
        </w:rPr>
        <w:t>6</w:t>
      </w: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sz w:val="24"/>
          <w:szCs w:val="24"/>
          <w:lang w:val="en-US"/>
          <w14:textFill>
            <w14:solidFill>
              <w14:schemeClr w14:val="tx1"/>
            </w14:solidFill>
          </w14:textFill>
        </w:rPr>
        <w:t xml:space="preserve"> Check Appendix F</w:t>
      </w:r>
    </w:p>
    <w:p w14:paraId="772E119F">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eastAsia="Cambria" w:cs="Times New Roman"/>
          <w:b w:val="0"/>
          <w:bCs w:val="0"/>
          <w:color w:val="000000" w:themeColor="text1"/>
          <w:sz w:val="24"/>
          <w:szCs w:val="24"/>
          <w:lang w:val="en-US"/>
          <w14:textFill>
            <w14:solidFill>
              <w14:schemeClr w14:val="tx1"/>
            </w14:solidFill>
          </w14:textFill>
        </w:rPr>
        <w:t>R</w:t>
      </w:r>
      <w:r>
        <w:rPr>
          <w:rFonts w:hint="default" w:ascii="Times New Roman" w:hAnsi="Times New Roman" w:eastAsia="Cambria" w:cs="Times New Roman"/>
          <w:b w:val="0"/>
          <w:bCs w:val="0"/>
          <w:color w:val="000000" w:themeColor="text1"/>
          <w:sz w:val="24"/>
          <w:szCs w:val="24"/>
          <w14:textFill>
            <w14:solidFill>
              <w14:schemeClr w14:val="tx1"/>
            </w14:solidFill>
          </w14:textFill>
        </w:rPr>
        <w:t>esults</w:t>
      </w:r>
      <w:r>
        <w:rPr>
          <w:rFonts w:hint="default" w:eastAsia="Cambria" w:cs="Times New Roman"/>
          <w:b w:val="0"/>
          <w:bCs w:val="0"/>
          <w:color w:val="000000" w:themeColor="text1"/>
          <w:sz w:val="24"/>
          <w:szCs w:val="24"/>
          <w:lang w:val="en-US"/>
          <w14:textFill>
            <w14:solidFill>
              <w14:schemeClr w14:val="tx1"/>
            </w14:solidFill>
          </w14:textFill>
        </w:rPr>
        <w:t xml:space="preserve"> in </w:t>
      </w:r>
      <w:r>
        <w:rPr>
          <w:rFonts w:hint="default" w:ascii="Times New Roman" w:hAnsi="Times New Roman" w:eastAsia="Cambria" w:cs="Times New Roman"/>
          <w:b w:val="0"/>
          <w:bCs w:val="0"/>
          <w:color w:val="000000" w:themeColor="text1"/>
          <w:sz w:val="24"/>
          <w:szCs w:val="24"/>
          <w14:textFill>
            <w14:solidFill>
              <w14:schemeClr w14:val="tx1"/>
            </w14:solidFill>
          </w14:textFill>
        </w:rPr>
        <w:t>(Table 4.6) show F-statistic (14.36, p = 0.0001) and Obs*R-squared statistic (17.72, p = 0.0001) both highly significant beyond</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5 percent significance level. These statistics therefore suggest that null hypothesis of zero auto correlation can be rejected, confirming the presence of auto correlation among</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VECM's residuals. This is econometrically important as Johansen-VECM method requires independently distributed error terms which is violated. </w:t>
      </w:r>
      <w:r>
        <w:rPr>
          <w:rFonts w:hint="default" w:eastAsia="Cambria" w:cs="Times New Roman"/>
          <w:b w:val="0"/>
          <w:bCs w:val="0"/>
          <w:color w:val="000000" w:themeColor="text1"/>
          <w:sz w:val="24"/>
          <w:szCs w:val="24"/>
          <w:lang w:val="en-US"/>
          <w14:textFill>
            <w14:solidFill>
              <w14:schemeClr w14:val="tx1"/>
            </w14:solidFill>
          </w14:textFill>
        </w:rPr>
        <w:t>A</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uto correlation of residuals could bias short run adjustment coefficients, reduce accuracy of </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error correction term and undermine</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inference of the speed of convergence.</w:t>
      </w:r>
      <w:r>
        <w:rPr>
          <w:rFonts w:hint="default" w:eastAsia="Cambria" w:cs="Times New Roman"/>
          <w:b w:val="0"/>
          <w:bCs w:val="0"/>
          <w:color w:val="000000" w:themeColor="text1"/>
          <w:sz w:val="24"/>
          <w:szCs w:val="24"/>
          <w:lang w:val="en-US"/>
          <w14:textFill>
            <w14:solidFill>
              <w14:schemeClr w14:val="tx1"/>
            </w14:solidFill>
          </w14:textFill>
        </w:rPr>
        <w:t xml:space="preserve"> V</w:t>
      </w:r>
      <w:r>
        <w:rPr>
          <w:rFonts w:hint="default" w:ascii="Times New Roman" w:hAnsi="Times New Roman" w:eastAsia="Cambria" w:cs="Times New Roman"/>
          <w:b w:val="0"/>
          <w:bCs w:val="0"/>
          <w:color w:val="000000" w:themeColor="text1"/>
          <w:sz w:val="24"/>
          <w:szCs w:val="24"/>
          <w14:textFill>
            <w14:solidFill>
              <w14:schemeClr w14:val="tx1"/>
            </w14:solidFill>
          </w14:textFill>
        </w:rPr>
        <w:t>alid long run relationship would remain valid but</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test statistic would point toward a modification to short run part of model by introducing additional lag or use of robust error terms.</w:t>
      </w:r>
    </w:p>
    <w:p w14:paraId="347290F4">
      <w:pPr>
        <w:pStyle w:val="3"/>
        <w:spacing w:before="240" w:after="160" w:line="48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4.1.7 Breusch-Pagan-Godfrey Heteroskedasticity Test</w:t>
      </w:r>
    </w:p>
    <w:p w14:paraId="2D3EED3F">
      <w:pPr>
        <w:spacing w:line="480" w:lineRule="auto"/>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Table 4.</w:t>
      </w:r>
      <w:r>
        <w:rPr>
          <w:rFonts w:hint="default" w:ascii="Times New Roman" w:hAnsi="Times New Roman" w:cs="Times New Roman"/>
          <w:b/>
          <w:bCs/>
          <w:color w:val="000000" w:themeColor="text1"/>
          <w:sz w:val="24"/>
          <w:szCs w:val="24"/>
          <w:lang w:val="en-US"/>
          <w14:textFill>
            <w14:solidFill>
              <w14:schemeClr w14:val="tx1"/>
            </w14:solidFill>
          </w14:textFill>
        </w:rPr>
        <w:t>7</w:t>
      </w: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sz w:val="24"/>
          <w:szCs w:val="24"/>
          <w:lang w:val="en-US"/>
          <w14:textFill>
            <w14:solidFill>
              <w14:schemeClr w14:val="tx1"/>
            </w14:solidFill>
          </w14:textFill>
        </w:rPr>
        <w:t xml:space="preserve"> Check Appendix G</w:t>
      </w:r>
    </w:p>
    <w:p w14:paraId="7824DFFA">
      <w:pPr>
        <w:pStyle w:val="3"/>
        <w:spacing w:before="240" w:after="16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Table 4.7 suggest neither F-statistic (p = 0.0680) nor Obs*R-squared statistic (p = 0.0717) are significant at 5% level, although scaled explained SS statistic (p = 0.4783) is clearly non-significant. Therefore, we do not reject null hypothesis that errors are homoskedastic, so we may proceed in knowledge that error variance is constant over observations. It is important in a Johansen VECM framework that errors are homoskedastic so that our estimated cointegration vectors are efficient, and that short run parameters are well-specified. Together with the results from the serial correlation test, our diagnostic evidence shows that long run estimation results are well-specified and efficient, whereas short run estimates require some additional effort to ensure a fully appropriate short run specification.</w:t>
      </w:r>
    </w:p>
    <w:p w14:paraId="0C8E0931">
      <w:pPr>
        <w:pStyle w:val="4"/>
        <w:spacing w:before="200" w:after="120" w:line="480" w:lineRule="auto"/>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4.2 Discussion of Findings</w:t>
      </w:r>
    </w:p>
    <w:p w14:paraId="325DEC1D">
      <w:pPr>
        <w:pStyle w:val="4"/>
        <w:numPr>
          <w:ilvl w:val="0"/>
          <w:numId w:val="4"/>
        </w:numPr>
        <w:spacing w:before="200" w:after="120" w:line="480" w:lineRule="auto"/>
        <w:ind w:left="425" w:leftChars="0" w:hanging="425" w:firstLineChars="0"/>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The long-run VECM result showed that Domestic Credit to Private Sector (DCPS) has a positive and statistically significant effect on Nigeria’s economic growth, with a coefficient of 678.26 and t-statistic of 5.38 (significant at 1% level). A good Financial Sector will enhance productivity and resource mobilization that lead to sustainable development of the Nigerian economy. It also indicates that Financial Sector deepening especially DCPS to private sector is one of the important channel to achieve the overall economy in the long-run and it also aligns with empirical result of King and Levine (1993) and Nigeria specific evidence in Nzotta and Okereke (2009) that found that finance is strongly related to economic growth.</w:t>
      </w:r>
    </w:p>
    <w:p w14:paraId="0F5DE9D6">
      <w:pPr>
        <w:pStyle w:val="4"/>
        <w:numPr>
          <w:ilvl w:val="0"/>
          <w:numId w:val="4"/>
        </w:numPr>
        <w:spacing w:before="200" w:after="120" w:line="480" w:lineRule="auto"/>
        <w:ind w:left="425" w:leftChars="0" w:hanging="425" w:firstLineChars="0"/>
        <w:jc w:val="both"/>
        <w:rPr>
          <w:rFonts w:hint="default" w:ascii="Times New Roman" w:hAnsi="Times New Roman" w:eastAsia="Times New Roman"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The long-run VECM results show that Broad Money Supply (M2) have a negative and significant impact on economic growth, with a coefficient of 413.29 and a t-statistic of 6.05 (significant at 1% level). The result of Broad Money Supply (M2) in Nigeria on economic growth is not consistent with a priori expectation of positive result. A negative impact may imply that money supply is not a good measure of financial deepening and money, not properly channeled in Nigeria, and might have contributed to inflation, capital flight and overall macro</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economic instability, which would stifle economic growth. However, under such context of financial instability and oil dependency where excess money supply often translated into more money chase limited productive resources may result in such results (Inflation Tax Hypothesis). The result conforms with Odhiambo (2008) and Adusei (2013) which found that increase in Money supply is negatively correlated with economic growth in African economies characterized by monetary instability.</w:t>
      </w:r>
    </w:p>
    <w:p w14:paraId="156285CD">
      <w:pPr>
        <w:pStyle w:val="4"/>
        <w:numPr>
          <w:ilvl w:val="0"/>
          <w:numId w:val="4"/>
        </w:numPr>
        <w:spacing w:before="200" w:after="120" w:line="480" w:lineRule="auto"/>
        <w:ind w:left="425" w:leftChars="0" w:hanging="425" w:firstLineChars="0"/>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Times New Roman" w:cs="Times New Roman"/>
          <w:b w:val="0"/>
          <w:bCs w:val="0"/>
          <w:color w:val="000000" w:themeColor="text1"/>
          <w:sz w:val="24"/>
          <w:szCs w:val="24"/>
          <w14:textFill>
            <w14:solidFill>
              <w14:schemeClr w14:val="tx1"/>
            </w14:solidFill>
          </w14:textFill>
        </w:rPr>
        <w:t xml:space="preserve">Interest rate spread (IRS) </w:t>
      </w:r>
      <w:r>
        <w:rPr>
          <w:rFonts w:hint="default" w:cs="Times New Roman"/>
          <w:b w:val="0"/>
          <w:bCs w:val="0"/>
          <w:color w:val="000000" w:themeColor="text1"/>
          <w:sz w:val="24"/>
          <w:szCs w:val="24"/>
          <w:lang w:val="en-US"/>
          <w14:textFill>
            <w14:solidFill>
              <w14:schemeClr w14:val="tx1"/>
            </w14:solidFill>
          </w14:textFill>
        </w:rPr>
        <w:t xml:space="preserve">has </w:t>
      </w:r>
      <w:r>
        <w:rPr>
          <w:rFonts w:hint="default" w:ascii="Times New Roman" w:hAnsi="Times New Roman" w:eastAsia="Times New Roman" w:cs="Times New Roman"/>
          <w:b w:val="0"/>
          <w:bCs w:val="0"/>
          <w:color w:val="000000" w:themeColor="text1"/>
          <w:sz w:val="24"/>
          <w:szCs w:val="24"/>
          <w14:textFill>
            <w14:solidFill>
              <w14:schemeClr w14:val="tx1"/>
            </w14:solidFill>
          </w14:textFill>
        </w:rPr>
        <w:t>a positive and significant long-run relationship with the economic growth of Nigeria, with a coefficient of 1,344.90 and t-statistic of 6.98 (significant at 1% level). It is generally believed that banks earn profits on interest rate spread, which in turn could enable them finance their lending and investment activities (Bank Profitability and Intermediation Efficiency). In an environment like Nigeria, characterized by high cost of intermediation due to weak contract enforcement, high collateral risk and non performing loan issues, a wider spread might be a necessary evil that sustained intermediation and finance mobilization of funds to the private sector. Moreover, as noted by McKinnon and Shaw, artificially constrained interest rates in financial repressed economies, reduced incentive for banks to provide services and finance to the private sector. So in a deregulated interest rate environment, wide spreads could facilitate deeper intermediation. On the other hand, some economic arguments suggests that wide spreads will lead to high cost of credit and may consequently inhibit lending to and investment by businesses and households (Credit Rationing Theory of Stiglitz and Weiss). However the positive result in Nigeria can be interpreted that interest rates, in the long-run context of Nigeria, is better serving its intended purposes, possibly, as more than of the financial intermediaries’ gains on interest rate spreads go into funding productive investments, or that other avenues are opened by widened margins, thus providing support to the Nigerian economic development</w:t>
      </w:r>
      <w:r>
        <w:rPr>
          <w:rFonts w:hint="default" w:ascii="Times New Roman" w:hAnsi="Times New Roman" w:cs="Times New Roman"/>
          <w:b w:val="0"/>
          <w:bCs w:val="0"/>
          <w:color w:val="000000" w:themeColor="text1"/>
          <w:sz w:val="24"/>
          <w:szCs w:val="24"/>
          <w:lang w:val="en-US"/>
          <w14:textFill>
            <w14:solidFill>
              <w14:schemeClr w14:val="tx1"/>
            </w14:solidFill>
          </w14:textFill>
        </w:rPr>
        <w:t>.</w:t>
      </w:r>
    </w:p>
    <w:p w14:paraId="559F4A50">
      <w:pPr>
        <w:pStyle w:val="4"/>
        <w:numPr>
          <w:ilvl w:val="0"/>
          <w:numId w:val="4"/>
        </w:numPr>
        <w:spacing w:before="200" w:after="120" w:line="480" w:lineRule="auto"/>
        <w:ind w:left="425" w:leftChars="0" w:hanging="425" w:firstLineChars="0"/>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Inflation (INF) has a positive and statistically insignificant long run coefficient of 8.28 (t-statistic=0.50), well below significance level at conventional tests. While opposite from expected priori negative impact of inflation on economic growth this finding should be used with all caution. The negative inflation growth nexus: As for reasons that underpin negative relationship between inflation and growth, we have for example Mundell</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Tobin effect (increasing inflation reduces the real return on monetary assets thereby discouraging saving and leading to smaller pool of funds for investment), Investment Uncertainty Hypothesis (increasing inflation leads to greater macroeconomic instability and increased investment hurdle rates by delaying and deferring investments), or the Tobin Redistribution Channel (inflation shifts resources from creditors to debtors which distorts the contract structure of debt contracts and can reduce the efficiency of intermediation).</w:t>
      </w:r>
      <w:r>
        <w:rPr>
          <w:rFonts w:hint="default"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First, the relation between inflation and growth might be non-linear and may not exhibit in general, as in several countries beyond threshold level of inflation where the negative effect begins, the effect as demonstrated by Khan and Senhadji (2001). Second, M2, which capture monetary conditions responsible for inflationary tendencies, and which might be highly correlated with</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INF. Thirdly, the Nigeria growth trend which is predominantly determined by oil revenue and government expenditures, can help neutralize negative impacts of inflation on economic activity of the private sector. Error Correction Term (ECT) and Short-Run Dynamics In terms of error correction term (ECT) for short-run adjustment to long run equilibrium, the result shows a negative coefficient of 0.0387 and a t-statistic of 1.070. As expected, the sign of the ECT is negative, implying adjustment to equilibrium is in the right direction. The result shows that none of differenced financial variables </w:t>
      </w:r>
      <w:r>
        <w:rPr>
          <w:rFonts w:hint="default" w:eastAsia="Cambria" w:cs="Times New Roman"/>
          <w:b w:val="0"/>
          <w:bCs w:val="0"/>
          <w:color w:val="000000" w:themeColor="text1"/>
          <w:sz w:val="24"/>
          <w:szCs w:val="24"/>
          <w:lang w:val="en-US"/>
          <w14:textFill>
            <w14:solidFill>
              <w14:schemeClr w14:val="tx1"/>
            </w14:solidFill>
          </w14:textFill>
        </w:rPr>
        <w:t>are</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significant at 5% level of significance in explaining current growth rate. This shows that financial institution affects economic growth of Nigeria in long run, rather than in the short run. Overall Model Fit and Implications The R-squared value of the model stands at 0.2456 which signifies that the financial variables jointly explain about 24.56% of the total variation in economic growth in Nigeria during the period under consideration. </w:t>
      </w:r>
    </w:p>
    <w:p w14:paraId="00719B59">
      <w:pPr>
        <w:pStyle w:val="2"/>
        <w:spacing w:before="300" w:after="200"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p>
    <w:p w14:paraId="13CFB4B8">
      <w:pPr>
        <w:pStyle w:val="2"/>
        <w:spacing w:before="300" w:after="200" w:line="480" w:lineRule="auto"/>
        <w:jc w:val="both"/>
        <w:rPr>
          <w:rFonts w:hint="default" w:ascii="Times New Roman" w:hAnsi="Times New Roman" w:eastAsia="Cambria" w:cs="Times New Roman"/>
          <w:b/>
          <w:bCs/>
          <w:color w:val="000000" w:themeColor="text1"/>
          <w:sz w:val="24"/>
          <w:szCs w:val="24"/>
          <w14:textFill>
            <w14:solidFill>
              <w14:schemeClr w14:val="tx1"/>
            </w14:solidFill>
          </w14:textFill>
        </w:rPr>
      </w:pPr>
    </w:p>
    <w:p w14:paraId="7796753C">
      <w:pPr>
        <w:pStyle w:val="2"/>
        <w:spacing w:before="300" w:after="200" w:line="480" w:lineRule="auto"/>
        <w:jc w:val="center"/>
        <w:rPr>
          <w:rFonts w:hint="default" w:ascii="Times New Roman" w:hAnsi="Times New Roman" w:eastAsia="Cambria" w:cs="Times New Roman"/>
          <w:b/>
          <w:bCs/>
          <w:color w:val="000000" w:themeColor="text1"/>
          <w:sz w:val="24"/>
          <w:szCs w:val="24"/>
          <w14:textFill>
            <w14:solidFill>
              <w14:schemeClr w14:val="tx1"/>
            </w14:solidFill>
          </w14:textFill>
        </w:rPr>
      </w:pPr>
    </w:p>
    <w:p w14:paraId="457A9811">
      <w:pPr>
        <w:pStyle w:val="2"/>
        <w:spacing w:before="300" w:after="200" w:line="480" w:lineRule="auto"/>
        <w:jc w:val="center"/>
        <w:rPr>
          <w:rFonts w:hint="default" w:ascii="Times New Roman" w:hAnsi="Times New Roman" w:eastAsia="Cambria" w:cs="Times New Roman"/>
          <w:b/>
          <w:bCs/>
          <w:color w:val="000000" w:themeColor="text1"/>
          <w:sz w:val="24"/>
          <w:szCs w:val="24"/>
          <w14:textFill>
            <w14:solidFill>
              <w14:schemeClr w14:val="tx1"/>
            </w14:solidFill>
          </w14:textFill>
        </w:rPr>
      </w:pPr>
    </w:p>
    <w:p w14:paraId="42CAF87C">
      <w:pPr>
        <w:pStyle w:val="2"/>
        <w:spacing w:before="300" w:after="200" w:line="480" w:lineRule="auto"/>
        <w:jc w:val="center"/>
        <w:rPr>
          <w:rFonts w:hint="default" w:ascii="Times New Roman" w:hAnsi="Times New Roman" w:eastAsia="Cambria" w:cs="Times New Roman"/>
          <w:b/>
          <w:bCs/>
          <w:color w:val="000000" w:themeColor="text1"/>
          <w:sz w:val="24"/>
          <w:szCs w:val="24"/>
          <w14:textFill>
            <w14:solidFill>
              <w14:schemeClr w14:val="tx1"/>
            </w14:solidFill>
          </w14:textFill>
        </w:rPr>
      </w:pPr>
    </w:p>
    <w:p w14:paraId="27564D2B">
      <w:pPr>
        <w:pStyle w:val="2"/>
        <w:spacing w:before="300" w:after="200" w:line="480" w:lineRule="auto"/>
        <w:jc w:val="center"/>
        <w:rPr>
          <w:rFonts w:hint="default" w:ascii="Times New Roman" w:hAnsi="Times New Roman" w:eastAsia="Cambria" w:cs="Times New Roman"/>
          <w:b/>
          <w:bCs/>
          <w:color w:val="000000" w:themeColor="text1"/>
          <w:sz w:val="24"/>
          <w:szCs w:val="24"/>
          <w14:textFill>
            <w14:solidFill>
              <w14:schemeClr w14:val="tx1"/>
            </w14:solidFill>
          </w14:textFill>
        </w:rPr>
      </w:pPr>
    </w:p>
    <w:p w14:paraId="7C87D98B">
      <w:pPr>
        <w:pStyle w:val="2"/>
        <w:spacing w:before="300" w:after="200" w:line="480" w:lineRule="auto"/>
        <w:jc w:val="both"/>
        <w:rPr>
          <w:rFonts w:hint="default" w:ascii="Times New Roman" w:hAnsi="Times New Roman" w:eastAsia="Cambria" w:cs="Times New Roman"/>
          <w:b/>
          <w:bCs/>
          <w:color w:val="000000" w:themeColor="text1"/>
          <w:sz w:val="24"/>
          <w:szCs w:val="24"/>
          <w14:textFill>
            <w14:solidFill>
              <w14:schemeClr w14:val="tx1"/>
            </w14:solidFill>
          </w14:textFill>
        </w:rPr>
      </w:pPr>
    </w:p>
    <w:p w14:paraId="4B414E08">
      <w:pPr>
        <w:rPr>
          <w:rFonts w:hint="default" w:ascii="Times New Roman" w:hAnsi="Times New Roman" w:eastAsia="Cambria" w:cs="Times New Roman"/>
          <w:b/>
          <w:bCs/>
          <w:color w:val="000000" w:themeColor="text1"/>
          <w:sz w:val="24"/>
          <w:szCs w:val="24"/>
          <w14:textFill>
            <w14:solidFill>
              <w14:schemeClr w14:val="tx1"/>
            </w14:solidFill>
          </w14:textFill>
        </w:rPr>
      </w:pPr>
    </w:p>
    <w:p w14:paraId="439CA2E6">
      <w:pPr>
        <w:rPr>
          <w:rFonts w:hint="default" w:ascii="Times New Roman" w:hAnsi="Times New Roman" w:eastAsia="Cambria" w:cs="Times New Roman"/>
          <w:b/>
          <w:bCs/>
          <w:color w:val="000000" w:themeColor="text1"/>
          <w:sz w:val="24"/>
          <w:szCs w:val="24"/>
          <w14:textFill>
            <w14:solidFill>
              <w14:schemeClr w14:val="tx1"/>
            </w14:solidFill>
          </w14:textFill>
        </w:rPr>
      </w:pPr>
    </w:p>
    <w:p w14:paraId="7390BFAC">
      <w:pPr>
        <w:rPr>
          <w:rFonts w:hint="default" w:ascii="Times New Roman" w:hAnsi="Times New Roman" w:eastAsia="Cambria" w:cs="Times New Roman"/>
          <w:b/>
          <w:bCs/>
          <w:color w:val="000000" w:themeColor="text1"/>
          <w:sz w:val="24"/>
          <w:szCs w:val="24"/>
          <w14:textFill>
            <w14:solidFill>
              <w14:schemeClr w14:val="tx1"/>
            </w14:solidFill>
          </w14:textFill>
        </w:rPr>
      </w:pPr>
    </w:p>
    <w:p w14:paraId="596121E1">
      <w:pPr>
        <w:rPr>
          <w:rFonts w:hint="default" w:ascii="Times New Roman" w:hAnsi="Times New Roman" w:eastAsia="Cambria" w:cs="Times New Roman"/>
          <w:b/>
          <w:bCs/>
          <w:color w:val="000000" w:themeColor="text1"/>
          <w:sz w:val="24"/>
          <w:szCs w:val="24"/>
          <w14:textFill>
            <w14:solidFill>
              <w14:schemeClr w14:val="tx1"/>
            </w14:solidFill>
          </w14:textFill>
        </w:rPr>
      </w:pPr>
    </w:p>
    <w:p w14:paraId="1E44CFEA">
      <w:pPr>
        <w:rPr>
          <w:rFonts w:hint="default" w:ascii="Times New Roman" w:hAnsi="Times New Roman" w:eastAsia="Cambria" w:cs="Times New Roman"/>
          <w:b/>
          <w:bCs/>
          <w:color w:val="000000" w:themeColor="text1"/>
          <w:sz w:val="24"/>
          <w:szCs w:val="24"/>
          <w14:textFill>
            <w14:solidFill>
              <w14:schemeClr w14:val="tx1"/>
            </w14:solidFill>
          </w14:textFill>
        </w:rPr>
      </w:pPr>
    </w:p>
    <w:p w14:paraId="399BF07A">
      <w:pPr>
        <w:jc w:val="center"/>
        <w:rPr>
          <w:rFonts w:hint="default" w:ascii="Times New Roman" w:hAnsi="Times New Roman" w:eastAsia="Cambria" w:cs="Times New Roman"/>
          <w:b/>
          <w:bCs/>
          <w:color w:val="000000" w:themeColor="text1"/>
          <w:sz w:val="24"/>
          <w:szCs w:val="24"/>
          <w14:textFill>
            <w14:solidFill>
              <w14:schemeClr w14:val="tx1"/>
            </w14:solidFill>
          </w14:textFill>
        </w:rPr>
      </w:pPr>
    </w:p>
    <w:p w14:paraId="142B7F53">
      <w:pPr>
        <w:jc w:val="center"/>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CHAPTER FIVE</w:t>
      </w:r>
    </w:p>
    <w:p w14:paraId="72C654FD">
      <w:pPr>
        <w:jc w:val="center"/>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 SUMMARY, CONCLUSION AND RECOMMENDATIONS</w:t>
      </w:r>
    </w:p>
    <w:p w14:paraId="0ED87369">
      <w:pPr>
        <w:jc w:val="center"/>
        <w:rPr>
          <w:rFonts w:hint="default" w:ascii="Times New Roman" w:hAnsi="Times New Roman" w:eastAsia="Cambria" w:cs="Times New Roman"/>
          <w:b/>
          <w:bCs/>
          <w:color w:val="000000" w:themeColor="text1"/>
          <w:sz w:val="24"/>
          <w:szCs w:val="24"/>
          <w:lang w:val="en-US"/>
          <w14:textFill>
            <w14:solidFill>
              <w14:schemeClr w14:val="tx1"/>
            </w14:solidFill>
          </w14:textFill>
        </w:rPr>
      </w:pPr>
    </w:p>
    <w:p w14:paraId="11FF779E">
      <w:pPr>
        <w:jc w:val="both"/>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 5.1 Summary of Findings</w:t>
      </w:r>
    </w:p>
    <w:p w14:paraId="0AA43690">
      <w:pPr>
        <w:jc w:val="both"/>
        <w:rPr>
          <w:rFonts w:hint="default" w:ascii="Times New Roman" w:hAnsi="Times New Roman" w:eastAsia="Cambria" w:cs="Times New Roman"/>
          <w:b/>
          <w:bCs/>
          <w:color w:val="000000" w:themeColor="text1"/>
          <w:sz w:val="24"/>
          <w:szCs w:val="24"/>
          <w14:textFill>
            <w14:solidFill>
              <w14:schemeClr w14:val="tx1"/>
            </w14:solidFill>
          </w14:textFill>
        </w:rPr>
      </w:pPr>
    </w:p>
    <w:p w14:paraId="233BF427">
      <w:pPr>
        <w:spacing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This project</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aimed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to empirically investigate relationship between financial institution development and economic growth in Nigeria during 1990-2024. To achieve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research </w:t>
      </w:r>
      <w:r>
        <w:rPr>
          <w:rFonts w:hint="default" w:ascii="Times New Roman" w:hAnsi="Times New Roman" w:eastAsia="Cambria" w:cs="Times New Roman"/>
          <w:b w:val="0"/>
          <w:bCs w:val="0"/>
          <w:color w:val="000000" w:themeColor="text1"/>
          <w:sz w:val="24"/>
          <w:szCs w:val="24"/>
          <w14:textFill>
            <w14:solidFill>
              <w14:schemeClr w14:val="tx1"/>
            </w14:solidFill>
          </w14:textFill>
        </w:rPr>
        <w:t>objective</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Johansen cointegration framework in conjunction with Vector Error Correction Model (VECM).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F</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ive variables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used for</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analysis are economic growth (EG), domestic credit to the private sector (DCPS), broad money supply (M2), interest rate spread (IRS), inflation (INF).</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Based on Augmented Dickey-Fuller</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Phillips Perron unit root tests, five variables are integrated of order one, i(1), a crucial pre-condition for</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analysis of long-run cointegrating relationships among these variables. While Johansen cointegration test yielded border-line results at 5% level, some evidence suggest</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existence of a single long-run equilibrium relationship among  variables. This justified our utilization of the VECM framework. For the long-run estimation, domestic credit to private sector (DCPS) is a positive and statistically significant factor that boosts economic growth, underlining significance of expanding provision of credit to enhance productivity and stimulate long-run economic progress. Similarly, interest rate spread (IRS) has a significant positive effect on economic growth, showing role of banking sector intermediation in financing long-run growth. </w:t>
      </w:r>
    </w:p>
    <w:p w14:paraId="5D616331">
      <w:pPr>
        <w:spacing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However, broad money supply (M2) exhibits negative and statistically significant relationship with long-run economic growth, indicating that monetary expansion in Nigeria does not seem to support productive investments.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C</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oefficient on inflation (INF) is positive but statistically insignificant, demonstrating the complexity of growth inflation linkage in a resource-driven economy. Regarding short-run dynamics, all the financial variables exhibit a very weak and statistically insignificant link with economic growth. Similarly, although the error correction term carries a correct sign, its magnitude implies an adjustment speed of only 3.87 percent per year toward long-run equilibrium. This results from shallow private credit markets and high banking sector intermediation costs that may prevent shocks to financial development from transmitting quickly into real economic growth. Our diagnostic tests show evidence of residual serial correlation which might warrant some further research in our short-run specification while homoskedasticity is upheld for the long-run estimates. </w:t>
      </w:r>
    </w:p>
    <w:p w14:paraId="10423BA6">
      <w:pPr>
        <w:rPr>
          <w:rFonts w:hint="default" w:ascii="Times New Roman" w:hAnsi="Times New Roman" w:eastAsia="Cambria" w:cs="Times New Roman"/>
          <w:b/>
          <w:bCs/>
          <w:color w:val="000000" w:themeColor="text1"/>
          <w:sz w:val="24"/>
          <w:szCs w:val="24"/>
          <w14:textFill>
            <w14:solidFill>
              <w14:schemeClr w14:val="tx1"/>
            </w14:solidFill>
          </w14:textFill>
        </w:rPr>
      </w:pPr>
    </w:p>
    <w:p w14:paraId="1D36DB6D">
      <w:pPr>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5.2 Conclusion</w:t>
      </w:r>
    </w:p>
    <w:p w14:paraId="7F0D5D4F">
      <w:pPr>
        <w:rPr>
          <w:rFonts w:hint="default" w:ascii="Times New Roman" w:hAnsi="Times New Roman" w:eastAsia="Cambria" w:cs="Times New Roman"/>
          <w:b/>
          <w:bCs/>
          <w:color w:val="000000" w:themeColor="text1"/>
          <w:sz w:val="24"/>
          <w:szCs w:val="24"/>
          <w14:textFill>
            <w14:solidFill>
              <w14:schemeClr w14:val="tx1"/>
            </w14:solidFill>
          </w14:textFill>
        </w:rPr>
      </w:pPr>
    </w:p>
    <w:p w14:paraId="006C2649">
      <w:pPr>
        <w:spacing w:line="480" w:lineRule="auto"/>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This paper </w:t>
      </w:r>
      <w:r>
        <w:rPr>
          <w:rFonts w:hint="default" w:ascii="Times New Roman" w:hAnsi="Times New Roman" w:eastAsia="Cambria" w:cs="Times New Roman"/>
          <w:b w:val="0"/>
          <w:bCs w:val="0"/>
          <w:color w:val="000000" w:themeColor="text1"/>
          <w:sz w:val="24"/>
          <w:szCs w:val="24"/>
          <w14:textFill>
            <w14:solidFill>
              <w14:schemeClr w14:val="tx1"/>
            </w14:solidFill>
          </w14:textFill>
        </w:rPr>
        <w:t>investigate</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impact of financial institution development on economic growth in Nigeria over 1990-2024. We employed the Johansen cointegration and the VECM methodology.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D</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ata source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include</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World Bank development indicators (WDI) and central bank of Nigeria (CBN) statistical bulletins. The model comprises four financial variables (domestic credit to the private sector, broad money supply, interest rate spread, and inflation) and a growth variable.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It showed </w:t>
      </w:r>
      <w:r>
        <w:rPr>
          <w:rFonts w:hint="default" w:ascii="Times New Roman" w:hAnsi="Times New Roman" w:eastAsia="Cambria" w:cs="Times New Roman"/>
          <w:b w:val="0"/>
          <w:bCs w:val="0"/>
          <w:color w:val="000000" w:themeColor="text1"/>
          <w:sz w:val="24"/>
          <w:szCs w:val="24"/>
          <w14:textFill>
            <w14:solidFill>
              <w14:schemeClr w14:val="tx1"/>
            </w14:solidFill>
          </w14:textFill>
        </w:rPr>
        <w:t>financial institution development impact</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s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economic growth in Nigeria. However, impact of financial development on Nigeria economic growth is felt in the long run than in short run.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D</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omestic credit and interest rate spreads are important channels for long run economic growth, while excessive money supply seems to hurt long run growth, possibly due to inflation.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S</w:t>
      </w:r>
      <w:r>
        <w:rPr>
          <w:rFonts w:hint="default" w:ascii="Times New Roman" w:hAnsi="Times New Roman" w:eastAsia="Cambria" w:cs="Times New Roman"/>
          <w:b w:val="0"/>
          <w:bCs w:val="0"/>
          <w:color w:val="000000" w:themeColor="text1"/>
          <w:sz w:val="24"/>
          <w:szCs w:val="24"/>
          <w14:textFill>
            <w14:solidFill>
              <w14:schemeClr w14:val="tx1"/>
            </w14:solidFill>
          </w14:textFill>
        </w:rPr>
        <w:t>ome evidences of significant structural problems such as limited private credit markets and wide intermediation costs. These findings have some significant implications for economic policy in Nigeria. On broadly, it implies strengthen</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ing</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financial markets through greater depth and broadness.</w:t>
      </w:r>
    </w:p>
    <w:p w14:paraId="5F77582E">
      <w:pPr>
        <w:rPr>
          <w:rFonts w:hint="default" w:ascii="Times New Roman" w:hAnsi="Times New Roman" w:eastAsia="Cambria" w:cs="Times New Roman"/>
          <w:b/>
          <w:bCs/>
          <w:color w:val="000000" w:themeColor="text1"/>
          <w:sz w:val="24"/>
          <w:szCs w:val="24"/>
          <w14:textFill>
            <w14:solidFill>
              <w14:schemeClr w14:val="tx1"/>
            </w14:solidFill>
          </w14:textFill>
        </w:rPr>
      </w:pPr>
    </w:p>
    <w:p w14:paraId="64BA6B0A">
      <w:pPr>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14:textFill>
            <w14:solidFill>
              <w14:schemeClr w14:val="tx1"/>
            </w14:solidFill>
          </w14:textFill>
        </w:rPr>
        <w:t xml:space="preserve"> 5.3 Policy Recommendations </w:t>
      </w:r>
    </w:p>
    <w:p w14:paraId="057DA400">
      <w:pPr>
        <w:rPr>
          <w:rFonts w:hint="default" w:ascii="Times New Roman" w:hAnsi="Times New Roman" w:eastAsia="Cambria" w:cs="Times New Roman"/>
          <w:b/>
          <w:bCs/>
          <w:color w:val="000000" w:themeColor="text1"/>
          <w:sz w:val="24"/>
          <w:szCs w:val="24"/>
          <w14:textFill>
            <w14:solidFill>
              <w14:schemeClr w14:val="tx1"/>
            </w14:solidFill>
          </w14:textFill>
        </w:rPr>
      </w:pPr>
    </w:p>
    <w:p w14:paraId="1EA4F620">
      <w:pPr>
        <w:spacing w:line="480" w:lineRule="auto"/>
        <w:jc w:val="both"/>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pP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T</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he following policy recommendations are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recommended: </w:t>
      </w:r>
    </w:p>
    <w:p w14:paraId="7B6B4F2F">
      <w:pPr>
        <w:numPr>
          <w:ilvl w:val="0"/>
          <w:numId w:val="5"/>
        </w:numPr>
        <w:spacing w:line="480" w:lineRule="auto"/>
        <w:ind w:left="425" w:leftChars="0" w:hanging="425" w:firstLineChars="0"/>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The positive correlation with growth being highly unstable in time and not statistically significant in most of our analyses, particularly over the long-run and the high volatility and instability experienced by this series, suggest that an explicit monetary policy stance on growth must not revolve on the expansion of money supply as such but on the effective management of inflation and ensuring that money supply enhances and not undermines a healthy growing economy. The CBN should continue to exert firm monetary discipline by tightly controlling money supply growth to reduce inflation. Monetary targets should also be made flexible to respond to economic growth needs. However, in view of the highly unstable impact of this variable in time, there should be close liaison between monetary policy authority and government on effective targeting. </w:t>
      </w:r>
    </w:p>
    <w:p w14:paraId="004E1C21">
      <w:pPr>
        <w:numPr>
          <w:ilvl w:val="0"/>
          <w:numId w:val="5"/>
        </w:numPr>
        <w:spacing w:line="480" w:lineRule="auto"/>
        <w:ind w:left="425" w:leftChars="0" w:hanging="425" w:firstLineChars="0"/>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Domestic credit to private sector (DCPS) emerges as very crucial indicator for long-run economic growth. In our estimation of DCPS we had values around 9.76% of our sample mean which suggests that, while it significantly drive our growth equation, its level is relatively low as against those of peer countries and this indicates potential constraints to economic growth from private sector financial development perspective. Therefore, there is the need to significantly expand supply of domestic credit to private sector through policy actions that promote private investment and production. This can include provision of long-term financing facilities by Development Finance Institutions (DFIs) to priority sectors of the economy such as manufacturing and agriculture, establishment of comprehensive</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 efficient credit guarantee scheme to reduce lending risks faced by banks especially those involved in lending to SMEs, and strengthened  existing credit information systems to improve information availability and reduce risk and cost of credit intermediation. </w:t>
      </w:r>
    </w:p>
    <w:p w14:paraId="730BA8BF">
      <w:pPr>
        <w:numPr>
          <w:ilvl w:val="0"/>
          <w:numId w:val="5"/>
        </w:numPr>
        <w:spacing w:line="480" w:lineRule="auto"/>
        <w:ind w:left="425" w:leftChars="0" w:hanging="425" w:firstLineChars="0"/>
        <w:jc w:val="both"/>
        <w:rPr>
          <w:rFonts w:hint="default" w:ascii="Times New Roman" w:hAnsi="Times New Roman" w:eastAsia="Cambria" w:cs="Times New Roman"/>
          <w:b w:val="0"/>
          <w:bCs w:val="0"/>
          <w:color w:val="000000" w:themeColor="text1"/>
          <w:sz w:val="24"/>
          <w:szCs w:val="24"/>
          <w14:textFill>
            <w14:solidFill>
              <w14:schemeClr w14:val="tx1"/>
            </w14:solidFill>
          </w14:textFill>
        </w:rPr>
      </w:pP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Given positive and significant role of interest rate spread on economic growth in the long-run, our finding confirms that banking sector intermediation costs are important determinants of economic growth. </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M</w:t>
      </w:r>
      <w:r>
        <w:rPr>
          <w:rFonts w:hint="default" w:ascii="Times New Roman" w:hAnsi="Times New Roman" w:eastAsia="Cambria" w:cs="Times New Roman"/>
          <w:b w:val="0"/>
          <w:bCs w:val="0"/>
          <w:color w:val="000000" w:themeColor="text1"/>
          <w:sz w:val="24"/>
          <w:szCs w:val="24"/>
          <w14:textFill>
            <w14:solidFill>
              <w14:schemeClr w14:val="tx1"/>
            </w14:solidFill>
          </w14:textFill>
        </w:rPr>
        <w:t>ean spread is 7.27%, which might appear large but in the Nigeria case shows a more efficient intermediation process in the period under review, helping the sector play an increasingly positive role in mobilizing savings and channelling them to investment. However, such a wide spread also implies an unnecessarily higher cost of funds for borrowers which could deter investments. Therefore, measures to further reduce the intermediation costs by fostering more competition in the banking sector, improving the risk assessment and credit management skills of bank personnel, developing the debt instruments markets to diversify range of financial products available to consumers,</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eastAsia="Cambria" w:cs="Times New Roman"/>
          <w:b w:val="0"/>
          <w:bCs w:val="0"/>
          <w:color w:val="000000" w:themeColor="text1"/>
          <w:sz w:val="24"/>
          <w:szCs w:val="24"/>
          <w14:textFill>
            <w14:solidFill>
              <w14:schemeClr w14:val="tx1"/>
            </w14:solidFill>
          </w14:textFill>
        </w:rPr>
        <w:t xml:space="preserve">reducing information asymmetries among banks could lead to narrower spreads which in turn lower the borrowing costs to firms, leading to enhanced investments and greater growth. </w:t>
      </w:r>
    </w:p>
    <w:p w14:paraId="6A9D1EF2">
      <w:pPr>
        <w:numPr>
          <w:ilvl w:val="0"/>
          <w:numId w:val="5"/>
        </w:numPr>
        <w:spacing w:line="480" w:lineRule="auto"/>
        <w:ind w:left="425" w:leftChars="0" w:hanging="425" w:firstLineChars="0"/>
        <w:jc w:val="both"/>
        <w:rPr>
          <w:rFonts w:hint="default" w:ascii="Times New Roman" w:hAnsi="Times New Roman" w:cs="Times New Roman"/>
        </w:rPr>
      </w:pPr>
      <w:r>
        <w:rPr>
          <w:rFonts w:hint="default" w:ascii="Times New Roman" w:hAnsi="Times New Roman" w:eastAsia="Cambria" w:cs="Times New Roman"/>
          <w:b w:val="0"/>
          <w:bCs w:val="0"/>
          <w:color w:val="000000" w:themeColor="text1"/>
          <w:sz w:val="24"/>
          <w:szCs w:val="24"/>
          <w14:textFill>
            <w14:solidFill>
              <w14:schemeClr w14:val="tx1"/>
            </w14:solidFill>
          </w14:textFill>
        </w:rPr>
        <w:t>The fact that our inflation rate is highly unstable during our period of study( averaging 18.71% per annum, reaching a peak of 72.84%) indicates the magnitude of macroeconomic instability in Nigeria. CBN should persist with its fight against inflation and bring down the average rate and also ensure its stability by anchoring inflation expectation in a clear and consistent manner through a transparent monetary policy. More importantly, supply-side policies to reduce the incidence of cost-push inflation (such as investing in infrastructure, agriculture and industrial capacity) should be intensified by the government in partnership with CBN, to make sure that inflation does not persist</w:t>
      </w:r>
      <w:r>
        <w:rPr>
          <w:rFonts w:hint="default" w:ascii="Times New Roman" w:hAnsi="Times New Roman" w:eastAsia="Cambria" w:cs="Times New Roman"/>
          <w:b w:val="0"/>
          <w:bCs w:val="0"/>
          <w:color w:val="000000" w:themeColor="text1"/>
          <w:sz w:val="24"/>
          <w:szCs w:val="24"/>
          <w:lang w:val="en-US"/>
          <w14:textFill>
            <w14:solidFill>
              <w14:schemeClr w14:val="tx1"/>
            </w14:solidFill>
          </w14:textFill>
        </w:rPr>
        <w:t>.</w:t>
      </w:r>
    </w:p>
    <w:p w14:paraId="78B7FE9C">
      <w:pPr>
        <w:rPr>
          <w:rFonts w:hint="default" w:ascii="Times New Roman" w:hAnsi="Times New Roman" w:cs="Times New Roman"/>
        </w:rPr>
      </w:pPr>
    </w:p>
    <w:p w14:paraId="146A8E12">
      <w:pPr>
        <w:rPr>
          <w:rFonts w:hint="default" w:ascii="Times New Roman" w:hAnsi="Times New Roman" w:cs="Times New Roman"/>
        </w:rPr>
      </w:pPr>
    </w:p>
    <w:p w14:paraId="554ECD77">
      <w:pPr>
        <w:rPr>
          <w:rFonts w:hint="default" w:ascii="Times New Roman" w:hAnsi="Times New Roman" w:cs="Times New Roman"/>
        </w:rPr>
      </w:pPr>
    </w:p>
    <w:p w14:paraId="17FCDA0A">
      <w:pPr>
        <w:rPr>
          <w:rFonts w:hint="default" w:ascii="Times New Roman" w:hAnsi="Times New Roman" w:cs="Times New Roman"/>
        </w:rPr>
      </w:pPr>
    </w:p>
    <w:p w14:paraId="58B87568">
      <w:pPr>
        <w:spacing w:after="40" w:line="360" w:lineRule="auto"/>
        <w:jc w:val="both"/>
        <w:rPr>
          <w:rFonts w:hint="default" w:ascii="Times New Roman" w:hAnsi="Times New Roman" w:eastAsia="Cambria" w:cs="Times New Roman"/>
          <w:b/>
          <w:bCs/>
          <w:color w:val="000000" w:themeColor="text1"/>
          <w:sz w:val="24"/>
          <w:szCs w:val="24"/>
          <w:rtl w:val="0"/>
          <w14:textFill>
            <w14:solidFill>
              <w14:schemeClr w14:val="tx1"/>
            </w14:solidFill>
          </w14:textFill>
        </w:rPr>
      </w:pPr>
    </w:p>
    <w:p w14:paraId="7B9FC890">
      <w:pPr>
        <w:spacing w:after="40" w:line="360" w:lineRule="auto"/>
        <w:jc w:val="center"/>
        <w:rPr>
          <w:rFonts w:hint="default" w:ascii="Times New Roman" w:hAnsi="Times New Roman" w:eastAsia="Cambria" w:cs="Times New Roman"/>
          <w:b/>
          <w:bCs/>
          <w:color w:val="000000" w:themeColor="text1"/>
          <w:sz w:val="24"/>
          <w:szCs w:val="24"/>
          <w14:textFill>
            <w14:solidFill>
              <w14:schemeClr w14:val="tx1"/>
            </w14:solidFill>
          </w14:textFill>
        </w:rPr>
      </w:pPr>
      <w:r>
        <w:rPr>
          <w:rFonts w:hint="default" w:ascii="Times New Roman" w:hAnsi="Times New Roman" w:eastAsia="Cambria" w:cs="Times New Roman"/>
          <w:b/>
          <w:bCs/>
          <w:color w:val="000000" w:themeColor="text1"/>
          <w:sz w:val="24"/>
          <w:szCs w:val="24"/>
          <w:rtl w:val="0"/>
          <w14:textFill>
            <w14:solidFill>
              <w14:schemeClr w14:val="tx1"/>
            </w14:solidFill>
          </w14:textFill>
        </w:rPr>
        <w:t>REFERENCES</w:t>
      </w:r>
    </w:p>
    <w:p w14:paraId="7BAC51AE">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Abu-Bader, S., &amp; Abu-Qarn, A. S. (2008). Financial development and economic growth: Empirical evidence from six MENA countries. </w:t>
      </w:r>
      <w:r>
        <w:rPr>
          <w:rStyle w:val="7"/>
          <w:rFonts w:hint="default" w:ascii="Times New Roman" w:hAnsi="Times New Roman" w:cs="Times New Roman"/>
          <w:color w:val="000000" w:themeColor="text1"/>
          <w:u w:val="none"/>
          <w14:textFill>
            <w14:solidFill>
              <w14:schemeClr w14:val="tx1"/>
            </w14:solidFill>
          </w14:textFill>
        </w:rPr>
        <w:t>Review of Development Economics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12</w:t>
      </w:r>
      <w:r>
        <w:rPr>
          <w:rFonts w:hint="default" w:ascii="Times New Roman" w:hAnsi="Times New Roman" w:cs="Times New Roman"/>
          <w:color w:val="000000" w:themeColor="text1"/>
          <w:u w:val="none"/>
          <w14:textFill>
            <w14:solidFill>
              <w14:schemeClr w14:val="tx1"/>
            </w14:solidFill>
          </w14:textFill>
        </w:rPr>
        <w:t xml:space="preserve">(4), 803–817.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"https://doi.org/10.1111/j.1467-9361.2008.00427.x"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https://doi.org/10.1111/j.1467-9361.2008.00427.x</w:t>
      </w:r>
      <w:r>
        <w:rPr>
          <w:rFonts w:hint="default" w:ascii="Times New Roman" w:hAnsi="Times New Roman" w:cs="Times New Roman"/>
          <w:color w:val="000000" w:themeColor="text1"/>
          <w:u w:val="none"/>
          <w14:textFill>
            <w14:solidFill>
              <w14:schemeClr w14:val="tx1"/>
            </w14:solidFill>
          </w14:textFill>
        </w:rPr>
        <w:fldChar w:fldCharType="end"/>
      </w:r>
    </w:p>
    <w:p w14:paraId="4FF079C7">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Adesuyi, O. O., Binuyo, B. O., Akinola, H. O., &amp; Idowu, O. M. (2024). Effects of monetary and fiscal policy on economic growth in Nigeria. </w:t>
      </w:r>
      <w:r>
        <w:rPr>
          <w:rStyle w:val="7"/>
          <w:rFonts w:hint="default" w:ascii="Times New Roman" w:hAnsi="Times New Roman" w:cs="Times New Roman"/>
          <w:color w:val="000000" w:themeColor="text1"/>
          <w:u w:val="none"/>
          <w14:textFill>
            <w14:solidFill>
              <w14:schemeClr w14:val="tx1"/>
            </w14:solidFill>
          </w14:textFill>
        </w:rPr>
        <w:t>Journal of Economics and Allied Research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9</w:t>
      </w:r>
      <w:r>
        <w:rPr>
          <w:rFonts w:hint="default" w:ascii="Times New Roman" w:hAnsi="Times New Roman" w:cs="Times New Roman"/>
          <w:color w:val="000000" w:themeColor="text1"/>
          <w:u w:val="none"/>
          <w14:textFill>
            <w14:solidFill>
              <w14:schemeClr w14:val="tx1"/>
            </w14:solidFill>
          </w14:textFill>
        </w:rPr>
        <w:t>(2), 256–270.</w:t>
      </w:r>
    </w:p>
    <w:p w14:paraId="54B71BBB">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Adetokunbo, A. M., &amp; Yusuf, I. J. (2024). Economic openness, institutional quality and economic growth in Nigeria. </w:t>
      </w:r>
      <w:r>
        <w:rPr>
          <w:rStyle w:val="7"/>
          <w:rFonts w:hint="default" w:ascii="Times New Roman" w:hAnsi="Times New Roman" w:cs="Times New Roman"/>
          <w:color w:val="000000" w:themeColor="text1"/>
          <w:u w:val="none"/>
          <w14:textFill>
            <w14:solidFill>
              <w14:schemeClr w14:val="tx1"/>
            </w14:solidFill>
          </w14:textFill>
        </w:rPr>
        <w:t>SN Business &amp; Economics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4</w:t>
      </w:r>
      <w:r>
        <w:rPr>
          <w:rFonts w:hint="default" w:ascii="Times New Roman" w:hAnsi="Times New Roman" w:cs="Times New Roman"/>
          <w:color w:val="000000" w:themeColor="text1"/>
          <w:u w:val="none"/>
          <w14:textFill>
            <w14:solidFill>
              <w14:schemeClr w14:val="tx1"/>
            </w14:solidFill>
          </w14:textFill>
        </w:rPr>
        <w:t xml:space="preserve">(77), 1–77.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"https://doi.org/10.1007/s43546-024-00676-9"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https://doi.org/10.1007/s43546-024-00676-9</w:t>
      </w:r>
      <w:r>
        <w:rPr>
          <w:rFonts w:hint="default" w:ascii="Times New Roman" w:hAnsi="Times New Roman" w:cs="Times New Roman"/>
          <w:color w:val="000000" w:themeColor="text1"/>
          <w:u w:val="none"/>
          <w14:textFill>
            <w14:solidFill>
              <w14:schemeClr w14:val="tx1"/>
            </w14:solidFill>
          </w14:textFill>
        </w:rPr>
        <w:fldChar w:fldCharType="end"/>
      </w:r>
    </w:p>
    <w:p w14:paraId="52CC2496">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Adewole, J. A., Suberu, O. J., Fapetu, O., &amp; Olorunmade, G. (2023). Financial institutions' credit and economic growth in Nigeria. </w:t>
      </w:r>
      <w:r>
        <w:rPr>
          <w:rStyle w:val="7"/>
          <w:rFonts w:hint="default" w:ascii="Times New Roman" w:hAnsi="Times New Roman" w:cs="Times New Roman"/>
          <w:color w:val="000000" w:themeColor="text1"/>
          <w:u w:val="none"/>
          <w14:textFill>
            <w14:solidFill>
              <w14:schemeClr w14:val="tx1"/>
            </w14:solidFill>
          </w14:textFill>
        </w:rPr>
        <w:t>Fuoye Journal of Finance and Contemporary Issues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4</w:t>
      </w:r>
      <w:r>
        <w:rPr>
          <w:rFonts w:hint="default" w:ascii="Times New Roman" w:hAnsi="Times New Roman" w:cs="Times New Roman"/>
          <w:color w:val="000000" w:themeColor="text1"/>
          <w:u w:val="none"/>
          <w14:textFill>
            <w14:solidFill>
              <w14:schemeClr w14:val="tx1"/>
            </w14:solidFill>
          </w14:textFill>
        </w:rPr>
        <w:t>(1), 110–123.</w:t>
      </w:r>
    </w:p>
    <w:p w14:paraId="4573F675">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Admin, D. M., Olalekan, B. A., Adegbemi, O., &amp; Aliyu, A. R. (2024). Financial development, urbanization and the environmental nexus in Nigeria: A non-linear analysis. </w:t>
      </w:r>
      <w:r>
        <w:rPr>
          <w:rStyle w:val="7"/>
          <w:rFonts w:hint="default" w:ascii="Times New Roman" w:hAnsi="Times New Roman" w:cs="Times New Roman"/>
          <w:color w:val="000000" w:themeColor="text1"/>
          <w:u w:val="none"/>
          <w14:textFill>
            <w14:solidFill>
              <w14:schemeClr w14:val="tx1"/>
            </w14:solidFill>
          </w14:textFill>
        </w:rPr>
        <w:t>Journal of Economics and Allied Research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9</w:t>
      </w:r>
      <w:r>
        <w:rPr>
          <w:rFonts w:hint="default" w:ascii="Times New Roman" w:hAnsi="Times New Roman" w:cs="Times New Roman"/>
          <w:color w:val="000000" w:themeColor="text1"/>
          <w:u w:val="none"/>
          <w14:textFill>
            <w14:solidFill>
              <w14:schemeClr w14:val="tx1"/>
            </w14:solidFill>
          </w14:textFill>
        </w:rPr>
        <w:t>(2), 1–15.</w:t>
      </w:r>
    </w:p>
    <w:p w14:paraId="72A8E6F8">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Agu, E. E., Chiekezie, N. R., Abhulimen, A. O., &amp; Obiki-Osafiele, A. N. (2024). Optimizing supply chains in emerging markets: Addressing key challenges in the financial sector. </w:t>
      </w:r>
      <w:r>
        <w:rPr>
          <w:rStyle w:val="7"/>
          <w:rFonts w:hint="default" w:ascii="Times New Roman" w:hAnsi="Times New Roman" w:cs="Times New Roman"/>
          <w:color w:val="000000" w:themeColor="text1"/>
          <w:u w:val="none"/>
          <w14:textFill>
            <w14:solidFill>
              <w14:schemeClr w14:val="tx1"/>
            </w14:solidFill>
          </w14:textFill>
        </w:rPr>
        <w:t>World Journal of Advanced Science and Technology</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6</w:t>
      </w:r>
      <w:r>
        <w:rPr>
          <w:rFonts w:hint="default" w:ascii="Times New Roman" w:hAnsi="Times New Roman" w:cs="Times New Roman"/>
          <w:color w:val="000000" w:themeColor="text1"/>
          <w:u w:val="none"/>
          <w14:textFill>
            <w14:solidFill>
              <w14:schemeClr w14:val="tx1"/>
            </w14:solidFill>
          </w14:textFill>
        </w:rPr>
        <w:t xml:space="preserve">(01), 35–45.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"https://doi.org/10.53346/wjast.2024.6.1.0045"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https://doi.org/10.53346/wjast.2024.6.1.0045</w:t>
      </w:r>
      <w:r>
        <w:rPr>
          <w:rFonts w:hint="default" w:ascii="Times New Roman" w:hAnsi="Times New Roman" w:cs="Times New Roman"/>
          <w:color w:val="000000" w:themeColor="text1"/>
          <w:u w:val="none"/>
          <w14:textFill>
            <w14:solidFill>
              <w14:schemeClr w14:val="tx1"/>
            </w14:solidFill>
          </w14:textFill>
        </w:rPr>
        <w:fldChar w:fldCharType="end"/>
      </w:r>
    </w:p>
    <w:p w14:paraId="379825C9">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Akinpelumi, O. F., Nwakanma, P. C., &amp; Nnamdi, I. S. (2021a). Institutional credits and economic development in Nigeria: An ARDL perspective. </w:t>
      </w:r>
      <w:r>
        <w:rPr>
          <w:rStyle w:val="7"/>
          <w:rFonts w:hint="default" w:ascii="Times New Roman" w:hAnsi="Times New Roman" w:cs="Times New Roman"/>
          <w:color w:val="000000" w:themeColor="text1"/>
          <w:u w:val="none"/>
          <w14:textFill>
            <w14:solidFill>
              <w14:schemeClr w14:val="tx1"/>
            </w14:solidFill>
          </w14:textFill>
        </w:rPr>
        <w:t>Business and Finance Journal</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12</w:t>
      </w:r>
      <w:r>
        <w:rPr>
          <w:rFonts w:hint="default" w:ascii="Times New Roman" w:hAnsi="Times New Roman" w:cs="Times New Roman"/>
          <w:color w:val="000000" w:themeColor="text1"/>
          <w:u w:val="none"/>
          <w14:textFill>
            <w14:solidFill>
              <w14:schemeClr w14:val="tx1"/>
            </w14:solidFill>
          </w14:textFill>
        </w:rPr>
        <w:t>(1), 136–156.</w:t>
      </w:r>
    </w:p>
    <w:p w14:paraId="6E1D35F5">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Akinpelumi, O. F., Nwakanma, P. C., &amp; Nnamdi, I. S. (2021b). How far do institutional credits promote Nigeria's economic development? </w:t>
      </w:r>
      <w:r>
        <w:rPr>
          <w:rStyle w:val="7"/>
          <w:rFonts w:hint="default" w:ascii="Times New Roman" w:hAnsi="Times New Roman" w:cs="Times New Roman"/>
          <w:color w:val="000000" w:themeColor="text1"/>
          <w:u w:val="none"/>
          <w14:textFill>
            <w14:solidFill>
              <w14:schemeClr w14:val="tx1"/>
            </w14:solidFill>
          </w14:textFill>
        </w:rPr>
        <w:t>Business and Finance Journal</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12</w:t>
      </w:r>
      <w:r>
        <w:rPr>
          <w:rFonts w:hint="default" w:ascii="Times New Roman" w:hAnsi="Times New Roman" w:cs="Times New Roman"/>
          <w:color w:val="000000" w:themeColor="text1"/>
          <w:u w:val="none"/>
          <w14:textFill>
            <w14:solidFill>
              <w14:schemeClr w14:val="tx1"/>
            </w14:solidFill>
          </w14:textFill>
        </w:rPr>
        <w:t>(1), 136–156.</w:t>
      </w:r>
    </w:p>
    <w:p w14:paraId="6B9464D8">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Akintola, A. A., Oji-Okoro, I., &amp; Itodo, I. A. (2022). Financial sector development and economic growth in Nigeria: An empirical re-examination. </w:t>
      </w:r>
      <w:r>
        <w:rPr>
          <w:rStyle w:val="7"/>
          <w:rFonts w:hint="default" w:ascii="Times New Roman" w:hAnsi="Times New Roman" w:cs="Times New Roman"/>
          <w:color w:val="000000" w:themeColor="text1"/>
          <w:u w:val="none"/>
          <w14:textFill>
            <w14:solidFill>
              <w14:schemeClr w14:val="tx1"/>
            </w14:solidFill>
          </w14:textFill>
        </w:rPr>
        <w:t>Economic and Financial Review</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58</w:t>
      </w:r>
      <w:r>
        <w:rPr>
          <w:rFonts w:hint="default" w:ascii="Times New Roman" w:hAnsi="Times New Roman" w:cs="Times New Roman"/>
          <w:color w:val="000000" w:themeColor="text1"/>
          <w:u w:val="none"/>
          <w14:textFill>
            <w14:solidFill>
              <w14:schemeClr w14:val="tx1"/>
            </w14:solidFill>
          </w14:textFill>
        </w:rPr>
        <w:t>(3), 59–84.</w:t>
      </w:r>
    </w:p>
    <w:p w14:paraId="6D38C020">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Alenoghena, R. O., Saibu, O. M., &amp; Adeoye, B. W. (2020). Financial development and economic growth in Nigeria: Asymmetric cointegration and threshold analysis. </w:t>
      </w:r>
      <w:r>
        <w:rPr>
          <w:rStyle w:val="7"/>
          <w:rFonts w:hint="default" w:ascii="Times New Roman" w:hAnsi="Times New Roman" w:cs="Times New Roman"/>
          <w:color w:val="000000" w:themeColor="text1"/>
          <w:u w:val="none"/>
          <w14:textFill>
            <w14:solidFill>
              <w14:schemeClr w14:val="tx1"/>
            </w14:solidFill>
          </w14:textFill>
        </w:rPr>
        <w:t>Forum Scientiae Oeconomia</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8</w:t>
      </w:r>
      <w:r>
        <w:rPr>
          <w:rFonts w:hint="default" w:ascii="Times New Roman" w:hAnsi="Times New Roman" w:cs="Times New Roman"/>
          <w:color w:val="000000" w:themeColor="text1"/>
          <w:u w:val="none"/>
          <w14:textFill>
            <w14:solidFill>
              <w14:schemeClr w14:val="tx1"/>
            </w14:solidFill>
          </w14:textFill>
        </w:rPr>
        <w:t xml:space="preserve">(4), 43–63.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"https://doi.org/10.23762/fso_vol8_no4_3"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https://doi.org/10.23762/fso_vol8_no4_3</w:t>
      </w:r>
      <w:r>
        <w:rPr>
          <w:rFonts w:hint="default" w:ascii="Times New Roman" w:hAnsi="Times New Roman" w:cs="Times New Roman"/>
          <w:color w:val="000000" w:themeColor="text1"/>
          <w:u w:val="none"/>
          <w14:textFill>
            <w14:solidFill>
              <w14:schemeClr w14:val="tx1"/>
            </w14:solidFill>
          </w14:textFill>
        </w:rPr>
        <w:fldChar w:fldCharType="end"/>
      </w:r>
    </w:p>
    <w:p w14:paraId="771A1E45">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Allen, F. (2004). Financial intermediation and risk. </w:t>
      </w:r>
      <w:r>
        <w:rPr>
          <w:rStyle w:val="7"/>
          <w:rFonts w:hint="default" w:ascii="Times New Roman" w:hAnsi="Times New Roman" w:cs="Times New Roman"/>
          <w:color w:val="000000" w:themeColor="text1"/>
          <w:u w:val="none"/>
          <w14:textFill>
            <w14:solidFill>
              <w14:schemeClr w14:val="tx1"/>
            </w14:solidFill>
          </w14:textFill>
        </w:rPr>
        <w:t>Journal of Economic Perspectives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18</w:t>
      </w:r>
      <w:r>
        <w:rPr>
          <w:rFonts w:hint="default" w:ascii="Times New Roman" w:hAnsi="Times New Roman" w:cs="Times New Roman"/>
          <w:color w:val="000000" w:themeColor="text1"/>
          <w:u w:val="none"/>
          <w14:textFill>
            <w14:solidFill>
              <w14:schemeClr w14:val="tx1"/>
            </w14:solidFill>
          </w14:textFill>
        </w:rPr>
        <w:t>(3), 87–106.</w:t>
      </w:r>
    </w:p>
    <w:p w14:paraId="60FAF1BE">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Allen, F., &amp; Gale, D. (1998). Optimal financial crises. </w:t>
      </w:r>
      <w:r>
        <w:rPr>
          <w:rStyle w:val="7"/>
          <w:rFonts w:hint="default" w:ascii="Times New Roman" w:hAnsi="Times New Roman" w:cs="Times New Roman"/>
          <w:color w:val="000000" w:themeColor="text1"/>
          <w:u w:val="none"/>
          <w14:textFill>
            <w14:solidFill>
              <w14:schemeClr w14:val="tx1"/>
            </w14:solidFill>
          </w14:textFill>
        </w:rPr>
        <w:t>Journal of Finance</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53</w:t>
      </w:r>
      <w:r>
        <w:rPr>
          <w:rFonts w:hint="default" w:ascii="Times New Roman" w:hAnsi="Times New Roman" w:cs="Times New Roman"/>
          <w:color w:val="000000" w:themeColor="text1"/>
          <w:u w:val="none"/>
          <w14:textFill>
            <w14:solidFill>
              <w14:schemeClr w14:val="tx1"/>
            </w14:solidFill>
          </w14:textFill>
        </w:rPr>
        <w:t>(4), 1245–1284.</w:t>
      </w:r>
    </w:p>
    <w:p w14:paraId="73589075">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Allen, F., &amp; Santomero, A. M. (1997). The theory of financial intermediation. </w:t>
      </w:r>
      <w:r>
        <w:rPr>
          <w:rStyle w:val="7"/>
          <w:rFonts w:hint="default" w:ascii="Times New Roman" w:hAnsi="Times New Roman" w:cs="Times New Roman"/>
          <w:color w:val="000000" w:themeColor="text1"/>
          <w:u w:val="none"/>
          <w14:textFill>
            <w14:solidFill>
              <w14:schemeClr w14:val="tx1"/>
            </w14:solidFill>
          </w14:textFill>
        </w:rPr>
        <w:t>Journal of Banking &amp; Finance</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21</w:t>
      </w:r>
      <w:r>
        <w:rPr>
          <w:rFonts w:hint="default" w:ascii="Times New Roman" w:hAnsi="Times New Roman" w:cs="Times New Roman"/>
          <w:color w:val="000000" w:themeColor="text1"/>
          <w:u w:val="none"/>
          <w14:textFill>
            <w14:solidFill>
              <w14:schemeClr w14:val="tx1"/>
            </w14:solidFill>
          </w14:textFill>
        </w:rPr>
        <w:t xml:space="preserve">(11–12), 1461–1485.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"https://doi.org/10.1016/S0378-4266(97)00032-0"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https://doi.org/10.1016/S0378-4266(97)00032-0</w:t>
      </w:r>
      <w:r>
        <w:rPr>
          <w:rFonts w:hint="default" w:ascii="Times New Roman" w:hAnsi="Times New Roman" w:cs="Times New Roman"/>
          <w:color w:val="000000" w:themeColor="text1"/>
          <w:u w:val="none"/>
          <w14:textFill>
            <w14:solidFill>
              <w14:schemeClr w14:val="tx1"/>
            </w14:solidFill>
          </w14:textFill>
        </w:rPr>
        <w:fldChar w:fldCharType="end"/>
      </w:r>
    </w:p>
    <w:p w14:paraId="000CA952">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Amali, E., &amp; Ejila, S. A. (2023). Banks' credit to private sector and economic growth in an emerging digitalized economy: Empirical evidence from Nigeria. </w:t>
      </w:r>
      <w:r>
        <w:rPr>
          <w:rStyle w:val="7"/>
          <w:rFonts w:hint="default" w:ascii="Times New Roman" w:hAnsi="Times New Roman" w:cs="Times New Roman"/>
          <w:color w:val="000000" w:themeColor="text1"/>
          <w:u w:val="none"/>
          <w14:textFill>
            <w14:solidFill>
              <w14:schemeClr w14:val="tx1"/>
            </w14:solidFill>
          </w14:textFill>
        </w:rPr>
        <w:t>International Journal of Economics, Commerce and Management</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11</w:t>
      </w:r>
      <w:r>
        <w:rPr>
          <w:rFonts w:hint="default" w:ascii="Times New Roman" w:hAnsi="Times New Roman" w:cs="Times New Roman"/>
          <w:color w:val="000000" w:themeColor="text1"/>
          <w:u w:val="none"/>
          <w14:textFill>
            <w14:solidFill>
              <w14:schemeClr w14:val="tx1"/>
            </w14:solidFill>
          </w14:textFill>
        </w:rPr>
        <w:t>(4), 1–17.</w:t>
      </w:r>
    </w:p>
    <w:p w14:paraId="5ADA9DEC">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Araga, A. S., Sufian, J. B., Mac-Ozigbo, A., &amp; Olusanya, S. O. (2022). Microfinance bank as a predictor of poverty alleviation and economic growth in Nigeria. </w:t>
      </w:r>
      <w:r>
        <w:rPr>
          <w:rStyle w:val="7"/>
          <w:rFonts w:hint="default" w:ascii="Times New Roman" w:hAnsi="Times New Roman" w:cs="Times New Roman"/>
          <w:color w:val="000000" w:themeColor="text1"/>
          <w:u w:val="none"/>
          <w14:textFill>
            <w14:solidFill>
              <w14:schemeClr w14:val="tx1"/>
            </w14:solidFill>
          </w14:textFill>
        </w:rPr>
        <w:t>Lafia Journal of Economics and Management Sciences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7</w:t>
      </w:r>
      <w:r>
        <w:rPr>
          <w:rFonts w:hint="default" w:ascii="Times New Roman" w:hAnsi="Times New Roman" w:cs="Times New Roman"/>
          <w:color w:val="000000" w:themeColor="text1"/>
          <w:u w:val="none"/>
          <w14:textFill>
            <w14:solidFill>
              <w14:schemeClr w14:val="tx1"/>
            </w14:solidFill>
          </w14:textFill>
        </w:rPr>
        <w:t>(2), 96–112.</w:t>
      </w:r>
    </w:p>
    <w:p w14:paraId="5A68D73C">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Bank-Ola, R. F., &amp; Adelakun, O. J. (2021). Financial sector reforms and economic growth in Nigeria. </w:t>
      </w:r>
      <w:r>
        <w:rPr>
          <w:rStyle w:val="7"/>
          <w:rFonts w:hint="default" w:ascii="Times New Roman" w:hAnsi="Times New Roman" w:cs="Times New Roman"/>
          <w:color w:val="000000" w:themeColor="text1"/>
          <w:u w:val="none"/>
          <w14:textFill>
            <w14:solidFill>
              <w14:schemeClr w14:val="tx1"/>
            </w14:solidFill>
          </w14:textFill>
        </w:rPr>
        <w:t>Sapientia Foundation Journal of Education, Sciences and Gender Studies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3</w:t>
      </w:r>
      <w:r>
        <w:rPr>
          <w:rFonts w:hint="default" w:ascii="Times New Roman" w:hAnsi="Times New Roman" w:cs="Times New Roman"/>
          <w:color w:val="000000" w:themeColor="text1"/>
          <w:u w:val="none"/>
          <w14:textFill>
            <w14:solidFill>
              <w14:schemeClr w14:val="tx1"/>
            </w14:solidFill>
          </w14:textFill>
        </w:rPr>
        <w:t>(1), 135–145.</w:t>
      </w:r>
    </w:p>
    <w:p w14:paraId="67480293">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Barro, R. J., &amp; Sala-i-Martin, X. (1995). </w:t>
      </w:r>
      <w:r>
        <w:rPr>
          <w:rStyle w:val="7"/>
          <w:rFonts w:hint="default" w:ascii="Times New Roman" w:hAnsi="Times New Roman" w:cs="Times New Roman"/>
          <w:color w:val="000000" w:themeColor="text1"/>
          <w:u w:val="none"/>
          <w14:textFill>
            <w14:solidFill>
              <w14:schemeClr w14:val="tx1"/>
            </w14:solidFill>
          </w14:textFill>
        </w:rPr>
        <w:t>Economic growth</w:t>
      </w:r>
      <w:r>
        <w:rPr>
          <w:rFonts w:hint="default" w:ascii="Times New Roman" w:hAnsi="Times New Roman" w:cs="Times New Roman"/>
          <w:color w:val="000000" w:themeColor="text1"/>
          <w:u w:val="none"/>
          <w14:textFill>
            <w14:solidFill>
              <w14:schemeClr w14:val="tx1"/>
            </w14:solidFill>
          </w14:textFill>
        </w:rPr>
        <w:t>. MIT Press.</w:t>
      </w:r>
    </w:p>
    <w:p w14:paraId="56B9F1A9">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Bassey, C. E., Okputu, R. A., Oduneka, A. E., &amp; Imoh, I. K. (2024). Financial sector reforms and economic growth in Nigeria. </w:t>
      </w:r>
      <w:r>
        <w:rPr>
          <w:rStyle w:val="7"/>
          <w:rFonts w:hint="default" w:ascii="Times New Roman" w:hAnsi="Times New Roman" w:cs="Times New Roman"/>
          <w:color w:val="000000" w:themeColor="text1"/>
          <w:u w:val="none"/>
          <w14:textFill>
            <w14:solidFill>
              <w14:schemeClr w14:val="tx1"/>
            </w14:solidFill>
          </w14:textFill>
        </w:rPr>
        <w:t>International Journal of Management Studies and Social Science Research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w:t>
      </w:r>
      <w:r>
        <w:rPr>
          <w:rFonts w:hint="default" w:ascii="Times New Roman" w:hAnsi="Times New Roman" w:cs="Times New Roman"/>
          <w:color w:val="000000" w:themeColor="text1"/>
          <w:u w:val="none"/>
          <w14:textFill>
            <w14:solidFill>
              <w14:schemeClr w14:val="tx1"/>
            </w14:solidFill>
          </w14:textFill>
        </w:rPr>
        <w:t xml:space="preserve">, 112–125.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"https://doi.org/10.56293/ijmsssr.2024.4811"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https://doi.org/10.56293/ijmsssr.2024.4811</w:t>
      </w:r>
      <w:r>
        <w:rPr>
          <w:rFonts w:hint="default" w:ascii="Times New Roman" w:hAnsi="Times New Roman" w:cs="Times New Roman"/>
          <w:color w:val="000000" w:themeColor="text1"/>
          <w:u w:val="none"/>
          <w14:textFill>
            <w14:solidFill>
              <w14:schemeClr w14:val="tx1"/>
            </w14:solidFill>
          </w14:textFill>
        </w:rPr>
        <w:fldChar w:fldCharType="end"/>
      </w:r>
    </w:p>
    <w:p w14:paraId="6986251A">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Beck, T., Demirgüç-Kunt, A., &amp; Levine, R. (2005). SMEs, growth, and poverty: Cross-country evidence. </w:t>
      </w:r>
      <w:r>
        <w:rPr>
          <w:rStyle w:val="7"/>
          <w:rFonts w:hint="default" w:ascii="Times New Roman" w:hAnsi="Times New Roman" w:cs="Times New Roman"/>
          <w:color w:val="000000" w:themeColor="text1"/>
          <w:u w:val="none"/>
          <w14:textFill>
            <w14:solidFill>
              <w14:schemeClr w14:val="tx1"/>
            </w14:solidFill>
          </w14:textFill>
        </w:rPr>
        <w:t>Journal of Economic Growth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10</w:t>
      </w:r>
      <w:r>
        <w:rPr>
          <w:rFonts w:hint="default" w:ascii="Times New Roman" w:hAnsi="Times New Roman" w:cs="Times New Roman"/>
          <w:color w:val="000000" w:themeColor="text1"/>
          <w:u w:val="none"/>
          <w14:textFill>
            <w14:solidFill>
              <w14:schemeClr w14:val="tx1"/>
            </w14:solidFill>
          </w14:textFill>
        </w:rPr>
        <w:t>(3), 199–229.</w:t>
      </w:r>
    </w:p>
    <w:p w14:paraId="07847F36">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Boachie, C., &amp; Adu-Darko, E. (2024). The effect of financial inclusion on economic growth: The role of human capital development. </w:t>
      </w:r>
      <w:r>
        <w:rPr>
          <w:rStyle w:val="7"/>
          <w:rFonts w:hint="default" w:ascii="Times New Roman" w:hAnsi="Times New Roman" w:cs="Times New Roman"/>
          <w:color w:val="000000" w:themeColor="text1"/>
          <w:u w:val="none"/>
          <w14:textFill>
            <w14:solidFill>
              <w14:schemeClr w14:val="tx1"/>
            </w14:solidFill>
          </w14:textFill>
        </w:rPr>
        <w:t>Cogent Social Sciences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10</w:t>
      </w:r>
      <w:r>
        <w:rPr>
          <w:rFonts w:hint="default" w:ascii="Times New Roman" w:hAnsi="Times New Roman" w:cs="Times New Roman"/>
          <w:color w:val="000000" w:themeColor="text1"/>
          <w:u w:val="none"/>
          <w14:textFill>
            <w14:solidFill>
              <w14:schemeClr w14:val="tx1"/>
            </w14:solidFill>
          </w14:textFill>
        </w:rPr>
        <w:t xml:space="preserve">(1), 1–18.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"https://doi.org/10.1080/23311886.2024.2346118"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https://doi.org/10.1080/23311886.2024.2346118</w:t>
      </w:r>
      <w:r>
        <w:rPr>
          <w:rFonts w:hint="default" w:ascii="Times New Roman" w:hAnsi="Times New Roman" w:cs="Times New Roman"/>
          <w:color w:val="000000" w:themeColor="text1"/>
          <w:u w:val="none"/>
          <w14:textFill>
            <w14:solidFill>
              <w14:schemeClr w14:val="tx1"/>
            </w14:solidFill>
          </w14:textFill>
        </w:rPr>
        <w:fldChar w:fldCharType="end"/>
      </w:r>
    </w:p>
    <w:p w14:paraId="14834CB6">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Briggs, O. V. O., &amp; Goya, T. S. (2023). Financial sector development and economic growth in Nigeria. </w:t>
      </w:r>
      <w:r>
        <w:rPr>
          <w:rStyle w:val="7"/>
          <w:rFonts w:hint="default" w:ascii="Times New Roman" w:hAnsi="Times New Roman" w:cs="Times New Roman"/>
          <w:color w:val="000000" w:themeColor="text1"/>
          <w:u w:val="none"/>
          <w14:textFill>
            <w14:solidFill>
              <w14:schemeClr w14:val="tx1"/>
            </w14:solidFill>
          </w14:textFill>
        </w:rPr>
        <w:t>South Asian Research Journal of Business and Management</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5</w:t>
      </w:r>
      <w:r>
        <w:rPr>
          <w:rFonts w:hint="default" w:ascii="Times New Roman" w:hAnsi="Times New Roman" w:cs="Times New Roman"/>
          <w:color w:val="000000" w:themeColor="text1"/>
          <w:u w:val="none"/>
          <w14:textFill>
            <w14:solidFill>
              <w14:schemeClr w14:val="tx1"/>
            </w14:solidFill>
          </w14:textFill>
        </w:rPr>
        <w:t xml:space="preserve">(04), 98–105.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"https://doi.org/10.36346/sarjbm.2023.v05i04.001"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https://doi.org/10.36346/sarjbm.2023.v05i04.001</w:t>
      </w:r>
      <w:r>
        <w:rPr>
          <w:rFonts w:hint="default" w:ascii="Times New Roman" w:hAnsi="Times New Roman" w:cs="Times New Roman"/>
          <w:color w:val="000000" w:themeColor="text1"/>
          <w:u w:val="none"/>
          <w14:textFill>
            <w14:solidFill>
              <w14:schemeClr w14:val="tx1"/>
            </w14:solidFill>
          </w14:textFill>
        </w:rPr>
        <w:fldChar w:fldCharType="end"/>
      </w:r>
    </w:p>
    <w:p w14:paraId="338CE5BF">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Calderón, C., &amp; Liu, L. (2003). The direction of causality between financial development and economic growth. </w:t>
      </w:r>
      <w:r>
        <w:rPr>
          <w:rStyle w:val="7"/>
          <w:rFonts w:hint="default" w:ascii="Times New Roman" w:hAnsi="Times New Roman" w:cs="Times New Roman"/>
          <w:color w:val="000000" w:themeColor="text1"/>
          <w:u w:val="none"/>
          <w14:textFill>
            <w14:solidFill>
              <w14:schemeClr w14:val="tx1"/>
            </w14:solidFill>
          </w14:textFill>
        </w:rPr>
        <w:t>Journal of Development Economics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72</w:t>
      </w:r>
      <w:r>
        <w:rPr>
          <w:rFonts w:hint="default" w:ascii="Times New Roman" w:hAnsi="Times New Roman" w:cs="Times New Roman"/>
          <w:color w:val="000000" w:themeColor="text1"/>
          <w:u w:val="none"/>
          <w14:textFill>
            <w14:solidFill>
              <w14:schemeClr w14:val="tx1"/>
            </w14:solidFill>
          </w14:textFill>
        </w:rPr>
        <w:t xml:space="preserve">(1), 321–334.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"https://doi.org/10.1016/S0304-3878(03)00079-8"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https://doi.org/10.1016/S0304-3878(03)00079-8</w:t>
      </w:r>
      <w:r>
        <w:rPr>
          <w:rFonts w:hint="default" w:ascii="Times New Roman" w:hAnsi="Times New Roman" w:cs="Times New Roman"/>
          <w:color w:val="000000" w:themeColor="text1"/>
          <w:u w:val="none"/>
          <w14:textFill>
            <w14:solidFill>
              <w14:schemeClr w14:val="tx1"/>
            </w14:solidFill>
          </w14:textFill>
        </w:rPr>
        <w:fldChar w:fldCharType="end"/>
      </w:r>
    </w:p>
    <w:p w14:paraId="2526D10C">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Central Bank of Nigeria. (2024). </w:t>
      </w:r>
      <w:r>
        <w:rPr>
          <w:rStyle w:val="7"/>
          <w:rFonts w:hint="default" w:ascii="Times New Roman" w:hAnsi="Times New Roman" w:cs="Times New Roman"/>
          <w:color w:val="000000" w:themeColor="text1"/>
          <w:u w:val="none"/>
          <w14:textFill>
            <w14:solidFill>
              <w14:schemeClr w14:val="tx1"/>
            </w14:solidFill>
          </w14:textFill>
        </w:rPr>
        <w:t>Monetary policy decisions</w:t>
      </w:r>
      <w:r>
        <w:rPr>
          <w:rFonts w:hint="default" w:ascii="Times New Roman" w:hAnsi="Times New Roman" w:cs="Times New Roman"/>
          <w:color w:val="000000" w:themeColor="text1"/>
          <w:u w:val="none"/>
          <w14:textFill>
            <w14:solidFill>
              <w14:schemeClr w14:val="tx1"/>
            </w14:solidFill>
          </w14:textFill>
        </w:rPr>
        <w:t xml:space="preserve">.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"https://www.cbn.gov.ng/MonetaryPolicy/decisions.asp"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https://www.cbn.gov.ng/MonetaryPolicy/decisions.asp</w:t>
      </w:r>
      <w:r>
        <w:rPr>
          <w:rFonts w:hint="default" w:ascii="Times New Roman" w:hAnsi="Times New Roman" w:cs="Times New Roman"/>
          <w:color w:val="000000" w:themeColor="text1"/>
          <w:u w:val="none"/>
          <w14:textFill>
            <w14:solidFill>
              <w14:schemeClr w14:val="tx1"/>
            </w14:solidFill>
          </w14:textFill>
        </w:rPr>
        <w:fldChar w:fldCharType="end"/>
      </w:r>
    </w:p>
    <w:p w14:paraId="46B8D267">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Chandio, A., Ozdemir, D., Vigne, S., &amp; Du, A. (2024). Towards a sustainable agricultural development and food security in East Asia: The role of broad money and banking credits. </w:t>
      </w:r>
      <w:r>
        <w:rPr>
          <w:rStyle w:val="7"/>
          <w:rFonts w:hint="default" w:ascii="Times New Roman" w:hAnsi="Times New Roman" w:cs="Times New Roman"/>
          <w:color w:val="000000" w:themeColor="text1"/>
          <w:u w:val="none"/>
          <w14:textFill>
            <w14:solidFill>
              <w14:schemeClr w14:val="tx1"/>
            </w14:solidFill>
          </w14:textFill>
        </w:rPr>
        <w:t>International Review of Economics &amp; Finance</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96</w:t>
      </w:r>
      <w:r>
        <w:rPr>
          <w:rFonts w:hint="default" w:ascii="Times New Roman" w:hAnsi="Times New Roman" w:cs="Times New Roman"/>
          <w:color w:val="000000" w:themeColor="text1"/>
          <w:u w:val="none"/>
          <w14:textFill>
            <w14:solidFill>
              <w14:schemeClr w14:val="tx1"/>
            </w14:solidFill>
          </w14:textFill>
        </w:rPr>
        <w:t xml:space="preserve">, 103677.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"https://doi.org/10.1016/j.iref.2024.103677"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https://doi.org/10.1016/j.iref.2024.103677</w:t>
      </w:r>
      <w:r>
        <w:rPr>
          <w:rFonts w:hint="default" w:ascii="Times New Roman" w:hAnsi="Times New Roman" w:cs="Times New Roman"/>
          <w:color w:val="000000" w:themeColor="text1"/>
          <w:u w:val="none"/>
          <w14:textFill>
            <w14:solidFill>
              <w14:schemeClr w14:val="tx1"/>
            </w14:solidFill>
          </w14:textFill>
        </w:rPr>
        <w:fldChar w:fldCharType="end"/>
      </w:r>
    </w:p>
    <w:p w14:paraId="418F4FAD">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Chinwe, O. I. (2022). Financial development and economic growth in Nigeria (1986–2020). </w:t>
      </w:r>
      <w:r>
        <w:rPr>
          <w:rStyle w:val="7"/>
          <w:rFonts w:hint="default" w:ascii="Times New Roman" w:hAnsi="Times New Roman" w:cs="Times New Roman"/>
          <w:color w:val="000000" w:themeColor="text1"/>
          <w:u w:val="none"/>
          <w14:textFill>
            <w14:solidFill>
              <w14:schemeClr w14:val="tx1"/>
            </w14:solidFill>
          </w14:textFill>
        </w:rPr>
        <w:t>IIARD International Journal of Banking and Finance Research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8</w:t>
      </w:r>
      <w:r>
        <w:rPr>
          <w:rFonts w:hint="default" w:ascii="Times New Roman" w:hAnsi="Times New Roman" w:cs="Times New Roman"/>
          <w:color w:val="000000" w:themeColor="text1"/>
          <w:u w:val="none"/>
          <w14:textFill>
            <w14:solidFill>
              <w14:schemeClr w14:val="tx1"/>
            </w14:solidFill>
          </w14:textFill>
        </w:rPr>
        <w:t xml:space="preserve">(1), 38–48.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"https://doi.org/10.56201/ijbfr.v8.no1.2022.pg38.48"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https://doi.org/10.56201/ijbfr.v8.no1.2022.pg38.48</w:t>
      </w:r>
      <w:r>
        <w:rPr>
          <w:rFonts w:hint="default" w:ascii="Times New Roman" w:hAnsi="Times New Roman" w:cs="Times New Roman"/>
          <w:color w:val="000000" w:themeColor="text1"/>
          <w:u w:val="none"/>
          <w14:textFill>
            <w14:solidFill>
              <w14:schemeClr w14:val="tx1"/>
            </w14:solidFill>
          </w14:textFill>
        </w:rPr>
        <w:fldChar w:fldCharType="end"/>
      </w:r>
    </w:p>
    <w:p w14:paraId="2D74160F">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Chukwunulu, J. I., &amp; Ibenta, S. N. O. (2021). Financial innovation and efficiency of financial intermediation in Nigeria. </w:t>
      </w:r>
      <w:r>
        <w:rPr>
          <w:rStyle w:val="7"/>
          <w:rFonts w:hint="default" w:ascii="Times New Roman" w:hAnsi="Times New Roman" w:cs="Times New Roman"/>
          <w:color w:val="000000" w:themeColor="text1"/>
          <w:u w:val="none"/>
          <w14:textFill>
            <w14:solidFill>
              <w14:schemeClr w14:val="tx1"/>
            </w14:solidFill>
          </w14:textFill>
        </w:rPr>
        <w:t>African Journal of Accounting and Financial Research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4</w:t>
      </w:r>
      <w:r>
        <w:rPr>
          <w:rFonts w:hint="default" w:ascii="Times New Roman" w:hAnsi="Times New Roman" w:cs="Times New Roman"/>
          <w:color w:val="000000" w:themeColor="text1"/>
          <w:u w:val="none"/>
          <w14:textFill>
            <w14:solidFill>
              <w14:schemeClr w14:val="tx1"/>
            </w14:solidFill>
          </w14:textFill>
        </w:rPr>
        <w:t xml:space="preserve">(2), 77–87.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"https://doi.org/10.52589/AJAFR-MFZIZEEQ"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https://doi.org/10.52589/AJAFR-MFZIZEEQ</w:t>
      </w:r>
      <w:r>
        <w:rPr>
          <w:rFonts w:hint="default" w:ascii="Times New Roman" w:hAnsi="Times New Roman" w:cs="Times New Roman"/>
          <w:color w:val="000000" w:themeColor="text1"/>
          <w:u w:val="none"/>
          <w14:textFill>
            <w14:solidFill>
              <w14:schemeClr w14:val="tx1"/>
            </w14:solidFill>
          </w14:textFill>
        </w:rPr>
        <w:fldChar w:fldCharType="end"/>
      </w:r>
    </w:p>
    <w:p w14:paraId="1C33AC42">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Dagwom, Y. D., Benard, A. S., &amp; Saidu, I. H. (2024). Transmission channel between budget deficits and unemployment through economic growth in Nigeria. </w:t>
      </w:r>
      <w:r>
        <w:rPr>
          <w:rStyle w:val="7"/>
          <w:rFonts w:hint="default" w:ascii="Times New Roman" w:hAnsi="Times New Roman" w:cs="Times New Roman"/>
          <w:color w:val="000000" w:themeColor="text1"/>
          <w:u w:val="none"/>
          <w14:textFill>
            <w14:solidFill>
              <w14:schemeClr w14:val="tx1"/>
            </w14:solidFill>
          </w14:textFill>
        </w:rPr>
        <w:t>Journal of Economics and Allied Research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9</w:t>
      </w:r>
      <w:r>
        <w:rPr>
          <w:rFonts w:hint="default" w:ascii="Times New Roman" w:hAnsi="Times New Roman" w:cs="Times New Roman"/>
          <w:color w:val="000000" w:themeColor="text1"/>
          <w:u w:val="none"/>
          <w14:textFill>
            <w14:solidFill>
              <w14:schemeClr w14:val="tx1"/>
            </w14:solidFill>
          </w14:textFill>
        </w:rPr>
        <w:t>(2), 56–72.</w:t>
      </w:r>
    </w:p>
    <w:p w14:paraId="52F01070">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Decker, F., &amp; Goodhart, C. A. E. (2022). Wilhelm Lautenbach's credit mechanics – a precursor to the current money supply debate. </w:t>
      </w:r>
      <w:r>
        <w:rPr>
          <w:rStyle w:val="7"/>
          <w:rFonts w:hint="default" w:ascii="Times New Roman" w:hAnsi="Times New Roman" w:cs="Times New Roman"/>
          <w:color w:val="000000" w:themeColor="text1"/>
          <w:u w:val="none"/>
          <w14:textFill>
            <w14:solidFill>
              <w14:schemeClr w14:val="tx1"/>
            </w14:solidFill>
          </w14:textFill>
        </w:rPr>
        <w:t>The European Journal of the History of Economic Thought</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29</w:t>
      </w:r>
      <w:r>
        <w:rPr>
          <w:rFonts w:hint="default" w:ascii="Times New Roman" w:hAnsi="Times New Roman" w:cs="Times New Roman"/>
          <w:color w:val="000000" w:themeColor="text1"/>
          <w:u w:val="none"/>
          <w14:textFill>
            <w14:solidFill>
              <w14:schemeClr w14:val="tx1"/>
            </w14:solidFill>
          </w14:textFill>
        </w:rPr>
        <w:t xml:space="preserve">(2), 246–270.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"https://doi.org/10.1080/09672567.2021.1963796"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https://doi.org/10.1080/09672567.2021.1963796</w:t>
      </w:r>
      <w:r>
        <w:rPr>
          <w:rFonts w:hint="default" w:ascii="Times New Roman" w:hAnsi="Times New Roman" w:cs="Times New Roman"/>
          <w:color w:val="000000" w:themeColor="text1"/>
          <w:u w:val="none"/>
          <w14:textFill>
            <w14:solidFill>
              <w14:schemeClr w14:val="tx1"/>
            </w14:solidFill>
          </w14:textFill>
        </w:rPr>
        <w:fldChar w:fldCharType="end"/>
      </w:r>
    </w:p>
    <w:p w14:paraId="47F57403">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Demirgüç-Kunt, A., &amp; Levine, R. (2008). </w:t>
      </w:r>
      <w:r>
        <w:rPr>
          <w:rStyle w:val="7"/>
          <w:rFonts w:hint="default" w:ascii="Times New Roman" w:hAnsi="Times New Roman" w:cs="Times New Roman"/>
          <w:color w:val="000000" w:themeColor="text1"/>
          <w:u w:val="none"/>
          <w14:textFill>
            <w14:solidFill>
              <w14:schemeClr w14:val="tx1"/>
            </w14:solidFill>
          </w14:textFill>
        </w:rPr>
        <w:t>Finance, financial sector policies, and long-run growth</w:t>
      </w:r>
      <w:r>
        <w:rPr>
          <w:rFonts w:hint="default" w:ascii="Times New Roman" w:hAnsi="Times New Roman" w:cs="Times New Roman"/>
          <w:color w:val="000000" w:themeColor="text1"/>
          <w:u w:val="none"/>
          <w14:textFill>
            <w14:solidFill>
              <w14:schemeClr w14:val="tx1"/>
            </w14:solidFill>
          </w14:textFill>
        </w:rPr>
        <w:t xml:space="preserve"> (World Bank Policy Research Working Paper No. 4469). World Bank.</w:t>
      </w:r>
    </w:p>
    <w:p w14:paraId="65DE5021">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Efanga, U. O., Ugwuanyi, G. O., &amp; Ekanem, B. C. (2022). The impact of banks' credit to industrial sector on economic performance in Nigeria. </w:t>
      </w:r>
      <w:r>
        <w:rPr>
          <w:rStyle w:val="7"/>
          <w:rFonts w:hint="default" w:ascii="Times New Roman" w:hAnsi="Times New Roman" w:cs="Times New Roman"/>
          <w:color w:val="000000" w:themeColor="text1"/>
          <w:u w:val="none"/>
          <w14:textFill>
            <w14:solidFill>
              <w14:schemeClr w14:val="tx1"/>
            </w14:solidFill>
          </w14:textFill>
        </w:rPr>
        <w:t>Studies in Economics &amp; International Finance</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2</w:t>
      </w:r>
      <w:r>
        <w:rPr>
          <w:rFonts w:hint="default" w:ascii="Times New Roman" w:hAnsi="Times New Roman" w:cs="Times New Roman"/>
          <w:color w:val="000000" w:themeColor="text1"/>
          <w:u w:val="none"/>
          <w14:textFill>
            <w14:solidFill>
              <w14:schemeClr w14:val="tx1"/>
            </w14:solidFill>
          </w14:textFill>
        </w:rPr>
        <w:t>(1), 1–23.</w:t>
      </w:r>
    </w:p>
    <w:p w14:paraId="595C9B52">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Effiong, E. (2015). </w:t>
      </w:r>
      <w:r>
        <w:rPr>
          <w:rStyle w:val="7"/>
          <w:rFonts w:hint="default" w:ascii="Times New Roman" w:hAnsi="Times New Roman" w:cs="Times New Roman"/>
          <w:color w:val="000000" w:themeColor="text1"/>
          <w:u w:val="none"/>
          <w14:textFill>
            <w14:solidFill>
              <w14:schemeClr w14:val="tx1"/>
            </w14:solidFill>
          </w14:textFill>
        </w:rPr>
        <w:t>Financial development, institutions and economic growth: Evidence from Sub-Saharan Africa</w:t>
      </w:r>
      <w:r>
        <w:rPr>
          <w:rFonts w:hint="default" w:ascii="Times New Roman" w:hAnsi="Times New Roman" w:cs="Times New Roman"/>
          <w:color w:val="000000" w:themeColor="text1"/>
          <w:u w:val="none"/>
          <w14:textFill>
            <w14:solidFill>
              <w14:schemeClr w14:val="tx1"/>
            </w14:solidFill>
          </w14:textFill>
        </w:rPr>
        <w:t xml:space="preserve"> (MPRA Paper No. 66085). Munich Personal RePEc Archive.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"https://mpra.ub.uni-muenchen.de/66085/1/MPRA_paper_66085.pdf"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https://mpra.ub.uni-muenchen.de/66085/1/MPRA_paper_66085.pdf</w:t>
      </w:r>
      <w:r>
        <w:rPr>
          <w:rFonts w:hint="default" w:ascii="Times New Roman" w:hAnsi="Times New Roman" w:cs="Times New Roman"/>
          <w:color w:val="000000" w:themeColor="text1"/>
          <w:u w:val="none"/>
          <w14:textFill>
            <w14:solidFill>
              <w14:schemeClr w14:val="tx1"/>
            </w14:solidFill>
          </w14:textFill>
        </w:rPr>
        <w:fldChar w:fldCharType="end"/>
      </w:r>
    </w:p>
    <w:p w14:paraId="71161172">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Ekong, U. (2015). Banking sector reforms and the performance of commercial banks in Nigeria. </w:t>
      </w:r>
      <w:r>
        <w:rPr>
          <w:rStyle w:val="7"/>
          <w:rFonts w:hint="default" w:ascii="Times New Roman" w:hAnsi="Times New Roman" w:cs="Times New Roman"/>
          <w:color w:val="000000" w:themeColor="text1"/>
          <w:u w:val="none"/>
          <w14:textFill>
            <w14:solidFill>
              <w14:schemeClr w14:val="tx1"/>
            </w14:solidFill>
          </w14:textFill>
        </w:rPr>
        <w:t>Journal of World Economic Research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4</w:t>
      </w:r>
      <w:r>
        <w:rPr>
          <w:rFonts w:hint="default" w:ascii="Times New Roman" w:hAnsi="Times New Roman" w:cs="Times New Roman"/>
          <w:color w:val="000000" w:themeColor="text1"/>
          <w:u w:val="none"/>
          <w14:textFill>
            <w14:solidFill>
              <w14:schemeClr w14:val="tx1"/>
            </w14:solidFill>
          </w14:textFill>
        </w:rPr>
        <w:t xml:space="preserve">(3), 45–60.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"http://dx.doi.org/10.11648/j.jwer.20150403.11"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http://dx.doi.org/10.11648/j.jwer.20150403.11</w:t>
      </w:r>
      <w:r>
        <w:rPr>
          <w:rFonts w:hint="default" w:ascii="Times New Roman" w:hAnsi="Times New Roman" w:cs="Times New Roman"/>
          <w:color w:val="000000" w:themeColor="text1"/>
          <w:u w:val="none"/>
          <w14:textFill>
            <w14:solidFill>
              <w14:schemeClr w14:val="tx1"/>
            </w14:solidFill>
          </w14:textFill>
        </w:rPr>
        <w:fldChar w:fldCharType="end"/>
      </w:r>
    </w:p>
    <w:p w14:paraId="3439AAAB">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Eseyin, O., Adama, I., Olopade, B., Ogbaro, E., Ahmed, A., &amp; Suleiman, Z. (2022). Determinants of private sector credit and its implication on job creation in Nigeria. </w:t>
      </w:r>
      <w:r>
        <w:rPr>
          <w:rStyle w:val="7"/>
          <w:rFonts w:hint="default" w:ascii="Times New Roman" w:hAnsi="Times New Roman" w:cs="Times New Roman"/>
          <w:color w:val="000000" w:themeColor="text1"/>
          <w:u w:val="none"/>
          <w14:textFill>
            <w14:solidFill>
              <w14:schemeClr w14:val="tx1"/>
            </w14:solidFill>
          </w14:textFill>
        </w:rPr>
        <w:t>African Journal of Business and Economic Development</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2</w:t>
      </w:r>
      <w:r>
        <w:rPr>
          <w:rFonts w:hint="default" w:ascii="Times New Roman" w:hAnsi="Times New Roman" w:cs="Times New Roman"/>
          <w:color w:val="000000" w:themeColor="text1"/>
          <w:u w:val="none"/>
          <w14:textFill>
            <w14:solidFill>
              <w14:schemeClr w14:val="tx1"/>
            </w14:solidFill>
          </w14:textFill>
        </w:rPr>
        <w:t>(12), 78–116.</w:t>
      </w:r>
    </w:p>
    <w:p w14:paraId="514FA2F9">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Fowowe, B. (2020). The effects of financial inclusion on agricultural productivity in Nigeria. </w:t>
      </w:r>
      <w:r>
        <w:rPr>
          <w:rStyle w:val="7"/>
          <w:rFonts w:hint="default" w:ascii="Times New Roman" w:hAnsi="Times New Roman" w:cs="Times New Roman"/>
          <w:color w:val="000000" w:themeColor="text1"/>
          <w:u w:val="none"/>
          <w14:textFill>
            <w14:solidFill>
              <w14:schemeClr w14:val="tx1"/>
            </w14:solidFill>
          </w14:textFill>
        </w:rPr>
        <w:t>Journal of Economics and Development</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22</w:t>
      </w:r>
      <w:r>
        <w:rPr>
          <w:rFonts w:hint="default" w:ascii="Times New Roman" w:hAnsi="Times New Roman" w:cs="Times New Roman"/>
          <w:color w:val="000000" w:themeColor="text1"/>
          <w:u w:val="none"/>
          <w14:textFill>
            <w14:solidFill>
              <w14:schemeClr w14:val="tx1"/>
            </w14:solidFill>
          </w14:textFill>
        </w:rPr>
        <w:t xml:space="preserve">(1), 61–79.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"https://doi.org/10.1108/JED-11-2019-0059"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https://doi.org/10.1108/JED-11-2019-0059</w:t>
      </w:r>
      <w:r>
        <w:rPr>
          <w:rFonts w:hint="default" w:ascii="Times New Roman" w:hAnsi="Times New Roman" w:cs="Times New Roman"/>
          <w:color w:val="000000" w:themeColor="text1"/>
          <w:u w:val="none"/>
          <w14:textFill>
            <w14:solidFill>
              <w14:schemeClr w14:val="tx1"/>
            </w14:solidFill>
          </w14:textFill>
        </w:rPr>
        <w:fldChar w:fldCharType="end"/>
      </w:r>
    </w:p>
    <w:p w14:paraId="4E2391BA">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Fry, M. J. (1997). In defence of financial liberalisation. </w:t>
      </w:r>
      <w:r>
        <w:rPr>
          <w:rStyle w:val="7"/>
          <w:rFonts w:hint="default" w:ascii="Times New Roman" w:hAnsi="Times New Roman" w:cs="Times New Roman"/>
          <w:color w:val="000000" w:themeColor="text1"/>
          <w:u w:val="none"/>
          <w14:textFill>
            <w14:solidFill>
              <w14:schemeClr w14:val="tx1"/>
            </w14:solidFill>
          </w14:textFill>
        </w:rPr>
        <w:t>The Economic Journal</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107</w:t>
      </w:r>
      <w:r>
        <w:rPr>
          <w:rFonts w:hint="default" w:ascii="Times New Roman" w:hAnsi="Times New Roman" w:cs="Times New Roman"/>
          <w:color w:val="000000" w:themeColor="text1"/>
          <w:u w:val="none"/>
          <w14:textFill>
            <w14:solidFill>
              <w14:schemeClr w14:val="tx1"/>
            </w14:solidFill>
          </w14:textFill>
        </w:rPr>
        <w:t xml:space="preserve">(442), 754–770.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"https://doi.org/10.1111/j.1468-0297.1997.tb00041.x"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https://doi.org/10.1111/j.1468-0297.1997.tb00041.x</w:t>
      </w:r>
      <w:r>
        <w:rPr>
          <w:rFonts w:hint="default" w:ascii="Times New Roman" w:hAnsi="Times New Roman" w:cs="Times New Roman"/>
          <w:color w:val="000000" w:themeColor="text1"/>
          <w:u w:val="none"/>
          <w14:textFill>
            <w14:solidFill>
              <w14:schemeClr w14:val="tx1"/>
            </w14:solidFill>
          </w14:textFill>
        </w:rPr>
        <w:fldChar w:fldCharType="end"/>
      </w:r>
    </w:p>
    <w:p w14:paraId="0FD3FC54">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Gabriel, O., Victor, I. E., &amp; Innocent, I. O. (2019). Effect of non-performing loans on the financial performance of commercial banks in Nigeria. </w:t>
      </w:r>
      <w:r>
        <w:rPr>
          <w:rStyle w:val="7"/>
          <w:rFonts w:hint="default" w:ascii="Times New Roman" w:hAnsi="Times New Roman" w:cs="Times New Roman"/>
          <w:color w:val="000000" w:themeColor="text1"/>
          <w:u w:val="none"/>
          <w14:textFill>
            <w14:solidFill>
              <w14:schemeClr w14:val="tx1"/>
            </w14:solidFill>
          </w14:textFill>
        </w:rPr>
        <w:t>American International Journal of Business and Management Studies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w:t>
      </w:r>
      <w:r>
        <w:rPr>
          <w:rFonts w:hint="default" w:ascii="Times New Roman" w:hAnsi="Times New Roman" w:cs="Times New Roman"/>
          <w:color w:val="000000" w:themeColor="text1"/>
          <w:u w:val="none"/>
          <w14:textFill>
            <w14:solidFill>
              <w14:schemeClr w14:val="tx1"/>
            </w14:solidFill>
          </w14:textFill>
        </w:rPr>
        <w:t xml:space="preserve">(2), 1–9.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"https://doi.org/10.46545/aijbms.v1i2.115"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https://doi.org/10.46545/aijbms.v1i2.115</w:t>
      </w:r>
      <w:r>
        <w:rPr>
          <w:rFonts w:hint="default" w:ascii="Times New Roman" w:hAnsi="Times New Roman" w:cs="Times New Roman"/>
          <w:color w:val="000000" w:themeColor="text1"/>
          <w:u w:val="none"/>
          <w14:textFill>
            <w14:solidFill>
              <w14:schemeClr w14:val="tx1"/>
            </w14:solidFill>
          </w14:textFill>
        </w:rPr>
        <w:fldChar w:fldCharType="end"/>
      </w:r>
    </w:p>
    <w:p w14:paraId="44838324">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Gizaw, T., Getachew, Z., &amp; Mancha, M. (2024). Financial development and economic growth: Evidence from emerging African and Asian countries. </w:t>
      </w:r>
      <w:r>
        <w:rPr>
          <w:rStyle w:val="7"/>
          <w:rFonts w:hint="default" w:ascii="Times New Roman" w:hAnsi="Times New Roman" w:cs="Times New Roman"/>
          <w:color w:val="000000" w:themeColor="text1"/>
          <w:u w:val="none"/>
          <w14:textFill>
            <w14:solidFill>
              <w14:schemeClr w14:val="tx1"/>
            </w14:solidFill>
          </w14:textFill>
        </w:rPr>
        <w:t>Cogent Economics &amp; Finance</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12</w:t>
      </w:r>
      <w:r>
        <w:rPr>
          <w:rFonts w:hint="default" w:ascii="Times New Roman" w:hAnsi="Times New Roman" w:cs="Times New Roman"/>
          <w:color w:val="000000" w:themeColor="text1"/>
          <w:u w:val="none"/>
          <w14:textFill>
            <w14:solidFill>
              <w14:schemeClr w14:val="tx1"/>
            </w14:solidFill>
          </w14:textFill>
        </w:rPr>
        <w:t xml:space="preserve">(1).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"https://doi.org/10.1080/23322039.2024.2398213"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https://doi.org/10.1080/23322039.2024.2398213</w:t>
      </w:r>
      <w:r>
        <w:rPr>
          <w:rFonts w:hint="default" w:ascii="Times New Roman" w:hAnsi="Times New Roman" w:cs="Times New Roman"/>
          <w:color w:val="000000" w:themeColor="text1"/>
          <w:u w:val="none"/>
          <w14:textFill>
            <w14:solidFill>
              <w14:schemeClr w14:val="tx1"/>
            </w14:solidFill>
          </w14:textFill>
        </w:rPr>
        <w:fldChar w:fldCharType="end"/>
      </w:r>
    </w:p>
    <w:p w14:paraId="43B04245">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Gurley, J. G., &amp; Shaw, E. S. (1967). Financial structure and economic development. </w:t>
      </w:r>
      <w:r>
        <w:rPr>
          <w:rStyle w:val="7"/>
          <w:rFonts w:hint="default" w:ascii="Times New Roman" w:hAnsi="Times New Roman" w:cs="Times New Roman"/>
          <w:color w:val="000000" w:themeColor="text1"/>
          <w:u w:val="none"/>
          <w14:textFill>
            <w14:solidFill>
              <w14:schemeClr w14:val="tx1"/>
            </w14:solidFill>
          </w14:textFill>
        </w:rPr>
        <w:t>Economic Development and Cultural Change</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15</w:t>
      </w:r>
      <w:r>
        <w:rPr>
          <w:rFonts w:hint="default" w:ascii="Times New Roman" w:hAnsi="Times New Roman" w:cs="Times New Roman"/>
          <w:color w:val="000000" w:themeColor="text1"/>
          <w:u w:val="none"/>
          <w14:textFill>
            <w14:solidFill>
              <w14:schemeClr w14:val="tx1"/>
            </w14:solidFill>
          </w14:textFill>
        </w:rPr>
        <w:t xml:space="preserve">(3), 257–268.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"https://doi.org/10.1086/450226"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https://doi.org/10.1086/450226</w:t>
      </w:r>
      <w:r>
        <w:rPr>
          <w:rFonts w:hint="default" w:ascii="Times New Roman" w:hAnsi="Times New Roman" w:cs="Times New Roman"/>
          <w:color w:val="000000" w:themeColor="text1"/>
          <w:u w:val="none"/>
          <w14:textFill>
            <w14:solidFill>
              <w14:schemeClr w14:val="tx1"/>
            </w14:solidFill>
          </w14:textFill>
        </w:rPr>
        <w:fldChar w:fldCharType="end"/>
      </w:r>
    </w:p>
    <w:p w14:paraId="57F21A20">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Hacievliyagil, N., &amp; Eksi, I. H. (2019). A micro based study for bank credit and economic growth: Manufacturing sub-sectors analysis. </w:t>
      </w:r>
      <w:r>
        <w:rPr>
          <w:rStyle w:val="7"/>
          <w:rFonts w:hint="default" w:ascii="Times New Roman" w:hAnsi="Times New Roman" w:cs="Times New Roman"/>
          <w:color w:val="000000" w:themeColor="text1"/>
          <w:u w:val="none"/>
          <w14:textFill>
            <w14:solidFill>
              <w14:schemeClr w14:val="tx1"/>
            </w14:solidFill>
          </w14:textFill>
        </w:rPr>
        <w:t>The South East European Journal of Economics and Business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14</w:t>
      </w:r>
      <w:r>
        <w:rPr>
          <w:rFonts w:hint="default" w:ascii="Times New Roman" w:hAnsi="Times New Roman" w:cs="Times New Roman"/>
          <w:color w:val="000000" w:themeColor="text1"/>
          <w:u w:val="none"/>
          <w14:textFill>
            <w14:solidFill>
              <w14:schemeClr w14:val="tx1"/>
            </w14:solidFill>
          </w14:textFill>
        </w:rPr>
        <w:t>(1), 72–91.</w:t>
      </w:r>
    </w:p>
    <w:p w14:paraId="7CE53231">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Ifeoma, C. A., Chinelo, A., Eneh, O., &amp; Maria-Regina, O. (2021). Fund mobilization and sustainable economic growth: The Nigerian experience. </w:t>
      </w:r>
      <w:r>
        <w:rPr>
          <w:rStyle w:val="7"/>
          <w:rFonts w:hint="default" w:ascii="Times New Roman" w:hAnsi="Times New Roman" w:cs="Times New Roman"/>
          <w:color w:val="000000" w:themeColor="text1"/>
          <w:u w:val="none"/>
          <w14:textFill>
            <w14:solidFill>
              <w14:schemeClr w14:val="tx1"/>
            </w14:solidFill>
          </w14:textFill>
        </w:rPr>
        <w:t>[Journal Name]</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5</w:t>
      </w:r>
      <w:r>
        <w:rPr>
          <w:rFonts w:hint="default" w:ascii="Times New Roman" w:hAnsi="Times New Roman" w:cs="Times New Roman"/>
          <w:color w:val="000000" w:themeColor="text1"/>
          <w:u w:val="none"/>
          <w14:textFill>
            <w14:solidFill>
              <w14:schemeClr w14:val="tx1"/>
            </w14:solidFill>
          </w14:textFill>
        </w:rPr>
        <w:t>(6), 1026–1033.</w:t>
      </w:r>
    </w:p>
    <w:p w14:paraId="482A5ED7">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Iheanacho, E. (2016). The impact of financial development on economic growth in Nigeria: An ARDL analysis. </w:t>
      </w:r>
      <w:r>
        <w:rPr>
          <w:rStyle w:val="7"/>
          <w:rFonts w:hint="default" w:ascii="Times New Roman" w:hAnsi="Times New Roman" w:cs="Times New Roman"/>
          <w:color w:val="000000" w:themeColor="text1"/>
          <w:u w:val="none"/>
          <w14:textFill>
            <w14:solidFill>
              <w14:schemeClr w14:val="tx1"/>
            </w14:solidFill>
          </w14:textFill>
        </w:rPr>
        <w:t>Economies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4</w:t>
      </w:r>
      <w:r>
        <w:rPr>
          <w:rFonts w:hint="default" w:ascii="Times New Roman" w:hAnsi="Times New Roman" w:cs="Times New Roman"/>
          <w:color w:val="000000" w:themeColor="text1"/>
          <w:u w:val="none"/>
          <w14:textFill>
            <w14:solidFill>
              <w14:schemeClr w14:val="tx1"/>
            </w14:solidFill>
          </w14:textFill>
        </w:rPr>
        <w:t xml:space="preserve">(4), 26.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"https://doi.org/10.3390/economies4040026"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https://doi.org/10.3390/economies4040026</w:t>
      </w:r>
      <w:r>
        <w:rPr>
          <w:rFonts w:hint="default" w:ascii="Times New Roman" w:hAnsi="Times New Roman" w:cs="Times New Roman"/>
          <w:color w:val="000000" w:themeColor="text1"/>
          <w:u w:val="none"/>
          <w14:textFill>
            <w14:solidFill>
              <w14:schemeClr w14:val="tx1"/>
            </w14:solidFill>
          </w14:textFill>
        </w:rPr>
        <w:fldChar w:fldCharType="end"/>
      </w:r>
    </w:p>
    <w:p w14:paraId="7C228AA2">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Ihrig, J., Weinbach, G. C., &amp; Wolla, S. A. (2021). </w:t>
      </w:r>
      <w:r>
        <w:rPr>
          <w:rStyle w:val="7"/>
          <w:rFonts w:hint="default" w:ascii="Times New Roman" w:hAnsi="Times New Roman" w:cs="Times New Roman"/>
          <w:color w:val="000000" w:themeColor="text1"/>
          <w:u w:val="none"/>
          <w14:textFill>
            <w14:solidFill>
              <w14:schemeClr w14:val="tx1"/>
            </w14:solidFill>
          </w14:textFill>
        </w:rPr>
        <w:t>Teaching the linkage between banks and the Fed: R.I.P. money multiplier</w:t>
      </w:r>
      <w:r>
        <w:rPr>
          <w:rFonts w:hint="default" w:ascii="Times New Roman" w:hAnsi="Times New Roman" w:cs="Times New Roman"/>
          <w:color w:val="000000" w:themeColor="text1"/>
          <w:u w:val="none"/>
          <w14:textFill>
            <w14:solidFill>
              <w14:schemeClr w14:val="tx1"/>
            </w14:solidFill>
          </w14:textFill>
        </w:rPr>
        <w:t xml:space="preserve">. Federal Reserve Bank of St. Louis.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"https://research.stlouisfed.org"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https://research.stlouisfed.org</w:t>
      </w:r>
      <w:r>
        <w:rPr>
          <w:rFonts w:hint="default" w:ascii="Times New Roman" w:hAnsi="Times New Roman" w:cs="Times New Roman"/>
          <w:color w:val="000000" w:themeColor="text1"/>
          <w:u w:val="none"/>
          <w14:textFill>
            <w14:solidFill>
              <w14:schemeClr w14:val="tx1"/>
            </w14:solidFill>
          </w14:textFill>
        </w:rPr>
        <w:fldChar w:fldCharType="end"/>
      </w:r>
    </w:p>
    <w:p w14:paraId="06789400">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Ikubor, J. O. (2020). Financial sector development and economic growth in Nigeria (1981–2017). </w:t>
      </w:r>
      <w:r>
        <w:rPr>
          <w:rStyle w:val="7"/>
          <w:rFonts w:hint="default" w:ascii="Times New Roman" w:hAnsi="Times New Roman" w:cs="Times New Roman"/>
          <w:color w:val="000000" w:themeColor="text1"/>
          <w:u w:val="none"/>
          <w14:textFill>
            <w14:solidFill>
              <w14:schemeClr w14:val="tx1"/>
            </w14:solidFill>
          </w14:textFill>
        </w:rPr>
        <w:t>IOSR Journal of Economics and Finance</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11</w:t>
      </w:r>
      <w:r>
        <w:rPr>
          <w:rFonts w:hint="default" w:ascii="Times New Roman" w:hAnsi="Times New Roman" w:cs="Times New Roman"/>
          <w:color w:val="000000" w:themeColor="text1"/>
          <w:u w:val="none"/>
          <w14:textFill>
            <w14:solidFill>
              <w14:schemeClr w14:val="tx1"/>
            </w14:solidFill>
          </w14:textFill>
        </w:rPr>
        <w:t>(3), 1–16.</w:t>
      </w:r>
    </w:p>
    <w:p w14:paraId="613EC8FE">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Ikwuagwu, E. B., &amp; Ugwuanyi, W. N. J. (2022). Effect of financial development on economic growth of Nigeria, 1981–2019. </w:t>
      </w:r>
      <w:r>
        <w:rPr>
          <w:rStyle w:val="7"/>
          <w:rFonts w:hint="default" w:ascii="Times New Roman" w:hAnsi="Times New Roman" w:cs="Times New Roman"/>
          <w:color w:val="000000" w:themeColor="text1"/>
          <w:u w:val="none"/>
          <w14:textFill>
            <w14:solidFill>
              <w14:schemeClr w14:val="tx1"/>
            </w14:solidFill>
          </w14:textFill>
        </w:rPr>
        <w:t>Global Research Journal of Accounting and Finance</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2</w:t>
      </w:r>
      <w:r>
        <w:rPr>
          <w:rFonts w:hint="default" w:ascii="Times New Roman" w:hAnsi="Times New Roman" w:cs="Times New Roman"/>
          <w:color w:val="000000" w:themeColor="text1"/>
          <w:u w:val="none"/>
          <w14:textFill>
            <w14:solidFill>
              <w14:schemeClr w14:val="tx1"/>
            </w14:solidFill>
          </w14:textFill>
        </w:rPr>
        <w:t>(2), 53–74.</w:t>
      </w:r>
    </w:p>
    <w:p w14:paraId="43E91BBD">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Li, Y. (2023). Role of banking sector in green economic growth: Empirical evidence from South Asian economies. </w:t>
      </w:r>
      <w:r>
        <w:rPr>
          <w:rStyle w:val="7"/>
          <w:rFonts w:hint="default" w:ascii="Times New Roman" w:hAnsi="Times New Roman" w:cs="Times New Roman"/>
          <w:color w:val="000000" w:themeColor="text1"/>
          <w:u w:val="none"/>
          <w14:textFill>
            <w14:solidFill>
              <w14:schemeClr w14:val="tx1"/>
            </w14:solidFill>
          </w14:textFill>
        </w:rPr>
        <w:t>Economics of Change and Restructuring</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56</w:t>
      </w:r>
      <w:r>
        <w:rPr>
          <w:rFonts w:hint="default" w:ascii="Times New Roman" w:hAnsi="Times New Roman" w:cs="Times New Roman"/>
          <w:color w:val="000000" w:themeColor="text1"/>
          <w:u w:val="none"/>
          <w14:textFill>
            <w14:solidFill>
              <w14:schemeClr w14:val="tx1"/>
            </w14:solidFill>
          </w14:textFill>
        </w:rPr>
        <w:t xml:space="preserve">, 2437–2454.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"https://doi.org/10.1007/s10644-023-09499-4"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https://doi.org/10.1007/s10644-023-09499-4</w:t>
      </w:r>
      <w:r>
        <w:rPr>
          <w:rFonts w:hint="default" w:ascii="Times New Roman" w:hAnsi="Times New Roman" w:cs="Times New Roman"/>
          <w:color w:val="000000" w:themeColor="text1"/>
          <w:u w:val="none"/>
          <w14:textFill>
            <w14:solidFill>
              <w14:schemeClr w14:val="tx1"/>
            </w14:solidFill>
          </w14:textFill>
        </w:rPr>
        <w:fldChar w:fldCharType="end"/>
      </w:r>
    </w:p>
    <w:p w14:paraId="184F5E4D">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Manikandan, S. M. (2011). Measures of central tendency: The mean. </w:t>
      </w:r>
      <w:r>
        <w:rPr>
          <w:rStyle w:val="7"/>
          <w:rFonts w:hint="default" w:ascii="Times New Roman" w:hAnsi="Times New Roman" w:cs="Times New Roman"/>
          <w:color w:val="000000" w:themeColor="text1"/>
          <w:u w:val="none"/>
          <w14:textFill>
            <w14:solidFill>
              <w14:schemeClr w14:val="tx1"/>
            </w14:solidFill>
          </w14:textFill>
        </w:rPr>
        <w:t>Journal of Pharmacology and Pharmacotherapeutics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2</w:t>
      </w:r>
      <w:r>
        <w:rPr>
          <w:rFonts w:hint="default" w:ascii="Times New Roman" w:hAnsi="Times New Roman" w:cs="Times New Roman"/>
          <w:color w:val="000000" w:themeColor="text1"/>
          <w:u w:val="none"/>
          <w14:textFill>
            <w14:solidFill>
              <w14:schemeClr w14:val="tx1"/>
            </w14:solidFill>
          </w14:textFill>
        </w:rPr>
        <w:t xml:space="preserve">(2), 140–142.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"https://doi.org/10.4103/0976-500X.81920"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https://doi.org/10.4103/0976-500X.81920</w:t>
      </w:r>
      <w:r>
        <w:rPr>
          <w:rFonts w:hint="default" w:ascii="Times New Roman" w:hAnsi="Times New Roman" w:cs="Times New Roman"/>
          <w:color w:val="000000" w:themeColor="text1"/>
          <w:u w:val="none"/>
          <w14:textFill>
            <w14:solidFill>
              <w14:schemeClr w14:val="tx1"/>
            </w14:solidFill>
          </w14:textFill>
        </w:rPr>
        <w:fldChar w:fldCharType="end"/>
      </w:r>
    </w:p>
    <w:p w14:paraId="18A96D1B">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Mohammed, A., Abubakar, A. K., &amp; Badeggi, U. M. (2019). Effect of financial sector on economic growth: Evidence from deposit money banks in Nigeria. </w:t>
      </w:r>
      <w:r>
        <w:rPr>
          <w:rStyle w:val="7"/>
          <w:rFonts w:hint="default" w:ascii="Times New Roman" w:hAnsi="Times New Roman" w:cs="Times New Roman"/>
          <w:color w:val="000000" w:themeColor="text1"/>
          <w:u w:val="none"/>
          <w14:textFill>
            <w14:solidFill>
              <w14:schemeClr w14:val="tx1"/>
            </w14:solidFill>
          </w14:textFill>
        </w:rPr>
        <w:t>Journal of Finance and Economics Research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4</w:t>
      </w:r>
      <w:r>
        <w:rPr>
          <w:rFonts w:hint="default" w:ascii="Times New Roman" w:hAnsi="Times New Roman" w:cs="Times New Roman"/>
          <w:color w:val="000000" w:themeColor="text1"/>
          <w:u w:val="none"/>
          <w14:textFill>
            <w14:solidFill>
              <w14:schemeClr w14:val="tx1"/>
            </w14:solidFill>
          </w14:textFill>
        </w:rPr>
        <w:t>(1), 24–41.</w:t>
      </w:r>
    </w:p>
    <w:p w14:paraId="3B95576F">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Mohd Hatta, F. H., Samsudin, E. Z., Aimran, N., Ismail, Z., &amp; Sapian, N. A. M. (2024). Construct validity and test–retest reliability of questionnaires to assess workplace violence risk factors (QAWRF): A tripartite perspective of worksite-specific determinants in healthcare settings. </w:t>
      </w:r>
      <w:r>
        <w:rPr>
          <w:rStyle w:val="7"/>
          <w:rFonts w:hint="default" w:ascii="Times New Roman" w:hAnsi="Times New Roman" w:cs="Times New Roman"/>
          <w:color w:val="000000" w:themeColor="text1"/>
          <w:u w:val="none"/>
          <w14:textFill>
            <w14:solidFill>
              <w14:schemeClr w14:val="tx1"/>
            </w14:solidFill>
          </w14:textFill>
        </w:rPr>
        <w:t>Risk Management and Healthcare Policy</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16</w:t>
      </w:r>
      <w:r>
        <w:rPr>
          <w:rFonts w:hint="default" w:ascii="Times New Roman" w:hAnsi="Times New Roman" w:cs="Times New Roman"/>
          <w:color w:val="000000" w:themeColor="text1"/>
          <w:u w:val="none"/>
          <w14:textFill>
            <w14:solidFill>
              <w14:schemeClr w14:val="tx1"/>
            </w14:solidFill>
          </w14:textFill>
        </w:rPr>
        <w:t xml:space="preserve">, 455–471.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"https://doi.org/10.2147/RMHP.S439914"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https://doi.org/10.2147/RMHP.S439914</w:t>
      </w:r>
      <w:r>
        <w:rPr>
          <w:rFonts w:hint="default" w:ascii="Times New Roman" w:hAnsi="Times New Roman" w:cs="Times New Roman"/>
          <w:color w:val="000000" w:themeColor="text1"/>
          <w:u w:val="none"/>
          <w14:textFill>
            <w14:solidFill>
              <w14:schemeClr w14:val="tx1"/>
            </w14:solidFill>
          </w14:textFill>
        </w:rPr>
        <w:fldChar w:fldCharType="end"/>
      </w:r>
    </w:p>
    <w:p w14:paraId="09426695">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Nkamnebe, E. O., Oladipo, A. O., &amp; Ezenwobi, F. N. (2023). Impact of financial development on economic growth in Nigeria. </w:t>
      </w:r>
      <w:r>
        <w:rPr>
          <w:rStyle w:val="7"/>
          <w:rFonts w:hint="default" w:ascii="Times New Roman" w:hAnsi="Times New Roman" w:cs="Times New Roman"/>
          <w:color w:val="000000" w:themeColor="text1"/>
          <w:u w:val="none"/>
          <w14:textFill>
            <w14:solidFill>
              <w14:schemeClr w14:val="tx1"/>
            </w14:solidFill>
          </w14:textFill>
        </w:rPr>
        <w:t>World Journal of Advanced Research and Reviews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20</w:t>
      </w:r>
      <w:r>
        <w:rPr>
          <w:rFonts w:hint="default" w:ascii="Times New Roman" w:hAnsi="Times New Roman" w:cs="Times New Roman"/>
          <w:color w:val="000000" w:themeColor="text1"/>
          <w:u w:val="none"/>
          <w14:textFill>
            <w14:solidFill>
              <w14:schemeClr w14:val="tx1"/>
            </w14:solidFill>
          </w14:textFill>
        </w:rPr>
        <w:t xml:space="preserve">(2), 1300–1311.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"https://doi.org/10.30574/wjarr.2023.20.2.2111"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https://doi.org/10.30574/wjarr.2023.20.2.2111</w:t>
      </w:r>
      <w:r>
        <w:rPr>
          <w:rFonts w:hint="default" w:ascii="Times New Roman" w:hAnsi="Times New Roman" w:cs="Times New Roman"/>
          <w:color w:val="000000" w:themeColor="text1"/>
          <w:u w:val="none"/>
          <w14:textFill>
            <w14:solidFill>
              <w14:schemeClr w14:val="tx1"/>
            </w14:solidFill>
          </w14:textFill>
        </w:rPr>
        <w:fldChar w:fldCharType="end"/>
      </w:r>
    </w:p>
    <w:p w14:paraId="68373E46">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Okunade, S. O., Ajisafe, R. A., &amp; Olasusi, A. (2022). The effect of financial crisis on profitability of Nigerian banks. </w:t>
      </w:r>
      <w:r>
        <w:rPr>
          <w:rStyle w:val="7"/>
          <w:rFonts w:hint="default" w:ascii="Times New Roman" w:hAnsi="Times New Roman" w:cs="Times New Roman"/>
          <w:color w:val="000000" w:themeColor="text1"/>
          <w:u w:val="none"/>
          <w14:textFill>
            <w14:solidFill>
              <w14:schemeClr w14:val="tx1"/>
            </w14:solidFill>
          </w14:textFill>
        </w:rPr>
        <w:t>Journal of Economics and Allied Research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7</w:t>
      </w:r>
      <w:r>
        <w:rPr>
          <w:rFonts w:hint="default" w:ascii="Times New Roman" w:hAnsi="Times New Roman" w:cs="Times New Roman"/>
          <w:color w:val="000000" w:themeColor="text1"/>
          <w:u w:val="none"/>
          <w14:textFill>
            <w14:solidFill>
              <w14:schemeClr w14:val="tx1"/>
            </w14:solidFill>
          </w14:textFill>
        </w:rPr>
        <w:t xml:space="preserve">(2), 67–80.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"https://jearecons.com/index.php/jearecons/article/view/206"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https://jearecons.com/index.php/jearecons/article/view/206</w:t>
      </w:r>
      <w:r>
        <w:rPr>
          <w:rFonts w:hint="default" w:ascii="Times New Roman" w:hAnsi="Times New Roman" w:cs="Times New Roman"/>
          <w:color w:val="000000" w:themeColor="text1"/>
          <w:u w:val="none"/>
          <w14:textFill>
            <w14:solidFill>
              <w14:schemeClr w14:val="tx1"/>
            </w14:solidFill>
          </w14:textFill>
        </w:rPr>
        <w:fldChar w:fldCharType="end"/>
      </w:r>
    </w:p>
    <w:p w14:paraId="02D3A563">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Olawale, A. (2024). The impact of capital market on the economic growth of Nigeria. </w:t>
      </w:r>
      <w:r>
        <w:rPr>
          <w:rStyle w:val="7"/>
          <w:rFonts w:hint="default" w:ascii="Times New Roman" w:hAnsi="Times New Roman" w:cs="Times New Roman"/>
          <w:color w:val="000000" w:themeColor="text1"/>
          <w:u w:val="none"/>
          <w14:textFill>
            <w14:solidFill>
              <w14:schemeClr w14:val="tx1"/>
            </w14:solidFill>
          </w14:textFill>
        </w:rPr>
        <w:t>GSC Advanced Research and Reviews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21</w:t>
      </w:r>
      <w:r>
        <w:rPr>
          <w:rFonts w:hint="default" w:ascii="Times New Roman" w:hAnsi="Times New Roman" w:cs="Times New Roman"/>
          <w:color w:val="000000" w:themeColor="text1"/>
          <w:u w:val="none"/>
          <w14:textFill>
            <w14:solidFill>
              <w14:schemeClr w14:val="tx1"/>
            </w14:solidFill>
          </w14:textFill>
        </w:rPr>
        <w:t xml:space="preserve">(1), 013–026.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"https://doi.org/10.30574/gscarr.2024.21.1.0303"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https://doi.org/10.30574/gscarr.2024.21.1.0303</w:t>
      </w:r>
      <w:r>
        <w:rPr>
          <w:rFonts w:hint="default" w:ascii="Times New Roman" w:hAnsi="Times New Roman" w:cs="Times New Roman"/>
          <w:color w:val="000000" w:themeColor="text1"/>
          <w:u w:val="none"/>
          <w14:textFill>
            <w14:solidFill>
              <w14:schemeClr w14:val="tx1"/>
            </w14:solidFill>
          </w14:textFill>
        </w:rPr>
        <w:fldChar w:fldCharType="end"/>
      </w:r>
    </w:p>
    <w:p w14:paraId="29E460AE">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Roser, M. (2021). </w:t>
      </w:r>
      <w:r>
        <w:rPr>
          <w:rStyle w:val="7"/>
          <w:rFonts w:hint="default" w:ascii="Times New Roman" w:hAnsi="Times New Roman" w:cs="Times New Roman"/>
          <w:color w:val="000000" w:themeColor="text1"/>
          <w:u w:val="none"/>
          <w14:textFill>
            <w14:solidFill>
              <w14:schemeClr w14:val="tx1"/>
            </w14:solidFill>
          </w14:textFill>
        </w:rPr>
        <w:t>What is economic growth? And why is it so important?</w:t>
      </w:r>
      <w:r>
        <w:rPr>
          <w:rFonts w:hint="default" w:ascii="Times New Roman" w:hAnsi="Times New Roman" w:cs="Times New Roman"/>
          <w:color w:val="000000" w:themeColor="text1"/>
          <w:u w:val="none"/>
          <w14:textFill>
            <w14:solidFill>
              <w14:schemeClr w14:val="tx1"/>
            </w14:solidFill>
          </w14:textFill>
        </w:rPr>
        <w:t xml:space="preserve"> Our World in Data.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"https://ourworldindata.org"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https://ourworldindata.org</w:t>
      </w:r>
      <w:r>
        <w:rPr>
          <w:rFonts w:hint="default" w:ascii="Times New Roman" w:hAnsi="Times New Roman" w:cs="Times New Roman"/>
          <w:color w:val="000000" w:themeColor="text1"/>
          <w:u w:val="none"/>
          <w14:textFill>
            <w14:solidFill>
              <w14:schemeClr w14:val="tx1"/>
            </w14:solidFill>
          </w14:textFill>
        </w:rPr>
        <w:fldChar w:fldCharType="end"/>
      </w:r>
    </w:p>
    <w:p w14:paraId="36C20F45">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Roubini, N., &amp; Sala-i-Martin, X. (1992). Financial repression and economic growth. </w:t>
      </w:r>
      <w:r>
        <w:rPr>
          <w:rStyle w:val="7"/>
          <w:rFonts w:hint="default" w:ascii="Times New Roman" w:hAnsi="Times New Roman" w:cs="Times New Roman"/>
          <w:color w:val="000000" w:themeColor="text1"/>
          <w:u w:val="none"/>
          <w14:textFill>
            <w14:solidFill>
              <w14:schemeClr w14:val="tx1"/>
            </w14:solidFill>
          </w14:textFill>
        </w:rPr>
        <w:t>Journal of Development Economics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39</w:t>
      </w:r>
      <w:r>
        <w:rPr>
          <w:rFonts w:hint="default" w:ascii="Times New Roman" w:hAnsi="Times New Roman" w:cs="Times New Roman"/>
          <w:color w:val="000000" w:themeColor="text1"/>
          <w:u w:val="none"/>
          <w14:textFill>
            <w14:solidFill>
              <w14:schemeClr w14:val="tx1"/>
            </w14:solidFill>
          </w14:textFill>
        </w:rPr>
        <w:t xml:space="preserve">(1), 5–30.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"https://doi.org/10.1016/0304-3878(92)90055-E"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https://doi.org/10.1016/0304-3878(92)90055-E</w:t>
      </w:r>
      <w:r>
        <w:rPr>
          <w:rFonts w:hint="default" w:ascii="Times New Roman" w:hAnsi="Times New Roman" w:cs="Times New Roman"/>
          <w:color w:val="000000" w:themeColor="text1"/>
          <w:u w:val="none"/>
          <w14:textFill>
            <w14:solidFill>
              <w14:schemeClr w14:val="tx1"/>
            </w14:solidFill>
          </w14:textFill>
        </w:rPr>
        <w:fldChar w:fldCharType="end"/>
      </w:r>
    </w:p>
    <w:p w14:paraId="10351450">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Salwati, N., &amp; Wessel, D. (2021). </w:t>
      </w:r>
      <w:r>
        <w:rPr>
          <w:rStyle w:val="7"/>
          <w:rFonts w:hint="default" w:ascii="Times New Roman" w:hAnsi="Times New Roman" w:cs="Times New Roman"/>
          <w:color w:val="000000" w:themeColor="text1"/>
          <w:u w:val="none"/>
          <w14:textFill>
            <w14:solidFill>
              <w14:schemeClr w14:val="tx1"/>
            </w14:solidFill>
          </w14:textFill>
        </w:rPr>
        <w:t>How does the government measure inflation?</w:t>
      </w:r>
      <w:r>
        <w:rPr>
          <w:rFonts w:hint="default" w:ascii="Times New Roman" w:hAnsi="Times New Roman" w:cs="Times New Roman"/>
          <w:color w:val="000000" w:themeColor="text1"/>
          <w:u w:val="none"/>
          <w14:textFill>
            <w14:solidFill>
              <w14:schemeClr w14:val="tx1"/>
            </w14:solidFill>
          </w14:textFill>
        </w:rPr>
        <w:t xml:space="preserve"> Brookings Institution.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"https://www.brookings.edu"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https://www.brookings.edu</w:t>
      </w:r>
      <w:r>
        <w:rPr>
          <w:rFonts w:hint="default" w:ascii="Times New Roman" w:hAnsi="Times New Roman" w:cs="Times New Roman"/>
          <w:color w:val="000000" w:themeColor="text1"/>
          <w:u w:val="none"/>
          <w14:textFill>
            <w14:solidFill>
              <w14:schemeClr w14:val="tx1"/>
            </w14:solidFill>
          </w14:textFill>
        </w:rPr>
        <w:fldChar w:fldCharType="end"/>
      </w:r>
    </w:p>
    <w:p w14:paraId="5B063A42">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Sant'Anna, D. A. L. M., &amp; Figueiredo, P. N. (2024). Fintech innovation: Is it beneficial or detrimental to financial inclusion and financial stability? A systematic literature review and research directions. </w:t>
      </w:r>
      <w:r>
        <w:rPr>
          <w:rStyle w:val="7"/>
          <w:rFonts w:hint="default" w:ascii="Times New Roman" w:hAnsi="Times New Roman" w:cs="Times New Roman"/>
          <w:color w:val="000000" w:themeColor="text1"/>
          <w:u w:val="none"/>
          <w14:textFill>
            <w14:solidFill>
              <w14:schemeClr w14:val="tx1"/>
            </w14:solidFill>
          </w14:textFill>
        </w:rPr>
        <w:t>Emerging Markets Review</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60</w:t>
      </w:r>
      <w:r>
        <w:rPr>
          <w:rFonts w:hint="default" w:ascii="Times New Roman" w:hAnsi="Times New Roman" w:cs="Times New Roman"/>
          <w:color w:val="000000" w:themeColor="text1"/>
          <w:u w:val="none"/>
          <w14:textFill>
            <w14:solidFill>
              <w14:schemeClr w14:val="tx1"/>
            </w14:solidFill>
          </w14:textFill>
        </w:rPr>
        <w:t xml:space="preserve">, 1–21.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"https://doi.org/10.1016/j.ememar.2024.101140"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https://doi.org/10.1016/j.ememar.2024.101140</w:t>
      </w:r>
      <w:r>
        <w:rPr>
          <w:rFonts w:hint="default" w:ascii="Times New Roman" w:hAnsi="Times New Roman" w:cs="Times New Roman"/>
          <w:color w:val="000000" w:themeColor="text1"/>
          <w:u w:val="none"/>
          <w14:textFill>
            <w14:solidFill>
              <w14:schemeClr w14:val="tx1"/>
            </w14:solidFill>
          </w14:textFill>
        </w:rPr>
        <w:fldChar w:fldCharType="end"/>
      </w:r>
    </w:p>
    <w:p w14:paraId="6A3B1814">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Sara, B. A. Y. O. U. D. (2024). Financial intermediation: An exploration of the theoretical foundations. </w:t>
      </w:r>
      <w:r>
        <w:rPr>
          <w:rStyle w:val="7"/>
          <w:rFonts w:hint="default" w:ascii="Times New Roman" w:hAnsi="Times New Roman" w:cs="Times New Roman"/>
          <w:color w:val="000000" w:themeColor="text1"/>
          <w:u w:val="none"/>
          <w14:textFill>
            <w14:solidFill>
              <w14:schemeClr w14:val="tx1"/>
            </w14:solidFill>
          </w14:textFill>
        </w:rPr>
        <w:t>African Scientific Journal</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3</w:t>
      </w:r>
      <w:r>
        <w:rPr>
          <w:rFonts w:hint="default" w:ascii="Times New Roman" w:hAnsi="Times New Roman" w:cs="Times New Roman"/>
          <w:color w:val="000000" w:themeColor="text1"/>
          <w:u w:val="none"/>
          <w14:textFill>
            <w14:solidFill>
              <w14:schemeClr w14:val="tx1"/>
            </w14:solidFill>
          </w14:textFill>
        </w:rPr>
        <w:t xml:space="preserve">(22), 893–893.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"https://doi.org/10.5281/zenodo.10820868"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https://doi.org/10.5281/zenodo.10820868</w:t>
      </w:r>
      <w:r>
        <w:rPr>
          <w:rFonts w:hint="default" w:ascii="Times New Roman" w:hAnsi="Times New Roman" w:cs="Times New Roman"/>
          <w:color w:val="000000" w:themeColor="text1"/>
          <w:u w:val="none"/>
          <w14:textFill>
            <w14:solidFill>
              <w14:schemeClr w14:val="tx1"/>
            </w14:solidFill>
          </w14:textFill>
        </w:rPr>
        <w:fldChar w:fldCharType="end"/>
      </w:r>
    </w:p>
    <w:p w14:paraId="78C106EB">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Schumpeter, J. A. (1934). </w:t>
      </w:r>
      <w:r>
        <w:rPr>
          <w:rStyle w:val="7"/>
          <w:rFonts w:hint="default" w:ascii="Times New Roman" w:hAnsi="Times New Roman" w:cs="Times New Roman"/>
          <w:color w:val="000000" w:themeColor="text1"/>
          <w:u w:val="none"/>
          <w14:textFill>
            <w14:solidFill>
              <w14:schemeClr w14:val="tx1"/>
            </w14:solidFill>
          </w14:textFill>
        </w:rPr>
        <w:t>The theory of economic development: An inquiry into profits, capital, credit, interest, and the business cycle</w:t>
      </w:r>
      <w:r>
        <w:rPr>
          <w:rFonts w:hint="default" w:ascii="Times New Roman" w:hAnsi="Times New Roman" w:cs="Times New Roman"/>
          <w:color w:val="000000" w:themeColor="text1"/>
          <w:u w:val="none"/>
          <w14:textFill>
            <w14:solidFill>
              <w14:schemeClr w14:val="tx1"/>
            </w14:solidFill>
          </w14:textFill>
        </w:rPr>
        <w:t>. Harvard University Press. (Original work published 1911)</w:t>
      </w:r>
    </w:p>
    <w:p w14:paraId="45526ABC">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Seiler, P. (2020). Weighting bias and inflation in the time of COVID-19: Evidence from Swiss transaction data. </w:t>
      </w:r>
      <w:r>
        <w:rPr>
          <w:rStyle w:val="7"/>
          <w:rFonts w:hint="default" w:ascii="Times New Roman" w:hAnsi="Times New Roman" w:cs="Times New Roman"/>
          <w:color w:val="000000" w:themeColor="text1"/>
          <w:u w:val="none"/>
          <w14:textFill>
            <w14:solidFill>
              <w14:schemeClr w14:val="tx1"/>
            </w14:solidFill>
          </w14:textFill>
        </w:rPr>
        <w:t>Swiss Journal of Economics and Statistics</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156</w:t>
      </w:r>
      <w:r>
        <w:rPr>
          <w:rFonts w:hint="default" w:ascii="Times New Roman" w:hAnsi="Times New Roman" w:cs="Times New Roman"/>
          <w:color w:val="000000" w:themeColor="text1"/>
          <w:u w:val="none"/>
          <w14:textFill>
            <w14:solidFill>
              <w14:schemeClr w14:val="tx1"/>
            </w14:solidFill>
          </w14:textFill>
        </w:rPr>
        <w:t xml:space="preserve">(1), 13.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"https://doi.org/10.1186/s41937-020-00057-7"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https://doi.org/10.1186/s41937-020-00057-7</w:t>
      </w:r>
      <w:r>
        <w:rPr>
          <w:rFonts w:hint="default" w:ascii="Times New Roman" w:hAnsi="Times New Roman" w:cs="Times New Roman"/>
          <w:color w:val="000000" w:themeColor="text1"/>
          <w:u w:val="none"/>
          <w14:textFill>
            <w14:solidFill>
              <w14:schemeClr w14:val="tx1"/>
            </w14:solidFill>
          </w14:textFill>
        </w:rPr>
        <w:fldChar w:fldCharType="end"/>
      </w:r>
    </w:p>
    <w:p w14:paraId="71696468">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Shaw, E. S. (1973). </w:t>
      </w:r>
      <w:r>
        <w:rPr>
          <w:rStyle w:val="7"/>
          <w:rFonts w:hint="default" w:ascii="Times New Roman" w:hAnsi="Times New Roman" w:cs="Times New Roman"/>
          <w:color w:val="000000" w:themeColor="text1"/>
          <w:u w:val="none"/>
          <w14:textFill>
            <w14:solidFill>
              <w14:schemeClr w14:val="tx1"/>
            </w14:solidFill>
          </w14:textFill>
        </w:rPr>
        <w:t>Financial deepening in economic development</w:t>
      </w:r>
      <w:r>
        <w:rPr>
          <w:rFonts w:hint="default" w:ascii="Times New Roman" w:hAnsi="Times New Roman" w:cs="Times New Roman"/>
          <w:color w:val="000000" w:themeColor="text1"/>
          <w:u w:val="none"/>
          <w14:textFill>
            <w14:solidFill>
              <w14:schemeClr w14:val="tx1"/>
            </w14:solidFill>
          </w14:textFill>
        </w:rPr>
        <w:t>. Oxford University Press.</w:t>
      </w:r>
    </w:p>
    <w:p w14:paraId="5FDFABE0">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Sireci, S. G. (1998). The construct of content validity. </w:t>
      </w:r>
      <w:r>
        <w:rPr>
          <w:rStyle w:val="7"/>
          <w:rFonts w:hint="default" w:ascii="Times New Roman" w:hAnsi="Times New Roman" w:cs="Times New Roman"/>
          <w:color w:val="000000" w:themeColor="text1"/>
          <w:u w:val="none"/>
          <w14:textFill>
            <w14:solidFill>
              <w14:schemeClr w14:val="tx1"/>
            </w14:solidFill>
          </w14:textFill>
        </w:rPr>
        <w:t>Social Indicators Research</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45</w:t>
      </w:r>
      <w:r>
        <w:rPr>
          <w:rFonts w:hint="default" w:ascii="Times New Roman" w:hAnsi="Times New Roman" w:cs="Times New Roman"/>
          <w:color w:val="000000" w:themeColor="text1"/>
          <w:u w:val="none"/>
          <w14:textFill>
            <w14:solidFill>
              <w14:schemeClr w14:val="tx1"/>
            </w14:solidFill>
          </w14:textFill>
        </w:rPr>
        <w:t xml:space="preserve">(1), 83–117.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"https://doi.org/10.1023/A:1006985528729"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https://doi.org/10.1023/A:1006985528729</w:t>
      </w:r>
      <w:r>
        <w:rPr>
          <w:rFonts w:hint="default" w:ascii="Times New Roman" w:hAnsi="Times New Roman" w:cs="Times New Roman"/>
          <w:color w:val="000000" w:themeColor="text1"/>
          <w:u w:val="none"/>
          <w14:textFill>
            <w14:solidFill>
              <w14:schemeClr w14:val="tx1"/>
            </w14:solidFill>
          </w14:textFill>
        </w:rPr>
        <w:fldChar w:fldCharType="end"/>
      </w:r>
    </w:p>
    <w:p w14:paraId="1A725A19">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Soetan, T. O., &amp; Mogaji, E. (2024). Financial infrastructure and support systems in Nigeria. In </w:t>
      </w:r>
      <w:r>
        <w:rPr>
          <w:rStyle w:val="7"/>
          <w:rFonts w:hint="default" w:ascii="Times New Roman" w:hAnsi="Times New Roman" w:cs="Times New Roman"/>
          <w:color w:val="000000" w:themeColor="text1"/>
          <w:u w:val="none"/>
          <w14:textFill>
            <w14:solidFill>
              <w14:schemeClr w14:val="tx1"/>
            </w14:solidFill>
          </w14:textFill>
        </w:rPr>
        <w:t>Financial services in Nigeria</w:t>
      </w:r>
      <w:r>
        <w:rPr>
          <w:rFonts w:hint="default" w:ascii="Times New Roman" w:hAnsi="Times New Roman" w:cs="Times New Roman"/>
          <w:color w:val="000000" w:themeColor="text1"/>
          <w:u w:val="none"/>
          <w14:textFill>
            <w14:solidFill>
              <w14:schemeClr w14:val="tx1"/>
            </w14:solidFill>
          </w14:textFill>
        </w:rPr>
        <w:t xml:space="preserve"> (Sustainable Development Goals Series). Palgrave Macmillan.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"https://doi.org/10.1007/978-3-031-62340-0_4"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https://doi.org/10.1007/978-3-031-62340-0_4</w:t>
      </w:r>
      <w:r>
        <w:rPr>
          <w:rFonts w:hint="default" w:ascii="Times New Roman" w:hAnsi="Times New Roman" w:cs="Times New Roman"/>
          <w:color w:val="000000" w:themeColor="text1"/>
          <w:u w:val="none"/>
          <w14:textFill>
            <w14:solidFill>
              <w14:schemeClr w14:val="tx1"/>
            </w14:solidFill>
          </w14:textFill>
        </w:rPr>
        <w:fldChar w:fldCharType="end"/>
      </w:r>
    </w:p>
    <w:p w14:paraId="3266083F">
      <w:pPr>
        <w:pStyle w:val="11"/>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 xml:space="preserve">Stiglitz, J. E. (2000). Capital market liberalization, economic growth, and instability. </w:t>
      </w:r>
      <w:r>
        <w:rPr>
          <w:rStyle w:val="7"/>
          <w:rFonts w:hint="default" w:ascii="Times New Roman" w:hAnsi="Times New Roman" w:cs="Times New Roman"/>
          <w:color w:val="000000" w:themeColor="text1"/>
          <w:u w:val="none"/>
          <w14:textFill>
            <w14:solidFill>
              <w14:schemeClr w14:val="tx1"/>
            </w14:solidFill>
          </w14:textFill>
        </w:rPr>
        <w:t>World Development</w:t>
      </w:r>
      <w:r>
        <w:rPr>
          <w:rFonts w:hint="default" w:ascii="Times New Roman" w:hAnsi="Times New Roman" w:cs="Times New Roman"/>
          <w:color w:val="000000" w:themeColor="text1"/>
          <w:u w:val="none"/>
          <w14:textFill>
            <w14:solidFill>
              <w14:schemeClr w14:val="tx1"/>
            </w14:solidFill>
          </w14:textFill>
        </w:rPr>
        <w:t xml:space="preserve">, </w:t>
      </w:r>
      <w:r>
        <w:rPr>
          <w:rStyle w:val="7"/>
          <w:rFonts w:hint="default" w:ascii="Times New Roman" w:hAnsi="Times New Roman" w:cs="Times New Roman"/>
          <w:color w:val="000000" w:themeColor="text1"/>
          <w:u w:val="none"/>
          <w14:textFill>
            <w14:solidFill>
              <w14:schemeClr w14:val="tx1"/>
            </w14:solidFill>
          </w14:textFill>
        </w:rPr>
        <w:t>28</w:t>
      </w:r>
      <w:r>
        <w:rPr>
          <w:rFonts w:hint="default" w:ascii="Times New Roman" w:hAnsi="Times New Roman" w:cs="Times New Roman"/>
          <w:color w:val="000000" w:themeColor="text1"/>
          <w:u w:val="none"/>
          <w14:textFill>
            <w14:solidFill>
              <w14:schemeClr w14:val="tx1"/>
            </w14:solidFill>
          </w14:textFill>
        </w:rPr>
        <w:t xml:space="preserve">(6), 1075–1086. </w:t>
      </w:r>
      <w:r>
        <w:rPr>
          <w:rFonts w:hint="default" w:ascii="Times New Roman" w:hAnsi="Times New Roman" w:cs="Times New Roman"/>
          <w:color w:val="000000" w:themeColor="text1"/>
          <w:u w:val="none"/>
          <w14:textFill>
            <w14:solidFill>
              <w14:schemeClr w14:val="tx1"/>
            </w14:solidFill>
          </w14:textFill>
        </w:rPr>
        <w:fldChar w:fldCharType="begin"/>
      </w:r>
      <w:r>
        <w:rPr>
          <w:rFonts w:hint="default" w:ascii="Times New Roman" w:hAnsi="Times New Roman" w:cs="Times New Roman"/>
          <w:color w:val="000000" w:themeColor="text1"/>
          <w:u w:val="none"/>
          <w14:textFill>
            <w14:solidFill>
              <w14:schemeClr w14:val="tx1"/>
            </w14:solidFill>
          </w14:textFill>
        </w:rPr>
        <w:instrText xml:space="preserve"> HYPERLINK "https://doi.org/10.1016/S0305-750X(00)00006-1" </w:instrText>
      </w:r>
      <w:r>
        <w:rPr>
          <w:rFonts w:hint="default" w:ascii="Times New Roman" w:hAnsi="Times New Roman" w:cs="Times New Roman"/>
          <w:color w:val="000000" w:themeColor="text1"/>
          <w:u w:val="none"/>
          <w14:textFill>
            <w14:solidFill>
              <w14:schemeClr w14:val="tx1"/>
            </w14:solidFill>
          </w14:textFill>
        </w:rPr>
        <w:fldChar w:fldCharType="separate"/>
      </w:r>
      <w:r>
        <w:rPr>
          <w:rStyle w:val="10"/>
          <w:rFonts w:hint="default" w:ascii="Times New Roman" w:hAnsi="Times New Roman" w:cs="Times New Roman"/>
          <w:color w:val="000000" w:themeColor="text1"/>
          <w:u w:val="none"/>
          <w14:textFill>
            <w14:solidFill>
              <w14:schemeClr w14:val="tx1"/>
            </w14:solidFill>
          </w14:textFill>
        </w:rPr>
        <w:t>https://doi.org/10.1016/S0305-750X(00)00006-1</w:t>
      </w:r>
      <w:r>
        <w:rPr>
          <w:rFonts w:hint="default" w:ascii="Times New Roman" w:hAnsi="Times New Roman" w:cs="Times New Roman"/>
          <w:color w:val="000000" w:themeColor="text1"/>
          <w:u w:val="none"/>
          <w14:textFill>
            <w14:solidFill>
              <w14:schemeClr w14:val="tx1"/>
            </w14:solidFill>
          </w14:textFill>
        </w:rPr>
        <w:fldChar w:fldCharType="end"/>
      </w:r>
    </w:p>
    <w:p w14:paraId="3F1349D4">
      <w:pPr>
        <w:spacing w:before="240" w:after="240" w:line="360" w:lineRule="auto"/>
        <w:jc w:val="both"/>
        <w:rPr>
          <w:rFonts w:hint="default" w:ascii="Times New Roman" w:hAnsi="Times New Roman" w:eastAsia="Aptos" w:cs="Times New Roman"/>
          <w:color w:val="000000" w:themeColor="text1"/>
          <w:sz w:val="24"/>
          <w:szCs w:val="24"/>
          <w:u w:val="none"/>
          <w14:textFill>
            <w14:solidFill>
              <w14:schemeClr w14:val="tx1"/>
            </w14:solidFill>
          </w14:textFill>
        </w:rPr>
      </w:pPr>
    </w:p>
    <w:p w14:paraId="53B4ADC6">
      <w:pPr>
        <w:spacing w:line="360" w:lineRule="auto"/>
        <w:jc w:val="both"/>
        <w:rPr>
          <w:rFonts w:hint="default" w:ascii="Times New Roman" w:hAnsi="Times New Roman" w:cs="Times New Roman"/>
          <w:color w:val="000000" w:themeColor="text1"/>
          <w:sz w:val="24"/>
          <w:szCs w:val="24"/>
          <w:u w:val="none"/>
          <w14:textFill>
            <w14:solidFill>
              <w14:schemeClr w14:val="tx1"/>
            </w14:solidFill>
          </w14:textFill>
        </w:rPr>
      </w:pPr>
    </w:p>
    <w:p w14:paraId="455C3EA0">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Aptos">
    <w:altName w:val="Segoe UI"/>
    <w:panose1 w:val="00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195D11"/>
    <w:multiLevelType w:val="singleLevel"/>
    <w:tmpl w:val="AC195D11"/>
    <w:lvl w:ilvl="0" w:tentative="0">
      <w:start w:val="1"/>
      <w:numFmt w:val="decimal"/>
      <w:lvlText w:val="%1."/>
      <w:lvlJc w:val="left"/>
      <w:pPr>
        <w:tabs>
          <w:tab w:val="left" w:pos="425"/>
        </w:tabs>
        <w:ind w:left="425" w:leftChars="0" w:hanging="425" w:firstLineChars="0"/>
      </w:pPr>
      <w:rPr>
        <w:rFonts w:hint="default"/>
      </w:rPr>
    </w:lvl>
  </w:abstractNum>
  <w:abstractNum w:abstractNumId="1">
    <w:nsid w:val="D696C088"/>
    <w:multiLevelType w:val="singleLevel"/>
    <w:tmpl w:val="D696C088"/>
    <w:lvl w:ilvl="0" w:tentative="0">
      <w:start w:val="1"/>
      <w:numFmt w:val="decimal"/>
      <w:lvlText w:val="%1)"/>
      <w:lvlJc w:val="left"/>
      <w:pPr>
        <w:tabs>
          <w:tab w:val="left" w:pos="425"/>
        </w:tabs>
        <w:ind w:left="425" w:leftChars="0" w:hanging="425" w:firstLineChars="0"/>
      </w:pPr>
      <w:rPr>
        <w:rFonts w:hint="default"/>
      </w:rPr>
    </w:lvl>
  </w:abstractNum>
  <w:abstractNum w:abstractNumId="2">
    <w:nsid w:val="E77B40CB"/>
    <w:multiLevelType w:val="multilevel"/>
    <w:tmpl w:val="E77B40CB"/>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F40AC7DB"/>
    <w:multiLevelType w:val="singleLevel"/>
    <w:tmpl w:val="F40AC7DB"/>
    <w:lvl w:ilvl="0" w:tentative="0">
      <w:start w:val="1"/>
      <w:numFmt w:val="decimal"/>
      <w:lvlText w:val="%1)"/>
      <w:lvlJc w:val="left"/>
      <w:pPr>
        <w:tabs>
          <w:tab w:val="left" w:pos="425"/>
        </w:tabs>
        <w:ind w:left="425" w:leftChars="0" w:hanging="425" w:firstLineChars="0"/>
      </w:pPr>
      <w:rPr>
        <w:rFonts w:hint="default"/>
      </w:rPr>
    </w:lvl>
  </w:abstractNum>
  <w:abstractNum w:abstractNumId="4">
    <w:nsid w:val="75CF75E4"/>
    <w:multiLevelType w:val="singleLevel"/>
    <w:tmpl w:val="75CF75E4"/>
    <w:lvl w:ilvl="0" w:tentative="0">
      <w:start w:val="1"/>
      <w:numFmt w:val="decimal"/>
      <w:lvlText w:val="%1."/>
      <w:lvlJc w:val="left"/>
      <w:pPr>
        <w:tabs>
          <w:tab w:val="left" w:pos="425"/>
        </w:tabs>
        <w:ind w:left="425" w:leftChars="0" w:hanging="425" w:firstLineChars="0"/>
      </w:pPr>
      <w:rPr>
        <w:rFont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100911"/>
    <w:rsid w:val="001C0C3C"/>
    <w:rsid w:val="00245764"/>
    <w:rsid w:val="005F29AA"/>
    <w:rsid w:val="006C1CC0"/>
    <w:rsid w:val="007D1F5A"/>
    <w:rsid w:val="00AA3D23"/>
    <w:rsid w:val="00C82C92"/>
    <w:rsid w:val="00CF06E0"/>
    <w:rsid w:val="0102691F"/>
    <w:rsid w:val="010D1849"/>
    <w:rsid w:val="011D6260"/>
    <w:rsid w:val="0139010F"/>
    <w:rsid w:val="01715CEB"/>
    <w:rsid w:val="018C4316"/>
    <w:rsid w:val="01964C25"/>
    <w:rsid w:val="019B4930"/>
    <w:rsid w:val="01A1683A"/>
    <w:rsid w:val="01C47CF3"/>
    <w:rsid w:val="01ED0EB7"/>
    <w:rsid w:val="02026E30"/>
    <w:rsid w:val="02323BAA"/>
    <w:rsid w:val="02474A49"/>
    <w:rsid w:val="025A3A6A"/>
    <w:rsid w:val="02721111"/>
    <w:rsid w:val="02A318E0"/>
    <w:rsid w:val="02AF3174"/>
    <w:rsid w:val="02CD5FA7"/>
    <w:rsid w:val="030B1408"/>
    <w:rsid w:val="032234B3"/>
    <w:rsid w:val="033930D8"/>
    <w:rsid w:val="039830F1"/>
    <w:rsid w:val="03D332D6"/>
    <w:rsid w:val="03EF3B00"/>
    <w:rsid w:val="03FD6699"/>
    <w:rsid w:val="04906F0D"/>
    <w:rsid w:val="05277080"/>
    <w:rsid w:val="05315411"/>
    <w:rsid w:val="05B94D2D"/>
    <w:rsid w:val="05B97C74"/>
    <w:rsid w:val="05BB3177"/>
    <w:rsid w:val="05C935D2"/>
    <w:rsid w:val="05C93C5B"/>
    <w:rsid w:val="05DB7E28"/>
    <w:rsid w:val="0616408D"/>
    <w:rsid w:val="063901C2"/>
    <w:rsid w:val="06451A56"/>
    <w:rsid w:val="066B6E24"/>
    <w:rsid w:val="06AE3362"/>
    <w:rsid w:val="06EB233A"/>
    <w:rsid w:val="073C456C"/>
    <w:rsid w:val="075E5DA6"/>
    <w:rsid w:val="077E0859"/>
    <w:rsid w:val="07A0211C"/>
    <w:rsid w:val="07D14A60"/>
    <w:rsid w:val="07D721EC"/>
    <w:rsid w:val="07E9598A"/>
    <w:rsid w:val="07EB0E8D"/>
    <w:rsid w:val="08344B05"/>
    <w:rsid w:val="08380F8C"/>
    <w:rsid w:val="08580817"/>
    <w:rsid w:val="08816E02"/>
    <w:rsid w:val="08C52D6F"/>
    <w:rsid w:val="08C64073"/>
    <w:rsid w:val="0919607C"/>
    <w:rsid w:val="092B4153"/>
    <w:rsid w:val="09966E07"/>
    <w:rsid w:val="09A301DE"/>
    <w:rsid w:val="09C63C16"/>
    <w:rsid w:val="09D67F67"/>
    <w:rsid w:val="0A0F530F"/>
    <w:rsid w:val="0A1C6BA3"/>
    <w:rsid w:val="0A1F1619"/>
    <w:rsid w:val="0A3E03DD"/>
    <w:rsid w:val="0A590C06"/>
    <w:rsid w:val="0A7B30EB"/>
    <w:rsid w:val="0A8068C8"/>
    <w:rsid w:val="0A8C015C"/>
    <w:rsid w:val="0B0E07E0"/>
    <w:rsid w:val="0B1D461D"/>
    <w:rsid w:val="0B752658"/>
    <w:rsid w:val="0BC33A5C"/>
    <w:rsid w:val="0C600D7C"/>
    <w:rsid w:val="0C807692"/>
    <w:rsid w:val="0C9D12FC"/>
    <w:rsid w:val="0CB50A66"/>
    <w:rsid w:val="0D026967"/>
    <w:rsid w:val="0D1C7510"/>
    <w:rsid w:val="0D36577E"/>
    <w:rsid w:val="0D7C082F"/>
    <w:rsid w:val="0D8C5246"/>
    <w:rsid w:val="0DC7542B"/>
    <w:rsid w:val="0DDB664A"/>
    <w:rsid w:val="0DEC0AE2"/>
    <w:rsid w:val="0E130328"/>
    <w:rsid w:val="0E2E60D4"/>
    <w:rsid w:val="0E814859"/>
    <w:rsid w:val="0E995783"/>
    <w:rsid w:val="0EC37F93"/>
    <w:rsid w:val="0EE13979"/>
    <w:rsid w:val="0EE80D86"/>
    <w:rsid w:val="0EF8359E"/>
    <w:rsid w:val="0F4920A4"/>
    <w:rsid w:val="0F4E652C"/>
    <w:rsid w:val="0F995326"/>
    <w:rsid w:val="0FFB40C6"/>
    <w:rsid w:val="101007E8"/>
    <w:rsid w:val="103145A0"/>
    <w:rsid w:val="103764A9"/>
    <w:rsid w:val="10653592"/>
    <w:rsid w:val="109B61CD"/>
    <w:rsid w:val="10BF1885"/>
    <w:rsid w:val="10C2608D"/>
    <w:rsid w:val="10F82CE4"/>
    <w:rsid w:val="10F90765"/>
    <w:rsid w:val="1118101A"/>
    <w:rsid w:val="112C7CBB"/>
    <w:rsid w:val="11314143"/>
    <w:rsid w:val="114E65C0"/>
    <w:rsid w:val="11574382"/>
    <w:rsid w:val="1167461D"/>
    <w:rsid w:val="11AF7CCD"/>
    <w:rsid w:val="11C336B1"/>
    <w:rsid w:val="11D54C50"/>
    <w:rsid w:val="12460407"/>
    <w:rsid w:val="125A70A8"/>
    <w:rsid w:val="128846F4"/>
    <w:rsid w:val="128A5ECC"/>
    <w:rsid w:val="12BD38C9"/>
    <w:rsid w:val="12C257D3"/>
    <w:rsid w:val="12D62275"/>
    <w:rsid w:val="12EA0F15"/>
    <w:rsid w:val="12EC28B4"/>
    <w:rsid w:val="13045342"/>
    <w:rsid w:val="1330168A"/>
    <w:rsid w:val="13456351"/>
    <w:rsid w:val="135B24CE"/>
    <w:rsid w:val="136F116E"/>
    <w:rsid w:val="13F910D3"/>
    <w:rsid w:val="14052967"/>
    <w:rsid w:val="141D5E0F"/>
    <w:rsid w:val="14B94BCE"/>
    <w:rsid w:val="14DD044C"/>
    <w:rsid w:val="14E96541"/>
    <w:rsid w:val="15437DF0"/>
    <w:rsid w:val="156B7CAF"/>
    <w:rsid w:val="157E4752"/>
    <w:rsid w:val="158B6260"/>
    <w:rsid w:val="1624772B"/>
    <w:rsid w:val="163376F8"/>
    <w:rsid w:val="166C0B57"/>
    <w:rsid w:val="169961A3"/>
    <w:rsid w:val="16B75753"/>
    <w:rsid w:val="17126D66"/>
    <w:rsid w:val="1763479D"/>
    <w:rsid w:val="17974DC1"/>
    <w:rsid w:val="17982843"/>
    <w:rsid w:val="17C26F0A"/>
    <w:rsid w:val="17CC781A"/>
    <w:rsid w:val="183F64D4"/>
    <w:rsid w:val="190A4F4F"/>
    <w:rsid w:val="193C2EF3"/>
    <w:rsid w:val="19472589"/>
    <w:rsid w:val="19BD4746"/>
    <w:rsid w:val="1A081343"/>
    <w:rsid w:val="1A092647"/>
    <w:rsid w:val="1A384090"/>
    <w:rsid w:val="1A5171B8"/>
    <w:rsid w:val="1A7A5DFE"/>
    <w:rsid w:val="1A96572E"/>
    <w:rsid w:val="1AA665D9"/>
    <w:rsid w:val="1AA70601"/>
    <w:rsid w:val="1AA85649"/>
    <w:rsid w:val="1AE37DAC"/>
    <w:rsid w:val="1B01155A"/>
    <w:rsid w:val="1B1D19B2"/>
    <w:rsid w:val="1B2702E8"/>
    <w:rsid w:val="1B822DAD"/>
    <w:rsid w:val="1B982D53"/>
    <w:rsid w:val="1BD947A1"/>
    <w:rsid w:val="1BF142A3"/>
    <w:rsid w:val="1BF22168"/>
    <w:rsid w:val="1C024980"/>
    <w:rsid w:val="1C1C2FAC"/>
    <w:rsid w:val="1C1F1D32"/>
    <w:rsid w:val="1C27133D"/>
    <w:rsid w:val="1C2C57C5"/>
    <w:rsid w:val="1CA05783"/>
    <w:rsid w:val="1CF94F18"/>
    <w:rsid w:val="1D1C0950"/>
    <w:rsid w:val="1D5A6237"/>
    <w:rsid w:val="1D740FDF"/>
    <w:rsid w:val="1D7F715E"/>
    <w:rsid w:val="1DC16967"/>
    <w:rsid w:val="1DDC550B"/>
    <w:rsid w:val="1E17406B"/>
    <w:rsid w:val="1E1D5F75"/>
    <w:rsid w:val="1E4C3240"/>
    <w:rsid w:val="1E6F5D7F"/>
    <w:rsid w:val="1E877BA2"/>
    <w:rsid w:val="1EAB48DF"/>
    <w:rsid w:val="1EAF54E3"/>
    <w:rsid w:val="1EB80371"/>
    <w:rsid w:val="1EBC0B59"/>
    <w:rsid w:val="1EEB57A3"/>
    <w:rsid w:val="1F0E6B82"/>
    <w:rsid w:val="1F192994"/>
    <w:rsid w:val="1F656EA5"/>
    <w:rsid w:val="1F796231"/>
    <w:rsid w:val="1FA90F7F"/>
    <w:rsid w:val="1FB2188E"/>
    <w:rsid w:val="1FC24AF8"/>
    <w:rsid w:val="20700D48"/>
    <w:rsid w:val="20AE1B47"/>
    <w:rsid w:val="20B239AF"/>
    <w:rsid w:val="20B44934"/>
    <w:rsid w:val="210821C0"/>
    <w:rsid w:val="214C7431"/>
    <w:rsid w:val="215025B4"/>
    <w:rsid w:val="216D23E1"/>
    <w:rsid w:val="217A6C7B"/>
    <w:rsid w:val="222C0C9D"/>
    <w:rsid w:val="22472B4C"/>
    <w:rsid w:val="22800727"/>
    <w:rsid w:val="22A21F61"/>
    <w:rsid w:val="22C70E9C"/>
    <w:rsid w:val="22E67478"/>
    <w:rsid w:val="22FE0FF6"/>
    <w:rsid w:val="23066402"/>
    <w:rsid w:val="230764BA"/>
    <w:rsid w:val="232956BD"/>
    <w:rsid w:val="2358659A"/>
    <w:rsid w:val="23613299"/>
    <w:rsid w:val="23682531"/>
    <w:rsid w:val="23730FB4"/>
    <w:rsid w:val="23AD3718"/>
    <w:rsid w:val="23BB4C2C"/>
    <w:rsid w:val="2412563B"/>
    <w:rsid w:val="241443C1"/>
    <w:rsid w:val="24463D06"/>
    <w:rsid w:val="24D026D9"/>
    <w:rsid w:val="24D4317A"/>
    <w:rsid w:val="24EE1B26"/>
    <w:rsid w:val="24F05029"/>
    <w:rsid w:val="250174C1"/>
    <w:rsid w:val="250B3654"/>
    <w:rsid w:val="2511493D"/>
    <w:rsid w:val="25A51EAE"/>
    <w:rsid w:val="25AC09D0"/>
    <w:rsid w:val="25AE08DF"/>
    <w:rsid w:val="25B96C70"/>
    <w:rsid w:val="25E642BC"/>
    <w:rsid w:val="265A67F9"/>
    <w:rsid w:val="267214C6"/>
    <w:rsid w:val="26811F3C"/>
    <w:rsid w:val="26A80AF7"/>
    <w:rsid w:val="27102AA5"/>
    <w:rsid w:val="27233CC4"/>
    <w:rsid w:val="276B793B"/>
    <w:rsid w:val="277300A1"/>
    <w:rsid w:val="2788146A"/>
    <w:rsid w:val="278D58F1"/>
    <w:rsid w:val="279A4C07"/>
    <w:rsid w:val="27A04912"/>
    <w:rsid w:val="27A14592"/>
    <w:rsid w:val="27C32548"/>
    <w:rsid w:val="27E92788"/>
    <w:rsid w:val="27F6479E"/>
    <w:rsid w:val="2808303D"/>
    <w:rsid w:val="284A5CA4"/>
    <w:rsid w:val="284F59AF"/>
    <w:rsid w:val="285D2747"/>
    <w:rsid w:val="295E7B26"/>
    <w:rsid w:val="29621FF4"/>
    <w:rsid w:val="299946CD"/>
    <w:rsid w:val="29AD336D"/>
    <w:rsid w:val="29AF6870"/>
    <w:rsid w:val="2A103412"/>
    <w:rsid w:val="2A3D1CDF"/>
    <w:rsid w:val="2AA30402"/>
    <w:rsid w:val="2ADC5FDE"/>
    <w:rsid w:val="2B2679CF"/>
    <w:rsid w:val="2B2B406C"/>
    <w:rsid w:val="2B4F051B"/>
    <w:rsid w:val="2B524D23"/>
    <w:rsid w:val="2B762959"/>
    <w:rsid w:val="2BBB344E"/>
    <w:rsid w:val="2BD75C62"/>
    <w:rsid w:val="2BFD51BC"/>
    <w:rsid w:val="2C6B1F6C"/>
    <w:rsid w:val="2C6D0CF3"/>
    <w:rsid w:val="2C801F12"/>
    <w:rsid w:val="2C9F1142"/>
    <w:rsid w:val="2CDB1327"/>
    <w:rsid w:val="2CEE2546"/>
    <w:rsid w:val="2D040E66"/>
    <w:rsid w:val="2D0F4C79"/>
    <w:rsid w:val="2D323F34"/>
    <w:rsid w:val="2D3A4BC3"/>
    <w:rsid w:val="2D5924FD"/>
    <w:rsid w:val="2D6D0895"/>
    <w:rsid w:val="2D7A7BAB"/>
    <w:rsid w:val="2DAC5DFC"/>
    <w:rsid w:val="2DB43208"/>
    <w:rsid w:val="2E194231"/>
    <w:rsid w:val="2E2A44CC"/>
    <w:rsid w:val="2E9460F9"/>
    <w:rsid w:val="2EB278E9"/>
    <w:rsid w:val="2ECE4FDA"/>
    <w:rsid w:val="2EF85E1E"/>
    <w:rsid w:val="2F2D0876"/>
    <w:rsid w:val="2F2F563B"/>
    <w:rsid w:val="2FAE6846"/>
    <w:rsid w:val="2FB1304E"/>
    <w:rsid w:val="2FB959F9"/>
    <w:rsid w:val="2FF96CC5"/>
    <w:rsid w:val="302B1693"/>
    <w:rsid w:val="304447BB"/>
    <w:rsid w:val="307C0198"/>
    <w:rsid w:val="30AC6769"/>
    <w:rsid w:val="30CF573D"/>
    <w:rsid w:val="30E65649"/>
    <w:rsid w:val="30FD19EB"/>
    <w:rsid w:val="310338F4"/>
    <w:rsid w:val="31037178"/>
    <w:rsid w:val="3110648D"/>
    <w:rsid w:val="313E3AD9"/>
    <w:rsid w:val="31453464"/>
    <w:rsid w:val="31667AEC"/>
    <w:rsid w:val="317561B2"/>
    <w:rsid w:val="31900060"/>
    <w:rsid w:val="31C43C21"/>
    <w:rsid w:val="31C936BD"/>
    <w:rsid w:val="326F76CF"/>
    <w:rsid w:val="334E4F33"/>
    <w:rsid w:val="339A3939"/>
    <w:rsid w:val="33B02259"/>
    <w:rsid w:val="34344A31"/>
    <w:rsid w:val="345352E6"/>
    <w:rsid w:val="34792FA7"/>
    <w:rsid w:val="3486483B"/>
    <w:rsid w:val="348C4EAD"/>
    <w:rsid w:val="34945D4F"/>
    <w:rsid w:val="34D73340"/>
    <w:rsid w:val="34D82FC0"/>
    <w:rsid w:val="35366BDD"/>
    <w:rsid w:val="35607A21"/>
    <w:rsid w:val="36491F1D"/>
    <w:rsid w:val="367D6EF4"/>
    <w:rsid w:val="36840A7D"/>
    <w:rsid w:val="368C5217"/>
    <w:rsid w:val="36A46DB4"/>
    <w:rsid w:val="36C572E8"/>
    <w:rsid w:val="36CA3770"/>
    <w:rsid w:val="36DF4054"/>
    <w:rsid w:val="3715036C"/>
    <w:rsid w:val="37705203"/>
    <w:rsid w:val="377A5B12"/>
    <w:rsid w:val="37D20543"/>
    <w:rsid w:val="37E00D3A"/>
    <w:rsid w:val="37E62C43"/>
    <w:rsid w:val="383252C1"/>
    <w:rsid w:val="38483D6F"/>
    <w:rsid w:val="38FD6EBD"/>
    <w:rsid w:val="39041D96"/>
    <w:rsid w:val="3969753C"/>
    <w:rsid w:val="39C1344E"/>
    <w:rsid w:val="39C2240A"/>
    <w:rsid w:val="39E60696"/>
    <w:rsid w:val="3A1763DB"/>
    <w:rsid w:val="3A374711"/>
    <w:rsid w:val="3A3E409C"/>
    <w:rsid w:val="3A756774"/>
    <w:rsid w:val="3A8944B8"/>
    <w:rsid w:val="3B1C0207"/>
    <w:rsid w:val="3B643E7F"/>
    <w:rsid w:val="3B9968D7"/>
    <w:rsid w:val="3BA526EA"/>
    <w:rsid w:val="3BAC7C11"/>
    <w:rsid w:val="3BB4167F"/>
    <w:rsid w:val="3BF45CEC"/>
    <w:rsid w:val="3C0337D4"/>
    <w:rsid w:val="3C035D55"/>
    <w:rsid w:val="3C9A0678"/>
    <w:rsid w:val="3D2D0EEC"/>
    <w:rsid w:val="3D6F17D9"/>
    <w:rsid w:val="3D7570E2"/>
    <w:rsid w:val="3D795AE8"/>
    <w:rsid w:val="3E071ED4"/>
    <w:rsid w:val="3E4B38C2"/>
    <w:rsid w:val="3E71027E"/>
    <w:rsid w:val="3E727FC0"/>
    <w:rsid w:val="3E7345DF"/>
    <w:rsid w:val="3E83181D"/>
    <w:rsid w:val="3E931AB8"/>
    <w:rsid w:val="3E933D04"/>
    <w:rsid w:val="3EB31FEC"/>
    <w:rsid w:val="3EC45B0A"/>
    <w:rsid w:val="3EFA6EDE"/>
    <w:rsid w:val="3F104904"/>
    <w:rsid w:val="3F2029A0"/>
    <w:rsid w:val="3F2B2F30"/>
    <w:rsid w:val="3F3D66CD"/>
    <w:rsid w:val="3FCA3D33"/>
    <w:rsid w:val="3FE86B66"/>
    <w:rsid w:val="408D50F6"/>
    <w:rsid w:val="40AF0B2D"/>
    <w:rsid w:val="40CC5EDF"/>
    <w:rsid w:val="40F01597"/>
    <w:rsid w:val="40F40641"/>
    <w:rsid w:val="4134460A"/>
    <w:rsid w:val="414B422F"/>
    <w:rsid w:val="419868AD"/>
    <w:rsid w:val="41D42E8E"/>
    <w:rsid w:val="41F411C5"/>
    <w:rsid w:val="42404D69"/>
    <w:rsid w:val="42860734"/>
    <w:rsid w:val="42DA493A"/>
    <w:rsid w:val="42E142C5"/>
    <w:rsid w:val="42EB2656"/>
    <w:rsid w:val="432A59BE"/>
    <w:rsid w:val="435D6EFC"/>
    <w:rsid w:val="43850656"/>
    <w:rsid w:val="43C610C0"/>
    <w:rsid w:val="43CE14F2"/>
    <w:rsid w:val="43D87F71"/>
    <w:rsid w:val="43E560F1"/>
    <w:rsid w:val="43E715F4"/>
    <w:rsid w:val="440F27B9"/>
    <w:rsid w:val="44177BC5"/>
    <w:rsid w:val="445D28B8"/>
    <w:rsid w:val="446E05D4"/>
    <w:rsid w:val="447B4066"/>
    <w:rsid w:val="448F27C0"/>
    <w:rsid w:val="44DA4136"/>
    <w:rsid w:val="45040DF7"/>
    <w:rsid w:val="45185304"/>
    <w:rsid w:val="4523357B"/>
    <w:rsid w:val="45367B0D"/>
    <w:rsid w:val="454E56C4"/>
    <w:rsid w:val="45652FAA"/>
    <w:rsid w:val="45662D6A"/>
    <w:rsid w:val="456674E7"/>
    <w:rsid w:val="458E3B2C"/>
    <w:rsid w:val="459638BA"/>
    <w:rsid w:val="459A44BE"/>
    <w:rsid w:val="45AE315F"/>
    <w:rsid w:val="45D74323"/>
    <w:rsid w:val="460B5A77"/>
    <w:rsid w:val="464A0DDF"/>
    <w:rsid w:val="465A1079"/>
    <w:rsid w:val="467D2532"/>
    <w:rsid w:val="469367CD"/>
    <w:rsid w:val="469A1E62"/>
    <w:rsid w:val="469F3D6C"/>
    <w:rsid w:val="46E666DE"/>
    <w:rsid w:val="46E943D8"/>
    <w:rsid w:val="46F102F3"/>
    <w:rsid w:val="46FF1807"/>
    <w:rsid w:val="470E1E21"/>
    <w:rsid w:val="47521611"/>
    <w:rsid w:val="475D1BA0"/>
    <w:rsid w:val="478B4C6E"/>
    <w:rsid w:val="478D2DCD"/>
    <w:rsid w:val="47C615D0"/>
    <w:rsid w:val="47F54C15"/>
    <w:rsid w:val="48372B88"/>
    <w:rsid w:val="48713C67"/>
    <w:rsid w:val="487637EB"/>
    <w:rsid w:val="488B2612"/>
    <w:rsid w:val="48C536F1"/>
    <w:rsid w:val="48D22491"/>
    <w:rsid w:val="48E155A0"/>
    <w:rsid w:val="49921B40"/>
    <w:rsid w:val="49AE366E"/>
    <w:rsid w:val="49C37D91"/>
    <w:rsid w:val="4A254222"/>
    <w:rsid w:val="4A265312"/>
    <w:rsid w:val="4A2D19BE"/>
    <w:rsid w:val="4A3F2F5D"/>
    <w:rsid w:val="4A65319D"/>
    <w:rsid w:val="4A7224B3"/>
    <w:rsid w:val="4ACD18C8"/>
    <w:rsid w:val="4B901606"/>
    <w:rsid w:val="4BBC594D"/>
    <w:rsid w:val="4BE41090"/>
    <w:rsid w:val="4BF02924"/>
    <w:rsid w:val="4C0E7CD6"/>
    <w:rsid w:val="4C26757B"/>
    <w:rsid w:val="4C2B2BF8"/>
    <w:rsid w:val="4C6A25EE"/>
    <w:rsid w:val="4C7044F7"/>
    <w:rsid w:val="4C7D380D"/>
    <w:rsid w:val="4C8B2B22"/>
    <w:rsid w:val="4C9978BA"/>
    <w:rsid w:val="4D226519"/>
    <w:rsid w:val="4D2E7DAD"/>
    <w:rsid w:val="4D3A7443"/>
    <w:rsid w:val="4D4579D2"/>
    <w:rsid w:val="4D70409A"/>
    <w:rsid w:val="4D8E0005"/>
    <w:rsid w:val="4DA222EA"/>
    <w:rsid w:val="4DAD3EFF"/>
    <w:rsid w:val="4DBC6717"/>
    <w:rsid w:val="4E1C41B2"/>
    <w:rsid w:val="4E4D0205"/>
    <w:rsid w:val="4E8812E3"/>
    <w:rsid w:val="4EAD7325"/>
    <w:rsid w:val="4EF84E1A"/>
    <w:rsid w:val="4EFA24EA"/>
    <w:rsid w:val="4F167C4E"/>
    <w:rsid w:val="4F9F2130"/>
    <w:rsid w:val="4FA252B3"/>
    <w:rsid w:val="4FE83829"/>
    <w:rsid w:val="50AE44EC"/>
    <w:rsid w:val="50C73C0F"/>
    <w:rsid w:val="50CF4A20"/>
    <w:rsid w:val="510703FD"/>
    <w:rsid w:val="51501AF7"/>
    <w:rsid w:val="51A57002"/>
    <w:rsid w:val="51BA4932"/>
    <w:rsid w:val="51C1782C"/>
    <w:rsid w:val="51FE2F14"/>
    <w:rsid w:val="52252DD4"/>
    <w:rsid w:val="52360AEF"/>
    <w:rsid w:val="526925C3"/>
    <w:rsid w:val="527329F8"/>
    <w:rsid w:val="527D7845"/>
    <w:rsid w:val="52831274"/>
    <w:rsid w:val="53273C7B"/>
    <w:rsid w:val="53370692"/>
    <w:rsid w:val="536939DE"/>
    <w:rsid w:val="53A022C0"/>
    <w:rsid w:val="53E00EAB"/>
    <w:rsid w:val="53E90FDD"/>
    <w:rsid w:val="53E95F37"/>
    <w:rsid w:val="541B4188"/>
    <w:rsid w:val="5428129F"/>
    <w:rsid w:val="54571DEF"/>
    <w:rsid w:val="546E6190"/>
    <w:rsid w:val="54781E2D"/>
    <w:rsid w:val="54DA0D43"/>
    <w:rsid w:val="551B2E31"/>
    <w:rsid w:val="552D350A"/>
    <w:rsid w:val="55841841"/>
    <w:rsid w:val="56024028"/>
    <w:rsid w:val="5623455D"/>
    <w:rsid w:val="5654477C"/>
    <w:rsid w:val="56A570B5"/>
    <w:rsid w:val="56B41CA7"/>
    <w:rsid w:val="56C62E6D"/>
    <w:rsid w:val="56ED74A9"/>
    <w:rsid w:val="56F03CB1"/>
    <w:rsid w:val="57707A82"/>
    <w:rsid w:val="57817D1D"/>
    <w:rsid w:val="578D15B1"/>
    <w:rsid w:val="57E84249"/>
    <w:rsid w:val="57F347D8"/>
    <w:rsid w:val="57FF05EB"/>
    <w:rsid w:val="580E0C05"/>
    <w:rsid w:val="581279CC"/>
    <w:rsid w:val="58DB1253"/>
    <w:rsid w:val="58EC27F2"/>
    <w:rsid w:val="58FB7589"/>
    <w:rsid w:val="590C45A8"/>
    <w:rsid w:val="592C57DA"/>
    <w:rsid w:val="59373B6B"/>
    <w:rsid w:val="5953349B"/>
    <w:rsid w:val="59751451"/>
    <w:rsid w:val="59833FEA"/>
    <w:rsid w:val="59AF0332"/>
    <w:rsid w:val="5A376F91"/>
    <w:rsid w:val="5A392494"/>
    <w:rsid w:val="5A4E6BB6"/>
    <w:rsid w:val="5A5F26D4"/>
    <w:rsid w:val="5A6951E1"/>
    <w:rsid w:val="5A893518"/>
    <w:rsid w:val="5AE54B2B"/>
    <w:rsid w:val="5B5176DD"/>
    <w:rsid w:val="5B546464"/>
    <w:rsid w:val="5B7B6323"/>
    <w:rsid w:val="5B7D461E"/>
    <w:rsid w:val="5C11209A"/>
    <w:rsid w:val="5C28440D"/>
    <w:rsid w:val="5C366A56"/>
    <w:rsid w:val="5C6A0E5C"/>
    <w:rsid w:val="5CB71C77"/>
    <w:rsid w:val="5D5D42BA"/>
    <w:rsid w:val="5D810FF7"/>
    <w:rsid w:val="5DB501CC"/>
    <w:rsid w:val="5DC866D4"/>
    <w:rsid w:val="5E047F4B"/>
    <w:rsid w:val="5E100911"/>
    <w:rsid w:val="5E1F6577"/>
    <w:rsid w:val="5E5C1C5F"/>
    <w:rsid w:val="5E6E797B"/>
    <w:rsid w:val="5EA323D3"/>
    <w:rsid w:val="5EDD7C2F"/>
    <w:rsid w:val="5EEE374C"/>
    <w:rsid w:val="5F064676"/>
    <w:rsid w:val="5F0955FB"/>
    <w:rsid w:val="5F125F0A"/>
    <w:rsid w:val="5F1A0F1F"/>
    <w:rsid w:val="5F367375"/>
    <w:rsid w:val="5F470CFC"/>
    <w:rsid w:val="5F7858AF"/>
    <w:rsid w:val="5F8374C3"/>
    <w:rsid w:val="5FB47C92"/>
    <w:rsid w:val="5FBC509E"/>
    <w:rsid w:val="5FC03AA5"/>
    <w:rsid w:val="5FD614CB"/>
    <w:rsid w:val="5FDD3055"/>
    <w:rsid w:val="60457581"/>
    <w:rsid w:val="604F14AF"/>
    <w:rsid w:val="605E48A8"/>
    <w:rsid w:val="60661CB4"/>
    <w:rsid w:val="608D7975"/>
    <w:rsid w:val="60923DFD"/>
    <w:rsid w:val="60CB745A"/>
    <w:rsid w:val="614A57AA"/>
    <w:rsid w:val="6198332B"/>
    <w:rsid w:val="61B4537F"/>
    <w:rsid w:val="61E550A4"/>
    <w:rsid w:val="62111CEF"/>
    <w:rsid w:val="621464F7"/>
    <w:rsid w:val="62207D8C"/>
    <w:rsid w:val="6245462F"/>
    <w:rsid w:val="624834CE"/>
    <w:rsid w:val="626E2089"/>
    <w:rsid w:val="629D5157"/>
    <w:rsid w:val="62A060DB"/>
    <w:rsid w:val="62B81204"/>
    <w:rsid w:val="62B9483E"/>
    <w:rsid w:val="62CE11A9"/>
    <w:rsid w:val="6315739F"/>
    <w:rsid w:val="632A023E"/>
    <w:rsid w:val="637F0FCD"/>
    <w:rsid w:val="639578ED"/>
    <w:rsid w:val="63CC5849"/>
    <w:rsid w:val="63D27752"/>
    <w:rsid w:val="640337A4"/>
    <w:rsid w:val="640B532D"/>
    <w:rsid w:val="643F5B88"/>
    <w:rsid w:val="645D7336"/>
    <w:rsid w:val="647C2169"/>
    <w:rsid w:val="647F36C8"/>
    <w:rsid w:val="64BC09D4"/>
    <w:rsid w:val="64BD2BD3"/>
    <w:rsid w:val="64DC5686"/>
    <w:rsid w:val="652F3A2E"/>
    <w:rsid w:val="653A12A3"/>
    <w:rsid w:val="653C0F22"/>
    <w:rsid w:val="65441BB2"/>
    <w:rsid w:val="656E29F6"/>
    <w:rsid w:val="658B7DA8"/>
    <w:rsid w:val="65A86053"/>
    <w:rsid w:val="65E9368C"/>
    <w:rsid w:val="661A0911"/>
    <w:rsid w:val="662336B5"/>
    <w:rsid w:val="663414BA"/>
    <w:rsid w:val="664063B2"/>
    <w:rsid w:val="66A67240"/>
    <w:rsid w:val="66D16DBA"/>
    <w:rsid w:val="67122767"/>
    <w:rsid w:val="67650933"/>
    <w:rsid w:val="67837EE3"/>
    <w:rsid w:val="67914BD5"/>
    <w:rsid w:val="6808013C"/>
    <w:rsid w:val="68AF1BCF"/>
    <w:rsid w:val="68F56AC0"/>
    <w:rsid w:val="690412D8"/>
    <w:rsid w:val="69162878"/>
    <w:rsid w:val="691D32BA"/>
    <w:rsid w:val="696E0D08"/>
    <w:rsid w:val="698450AA"/>
    <w:rsid w:val="6A596387"/>
    <w:rsid w:val="6A7F65C7"/>
    <w:rsid w:val="6ABF15AE"/>
    <w:rsid w:val="6ACC47F1"/>
    <w:rsid w:val="6AE12DE8"/>
    <w:rsid w:val="6B073028"/>
    <w:rsid w:val="6B46058E"/>
    <w:rsid w:val="6B80504A"/>
    <w:rsid w:val="6BFC4839"/>
    <w:rsid w:val="6C1808E6"/>
    <w:rsid w:val="6C39469E"/>
    <w:rsid w:val="6C6B706C"/>
    <w:rsid w:val="6CF133C2"/>
    <w:rsid w:val="6CFB2AB9"/>
    <w:rsid w:val="6D05726A"/>
    <w:rsid w:val="6D18628B"/>
    <w:rsid w:val="6D2F5EB0"/>
    <w:rsid w:val="6D344536"/>
    <w:rsid w:val="6D636005"/>
    <w:rsid w:val="6D68150D"/>
    <w:rsid w:val="6DAE289F"/>
    <w:rsid w:val="6DDA1860"/>
    <w:rsid w:val="6E480B7B"/>
    <w:rsid w:val="6E927CF6"/>
    <w:rsid w:val="6EE05876"/>
    <w:rsid w:val="6EFB3EA2"/>
    <w:rsid w:val="6F7D3176"/>
    <w:rsid w:val="6F80797E"/>
    <w:rsid w:val="6F9D5C29"/>
    <w:rsid w:val="6FF62DBD"/>
    <w:rsid w:val="701139EA"/>
    <w:rsid w:val="703561A8"/>
    <w:rsid w:val="703B23DF"/>
    <w:rsid w:val="704509C1"/>
    <w:rsid w:val="70973BA7"/>
    <w:rsid w:val="70977146"/>
    <w:rsid w:val="70AB0365"/>
    <w:rsid w:val="70F95EE6"/>
    <w:rsid w:val="716952A0"/>
    <w:rsid w:val="71D80DD7"/>
    <w:rsid w:val="71F33B7F"/>
    <w:rsid w:val="71F95A89"/>
    <w:rsid w:val="72064D9E"/>
    <w:rsid w:val="722C32EE"/>
    <w:rsid w:val="72655E48"/>
    <w:rsid w:val="726E12CB"/>
    <w:rsid w:val="72933DE9"/>
    <w:rsid w:val="729D6597"/>
    <w:rsid w:val="729F1A9A"/>
    <w:rsid w:val="72B80445"/>
    <w:rsid w:val="72BA3948"/>
    <w:rsid w:val="72BD6ACB"/>
    <w:rsid w:val="72F0059F"/>
    <w:rsid w:val="72F21524"/>
    <w:rsid w:val="733B519B"/>
    <w:rsid w:val="735018BD"/>
    <w:rsid w:val="73641EDC"/>
    <w:rsid w:val="737C1488"/>
    <w:rsid w:val="73962032"/>
    <w:rsid w:val="739B64B9"/>
    <w:rsid w:val="73AA3251"/>
    <w:rsid w:val="73C80282"/>
    <w:rsid w:val="73CD6E05"/>
    <w:rsid w:val="740B676D"/>
    <w:rsid w:val="743A72BC"/>
    <w:rsid w:val="748F47C8"/>
    <w:rsid w:val="74C5141F"/>
    <w:rsid w:val="74DF584C"/>
    <w:rsid w:val="74E8615B"/>
    <w:rsid w:val="753A26E2"/>
    <w:rsid w:val="756C0933"/>
    <w:rsid w:val="75776CC4"/>
    <w:rsid w:val="757E664F"/>
    <w:rsid w:val="758D46EB"/>
    <w:rsid w:val="75984C7A"/>
    <w:rsid w:val="75A3688F"/>
    <w:rsid w:val="75BF293C"/>
    <w:rsid w:val="765950B8"/>
    <w:rsid w:val="765B27BA"/>
    <w:rsid w:val="76936197"/>
    <w:rsid w:val="76DC7890"/>
    <w:rsid w:val="76E75C21"/>
    <w:rsid w:val="771E02F9"/>
    <w:rsid w:val="77380EA3"/>
    <w:rsid w:val="773A7C2A"/>
    <w:rsid w:val="77D14B4B"/>
    <w:rsid w:val="77D953F3"/>
    <w:rsid w:val="77F90F61"/>
    <w:rsid w:val="782F723D"/>
    <w:rsid w:val="783223C0"/>
    <w:rsid w:val="785F4189"/>
    <w:rsid w:val="789833E9"/>
    <w:rsid w:val="78A17892"/>
    <w:rsid w:val="78AE558D"/>
    <w:rsid w:val="78DC4DD7"/>
    <w:rsid w:val="79361C47"/>
    <w:rsid w:val="796A5940"/>
    <w:rsid w:val="79807AE3"/>
    <w:rsid w:val="798A03F3"/>
    <w:rsid w:val="79936B04"/>
    <w:rsid w:val="79B54ABA"/>
    <w:rsid w:val="79D97279"/>
    <w:rsid w:val="79DF24B8"/>
    <w:rsid w:val="7A3F4C21"/>
    <w:rsid w:val="7A5223BA"/>
    <w:rsid w:val="7A821F4C"/>
    <w:rsid w:val="7A905722"/>
    <w:rsid w:val="7A926A27"/>
    <w:rsid w:val="7AAE0556"/>
    <w:rsid w:val="7ADC7DA0"/>
    <w:rsid w:val="7B15597B"/>
    <w:rsid w:val="7B1B3D02"/>
    <w:rsid w:val="7B2766C8"/>
    <w:rsid w:val="7B353CB2"/>
    <w:rsid w:val="7B556765"/>
    <w:rsid w:val="7BC5229C"/>
    <w:rsid w:val="7BCA1FA7"/>
    <w:rsid w:val="7BCD2F2C"/>
    <w:rsid w:val="7BD71CAD"/>
    <w:rsid w:val="7BE86FD9"/>
    <w:rsid w:val="7C520C06"/>
    <w:rsid w:val="7CC34878"/>
    <w:rsid w:val="7CF81394"/>
    <w:rsid w:val="7CFF45A2"/>
    <w:rsid w:val="7D0351A7"/>
    <w:rsid w:val="7D2D3DED"/>
    <w:rsid w:val="7D5A5BB5"/>
    <w:rsid w:val="7DDC0909"/>
    <w:rsid w:val="7E034D49"/>
    <w:rsid w:val="7E0E695E"/>
    <w:rsid w:val="7E3C61A8"/>
    <w:rsid w:val="7E6913DD"/>
    <w:rsid w:val="7E6B1276"/>
    <w:rsid w:val="7E7924A1"/>
    <w:rsid w:val="7E8C722C"/>
    <w:rsid w:val="7E8F01B1"/>
    <w:rsid w:val="7E947EBC"/>
    <w:rsid w:val="7EAF64E7"/>
    <w:rsid w:val="7EBF0D00"/>
    <w:rsid w:val="7EE00101"/>
    <w:rsid w:val="7EED054A"/>
    <w:rsid w:val="7EFF2623"/>
    <w:rsid w:val="7EFF3CE8"/>
    <w:rsid w:val="7F132988"/>
    <w:rsid w:val="7F174C12"/>
    <w:rsid w:val="7F1B7D95"/>
    <w:rsid w:val="7F1E0D19"/>
    <w:rsid w:val="7F3B162A"/>
    <w:rsid w:val="7F63180E"/>
    <w:rsid w:val="7F9709E3"/>
    <w:rsid w:val="7FC27A71"/>
    <w:rsid w:val="7FC71532"/>
    <w:rsid w:val="7FEF35F0"/>
    <w:rsid w:val="7FF04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rPr>
      <w:rFonts w:ascii="Times New Roman" w:hAnsi="Times New Roman" w:eastAsia="Times New Roman" w:cs="Times New Roman"/>
      <w:color w:val="2E74B5"/>
      <w:sz w:val="32"/>
      <w:szCs w:val="32"/>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Emphasis"/>
    <w:basedOn w:val="5"/>
    <w:qFormat/>
    <w:uiPriority w:val="0"/>
    <w:rPr>
      <w:i/>
      <w:iCs/>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tabs>
        <w:tab w:val="center" w:pos="4153"/>
        <w:tab w:val="right" w:pos="8306"/>
      </w:tabs>
      <w:snapToGrid w:val="0"/>
    </w:pPr>
    <w:rPr>
      <w:sz w:val="18"/>
      <w:szCs w:val="18"/>
    </w:rPr>
  </w:style>
  <w:style w:type="character" w:styleId="10">
    <w:name w:val="Hyperlink"/>
    <w:basedOn w:val="5"/>
    <w:qFormat/>
    <w:uiPriority w:val="0"/>
    <w:rPr>
      <w:color w:val="0000FF"/>
      <w:u w:val="single"/>
    </w:rPr>
  </w:style>
  <w:style w:type="paragraph" w:styleId="11">
    <w:name w:val="Normal (Web)"/>
    <w:basedOn w:val="1"/>
    <w:qFormat/>
    <w:uiPriority w:val="0"/>
    <w:pPr>
      <w:spacing w:beforeAutospacing="1" w:afterAutospacing="1"/>
    </w:pPr>
    <w:rPr>
      <w:rFonts w:ascii="Times New Roman" w:hAnsi="Times New Roman" w:eastAsia="SimSun" w:cs="Times New Roman"/>
      <w:sz w:val="24"/>
      <w:szCs w:val="24"/>
      <w:lang w:val="en-US" w:eastAsia="zh-CN" w:bidi="ar-SA"/>
    </w:rPr>
  </w:style>
  <w:style w:type="character" w:styleId="12">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64</Pages>
  <Words>12796</Words>
  <Characters>74963</Characters>
  <Lines>0</Lines>
  <Paragraphs>0</Paragraphs>
  <TotalTime>2</TotalTime>
  <ScaleCrop>false</ScaleCrop>
  <LinksUpToDate>false</LinksUpToDate>
  <CharactersWithSpaces>87683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2026-07-01T19:38:00Z</dcterms:created>
  <dc:creator>Molly Obiekwe</dc:creator>
  <cp:lastModifiedBy>Molly Obiekwe</cp:lastModifiedBy>
  <dcterms:modified xsi:type="dcterms:W3CDTF">2026-07-18T17:31:37Z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303A256FBA2C4F60893F4157EF89BA5F_13</vt:lpwstr>
  </property>
  <property fmtid="{D5CDD505-2E9C-101B-9397-08002B2CF9AE}" pid="4" name="KSOTemplateDocerSaveRecord">
    <vt:lpwstr>eyJoZGlkIjoiYzVjNjkzZjA1YzI2MGVmNzQ3NjRhNjk4ZDc4ZjI1ZWMiLCJ1c2VySWQiOiIyNzY2NjM5NjUyOTM3In0=</vt:lpwstr>
  </property>
</Properties>
</file>