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652" w:rsidRDefault="00193652">
      <w:pPr>
        <w:spacing w:before="60" w:after="60"/>
      </w:pPr>
    </w:p>
    <w:p w:rsidR="00193652" w:rsidRDefault="00193652">
      <w:pPr>
        <w:spacing w:before="60" w:after="60"/>
      </w:pPr>
    </w:p>
    <w:p w:rsidR="00193652" w:rsidRDefault="00193652">
      <w:pPr>
        <w:spacing w:before="60" w:after="60"/>
      </w:pPr>
    </w:p>
    <w:p w:rsidR="00193652" w:rsidRPr="008A2300" w:rsidRDefault="00403C3C">
      <w:pPr>
        <w:spacing w:before="100" w:after="100" w:line="480" w:lineRule="auto"/>
        <w:jc w:val="center"/>
      </w:pPr>
      <w:r w:rsidRPr="008A2300">
        <w:t>IMPACT OF TAX POLICY ON FOREIGN DIRECT INVESTMENT IN NIGERIA</w:t>
      </w:r>
    </w:p>
    <w:p w:rsidR="00193652" w:rsidRPr="008A2300" w:rsidRDefault="00193652">
      <w:pPr>
        <w:spacing w:before="60" w:after="60"/>
      </w:pPr>
    </w:p>
    <w:p w:rsidR="008A2300" w:rsidRPr="008A2300" w:rsidRDefault="008A2300" w:rsidP="008A2300"/>
    <w:p w:rsidR="008A2300" w:rsidRPr="008A2300" w:rsidRDefault="008A2300" w:rsidP="008A2300">
      <w:pPr>
        <w:jc w:val="center"/>
      </w:pPr>
      <w:r w:rsidRPr="008A2300">
        <w:t>BY</w:t>
      </w:r>
    </w:p>
    <w:p w:rsidR="008A2300" w:rsidRPr="008A2300" w:rsidRDefault="008A2300" w:rsidP="008A2300">
      <w:pPr>
        <w:jc w:val="center"/>
      </w:pPr>
    </w:p>
    <w:p w:rsidR="008A2300" w:rsidRPr="008A2300" w:rsidRDefault="008A2300" w:rsidP="008A2300">
      <w:pPr>
        <w:jc w:val="center"/>
      </w:pPr>
      <w:r w:rsidRPr="008A2300">
        <w:t>EGBUAGU, HENRY CHIBUIKEM</w:t>
      </w:r>
    </w:p>
    <w:p w:rsidR="008A2300" w:rsidRPr="008A2300" w:rsidRDefault="008A2300" w:rsidP="008A2300">
      <w:pPr>
        <w:jc w:val="center"/>
      </w:pPr>
      <w:r w:rsidRPr="008A2300">
        <w:t>GOU/U22/ACC/394</w:t>
      </w:r>
    </w:p>
    <w:p w:rsidR="008A2300" w:rsidRPr="008A2300" w:rsidRDefault="008A2300" w:rsidP="008A2300">
      <w:pPr>
        <w:jc w:val="center"/>
      </w:pPr>
    </w:p>
    <w:p w:rsidR="008A2300" w:rsidRPr="008A2300" w:rsidRDefault="008A2300" w:rsidP="008A2300">
      <w:pPr>
        <w:jc w:val="center"/>
      </w:pPr>
    </w:p>
    <w:p w:rsidR="008A2300" w:rsidRPr="008A2300" w:rsidRDefault="008A2300" w:rsidP="008A2300">
      <w:pPr>
        <w:jc w:val="center"/>
      </w:pPr>
    </w:p>
    <w:p w:rsidR="008A2300" w:rsidRPr="008A2300" w:rsidRDefault="008A2300" w:rsidP="008A2300">
      <w:pPr>
        <w:jc w:val="center"/>
      </w:pPr>
      <w:r w:rsidRPr="008A2300">
        <w:t>DEPARTMENT OF ACCOUNTING AND FINANCE</w:t>
      </w:r>
    </w:p>
    <w:p w:rsidR="008A2300" w:rsidRPr="008A2300" w:rsidRDefault="008A2300" w:rsidP="008A2300">
      <w:pPr>
        <w:jc w:val="center"/>
      </w:pPr>
      <w:r w:rsidRPr="008A2300">
        <w:t>FACULTY OF MANAGEMENT AND SOCIAL SCIENCES</w:t>
      </w:r>
    </w:p>
    <w:p w:rsidR="008A2300" w:rsidRPr="008A2300" w:rsidRDefault="008A2300" w:rsidP="008A2300">
      <w:pPr>
        <w:jc w:val="center"/>
      </w:pPr>
      <w:r w:rsidRPr="008A2300">
        <w:t>GODFREY OKOYE UNIVERSITY UGWUOMU-NIKE ENUGU</w:t>
      </w:r>
    </w:p>
    <w:p w:rsidR="008A2300" w:rsidRPr="008A2300" w:rsidRDefault="008A2300" w:rsidP="008A2300">
      <w:pPr>
        <w:jc w:val="center"/>
      </w:pPr>
    </w:p>
    <w:p w:rsidR="008A2300" w:rsidRPr="008A2300" w:rsidRDefault="008A2300" w:rsidP="008A2300">
      <w:pPr>
        <w:jc w:val="center"/>
      </w:pPr>
    </w:p>
    <w:p w:rsidR="008A2300" w:rsidRPr="008A2300" w:rsidRDefault="008A2300" w:rsidP="008A2300">
      <w:pPr>
        <w:jc w:val="center"/>
      </w:pPr>
      <w:r w:rsidRPr="008A2300">
        <w:t>SUPERVISOR: DR. UGWU OSMUND</w:t>
      </w:r>
    </w:p>
    <w:p w:rsidR="008A2300" w:rsidRPr="008A2300" w:rsidRDefault="008A2300" w:rsidP="008A2300">
      <w:pPr>
        <w:jc w:val="center"/>
      </w:pPr>
    </w:p>
    <w:p w:rsidR="008A2300" w:rsidRPr="008A2300" w:rsidRDefault="008A2300" w:rsidP="008A2300">
      <w:pPr>
        <w:jc w:val="center"/>
      </w:pPr>
    </w:p>
    <w:p w:rsidR="008A2300" w:rsidRPr="008A2300" w:rsidRDefault="008A2300" w:rsidP="008A2300">
      <w:pPr>
        <w:jc w:val="center"/>
      </w:pPr>
    </w:p>
    <w:p w:rsidR="008A2300" w:rsidRPr="008A2300" w:rsidRDefault="008A2300" w:rsidP="008A2300">
      <w:pPr>
        <w:jc w:val="center"/>
      </w:pPr>
    </w:p>
    <w:p w:rsidR="008A2300" w:rsidRPr="008A2300" w:rsidRDefault="008A2300" w:rsidP="008A2300">
      <w:pPr>
        <w:jc w:val="center"/>
      </w:pPr>
    </w:p>
    <w:p w:rsidR="008A2300" w:rsidRPr="008A2300" w:rsidRDefault="008A2300" w:rsidP="008A2300">
      <w:pPr>
        <w:jc w:val="center"/>
      </w:pPr>
    </w:p>
    <w:p w:rsidR="008A2300" w:rsidRPr="008A2300" w:rsidRDefault="008A2300" w:rsidP="008A2300">
      <w:pPr>
        <w:jc w:val="center"/>
      </w:pPr>
    </w:p>
    <w:p w:rsidR="008A2300" w:rsidRPr="008A2300" w:rsidRDefault="00403C3C" w:rsidP="008A2300">
      <w:pPr>
        <w:jc w:val="center"/>
        <w:sectPr w:rsidR="008A2300" w:rsidRPr="008A2300" w:rsidSect="008A2300">
          <w:headerReference w:type="default" r:id="rId7"/>
          <w:headerReference w:type="first" r:id="rId8"/>
          <w:pgSz w:w="12240" w:h="15840"/>
          <w:pgMar w:top="1440" w:right="1440" w:bottom="1440" w:left="1440" w:header="360" w:footer="360" w:gutter="0"/>
          <w:cols w:space="720"/>
          <w:titlePg/>
          <w:docGrid w:linePitch="326"/>
        </w:sectPr>
      </w:pPr>
      <w:r>
        <w:t>JULY</w:t>
      </w:r>
      <w:r w:rsidRPr="008A2300">
        <w:t xml:space="preserve">, </w:t>
      </w:r>
      <w:r w:rsidR="008A2300" w:rsidRPr="008A2300">
        <w:t>2026</w:t>
      </w:r>
    </w:p>
    <w:p w:rsidR="008A2300" w:rsidRPr="008A2300" w:rsidRDefault="008A2300" w:rsidP="008A2300">
      <w:pPr>
        <w:jc w:val="center"/>
      </w:pPr>
      <w:r w:rsidRPr="008A2300">
        <w:lastRenderedPageBreak/>
        <w:t xml:space="preserve">TITLE </w:t>
      </w:r>
    </w:p>
    <w:p w:rsidR="008A2300" w:rsidRPr="008A2300" w:rsidRDefault="008A2300" w:rsidP="008A2300">
      <w:pPr>
        <w:jc w:val="center"/>
      </w:pPr>
    </w:p>
    <w:p w:rsidR="008A2300" w:rsidRPr="008A2300" w:rsidRDefault="008A2300" w:rsidP="008A2300">
      <w:pPr>
        <w:jc w:val="center"/>
      </w:pPr>
    </w:p>
    <w:p w:rsidR="008A2300" w:rsidRPr="008A2300" w:rsidRDefault="008A2300" w:rsidP="008A2300">
      <w:pPr>
        <w:spacing w:before="100" w:after="100" w:line="480" w:lineRule="auto"/>
        <w:jc w:val="center"/>
      </w:pPr>
      <w:bookmarkStart w:id="0" w:name="_Hlk231807888"/>
      <w:r w:rsidRPr="008A2300">
        <w:t>IMPACT OF TAX POLICY ON FOREIGN DIRECT INVESTMENT IN NIGERIA</w:t>
      </w:r>
    </w:p>
    <w:bookmarkEnd w:id="0"/>
    <w:p w:rsidR="008A2300" w:rsidRPr="008A2300" w:rsidRDefault="008A2300" w:rsidP="008A2300">
      <w:pPr>
        <w:spacing w:before="60" w:after="60"/>
      </w:pPr>
    </w:p>
    <w:p w:rsidR="008A2300" w:rsidRPr="008A2300" w:rsidRDefault="008A2300" w:rsidP="008A2300"/>
    <w:p w:rsidR="008A2300" w:rsidRPr="008A2300" w:rsidRDefault="008A2300" w:rsidP="008A2300">
      <w:pPr>
        <w:jc w:val="center"/>
      </w:pPr>
      <w:r w:rsidRPr="008A2300">
        <w:t>BY</w:t>
      </w:r>
    </w:p>
    <w:p w:rsidR="008A2300" w:rsidRPr="008A2300" w:rsidRDefault="008A2300" w:rsidP="008A2300">
      <w:pPr>
        <w:jc w:val="center"/>
      </w:pPr>
    </w:p>
    <w:p w:rsidR="008A2300" w:rsidRPr="008A2300" w:rsidRDefault="008A2300" w:rsidP="008A2300">
      <w:pPr>
        <w:jc w:val="center"/>
      </w:pPr>
      <w:r w:rsidRPr="008A2300">
        <w:t>EGBUAGU, HENRY CHIBUIKEM</w:t>
      </w:r>
    </w:p>
    <w:p w:rsidR="008A2300" w:rsidRPr="008A2300" w:rsidRDefault="008A2300" w:rsidP="008A2300">
      <w:pPr>
        <w:jc w:val="center"/>
      </w:pPr>
      <w:r w:rsidRPr="008A2300">
        <w:t>GOU/U22/ACC/394</w:t>
      </w:r>
    </w:p>
    <w:p w:rsidR="008A2300" w:rsidRPr="008A2300" w:rsidRDefault="008A2300" w:rsidP="008A2300">
      <w:pPr>
        <w:jc w:val="center"/>
      </w:pPr>
    </w:p>
    <w:p w:rsidR="008A2300" w:rsidRPr="008A2300" w:rsidRDefault="008A2300" w:rsidP="008A2300">
      <w:pPr>
        <w:jc w:val="center"/>
      </w:pPr>
    </w:p>
    <w:p w:rsidR="008A2300" w:rsidRPr="008A2300" w:rsidRDefault="008A2300" w:rsidP="008A2300">
      <w:pPr>
        <w:jc w:val="center"/>
      </w:pPr>
    </w:p>
    <w:p w:rsidR="008A2300" w:rsidRPr="008A2300" w:rsidRDefault="008A2300" w:rsidP="008A2300">
      <w:pPr>
        <w:jc w:val="center"/>
      </w:pPr>
      <w:r w:rsidRPr="008A2300">
        <w:t>PROJECT PRESENTED TO DEPARTMENT OF ACCOUNTING AND</w:t>
      </w:r>
    </w:p>
    <w:p w:rsidR="008A2300" w:rsidRPr="008A2300" w:rsidRDefault="008A2300" w:rsidP="008A2300">
      <w:pPr>
        <w:jc w:val="center"/>
      </w:pPr>
      <w:r w:rsidRPr="008A2300">
        <w:t>FINANCE, FACULTY OF MANAGEMENT AND SOCIAL SCIENCES</w:t>
      </w:r>
    </w:p>
    <w:p w:rsidR="008A2300" w:rsidRPr="008A2300" w:rsidRDefault="008A2300" w:rsidP="008A2300">
      <w:pPr>
        <w:jc w:val="center"/>
      </w:pPr>
      <w:r w:rsidRPr="008A2300">
        <w:t>GODFREY OKOYE UNIVERSITY, UGWUOMU-NIKE, ENUGU</w:t>
      </w:r>
    </w:p>
    <w:p w:rsidR="008A2300" w:rsidRPr="008A2300" w:rsidRDefault="008A2300" w:rsidP="008A2300">
      <w:pPr>
        <w:jc w:val="center"/>
      </w:pPr>
    </w:p>
    <w:p w:rsidR="008A2300" w:rsidRPr="008A2300" w:rsidRDefault="008A2300" w:rsidP="008A2300">
      <w:pPr>
        <w:jc w:val="center"/>
      </w:pPr>
      <w:r w:rsidRPr="008A2300">
        <w:t>IN PARTIAL FULFILLMENT OF THE REQUIREMENTS FOR THE</w:t>
      </w:r>
    </w:p>
    <w:p w:rsidR="008A2300" w:rsidRPr="008A2300" w:rsidRDefault="008A2300" w:rsidP="008A2300">
      <w:pPr>
        <w:jc w:val="center"/>
      </w:pPr>
      <w:r w:rsidRPr="008A2300">
        <w:t>AWARD OF BACHELOR OF SCIENCE (B.Sc) DEGREE</w:t>
      </w:r>
    </w:p>
    <w:p w:rsidR="008A2300" w:rsidRPr="008A2300" w:rsidRDefault="008A2300" w:rsidP="008A2300">
      <w:pPr>
        <w:jc w:val="center"/>
      </w:pPr>
      <w:r w:rsidRPr="008A2300">
        <w:t>IN ACCOUNTING</w:t>
      </w:r>
    </w:p>
    <w:p w:rsidR="008A2300" w:rsidRPr="008A2300" w:rsidRDefault="008A2300" w:rsidP="008A2300">
      <w:pPr>
        <w:jc w:val="center"/>
      </w:pPr>
    </w:p>
    <w:p w:rsidR="008A2300" w:rsidRPr="008A2300" w:rsidRDefault="008A2300" w:rsidP="008A2300">
      <w:pPr>
        <w:jc w:val="center"/>
      </w:pPr>
    </w:p>
    <w:p w:rsidR="008A2300" w:rsidRPr="008A2300" w:rsidRDefault="008A2300" w:rsidP="008A2300">
      <w:pPr>
        <w:jc w:val="center"/>
      </w:pPr>
    </w:p>
    <w:p w:rsidR="008A2300" w:rsidRPr="008A2300" w:rsidRDefault="008A2300" w:rsidP="008A2300">
      <w:pPr>
        <w:jc w:val="center"/>
      </w:pPr>
      <w:r w:rsidRPr="008A2300">
        <w:t>SUPERVISOR: DR. UGWU OSMUND</w:t>
      </w:r>
    </w:p>
    <w:p w:rsidR="008A2300" w:rsidRPr="008A2300" w:rsidRDefault="008A2300" w:rsidP="008A2300">
      <w:pPr>
        <w:jc w:val="center"/>
      </w:pPr>
    </w:p>
    <w:p w:rsidR="008A2300" w:rsidRPr="008A2300" w:rsidRDefault="008A2300" w:rsidP="008A2300">
      <w:pPr>
        <w:jc w:val="center"/>
      </w:pPr>
    </w:p>
    <w:p w:rsidR="008A2300" w:rsidRPr="008A2300" w:rsidRDefault="008A2300" w:rsidP="008A2300">
      <w:pPr>
        <w:jc w:val="center"/>
      </w:pPr>
    </w:p>
    <w:p w:rsidR="008A2300" w:rsidRPr="008A2300" w:rsidRDefault="008A2300" w:rsidP="008A2300">
      <w:pPr>
        <w:jc w:val="center"/>
      </w:pPr>
    </w:p>
    <w:p w:rsidR="008A2300" w:rsidRPr="008A2300" w:rsidRDefault="00403C3C" w:rsidP="008A2300">
      <w:pPr>
        <w:jc w:val="center"/>
      </w:pPr>
      <w:r>
        <w:t>JUL</w:t>
      </w:r>
      <w:r w:rsidR="008A2300" w:rsidRPr="008A2300">
        <w:t>Y, 202</w:t>
      </w:r>
      <w:r>
        <w:t>6</w:t>
      </w:r>
      <w:r w:rsidR="008A2300" w:rsidRPr="008A2300">
        <w:t>.</w:t>
      </w:r>
    </w:p>
    <w:p w:rsidR="008A2300" w:rsidRPr="008A2300" w:rsidRDefault="008A2300" w:rsidP="008A2300">
      <w:pPr>
        <w:jc w:val="center"/>
      </w:pPr>
    </w:p>
    <w:p w:rsidR="008A2300" w:rsidRPr="00DE3768" w:rsidRDefault="008A2300" w:rsidP="008A2300">
      <w:pPr>
        <w:jc w:val="both"/>
        <w:rPr>
          <w:b w:val="0"/>
          <w:bCs w:val="0"/>
        </w:rP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Pr="00DE3768" w:rsidRDefault="008A2300" w:rsidP="008A2300">
      <w:pPr>
        <w:jc w:val="center"/>
        <w:rPr>
          <w:b w:val="0"/>
          <w:bCs w:val="0"/>
        </w:rPr>
      </w:pPr>
      <w:r w:rsidRPr="00DE3768">
        <w:lastRenderedPageBreak/>
        <w:t>DECLARATION</w:t>
      </w:r>
    </w:p>
    <w:p w:rsidR="008A2300" w:rsidRPr="008A2300" w:rsidRDefault="008A2300" w:rsidP="008A2300">
      <w:pPr>
        <w:spacing w:before="100" w:after="100" w:line="360" w:lineRule="auto"/>
        <w:jc w:val="both"/>
        <w:rPr>
          <w:b w:val="0"/>
          <w:bCs w:val="0"/>
        </w:rPr>
      </w:pPr>
      <w:r w:rsidRPr="008A2300">
        <w:rPr>
          <w:b w:val="0"/>
          <w:bCs w:val="0"/>
        </w:rPr>
        <w:t>I</w:t>
      </w:r>
      <w:r w:rsidR="00753707" w:rsidRPr="008A2300">
        <w:rPr>
          <w:b w:val="0"/>
          <w:bCs w:val="0"/>
        </w:rPr>
        <w:t>, Egbuagu</w:t>
      </w:r>
      <w:r w:rsidRPr="008A2300">
        <w:rPr>
          <w:b w:val="0"/>
          <w:bCs w:val="0"/>
        </w:rPr>
        <w:t xml:space="preserve">, Henry Chibuikem, </w:t>
      </w:r>
      <w:r w:rsidR="00753707" w:rsidRPr="008A2300">
        <w:rPr>
          <w:b w:val="0"/>
          <w:bCs w:val="0"/>
        </w:rPr>
        <w:t>am a</w:t>
      </w:r>
      <w:r w:rsidRPr="008A2300">
        <w:rPr>
          <w:b w:val="0"/>
          <w:bCs w:val="0"/>
        </w:rPr>
        <w:t xml:space="preserve"> bona fide student in the Department of Accounting and Finance under the Faculty of Management and Social Sciences in Godfrey Okoye University.  I hereby declare that the work entitled</w:t>
      </w:r>
      <w:r w:rsidRPr="008A2300">
        <w:t>IMPACT OF TAX POLICY ON FOREIGN DIRECT INVESTMENT IN NIGERIA</w:t>
      </w:r>
      <w:r w:rsidRPr="008A2300">
        <w:rPr>
          <w:b w:val="0"/>
          <w:bCs w:val="0"/>
        </w:rPr>
        <w:t>submitted by me in partial fulfillment of the requirements for the award of Bachelor of Science (B.Sc) degree in ACCOUNTING is my original work and has not been submitted either in part or full for any other degree or diploma either in this or any other tertiary institution.</w:t>
      </w:r>
    </w:p>
    <w:p w:rsidR="008A2300" w:rsidRPr="008A2300" w:rsidRDefault="008A2300" w:rsidP="008A2300">
      <w:pPr>
        <w:spacing w:line="360" w:lineRule="auto"/>
        <w:jc w:val="both"/>
        <w:rPr>
          <w:b w:val="0"/>
          <w:bCs w:val="0"/>
        </w:rPr>
      </w:pPr>
    </w:p>
    <w:p w:rsidR="008A2300" w:rsidRPr="00DE3768" w:rsidRDefault="008A2300" w:rsidP="008A2300">
      <w:pPr>
        <w:spacing w:line="360" w:lineRule="auto"/>
        <w:jc w:val="both"/>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r w:rsidRPr="00DE3768">
        <w:t>………………………….</w:t>
      </w:r>
      <w:r w:rsidRPr="00DE3768">
        <w:tab/>
      </w:r>
      <w:r w:rsidRPr="00DE3768">
        <w:tab/>
      </w:r>
      <w:r w:rsidRPr="00DE3768">
        <w:tab/>
      </w:r>
      <w:r w:rsidRPr="00DE3768">
        <w:tab/>
      </w:r>
      <w:r w:rsidRPr="00DE3768">
        <w:tab/>
      </w:r>
      <w:r w:rsidRPr="00DE3768">
        <w:tab/>
      </w:r>
      <w:r w:rsidRPr="00DE3768">
        <w:tab/>
        <w:t>……………..</w:t>
      </w:r>
    </w:p>
    <w:p w:rsidR="008A2300" w:rsidRPr="00DE3768" w:rsidRDefault="008A2300" w:rsidP="008A2300">
      <w:pPr>
        <w:jc w:val="both"/>
        <w:rPr>
          <w:b w:val="0"/>
          <w:bCs w:val="0"/>
        </w:rPr>
      </w:pPr>
      <w:r>
        <w:t>EGBUAGU HENRY CHIBUIKEM</w:t>
      </w:r>
      <w:r w:rsidRPr="00DE3768">
        <w:tab/>
      </w:r>
      <w:r w:rsidRPr="00DE3768">
        <w:tab/>
      </w:r>
      <w:r w:rsidRPr="00DE3768">
        <w:tab/>
      </w:r>
      <w:r w:rsidRPr="00DE3768">
        <w:tab/>
      </w:r>
      <w:r>
        <w:tab/>
      </w:r>
      <w:r w:rsidRPr="00DE3768">
        <w:t>Date</w:t>
      </w: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Default="008A2300" w:rsidP="008A2300">
      <w:pPr>
        <w:jc w:val="both"/>
        <w:rPr>
          <w:b w:val="0"/>
          <w:bCs w:val="0"/>
        </w:rP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Pr="00DE3768" w:rsidRDefault="008A2300" w:rsidP="008A2300">
      <w:pPr>
        <w:jc w:val="center"/>
        <w:rPr>
          <w:b w:val="0"/>
          <w:bCs w:val="0"/>
        </w:rPr>
      </w:pPr>
      <w:r w:rsidRPr="00DE3768">
        <w:lastRenderedPageBreak/>
        <w:t>CERTIFICATION</w:t>
      </w:r>
    </w:p>
    <w:p w:rsidR="008A2300" w:rsidRPr="008A2300" w:rsidRDefault="008A2300" w:rsidP="008A2300">
      <w:pPr>
        <w:jc w:val="both"/>
        <w:rPr>
          <w:b w:val="0"/>
          <w:bCs w:val="0"/>
        </w:rPr>
      </w:pPr>
      <w:r w:rsidRPr="008A2300">
        <w:rPr>
          <w:b w:val="0"/>
          <w:bCs w:val="0"/>
        </w:rPr>
        <w:t>This is to certify that this research entitled</w:t>
      </w:r>
      <w:r w:rsidRPr="008A2300">
        <w:t>IMPACT OF TAX POLICY ON FOREIGN DIRECT INVESTMENT IN NIGERIA</w:t>
      </w:r>
      <w:r w:rsidRPr="00DE3768">
        <w:t xml:space="preserve">, </w:t>
      </w:r>
      <w:r w:rsidRPr="008A2300">
        <w:rPr>
          <w:b w:val="0"/>
          <w:bCs w:val="0"/>
        </w:rPr>
        <w:t xml:space="preserve">written by </w:t>
      </w:r>
      <w:r>
        <w:rPr>
          <w:b w:val="0"/>
          <w:bCs w:val="0"/>
        </w:rPr>
        <w:t>EGBUAGU HENRY CHIBUIKEM</w:t>
      </w:r>
      <w:r w:rsidRPr="008A2300">
        <w:rPr>
          <w:b w:val="0"/>
          <w:bCs w:val="0"/>
        </w:rPr>
        <w:t xml:space="preserve"> with Registration Number GOU/U22/ACC/39</w:t>
      </w:r>
      <w:r>
        <w:rPr>
          <w:b w:val="0"/>
          <w:bCs w:val="0"/>
        </w:rPr>
        <w:t>4</w:t>
      </w:r>
      <w:r w:rsidRPr="008A2300">
        <w:rPr>
          <w:b w:val="0"/>
          <w:bCs w:val="0"/>
        </w:rPr>
        <w:t xml:space="preserve"> presented to the Department of Accounting and Finance of Godfrey Okoye University, Enugu has been assessed and approved for oral examination/defense by the Department of Accounting and Finance, Godfrey Okoye University, Enugu.</w:t>
      </w: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pPr>
      <w:r w:rsidRPr="00DE3768">
        <w:t>_____________________</w:t>
      </w:r>
      <w:r w:rsidRPr="00DE3768">
        <w:tab/>
      </w:r>
      <w:r w:rsidRPr="00DE3768">
        <w:tab/>
      </w:r>
      <w:r w:rsidRPr="00DE3768">
        <w:tab/>
      </w:r>
      <w:r w:rsidRPr="00DE3768">
        <w:tab/>
      </w:r>
      <w:r w:rsidRPr="00DE3768">
        <w:tab/>
      </w:r>
      <w:r w:rsidRPr="00DE3768">
        <w:tab/>
        <w:t>____________________</w:t>
      </w:r>
    </w:p>
    <w:p w:rsidR="008A2300" w:rsidRPr="00DE3768" w:rsidRDefault="008A2300" w:rsidP="008A2300">
      <w:pPr>
        <w:rPr>
          <w:b w:val="0"/>
          <w:bCs w:val="0"/>
        </w:rPr>
      </w:pPr>
      <w:r w:rsidRPr="00DE3768">
        <w:t xml:space="preserve">SUPERVISOR: </w:t>
      </w:r>
      <w:r>
        <w:t>DR. UGWU OSMUND</w:t>
      </w:r>
      <w:r>
        <w:tab/>
      </w:r>
      <w:r>
        <w:tab/>
      </w:r>
      <w:r>
        <w:tab/>
      </w:r>
      <w:r>
        <w:tab/>
      </w:r>
      <w:r w:rsidRPr="00DE3768">
        <w:t xml:space="preserve"> Date </w:t>
      </w:r>
    </w:p>
    <w:p w:rsidR="008A2300" w:rsidRPr="00DE3768" w:rsidRDefault="008A2300" w:rsidP="008A2300">
      <w:pPr>
        <w:jc w:val="both"/>
      </w:pPr>
      <w:r w:rsidRPr="00DE3768">
        <w:t xml:space="preserve"> Supervisor </w:t>
      </w:r>
    </w:p>
    <w:p w:rsidR="008A2300" w:rsidRPr="00DE3768" w:rsidRDefault="008A2300" w:rsidP="008A2300">
      <w:pPr>
        <w:jc w:val="both"/>
      </w:pPr>
    </w:p>
    <w:p w:rsidR="008A2300" w:rsidRPr="00DE3768" w:rsidRDefault="008A2300" w:rsidP="008A2300">
      <w:pPr>
        <w:jc w:val="both"/>
      </w:pPr>
    </w:p>
    <w:p w:rsidR="008A2300" w:rsidRPr="00DE3768" w:rsidRDefault="008A2300" w:rsidP="008A2300">
      <w:pPr>
        <w:jc w:val="both"/>
      </w:pPr>
      <w:r w:rsidRPr="00DE3768">
        <w:t>_____________________</w:t>
      </w:r>
      <w:r w:rsidRPr="00DE3768">
        <w:tab/>
      </w:r>
      <w:r w:rsidRPr="00DE3768">
        <w:tab/>
      </w:r>
      <w:r w:rsidRPr="00DE3768">
        <w:tab/>
      </w:r>
      <w:r w:rsidRPr="00DE3768">
        <w:tab/>
      </w:r>
      <w:r w:rsidRPr="00DE3768">
        <w:tab/>
      </w:r>
      <w:r w:rsidRPr="00DE3768">
        <w:tab/>
        <w:t>____________________</w:t>
      </w:r>
    </w:p>
    <w:p w:rsidR="008A2300" w:rsidRPr="00DE3768" w:rsidRDefault="008A2300" w:rsidP="008A2300">
      <w:pPr>
        <w:jc w:val="both"/>
        <w:rPr>
          <w:b w:val="0"/>
        </w:rPr>
      </w:pPr>
      <w:r w:rsidRPr="00DE3768">
        <w:t>ASSO.PROF JOHN ODO</w:t>
      </w:r>
      <w:r w:rsidRPr="00DE3768">
        <w:tab/>
      </w:r>
      <w:r w:rsidRPr="00DE3768">
        <w:tab/>
      </w:r>
      <w:r w:rsidRPr="00DE3768">
        <w:tab/>
      </w:r>
      <w:r w:rsidRPr="00DE3768">
        <w:tab/>
      </w:r>
      <w:r w:rsidRPr="00DE3768">
        <w:tab/>
      </w:r>
      <w:r w:rsidRPr="00DE3768">
        <w:tab/>
        <w:t>Date</w:t>
      </w:r>
    </w:p>
    <w:p w:rsidR="008A2300" w:rsidRPr="00DE3768" w:rsidRDefault="008A2300" w:rsidP="008A2300">
      <w:pPr>
        <w:jc w:val="both"/>
      </w:pPr>
      <w:r w:rsidRPr="00DE3768">
        <w:t xml:space="preserve">Head of Department </w:t>
      </w:r>
    </w:p>
    <w:p w:rsidR="008A2300" w:rsidRPr="00DE3768" w:rsidRDefault="008A2300" w:rsidP="008A2300">
      <w:pPr>
        <w:jc w:val="both"/>
      </w:pPr>
    </w:p>
    <w:p w:rsidR="008A2300" w:rsidRPr="00DE3768" w:rsidRDefault="008A2300" w:rsidP="008A2300">
      <w:pPr>
        <w:jc w:val="both"/>
      </w:pPr>
    </w:p>
    <w:p w:rsidR="008A2300" w:rsidRPr="00DE3768" w:rsidRDefault="008A2300" w:rsidP="008A2300">
      <w:pPr>
        <w:jc w:val="both"/>
      </w:pPr>
      <w:r w:rsidRPr="00DE3768">
        <w:t>_______________________</w:t>
      </w:r>
      <w:r w:rsidRPr="00DE3768">
        <w:tab/>
      </w:r>
      <w:r w:rsidRPr="00DE3768">
        <w:tab/>
      </w:r>
      <w:r w:rsidRPr="00DE3768">
        <w:tab/>
      </w:r>
      <w:r w:rsidRPr="00DE3768">
        <w:tab/>
      </w:r>
      <w:r w:rsidRPr="00DE3768">
        <w:tab/>
      </w:r>
      <w:r w:rsidRPr="00DE3768">
        <w:tab/>
        <w:t>____________________</w:t>
      </w:r>
    </w:p>
    <w:p w:rsidR="008A2300" w:rsidRPr="00DE3768" w:rsidRDefault="008A2300" w:rsidP="008A2300">
      <w:pPr>
        <w:jc w:val="both"/>
      </w:pPr>
      <w:r w:rsidRPr="00DE3768">
        <w:t>ASSO. PROF JOHN ODO</w:t>
      </w:r>
      <w:r w:rsidRPr="00DE3768">
        <w:tab/>
      </w:r>
      <w:r w:rsidRPr="00DE3768">
        <w:tab/>
      </w:r>
      <w:r w:rsidRPr="00DE3768">
        <w:tab/>
      </w:r>
      <w:r w:rsidRPr="00DE3768">
        <w:tab/>
      </w:r>
      <w:r w:rsidRPr="00DE3768">
        <w:tab/>
      </w:r>
      <w:r w:rsidRPr="00DE3768">
        <w:tab/>
        <w:t>Date</w:t>
      </w:r>
    </w:p>
    <w:p w:rsidR="008A2300" w:rsidRPr="00DE3768" w:rsidRDefault="008A2300" w:rsidP="008A2300">
      <w:pPr>
        <w:jc w:val="both"/>
      </w:pPr>
      <w:r w:rsidRPr="00DE3768">
        <w:t xml:space="preserve">Dean, Faculty of MSS </w:t>
      </w:r>
    </w:p>
    <w:p w:rsidR="008A2300" w:rsidRPr="00DE3768" w:rsidRDefault="008A2300" w:rsidP="008A2300">
      <w:pPr>
        <w:jc w:val="both"/>
      </w:pPr>
    </w:p>
    <w:p w:rsidR="008A2300" w:rsidRPr="00DE3768" w:rsidRDefault="008A2300" w:rsidP="008A2300">
      <w:pPr>
        <w:jc w:val="both"/>
      </w:pPr>
    </w:p>
    <w:p w:rsidR="008A2300" w:rsidRPr="00DE3768" w:rsidRDefault="008A2300" w:rsidP="008A2300">
      <w:pPr>
        <w:jc w:val="both"/>
        <w:rPr>
          <w:b w:val="0"/>
        </w:rPr>
      </w:pPr>
      <w:r w:rsidRPr="00DE3768">
        <w:t>_______________________</w:t>
      </w:r>
      <w:r w:rsidRPr="00DE3768">
        <w:tab/>
      </w:r>
      <w:r w:rsidRPr="00DE3768">
        <w:tab/>
      </w:r>
      <w:r w:rsidRPr="00DE3768">
        <w:tab/>
      </w:r>
      <w:r w:rsidRPr="00DE3768">
        <w:tab/>
        <w:t xml:space="preserve">                      ______________________</w:t>
      </w:r>
    </w:p>
    <w:p w:rsidR="008A2300" w:rsidRPr="00DE3768" w:rsidRDefault="008A2300" w:rsidP="008A2300">
      <w:pPr>
        <w:jc w:val="both"/>
        <w:rPr>
          <w:b w:val="0"/>
        </w:rPr>
      </w:pPr>
      <w:r w:rsidRPr="00DE3768">
        <w:t xml:space="preserve">External Examiner </w:t>
      </w:r>
      <w:r w:rsidRPr="00DE3768">
        <w:tab/>
      </w:r>
      <w:r w:rsidRPr="00DE3768">
        <w:tab/>
      </w:r>
      <w:r w:rsidRPr="00DE3768">
        <w:tab/>
      </w:r>
      <w:r w:rsidRPr="00DE3768">
        <w:tab/>
      </w:r>
      <w:r w:rsidRPr="00DE3768">
        <w:tab/>
      </w:r>
      <w:r w:rsidRPr="00DE3768">
        <w:tab/>
      </w:r>
      <w:r w:rsidRPr="00DE3768">
        <w:tab/>
        <w:t xml:space="preserve">Date       </w:t>
      </w:r>
    </w:p>
    <w:p w:rsidR="008A2300" w:rsidRDefault="008A2300" w:rsidP="008A2300">
      <w:pPr>
        <w:jc w:val="center"/>
        <w:rPr>
          <w:b w:val="0"/>
          <w:bCs w:val="0"/>
        </w:rPr>
      </w:pPr>
    </w:p>
    <w:p w:rsidR="008A2300" w:rsidRDefault="008A2300" w:rsidP="008A2300">
      <w:pPr>
        <w:jc w:val="center"/>
        <w:rPr>
          <w:b w:val="0"/>
          <w:bCs w:val="0"/>
        </w:rP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Pr="00DE3768" w:rsidRDefault="008A2300" w:rsidP="008A2300">
      <w:pPr>
        <w:jc w:val="center"/>
        <w:rPr>
          <w:b w:val="0"/>
          <w:bCs w:val="0"/>
        </w:rPr>
      </w:pPr>
      <w:r w:rsidRPr="00DE3768">
        <w:lastRenderedPageBreak/>
        <w:t>DEDICATION</w:t>
      </w:r>
    </w:p>
    <w:p w:rsidR="008A2300" w:rsidRPr="008A2300" w:rsidRDefault="008A2300" w:rsidP="008A2300">
      <w:pPr>
        <w:jc w:val="both"/>
        <w:rPr>
          <w:b w:val="0"/>
          <w:bCs w:val="0"/>
        </w:rPr>
      </w:pPr>
      <w:r w:rsidRPr="008A2300">
        <w:rPr>
          <w:b w:val="0"/>
          <w:bCs w:val="0"/>
        </w:rPr>
        <w:t>This work is dedicated to God Almighty for His grace, mercy and enablement towards me and the completion of this work.</w:t>
      </w:r>
    </w:p>
    <w:p w:rsidR="008A2300" w:rsidRPr="008A2300"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Pr="00DE3768" w:rsidRDefault="008A2300" w:rsidP="008A2300">
      <w:pPr>
        <w:jc w:val="both"/>
        <w:rPr>
          <w:b w:val="0"/>
          <w:bCs w:val="0"/>
        </w:rPr>
      </w:pPr>
    </w:p>
    <w:p w:rsidR="008A2300" w:rsidRDefault="008A2300" w:rsidP="008A2300">
      <w:pPr>
        <w:jc w:val="both"/>
        <w:rPr>
          <w:b w:val="0"/>
          <w:bCs w:val="0"/>
        </w:rP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Default="008A2300" w:rsidP="008A2300">
      <w:pPr>
        <w:jc w:val="center"/>
      </w:pPr>
    </w:p>
    <w:p w:rsidR="008A2300" w:rsidRPr="00DE3768" w:rsidRDefault="008A2300" w:rsidP="008A2300">
      <w:pPr>
        <w:jc w:val="center"/>
        <w:rPr>
          <w:b w:val="0"/>
          <w:bCs w:val="0"/>
        </w:rPr>
      </w:pPr>
      <w:r w:rsidRPr="00DE3768">
        <w:lastRenderedPageBreak/>
        <w:t>ACKNOWLEDGMENT</w:t>
      </w:r>
    </w:p>
    <w:p w:rsidR="008A2300" w:rsidRDefault="008A2300" w:rsidP="008A2300">
      <w:pPr>
        <w:jc w:val="both"/>
        <w:rPr>
          <w:b w:val="0"/>
          <w:bCs w:val="0"/>
        </w:rPr>
      </w:pPr>
      <w:r w:rsidRPr="008A2300">
        <w:rPr>
          <w:b w:val="0"/>
          <w:bCs w:val="0"/>
        </w:rPr>
        <w:t>All glory and praise to God Almighty, whose grace, wisdom, and unwavering presence guided me throughout the course of this research.</w:t>
      </w:r>
    </w:p>
    <w:p w:rsidR="008A2300" w:rsidRPr="008A2300" w:rsidRDefault="008A2300" w:rsidP="008A2300">
      <w:pPr>
        <w:jc w:val="both"/>
        <w:rPr>
          <w:b w:val="0"/>
          <w:bCs w:val="0"/>
        </w:rPr>
      </w:pPr>
    </w:p>
    <w:p w:rsidR="008A2300" w:rsidRDefault="008A2300" w:rsidP="008A2300">
      <w:pPr>
        <w:jc w:val="both"/>
        <w:rPr>
          <w:b w:val="0"/>
          <w:bCs w:val="0"/>
        </w:rPr>
      </w:pPr>
      <w:r w:rsidRPr="008A2300">
        <w:rPr>
          <w:b w:val="0"/>
          <w:bCs w:val="0"/>
        </w:rPr>
        <w:t xml:space="preserve">I extend my heartfelt gratitude to my supervisor, </w:t>
      </w:r>
      <w:r>
        <w:rPr>
          <w:b w:val="0"/>
          <w:bCs w:val="0"/>
        </w:rPr>
        <w:t>Dr. Ugwu Osmund</w:t>
      </w:r>
      <w:r w:rsidRPr="008A2300">
        <w:rPr>
          <w:b w:val="0"/>
          <w:bCs w:val="0"/>
        </w:rPr>
        <w:t>, for h</w:t>
      </w:r>
      <w:r>
        <w:rPr>
          <w:b w:val="0"/>
          <w:bCs w:val="0"/>
        </w:rPr>
        <w:t xml:space="preserve">is </w:t>
      </w:r>
      <w:r w:rsidRPr="008A2300">
        <w:rPr>
          <w:b w:val="0"/>
          <w:bCs w:val="0"/>
        </w:rPr>
        <w:t>patient mentorship, constructive feedback, and dedicated support. H</w:t>
      </w:r>
      <w:r>
        <w:rPr>
          <w:b w:val="0"/>
          <w:bCs w:val="0"/>
        </w:rPr>
        <w:t>is</w:t>
      </w:r>
      <w:r w:rsidRPr="008A2300">
        <w:rPr>
          <w:b w:val="0"/>
          <w:bCs w:val="0"/>
        </w:rPr>
        <w:t xml:space="preserve"> encouragement and scholarly guidance were instrumental to the successful completion of this project. </w:t>
      </w:r>
    </w:p>
    <w:p w:rsidR="008A2300" w:rsidRPr="008A2300" w:rsidRDefault="008A2300" w:rsidP="008A2300">
      <w:pPr>
        <w:jc w:val="both"/>
        <w:rPr>
          <w:b w:val="0"/>
          <w:bCs w:val="0"/>
        </w:rPr>
      </w:pPr>
    </w:p>
    <w:p w:rsidR="008A2300" w:rsidRPr="008A2300" w:rsidRDefault="008A2300" w:rsidP="008A2300">
      <w:pPr>
        <w:jc w:val="both"/>
        <w:rPr>
          <w:b w:val="0"/>
          <w:bCs w:val="0"/>
        </w:rPr>
      </w:pPr>
      <w:r w:rsidRPr="008A2300">
        <w:rPr>
          <w:b w:val="0"/>
          <w:bCs w:val="0"/>
        </w:rPr>
        <w:t>My sincere appreciation also goes to Associate Professor John Odo, the Head of Department and Dean of the Faculty of Management and Social Sciences, for his steadfast leadership, insightful counsel, and constant support throughout my academic journey.</w:t>
      </w:r>
    </w:p>
    <w:p w:rsidR="008A2300" w:rsidRDefault="008A2300" w:rsidP="008A2300">
      <w:pPr>
        <w:jc w:val="both"/>
        <w:rPr>
          <w:b w:val="0"/>
          <w:bCs w:val="0"/>
        </w:rPr>
      </w:pPr>
    </w:p>
    <w:p w:rsidR="008A2300" w:rsidRPr="008A2300" w:rsidRDefault="008A2300" w:rsidP="008A2300">
      <w:pPr>
        <w:jc w:val="both"/>
        <w:rPr>
          <w:b w:val="0"/>
          <w:bCs w:val="0"/>
        </w:rPr>
      </w:pPr>
      <w:bookmarkStart w:id="1" w:name="_Hlk231808315"/>
      <w:r w:rsidRPr="008A2300">
        <w:rPr>
          <w:b w:val="0"/>
          <w:bCs w:val="0"/>
        </w:rPr>
        <w:t>To my esteemed lecturers, Prof. S</w:t>
      </w:r>
      <w:r>
        <w:rPr>
          <w:b w:val="0"/>
          <w:bCs w:val="0"/>
        </w:rPr>
        <w:t>ergius</w:t>
      </w:r>
      <w:r w:rsidRPr="008A2300">
        <w:rPr>
          <w:b w:val="0"/>
          <w:bCs w:val="0"/>
        </w:rPr>
        <w:t>Udeh, Dr. Ugwu Osmund, Dr Stephen Agu, Mrs. V</w:t>
      </w:r>
      <w:r>
        <w:rPr>
          <w:b w:val="0"/>
          <w:bCs w:val="0"/>
        </w:rPr>
        <w:t>ictoria</w:t>
      </w:r>
      <w:r w:rsidRPr="008A2300">
        <w:rPr>
          <w:b w:val="0"/>
          <w:bCs w:val="0"/>
        </w:rPr>
        <w:t xml:space="preserve">  Okoro, Prof. S. N. P. Nwankwo, </w:t>
      </w:r>
      <w:r w:rsidR="00FD17F2">
        <w:rPr>
          <w:b w:val="0"/>
          <w:bCs w:val="0"/>
        </w:rPr>
        <w:t xml:space="preserve">Prof. Lucy Onyekwelu, </w:t>
      </w:r>
      <w:r w:rsidRPr="008A2300">
        <w:rPr>
          <w:b w:val="0"/>
          <w:bCs w:val="0"/>
        </w:rPr>
        <w:t>Dr. E</w:t>
      </w:r>
      <w:r w:rsidR="008A48A3">
        <w:rPr>
          <w:b w:val="0"/>
          <w:bCs w:val="0"/>
        </w:rPr>
        <w:t>wa</w:t>
      </w:r>
      <w:r w:rsidRPr="008A2300">
        <w:rPr>
          <w:b w:val="0"/>
          <w:bCs w:val="0"/>
        </w:rPr>
        <w:t xml:space="preserve"> Bassey, Dr. Anthony Ude, Prof. Elias Agbo, Assoc. Prof. James Ugwu, Dr Basilia and Rev. Fr. W</w:t>
      </w:r>
      <w:r w:rsidR="008A48A3">
        <w:rPr>
          <w:b w:val="0"/>
          <w:bCs w:val="0"/>
        </w:rPr>
        <w:t>ilfred</w:t>
      </w:r>
      <w:r w:rsidRPr="008A2300">
        <w:rPr>
          <w:b w:val="0"/>
          <w:bCs w:val="0"/>
        </w:rPr>
        <w:t xml:space="preserve"> Agu,</w:t>
      </w:r>
      <w:r w:rsidR="008A48A3">
        <w:rPr>
          <w:b w:val="0"/>
          <w:bCs w:val="0"/>
        </w:rPr>
        <w:t xml:space="preserve"> Prof. Nwafor, Prof. Nwanne and others.</w:t>
      </w:r>
      <w:r w:rsidRPr="008A2300">
        <w:rPr>
          <w:b w:val="0"/>
          <w:bCs w:val="0"/>
        </w:rPr>
        <w:t xml:space="preserve"> I am deeply thankful for the knowledge, learning culture, and values you have imparted in me both in and outside of the classroom.</w:t>
      </w:r>
    </w:p>
    <w:bookmarkEnd w:id="1"/>
    <w:p w:rsidR="008A48A3" w:rsidRDefault="008A48A3" w:rsidP="008A2300">
      <w:pPr>
        <w:jc w:val="both"/>
        <w:rPr>
          <w:b w:val="0"/>
          <w:bCs w:val="0"/>
        </w:rPr>
      </w:pPr>
    </w:p>
    <w:p w:rsidR="008A2300" w:rsidRPr="008A2300" w:rsidRDefault="008A2300" w:rsidP="008A2300">
      <w:pPr>
        <w:jc w:val="both"/>
        <w:rPr>
          <w:b w:val="0"/>
          <w:bCs w:val="0"/>
        </w:rPr>
      </w:pPr>
      <w:r w:rsidRPr="008A2300">
        <w:rPr>
          <w:b w:val="0"/>
          <w:bCs w:val="0"/>
        </w:rPr>
        <w:t xml:space="preserve">Lastly, to my wonderful </w:t>
      </w:r>
      <w:r w:rsidR="008A48A3">
        <w:rPr>
          <w:b w:val="0"/>
          <w:bCs w:val="0"/>
        </w:rPr>
        <w:t>parents</w:t>
      </w:r>
      <w:r w:rsidRPr="008A2300">
        <w:rPr>
          <w:b w:val="0"/>
          <w:bCs w:val="0"/>
        </w:rPr>
        <w:t>, Mr</w:t>
      </w:r>
      <w:r w:rsidR="008A48A3">
        <w:rPr>
          <w:b w:val="0"/>
          <w:bCs w:val="0"/>
        </w:rPr>
        <w:t>s</w:t>
      </w:r>
      <w:r w:rsidRPr="008A2300">
        <w:rPr>
          <w:b w:val="0"/>
          <w:bCs w:val="0"/>
        </w:rPr>
        <w:t>.</w:t>
      </w:r>
      <w:r w:rsidR="008A48A3">
        <w:rPr>
          <w:b w:val="0"/>
          <w:bCs w:val="0"/>
        </w:rPr>
        <w:t xml:space="preserve"> Helen Egbuagu</w:t>
      </w:r>
      <w:r w:rsidRPr="008A2300">
        <w:rPr>
          <w:b w:val="0"/>
          <w:bCs w:val="0"/>
        </w:rPr>
        <w:t xml:space="preserve"> and Mr</w:t>
      </w:r>
      <w:r w:rsidR="00FB78DC">
        <w:rPr>
          <w:b w:val="0"/>
          <w:bCs w:val="0"/>
        </w:rPr>
        <w:t xml:space="preserve">. </w:t>
      </w:r>
      <w:r w:rsidR="008A48A3">
        <w:rPr>
          <w:b w:val="0"/>
          <w:bCs w:val="0"/>
        </w:rPr>
        <w:t>Didacus</w:t>
      </w:r>
      <w:r w:rsidR="00FB78DC">
        <w:rPr>
          <w:b w:val="0"/>
          <w:bCs w:val="0"/>
        </w:rPr>
        <w:t xml:space="preserve"> </w:t>
      </w:r>
      <w:r w:rsidR="008A48A3">
        <w:rPr>
          <w:b w:val="0"/>
          <w:bCs w:val="0"/>
        </w:rPr>
        <w:t>Egbuagu.</w:t>
      </w:r>
      <w:r w:rsidRPr="008A2300">
        <w:rPr>
          <w:b w:val="0"/>
          <w:bCs w:val="0"/>
        </w:rPr>
        <w:t xml:space="preserve">I owe you my deepest gratitude for your love, prayers, and unrelenting support. </w:t>
      </w:r>
    </w:p>
    <w:p w:rsidR="008A2300" w:rsidRPr="008A2300" w:rsidRDefault="008A2300">
      <w:pPr>
        <w:spacing w:before="100" w:after="100" w:line="480" w:lineRule="auto"/>
        <w:jc w:val="center"/>
        <w:rPr>
          <w:b w:val="0"/>
          <w:bCs w:val="0"/>
        </w:rPr>
      </w:pPr>
    </w:p>
    <w:p w:rsidR="008A2300" w:rsidRDefault="008A2300">
      <w:pPr>
        <w:spacing w:before="100" w:after="100" w:line="480" w:lineRule="auto"/>
        <w:jc w:val="center"/>
      </w:pPr>
    </w:p>
    <w:p w:rsidR="008A2300" w:rsidRDefault="008A2300">
      <w:pPr>
        <w:spacing w:before="100" w:after="100" w:line="480" w:lineRule="auto"/>
        <w:jc w:val="center"/>
      </w:pPr>
    </w:p>
    <w:p w:rsidR="008A48A3" w:rsidRDefault="008A48A3">
      <w:pPr>
        <w:spacing w:before="100" w:after="100" w:line="480" w:lineRule="auto"/>
        <w:jc w:val="center"/>
      </w:pPr>
    </w:p>
    <w:p w:rsidR="008A48A3" w:rsidRDefault="008A48A3">
      <w:pPr>
        <w:spacing w:before="100" w:after="100" w:line="480" w:lineRule="auto"/>
        <w:jc w:val="center"/>
      </w:pPr>
    </w:p>
    <w:p w:rsidR="008A48A3" w:rsidRDefault="008A48A3">
      <w:pPr>
        <w:spacing w:before="100" w:after="100" w:line="480" w:lineRule="auto"/>
        <w:jc w:val="center"/>
      </w:pPr>
    </w:p>
    <w:p w:rsidR="008A48A3" w:rsidRDefault="008A48A3">
      <w:pPr>
        <w:spacing w:before="100" w:after="100" w:line="480" w:lineRule="auto"/>
        <w:jc w:val="center"/>
      </w:pPr>
    </w:p>
    <w:p w:rsidR="008A48A3" w:rsidRDefault="008A48A3">
      <w:pPr>
        <w:spacing w:before="100" w:after="100" w:line="480" w:lineRule="auto"/>
        <w:jc w:val="center"/>
      </w:pPr>
    </w:p>
    <w:p w:rsidR="008A48A3" w:rsidRDefault="008A48A3">
      <w:pPr>
        <w:spacing w:before="100" w:after="100" w:line="480" w:lineRule="auto"/>
        <w:jc w:val="center"/>
      </w:pPr>
    </w:p>
    <w:p w:rsidR="008A48A3" w:rsidRDefault="008A48A3">
      <w:pPr>
        <w:spacing w:before="100" w:after="100" w:line="480" w:lineRule="auto"/>
        <w:jc w:val="center"/>
      </w:pPr>
    </w:p>
    <w:p w:rsidR="008A48A3" w:rsidRDefault="008A48A3">
      <w:pPr>
        <w:spacing w:before="100" w:after="100" w:line="480" w:lineRule="auto"/>
        <w:jc w:val="center"/>
      </w:pPr>
    </w:p>
    <w:p w:rsidR="008A48A3" w:rsidRDefault="008A48A3">
      <w:pPr>
        <w:spacing w:before="100" w:after="100" w:line="480" w:lineRule="auto"/>
        <w:jc w:val="center"/>
      </w:pPr>
    </w:p>
    <w:p w:rsidR="00193652" w:rsidRDefault="00403C3C">
      <w:pPr>
        <w:spacing w:before="100" w:after="100" w:line="480" w:lineRule="auto"/>
        <w:jc w:val="center"/>
      </w:pPr>
      <w:r>
        <w:t>TABLE OF CONTENTS</w:t>
      </w:r>
    </w:p>
    <w:p w:rsidR="00193652" w:rsidRDefault="00193652">
      <w:pPr>
        <w:spacing w:before="60" w:after="60"/>
      </w:pPr>
    </w:p>
    <w:p w:rsidR="00193652" w:rsidRDefault="00403C3C" w:rsidP="008A48A3">
      <w:pPr>
        <w:tabs>
          <w:tab w:val="right" w:pos="9000"/>
        </w:tabs>
        <w:spacing w:before="80" w:after="80"/>
      </w:pPr>
      <w:r>
        <w:rPr>
          <w:b w:val="0"/>
          <w:bCs w:val="0"/>
        </w:rPr>
        <w:t>DECLARATION</w:t>
      </w:r>
      <w:r w:rsidR="008A48A3">
        <w:rPr>
          <w:b w:val="0"/>
          <w:bCs w:val="0"/>
        </w:rPr>
        <w:tab/>
      </w:r>
      <w:r w:rsidR="0011445F">
        <w:rPr>
          <w:b w:val="0"/>
          <w:bCs w:val="0"/>
        </w:rPr>
        <w:t>3</w:t>
      </w:r>
    </w:p>
    <w:p w:rsidR="00193652" w:rsidRDefault="00403C3C" w:rsidP="008A48A3">
      <w:pPr>
        <w:tabs>
          <w:tab w:val="right" w:pos="9000"/>
        </w:tabs>
        <w:spacing w:before="80" w:after="80"/>
      </w:pPr>
      <w:r>
        <w:rPr>
          <w:b w:val="0"/>
          <w:bCs w:val="0"/>
        </w:rPr>
        <w:t>CERTIFICATION</w:t>
      </w:r>
      <w:r w:rsidR="008A48A3">
        <w:rPr>
          <w:b w:val="0"/>
          <w:bCs w:val="0"/>
        </w:rPr>
        <w:tab/>
      </w:r>
      <w:r w:rsidR="0011445F">
        <w:rPr>
          <w:b w:val="0"/>
          <w:bCs w:val="0"/>
        </w:rPr>
        <w:t>4</w:t>
      </w:r>
    </w:p>
    <w:p w:rsidR="00193652" w:rsidRDefault="00403C3C" w:rsidP="008A48A3">
      <w:pPr>
        <w:tabs>
          <w:tab w:val="right" w:pos="9000"/>
        </w:tabs>
        <w:spacing w:before="80" w:after="80"/>
      </w:pPr>
      <w:r>
        <w:rPr>
          <w:b w:val="0"/>
          <w:bCs w:val="0"/>
        </w:rPr>
        <w:t>DEDICATION</w:t>
      </w:r>
      <w:r w:rsidR="008A48A3">
        <w:rPr>
          <w:b w:val="0"/>
          <w:bCs w:val="0"/>
        </w:rPr>
        <w:tab/>
      </w:r>
      <w:r w:rsidR="0011445F">
        <w:rPr>
          <w:b w:val="0"/>
          <w:bCs w:val="0"/>
        </w:rPr>
        <w:t>5</w:t>
      </w:r>
    </w:p>
    <w:p w:rsidR="00193652" w:rsidRDefault="00403C3C" w:rsidP="008A48A3">
      <w:pPr>
        <w:tabs>
          <w:tab w:val="right" w:pos="9000"/>
        </w:tabs>
        <w:spacing w:before="80" w:after="80"/>
      </w:pPr>
      <w:r>
        <w:rPr>
          <w:b w:val="0"/>
          <w:bCs w:val="0"/>
        </w:rPr>
        <w:t>ACKNOWLEDGEMENTS</w:t>
      </w:r>
      <w:r w:rsidR="008A48A3">
        <w:rPr>
          <w:b w:val="0"/>
          <w:bCs w:val="0"/>
        </w:rPr>
        <w:tab/>
      </w:r>
      <w:r w:rsidR="00F54FC7">
        <w:rPr>
          <w:b w:val="0"/>
          <w:bCs w:val="0"/>
        </w:rPr>
        <w:t>9</w:t>
      </w:r>
    </w:p>
    <w:p w:rsidR="00193652" w:rsidRDefault="00403C3C" w:rsidP="008A48A3">
      <w:pPr>
        <w:tabs>
          <w:tab w:val="right" w:pos="9000"/>
        </w:tabs>
        <w:spacing w:before="80" w:after="80"/>
      </w:pPr>
      <w:r>
        <w:rPr>
          <w:b w:val="0"/>
          <w:bCs w:val="0"/>
        </w:rPr>
        <w:t>LIST OF TABLES</w:t>
      </w:r>
      <w:r w:rsidR="008A48A3">
        <w:rPr>
          <w:b w:val="0"/>
          <w:bCs w:val="0"/>
        </w:rPr>
        <w:tab/>
      </w:r>
      <w:r w:rsidR="00F54FC7">
        <w:rPr>
          <w:b w:val="0"/>
          <w:bCs w:val="0"/>
        </w:rPr>
        <w:t>10</w:t>
      </w:r>
    </w:p>
    <w:p w:rsidR="00193652" w:rsidRDefault="00403C3C" w:rsidP="008A48A3">
      <w:pPr>
        <w:tabs>
          <w:tab w:val="right" w:pos="9000"/>
        </w:tabs>
        <w:spacing w:before="80" w:after="80"/>
      </w:pPr>
      <w:r>
        <w:rPr>
          <w:b w:val="0"/>
          <w:bCs w:val="0"/>
        </w:rPr>
        <w:t>ABSTRACT</w:t>
      </w:r>
      <w:r w:rsidR="008A48A3">
        <w:rPr>
          <w:b w:val="0"/>
          <w:bCs w:val="0"/>
        </w:rPr>
        <w:tab/>
      </w:r>
    </w:p>
    <w:p w:rsidR="00193652" w:rsidRDefault="00193652">
      <w:pPr>
        <w:spacing w:before="60" w:after="60"/>
      </w:pPr>
    </w:p>
    <w:p w:rsidR="00193652" w:rsidRDefault="00403C3C">
      <w:pPr>
        <w:tabs>
          <w:tab w:val="right" w:pos="9000"/>
        </w:tabs>
        <w:spacing w:before="180" w:after="80" w:line="480" w:lineRule="auto"/>
      </w:pPr>
      <w:r>
        <w:t>CHAPTER ONE: INTRODUCTION</w:t>
      </w:r>
      <w:r w:rsidR="008A48A3">
        <w:tab/>
      </w:r>
      <w:r>
        <w:t>1</w:t>
      </w:r>
      <w:r w:rsidR="0011445F">
        <w:t>1</w:t>
      </w:r>
    </w:p>
    <w:p w:rsidR="00193652" w:rsidRDefault="00403C3C" w:rsidP="008A48A3">
      <w:pPr>
        <w:tabs>
          <w:tab w:val="right" w:pos="9000"/>
        </w:tabs>
        <w:spacing w:before="80" w:after="80"/>
        <w:ind w:left="360"/>
      </w:pPr>
      <w:r>
        <w:rPr>
          <w:b w:val="0"/>
          <w:bCs w:val="0"/>
        </w:rPr>
        <w:t>1.1 Background to the Study</w:t>
      </w:r>
      <w:r w:rsidR="008A48A3">
        <w:rPr>
          <w:b w:val="0"/>
          <w:bCs w:val="0"/>
        </w:rPr>
        <w:tab/>
      </w:r>
      <w:r>
        <w:rPr>
          <w:b w:val="0"/>
          <w:bCs w:val="0"/>
        </w:rPr>
        <w:t>1</w:t>
      </w:r>
      <w:r w:rsidR="0011445F">
        <w:rPr>
          <w:b w:val="0"/>
          <w:bCs w:val="0"/>
        </w:rPr>
        <w:t>1</w:t>
      </w:r>
    </w:p>
    <w:p w:rsidR="00193652" w:rsidRDefault="00403C3C" w:rsidP="008A48A3">
      <w:pPr>
        <w:tabs>
          <w:tab w:val="right" w:pos="9000"/>
        </w:tabs>
        <w:spacing w:before="80" w:after="80"/>
        <w:ind w:left="360"/>
      </w:pPr>
      <w:r>
        <w:rPr>
          <w:b w:val="0"/>
          <w:bCs w:val="0"/>
        </w:rPr>
        <w:t>1.2 Statement of the Problem</w:t>
      </w:r>
      <w:r w:rsidR="008A48A3">
        <w:rPr>
          <w:b w:val="0"/>
          <w:bCs w:val="0"/>
        </w:rPr>
        <w:tab/>
      </w:r>
      <w:r w:rsidR="00746FC5">
        <w:rPr>
          <w:b w:val="0"/>
          <w:bCs w:val="0"/>
        </w:rPr>
        <w:t>1</w:t>
      </w:r>
      <w:r w:rsidR="0011445F">
        <w:rPr>
          <w:b w:val="0"/>
          <w:bCs w:val="0"/>
        </w:rPr>
        <w:t>3</w:t>
      </w:r>
    </w:p>
    <w:p w:rsidR="00193652" w:rsidRDefault="00403C3C" w:rsidP="008A48A3">
      <w:pPr>
        <w:tabs>
          <w:tab w:val="right" w:pos="9000"/>
        </w:tabs>
        <w:spacing w:before="80" w:after="80"/>
        <w:ind w:left="360"/>
      </w:pPr>
      <w:r>
        <w:rPr>
          <w:b w:val="0"/>
          <w:bCs w:val="0"/>
        </w:rPr>
        <w:t>1.3 Objectives of the Study</w:t>
      </w:r>
      <w:r w:rsidR="008A48A3">
        <w:rPr>
          <w:b w:val="0"/>
          <w:bCs w:val="0"/>
        </w:rPr>
        <w:tab/>
      </w:r>
      <w:r w:rsidR="00746FC5">
        <w:rPr>
          <w:b w:val="0"/>
          <w:bCs w:val="0"/>
        </w:rPr>
        <w:t>1</w:t>
      </w:r>
      <w:r w:rsidR="0011445F">
        <w:rPr>
          <w:b w:val="0"/>
          <w:bCs w:val="0"/>
        </w:rPr>
        <w:t>4</w:t>
      </w:r>
    </w:p>
    <w:p w:rsidR="00193652" w:rsidRDefault="00403C3C" w:rsidP="008A48A3">
      <w:pPr>
        <w:tabs>
          <w:tab w:val="right" w:pos="9000"/>
        </w:tabs>
        <w:spacing w:before="80" w:after="80"/>
        <w:ind w:left="360"/>
      </w:pPr>
      <w:r>
        <w:rPr>
          <w:b w:val="0"/>
          <w:bCs w:val="0"/>
        </w:rPr>
        <w:t>1.4 Research Questions</w:t>
      </w:r>
      <w:r w:rsidR="008A48A3">
        <w:rPr>
          <w:b w:val="0"/>
          <w:bCs w:val="0"/>
        </w:rPr>
        <w:tab/>
      </w:r>
      <w:r w:rsidR="00746FC5">
        <w:rPr>
          <w:b w:val="0"/>
          <w:bCs w:val="0"/>
        </w:rPr>
        <w:t>1</w:t>
      </w:r>
      <w:r w:rsidR="0011445F">
        <w:rPr>
          <w:b w:val="0"/>
          <w:bCs w:val="0"/>
        </w:rPr>
        <w:t>5</w:t>
      </w:r>
    </w:p>
    <w:p w:rsidR="00193652" w:rsidRDefault="00403C3C" w:rsidP="008A48A3">
      <w:pPr>
        <w:tabs>
          <w:tab w:val="right" w:pos="9000"/>
        </w:tabs>
        <w:spacing w:before="80" w:after="80"/>
        <w:ind w:left="360"/>
      </w:pPr>
      <w:r>
        <w:rPr>
          <w:b w:val="0"/>
          <w:bCs w:val="0"/>
        </w:rPr>
        <w:t>1.5 Research Hypotheses</w:t>
      </w:r>
      <w:r w:rsidR="008A48A3">
        <w:rPr>
          <w:b w:val="0"/>
          <w:bCs w:val="0"/>
        </w:rPr>
        <w:tab/>
      </w:r>
      <w:r w:rsidR="00746FC5">
        <w:rPr>
          <w:b w:val="0"/>
          <w:bCs w:val="0"/>
        </w:rPr>
        <w:t>1</w:t>
      </w:r>
      <w:r w:rsidR="0011445F">
        <w:rPr>
          <w:b w:val="0"/>
          <w:bCs w:val="0"/>
        </w:rPr>
        <w:t>5</w:t>
      </w:r>
    </w:p>
    <w:p w:rsidR="00193652" w:rsidRDefault="00403C3C" w:rsidP="008A48A3">
      <w:pPr>
        <w:tabs>
          <w:tab w:val="right" w:pos="9000"/>
        </w:tabs>
        <w:spacing w:before="80" w:after="80"/>
        <w:ind w:left="360"/>
      </w:pPr>
      <w:r>
        <w:rPr>
          <w:b w:val="0"/>
          <w:bCs w:val="0"/>
        </w:rPr>
        <w:t>1.6 Scope of the Study</w:t>
      </w:r>
      <w:r w:rsidR="008A48A3">
        <w:rPr>
          <w:b w:val="0"/>
          <w:bCs w:val="0"/>
        </w:rPr>
        <w:tab/>
      </w:r>
      <w:r w:rsidR="00746FC5">
        <w:rPr>
          <w:b w:val="0"/>
          <w:bCs w:val="0"/>
        </w:rPr>
        <w:t>1</w:t>
      </w:r>
      <w:r w:rsidR="0011445F">
        <w:rPr>
          <w:b w:val="0"/>
          <w:bCs w:val="0"/>
        </w:rPr>
        <w:t>6</w:t>
      </w:r>
    </w:p>
    <w:p w:rsidR="00193652" w:rsidRDefault="00403C3C" w:rsidP="008A48A3">
      <w:pPr>
        <w:tabs>
          <w:tab w:val="right" w:pos="9000"/>
        </w:tabs>
        <w:spacing w:before="80" w:after="80"/>
        <w:ind w:left="360"/>
      </w:pPr>
      <w:r>
        <w:rPr>
          <w:b w:val="0"/>
          <w:bCs w:val="0"/>
        </w:rPr>
        <w:t>1.7 Significance of the Study</w:t>
      </w:r>
      <w:r w:rsidR="008A48A3">
        <w:rPr>
          <w:b w:val="0"/>
          <w:bCs w:val="0"/>
        </w:rPr>
        <w:tab/>
      </w:r>
      <w:r w:rsidR="00746FC5">
        <w:rPr>
          <w:b w:val="0"/>
          <w:bCs w:val="0"/>
        </w:rPr>
        <w:t>1</w:t>
      </w:r>
      <w:r w:rsidR="0011445F">
        <w:rPr>
          <w:b w:val="0"/>
          <w:bCs w:val="0"/>
        </w:rPr>
        <w:t>6</w:t>
      </w:r>
    </w:p>
    <w:p w:rsidR="00193652" w:rsidRDefault="00403C3C" w:rsidP="008A48A3">
      <w:pPr>
        <w:tabs>
          <w:tab w:val="right" w:pos="9000"/>
        </w:tabs>
        <w:spacing w:before="80" w:after="80"/>
        <w:ind w:left="360"/>
      </w:pPr>
      <w:r>
        <w:rPr>
          <w:b w:val="0"/>
          <w:bCs w:val="0"/>
        </w:rPr>
        <w:t>1.8 Definition of Terms</w:t>
      </w:r>
      <w:r w:rsidR="008A48A3">
        <w:rPr>
          <w:b w:val="0"/>
          <w:bCs w:val="0"/>
        </w:rPr>
        <w:tab/>
      </w:r>
      <w:r>
        <w:rPr>
          <w:b w:val="0"/>
          <w:bCs w:val="0"/>
        </w:rPr>
        <w:t>1</w:t>
      </w:r>
      <w:r w:rsidR="0011445F">
        <w:rPr>
          <w:b w:val="0"/>
          <w:bCs w:val="0"/>
        </w:rPr>
        <w:t>7</w:t>
      </w:r>
    </w:p>
    <w:p w:rsidR="00193652" w:rsidRDefault="00193652" w:rsidP="008A48A3">
      <w:pPr>
        <w:spacing w:before="60" w:after="60"/>
      </w:pPr>
    </w:p>
    <w:p w:rsidR="00193652" w:rsidRDefault="00403C3C">
      <w:pPr>
        <w:tabs>
          <w:tab w:val="right" w:pos="9000"/>
        </w:tabs>
        <w:spacing w:before="180" w:after="80" w:line="480" w:lineRule="auto"/>
      </w:pPr>
      <w:r>
        <w:t>CHAPTER TWO: REVIEW OF RELATED LITERATURE</w:t>
      </w:r>
      <w:r w:rsidR="008A48A3">
        <w:tab/>
      </w:r>
      <w:r w:rsidR="0011445F">
        <w:t>19</w:t>
      </w:r>
    </w:p>
    <w:p w:rsidR="00193652" w:rsidRDefault="00403C3C" w:rsidP="008A48A3">
      <w:pPr>
        <w:tabs>
          <w:tab w:val="right" w:pos="9000"/>
        </w:tabs>
        <w:spacing w:before="80" w:after="80"/>
        <w:ind w:left="360"/>
      </w:pPr>
      <w:r>
        <w:rPr>
          <w:b w:val="0"/>
          <w:bCs w:val="0"/>
        </w:rPr>
        <w:t>2.1 Conceptual Review</w:t>
      </w:r>
      <w:r w:rsidR="008A48A3">
        <w:rPr>
          <w:b w:val="0"/>
          <w:bCs w:val="0"/>
        </w:rPr>
        <w:tab/>
      </w:r>
      <w:r w:rsidR="0011445F">
        <w:rPr>
          <w:b w:val="0"/>
          <w:bCs w:val="0"/>
        </w:rPr>
        <w:t>19</w:t>
      </w:r>
    </w:p>
    <w:p w:rsidR="00193652" w:rsidRDefault="00403C3C" w:rsidP="008A48A3">
      <w:pPr>
        <w:tabs>
          <w:tab w:val="right" w:pos="9000"/>
        </w:tabs>
        <w:spacing w:before="80" w:after="80"/>
        <w:ind w:left="720"/>
      </w:pPr>
      <w:r>
        <w:rPr>
          <w:b w:val="0"/>
          <w:bCs w:val="0"/>
        </w:rPr>
        <w:t xml:space="preserve">    2.1.1 Tax Policy: Nature, Structure, and Investment Relevance</w:t>
      </w:r>
      <w:r w:rsidR="008A48A3">
        <w:rPr>
          <w:b w:val="0"/>
          <w:bCs w:val="0"/>
        </w:rPr>
        <w:tab/>
      </w:r>
      <w:r w:rsidR="0011445F">
        <w:rPr>
          <w:b w:val="0"/>
          <w:bCs w:val="0"/>
        </w:rPr>
        <w:t>19</w:t>
      </w:r>
    </w:p>
    <w:p w:rsidR="00193652" w:rsidRDefault="00403C3C" w:rsidP="008A48A3">
      <w:pPr>
        <w:tabs>
          <w:tab w:val="right" w:pos="9000"/>
        </w:tabs>
        <w:spacing w:before="80" w:after="80"/>
        <w:ind w:left="720"/>
      </w:pPr>
      <w:r>
        <w:rPr>
          <w:b w:val="0"/>
          <w:bCs w:val="0"/>
        </w:rPr>
        <w:t xml:space="preserve">    2.1.2 Corporate Income Tax (CIT): Concept and Investment Implications</w:t>
      </w:r>
      <w:r w:rsidR="008A48A3">
        <w:rPr>
          <w:b w:val="0"/>
          <w:bCs w:val="0"/>
        </w:rPr>
        <w:tab/>
      </w:r>
      <w:r w:rsidR="00746FC5">
        <w:rPr>
          <w:b w:val="0"/>
          <w:bCs w:val="0"/>
        </w:rPr>
        <w:t>2</w:t>
      </w:r>
      <w:r w:rsidR="0011445F">
        <w:rPr>
          <w:b w:val="0"/>
          <w:bCs w:val="0"/>
        </w:rPr>
        <w:t>0</w:t>
      </w:r>
    </w:p>
    <w:p w:rsidR="00193652" w:rsidRDefault="00403C3C" w:rsidP="008A48A3">
      <w:pPr>
        <w:tabs>
          <w:tab w:val="right" w:pos="9000"/>
        </w:tabs>
        <w:spacing w:before="80" w:after="80"/>
        <w:ind w:left="720"/>
      </w:pPr>
      <w:r>
        <w:rPr>
          <w:b w:val="0"/>
          <w:bCs w:val="0"/>
        </w:rPr>
        <w:t xml:space="preserve">    2.1.3 Tax Incentives: Rationale, Types, and Effectiveness</w:t>
      </w:r>
      <w:r w:rsidR="008A48A3">
        <w:rPr>
          <w:b w:val="0"/>
          <w:bCs w:val="0"/>
        </w:rPr>
        <w:tab/>
      </w:r>
      <w:r w:rsidR="00746FC5">
        <w:rPr>
          <w:b w:val="0"/>
          <w:bCs w:val="0"/>
        </w:rPr>
        <w:t>2</w:t>
      </w:r>
      <w:r w:rsidR="0011445F">
        <w:rPr>
          <w:b w:val="0"/>
          <w:bCs w:val="0"/>
        </w:rPr>
        <w:t>0</w:t>
      </w:r>
    </w:p>
    <w:p w:rsidR="00193652" w:rsidRDefault="00403C3C" w:rsidP="008A48A3">
      <w:pPr>
        <w:tabs>
          <w:tab w:val="right" w:pos="9000"/>
        </w:tabs>
        <w:spacing w:before="80" w:after="80"/>
        <w:ind w:left="720"/>
      </w:pPr>
      <w:r>
        <w:rPr>
          <w:b w:val="0"/>
          <w:bCs w:val="0"/>
        </w:rPr>
        <w:t xml:space="preserve">    2.1.4 Value-Added Tax (VAT): Concept and Investment Implications</w:t>
      </w:r>
      <w:r w:rsidR="008A48A3">
        <w:rPr>
          <w:b w:val="0"/>
          <w:bCs w:val="0"/>
        </w:rPr>
        <w:tab/>
      </w:r>
      <w:r w:rsidR="00746FC5">
        <w:rPr>
          <w:b w:val="0"/>
          <w:bCs w:val="0"/>
        </w:rPr>
        <w:t>2</w:t>
      </w:r>
      <w:r w:rsidR="0011445F">
        <w:rPr>
          <w:b w:val="0"/>
          <w:bCs w:val="0"/>
        </w:rPr>
        <w:t>1</w:t>
      </w:r>
    </w:p>
    <w:p w:rsidR="00193652" w:rsidRDefault="00403C3C" w:rsidP="008A48A3">
      <w:pPr>
        <w:tabs>
          <w:tab w:val="right" w:pos="9000"/>
        </w:tabs>
        <w:spacing w:before="80" w:after="80"/>
        <w:ind w:left="720"/>
      </w:pPr>
      <w:r>
        <w:rPr>
          <w:b w:val="0"/>
          <w:bCs w:val="0"/>
        </w:rPr>
        <w:t xml:space="preserve">    2.1.5 Foreign Direct Investment: Concept, Determinants, and Economic Role</w:t>
      </w:r>
      <w:r w:rsidR="008A48A3">
        <w:rPr>
          <w:b w:val="0"/>
          <w:bCs w:val="0"/>
        </w:rPr>
        <w:tab/>
      </w:r>
      <w:r>
        <w:rPr>
          <w:b w:val="0"/>
          <w:bCs w:val="0"/>
        </w:rPr>
        <w:t>2</w:t>
      </w:r>
      <w:r w:rsidR="0011445F">
        <w:rPr>
          <w:b w:val="0"/>
          <w:bCs w:val="0"/>
        </w:rPr>
        <w:t>2</w:t>
      </w:r>
    </w:p>
    <w:p w:rsidR="00193652" w:rsidRDefault="00403C3C" w:rsidP="008A48A3">
      <w:pPr>
        <w:tabs>
          <w:tab w:val="right" w:pos="9000"/>
        </w:tabs>
        <w:spacing w:before="80" w:after="80"/>
        <w:ind w:left="360"/>
      </w:pPr>
      <w:r>
        <w:rPr>
          <w:b w:val="0"/>
          <w:bCs w:val="0"/>
        </w:rPr>
        <w:t>2.2 Theoretical Framework</w:t>
      </w:r>
      <w:r w:rsidR="008A48A3">
        <w:rPr>
          <w:b w:val="0"/>
          <w:bCs w:val="0"/>
        </w:rPr>
        <w:tab/>
      </w:r>
      <w:r>
        <w:rPr>
          <w:b w:val="0"/>
          <w:bCs w:val="0"/>
        </w:rPr>
        <w:t>2</w:t>
      </w:r>
      <w:r w:rsidR="0011445F">
        <w:rPr>
          <w:b w:val="0"/>
          <w:bCs w:val="0"/>
        </w:rPr>
        <w:t>3</w:t>
      </w:r>
    </w:p>
    <w:p w:rsidR="00193652" w:rsidRDefault="00403C3C" w:rsidP="008A48A3">
      <w:pPr>
        <w:tabs>
          <w:tab w:val="right" w:pos="9000"/>
        </w:tabs>
        <w:spacing w:before="80" w:after="80"/>
        <w:ind w:left="720"/>
      </w:pPr>
      <w:r>
        <w:rPr>
          <w:b w:val="0"/>
          <w:bCs w:val="0"/>
        </w:rPr>
        <w:t xml:space="preserve">    2.2.1 The Neoclassical Theory of Investment</w:t>
      </w:r>
      <w:r w:rsidR="008A48A3">
        <w:rPr>
          <w:b w:val="0"/>
          <w:bCs w:val="0"/>
        </w:rPr>
        <w:tab/>
      </w:r>
      <w:r>
        <w:rPr>
          <w:b w:val="0"/>
          <w:bCs w:val="0"/>
        </w:rPr>
        <w:t>2</w:t>
      </w:r>
      <w:r w:rsidR="0011445F">
        <w:rPr>
          <w:b w:val="0"/>
          <w:bCs w:val="0"/>
        </w:rPr>
        <w:t>3</w:t>
      </w:r>
    </w:p>
    <w:p w:rsidR="00193652" w:rsidRDefault="00403C3C" w:rsidP="008A48A3">
      <w:pPr>
        <w:tabs>
          <w:tab w:val="right" w:pos="9000"/>
        </w:tabs>
        <w:spacing w:before="80" w:after="80"/>
        <w:ind w:left="720"/>
      </w:pPr>
      <w:r>
        <w:rPr>
          <w:b w:val="0"/>
          <w:bCs w:val="0"/>
        </w:rPr>
        <w:t xml:space="preserve">    2.2.2 Dunning’s Eclectic Paradigm (OLI Theory)</w:t>
      </w:r>
      <w:r w:rsidR="008A48A3">
        <w:rPr>
          <w:b w:val="0"/>
          <w:bCs w:val="0"/>
        </w:rPr>
        <w:tab/>
      </w:r>
      <w:r>
        <w:rPr>
          <w:b w:val="0"/>
          <w:bCs w:val="0"/>
        </w:rPr>
        <w:t>2</w:t>
      </w:r>
      <w:r w:rsidR="0011445F">
        <w:rPr>
          <w:b w:val="0"/>
          <w:bCs w:val="0"/>
        </w:rPr>
        <w:t>3</w:t>
      </w:r>
    </w:p>
    <w:p w:rsidR="00193652" w:rsidRDefault="00403C3C" w:rsidP="008A48A3">
      <w:pPr>
        <w:tabs>
          <w:tab w:val="right" w:pos="9000"/>
        </w:tabs>
        <w:spacing w:before="80" w:after="80"/>
        <w:ind w:left="720"/>
      </w:pPr>
      <w:r>
        <w:rPr>
          <w:b w:val="0"/>
          <w:bCs w:val="0"/>
        </w:rPr>
        <w:t xml:space="preserve">    2.2.3 Institutional Theory of Investment</w:t>
      </w:r>
      <w:r w:rsidR="008A48A3">
        <w:rPr>
          <w:b w:val="0"/>
          <w:bCs w:val="0"/>
        </w:rPr>
        <w:tab/>
      </w:r>
      <w:r>
        <w:rPr>
          <w:b w:val="0"/>
          <w:bCs w:val="0"/>
        </w:rPr>
        <w:t>2</w:t>
      </w:r>
      <w:r w:rsidR="0011445F">
        <w:rPr>
          <w:b w:val="0"/>
          <w:bCs w:val="0"/>
        </w:rPr>
        <w:t>4</w:t>
      </w:r>
    </w:p>
    <w:p w:rsidR="00193652" w:rsidRDefault="00403C3C" w:rsidP="008A48A3">
      <w:pPr>
        <w:tabs>
          <w:tab w:val="right" w:pos="9000"/>
        </w:tabs>
        <w:spacing w:before="80" w:after="80"/>
        <w:ind w:left="720"/>
      </w:pPr>
      <w:r>
        <w:rPr>
          <w:b w:val="0"/>
          <w:bCs w:val="0"/>
        </w:rPr>
        <w:t xml:space="preserve">    2.2.4 Relevance to the Study</w:t>
      </w:r>
      <w:r w:rsidR="008A48A3">
        <w:rPr>
          <w:b w:val="0"/>
          <w:bCs w:val="0"/>
        </w:rPr>
        <w:tab/>
      </w:r>
      <w:r>
        <w:rPr>
          <w:b w:val="0"/>
          <w:bCs w:val="0"/>
        </w:rPr>
        <w:t>2</w:t>
      </w:r>
      <w:r w:rsidR="0011445F">
        <w:rPr>
          <w:b w:val="0"/>
          <w:bCs w:val="0"/>
        </w:rPr>
        <w:t>5</w:t>
      </w:r>
    </w:p>
    <w:p w:rsidR="00193652" w:rsidRDefault="00403C3C" w:rsidP="008A48A3">
      <w:pPr>
        <w:tabs>
          <w:tab w:val="right" w:pos="9000"/>
        </w:tabs>
        <w:spacing w:before="80" w:after="80"/>
        <w:ind w:left="360"/>
      </w:pPr>
      <w:r>
        <w:rPr>
          <w:b w:val="0"/>
          <w:bCs w:val="0"/>
        </w:rPr>
        <w:lastRenderedPageBreak/>
        <w:t>2.3 Empirical Review</w:t>
      </w:r>
      <w:r w:rsidR="008A48A3">
        <w:rPr>
          <w:b w:val="0"/>
          <w:bCs w:val="0"/>
        </w:rPr>
        <w:tab/>
      </w:r>
      <w:r>
        <w:rPr>
          <w:b w:val="0"/>
          <w:bCs w:val="0"/>
        </w:rPr>
        <w:t>2</w:t>
      </w:r>
      <w:r w:rsidR="0011445F">
        <w:rPr>
          <w:b w:val="0"/>
          <w:bCs w:val="0"/>
        </w:rPr>
        <w:t>6</w:t>
      </w:r>
    </w:p>
    <w:p w:rsidR="00193652" w:rsidRDefault="00746FC5" w:rsidP="00746FC5">
      <w:pPr>
        <w:tabs>
          <w:tab w:val="right" w:pos="9000"/>
        </w:tabs>
        <w:spacing w:before="80" w:after="80"/>
      </w:pPr>
      <w:r>
        <w:rPr>
          <w:b w:val="0"/>
          <w:bCs w:val="0"/>
        </w:rPr>
        <w:t xml:space="preserve">      2.4 Summary of Empirical Review and Research Gap</w:t>
      </w:r>
      <w:r w:rsidR="008A48A3">
        <w:rPr>
          <w:b w:val="0"/>
          <w:bCs w:val="0"/>
        </w:rPr>
        <w:tab/>
      </w:r>
      <w:r>
        <w:rPr>
          <w:b w:val="0"/>
          <w:bCs w:val="0"/>
        </w:rPr>
        <w:t>3</w:t>
      </w:r>
      <w:r w:rsidR="0011445F">
        <w:rPr>
          <w:b w:val="0"/>
          <w:bCs w:val="0"/>
        </w:rPr>
        <w:t>6</w:t>
      </w:r>
    </w:p>
    <w:p w:rsidR="00193652" w:rsidRDefault="00193652">
      <w:pPr>
        <w:spacing w:before="60" w:after="60"/>
      </w:pPr>
    </w:p>
    <w:p w:rsidR="00193652" w:rsidRDefault="00403C3C">
      <w:pPr>
        <w:tabs>
          <w:tab w:val="right" w:pos="9000"/>
        </w:tabs>
        <w:spacing w:before="180" w:after="80" w:line="480" w:lineRule="auto"/>
      </w:pPr>
      <w:r>
        <w:t>CHAPTER THREE: RESEARCH METHODOLOGY</w:t>
      </w:r>
      <w:r w:rsidR="008A48A3">
        <w:tab/>
      </w:r>
      <w:r w:rsidR="00746FC5">
        <w:t>3</w:t>
      </w:r>
      <w:r w:rsidR="0011445F">
        <w:t>8</w:t>
      </w:r>
    </w:p>
    <w:p w:rsidR="00193652" w:rsidRDefault="00403C3C" w:rsidP="008A48A3">
      <w:pPr>
        <w:tabs>
          <w:tab w:val="right" w:pos="9000"/>
        </w:tabs>
        <w:spacing w:before="80" w:after="80"/>
        <w:ind w:left="360"/>
      </w:pPr>
      <w:r>
        <w:rPr>
          <w:b w:val="0"/>
          <w:bCs w:val="0"/>
        </w:rPr>
        <w:t>3.1 Research Design</w:t>
      </w:r>
      <w:r w:rsidR="008A48A3">
        <w:rPr>
          <w:b w:val="0"/>
          <w:bCs w:val="0"/>
        </w:rPr>
        <w:tab/>
      </w:r>
      <w:r w:rsidR="00746FC5">
        <w:rPr>
          <w:b w:val="0"/>
          <w:bCs w:val="0"/>
        </w:rPr>
        <w:t>3</w:t>
      </w:r>
      <w:r w:rsidR="0011445F">
        <w:rPr>
          <w:b w:val="0"/>
          <w:bCs w:val="0"/>
        </w:rPr>
        <w:t>8</w:t>
      </w:r>
    </w:p>
    <w:p w:rsidR="00193652" w:rsidRDefault="00403C3C" w:rsidP="008A48A3">
      <w:pPr>
        <w:tabs>
          <w:tab w:val="right" w:pos="9000"/>
        </w:tabs>
        <w:spacing w:before="80" w:after="80"/>
        <w:ind w:left="360"/>
      </w:pPr>
      <w:r>
        <w:rPr>
          <w:b w:val="0"/>
          <w:bCs w:val="0"/>
        </w:rPr>
        <w:t>3.2 Area of Study</w:t>
      </w:r>
      <w:r w:rsidR="008A48A3">
        <w:rPr>
          <w:b w:val="0"/>
          <w:bCs w:val="0"/>
        </w:rPr>
        <w:tab/>
      </w:r>
      <w:r w:rsidR="00746FC5">
        <w:rPr>
          <w:b w:val="0"/>
          <w:bCs w:val="0"/>
        </w:rPr>
        <w:t>3</w:t>
      </w:r>
      <w:r w:rsidR="0011445F">
        <w:rPr>
          <w:b w:val="0"/>
          <w:bCs w:val="0"/>
        </w:rPr>
        <w:t>8</w:t>
      </w:r>
    </w:p>
    <w:p w:rsidR="00193652" w:rsidRDefault="00403C3C" w:rsidP="008A48A3">
      <w:pPr>
        <w:tabs>
          <w:tab w:val="right" w:pos="9000"/>
        </w:tabs>
        <w:spacing w:before="80" w:after="80"/>
        <w:ind w:left="360"/>
      </w:pPr>
      <w:r>
        <w:rPr>
          <w:b w:val="0"/>
          <w:bCs w:val="0"/>
        </w:rPr>
        <w:t>3.3 Sources of Data</w:t>
      </w:r>
      <w:r w:rsidR="008A48A3">
        <w:rPr>
          <w:b w:val="0"/>
          <w:bCs w:val="0"/>
        </w:rPr>
        <w:tab/>
      </w:r>
      <w:r w:rsidR="0011445F">
        <w:rPr>
          <w:b w:val="0"/>
          <w:bCs w:val="0"/>
        </w:rPr>
        <w:t>39</w:t>
      </w:r>
    </w:p>
    <w:p w:rsidR="00193652" w:rsidRDefault="00403C3C" w:rsidP="008A48A3">
      <w:pPr>
        <w:tabs>
          <w:tab w:val="right" w:pos="9000"/>
        </w:tabs>
        <w:spacing w:before="80" w:after="80"/>
        <w:ind w:left="360"/>
      </w:pPr>
      <w:r>
        <w:rPr>
          <w:b w:val="0"/>
          <w:bCs w:val="0"/>
        </w:rPr>
        <w:t xml:space="preserve">3.4 </w:t>
      </w:r>
      <w:r w:rsidR="00F54FC7">
        <w:rPr>
          <w:b w:val="0"/>
          <w:bCs w:val="0"/>
        </w:rPr>
        <w:t>Population of the study</w:t>
      </w:r>
      <w:r w:rsidR="008A48A3">
        <w:rPr>
          <w:b w:val="0"/>
          <w:bCs w:val="0"/>
        </w:rPr>
        <w:tab/>
      </w:r>
      <w:r w:rsidR="0011445F">
        <w:rPr>
          <w:b w:val="0"/>
          <w:bCs w:val="0"/>
        </w:rPr>
        <w:t>39</w:t>
      </w:r>
    </w:p>
    <w:p w:rsidR="00193652" w:rsidRDefault="00403C3C" w:rsidP="008A48A3">
      <w:pPr>
        <w:tabs>
          <w:tab w:val="right" w:pos="9000"/>
        </w:tabs>
        <w:spacing w:before="80" w:after="80"/>
        <w:ind w:left="360"/>
      </w:pPr>
      <w:r>
        <w:rPr>
          <w:b w:val="0"/>
          <w:bCs w:val="0"/>
        </w:rPr>
        <w:t xml:space="preserve">3.5 </w:t>
      </w:r>
      <w:r w:rsidR="00F54FC7">
        <w:rPr>
          <w:b w:val="0"/>
          <w:bCs w:val="0"/>
        </w:rPr>
        <w:t>Variable measurement</w:t>
      </w:r>
      <w:r w:rsidR="008A48A3">
        <w:rPr>
          <w:b w:val="0"/>
          <w:bCs w:val="0"/>
        </w:rPr>
        <w:tab/>
      </w:r>
      <w:r>
        <w:rPr>
          <w:b w:val="0"/>
          <w:bCs w:val="0"/>
        </w:rPr>
        <w:t>4</w:t>
      </w:r>
      <w:r w:rsidR="00F54FC7">
        <w:rPr>
          <w:b w:val="0"/>
          <w:bCs w:val="0"/>
        </w:rPr>
        <w:t>0</w:t>
      </w:r>
    </w:p>
    <w:p w:rsidR="00193652" w:rsidRPr="008A48A3" w:rsidRDefault="00403C3C" w:rsidP="008A48A3">
      <w:pPr>
        <w:tabs>
          <w:tab w:val="right" w:pos="9000"/>
        </w:tabs>
        <w:spacing w:before="80" w:after="80"/>
        <w:ind w:left="360"/>
        <w:rPr>
          <w:b w:val="0"/>
          <w:bCs w:val="0"/>
        </w:rPr>
      </w:pPr>
      <w:r>
        <w:rPr>
          <w:b w:val="0"/>
          <w:bCs w:val="0"/>
        </w:rPr>
        <w:t xml:space="preserve">3.6 </w:t>
      </w:r>
      <w:r w:rsidR="00F54FC7">
        <w:rPr>
          <w:b w:val="0"/>
          <w:bCs w:val="0"/>
        </w:rPr>
        <w:t>Model Specification</w:t>
      </w:r>
      <w:r w:rsidR="008A48A3">
        <w:rPr>
          <w:b w:val="0"/>
          <w:bCs w:val="0"/>
        </w:rPr>
        <w:tab/>
      </w:r>
      <w:r>
        <w:rPr>
          <w:b w:val="0"/>
          <w:bCs w:val="0"/>
        </w:rPr>
        <w:t>4</w:t>
      </w:r>
      <w:r w:rsidR="00F54FC7">
        <w:rPr>
          <w:b w:val="0"/>
          <w:bCs w:val="0"/>
        </w:rPr>
        <w:t>1</w:t>
      </w:r>
    </w:p>
    <w:p w:rsidR="00193652" w:rsidRDefault="00403C3C" w:rsidP="008A48A3">
      <w:pPr>
        <w:tabs>
          <w:tab w:val="right" w:pos="9000"/>
        </w:tabs>
        <w:spacing w:before="80" w:after="80"/>
        <w:ind w:left="360"/>
      </w:pPr>
      <w:r>
        <w:rPr>
          <w:b w:val="0"/>
          <w:bCs w:val="0"/>
        </w:rPr>
        <w:t>3.</w:t>
      </w:r>
      <w:r w:rsidR="00F54FC7">
        <w:rPr>
          <w:b w:val="0"/>
          <w:bCs w:val="0"/>
        </w:rPr>
        <w:t>7</w:t>
      </w:r>
      <w:r>
        <w:rPr>
          <w:b w:val="0"/>
          <w:bCs w:val="0"/>
        </w:rPr>
        <w:t xml:space="preserve"> Data Analysis Techniques</w:t>
      </w:r>
      <w:r w:rsidR="008A48A3">
        <w:rPr>
          <w:b w:val="0"/>
          <w:bCs w:val="0"/>
        </w:rPr>
        <w:tab/>
      </w:r>
      <w:r w:rsidR="00F54FC7">
        <w:rPr>
          <w:b w:val="0"/>
          <w:bCs w:val="0"/>
        </w:rPr>
        <w:t>42</w:t>
      </w:r>
    </w:p>
    <w:p w:rsidR="00193652" w:rsidRDefault="00193652" w:rsidP="008A48A3">
      <w:pPr>
        <w:spacing w:before="60" w:after="60"/>
      </w:pPr>
    </w:p>
    <w:p w:rsidR="00193652" w:rsidRDefault="00403C3C">
      <w:pPr>
        <w:tabs>
          <w:tab w:val="right" w:pos="9000"/>
        </w:tabs>
        <w:spacing w:before="180" w:after="80" w:line="480" w:lineRule="auto"/>
      </w:pPr>
      <w:r>
        <w:t>CHAPTER FOUR: PRESENTATION AND ANALYSIS OF DATA58</w:t>
      </w:r>
    </w:p>
    <w:p w:rsidR="00193652" w:rsidRDefault="00403C3C" w:rsidP="008A48A3">
      <w:pPr>
        <w:tabs>
          <w:tab w:val="right" w:pos="9000"/>
        </w:tabs>
        <w:spacing w:before="80" w:after="80"/>
        <w:ind w:left="360"/>
      </w:pPr>
      <w:r>
        <w:rPr>
          <w:b w:val="0"/>
          <w:bCs w:val="0"/>
        </w:rPr>
        <w:t>4.1 Presentation of Data</w:t>
      </w:r>
      <w:r w:rsidR="008A48A3">
        <w:rPr>
          <w:b w:val="0"/>
          <w:bCs w:val="0"/>
        </w:rPr>
        <w:tab/>
      </w:r>
      <w:r w:rsidR="0011445F">
        <w:rPr>
          <w:b w:val="0"/>
          <w:bCs w:val="0"/>
        </w:rPr>
        <w:t>43</w:t>
      </w:r>
    </w:p>
    <w:p w:rsidR="00193652" w:rsidRDefault="00403C3C" w:rsidP="008A48A3">
      <w:pPr>
        <w:tabs>
          <w:tab w:val="right" w:pos="9000"/>
        </w:tabs>
        <w:spacing w:before="80" w:after="80"/>
        <w:ind w:left="360"/>
      </w:pPr>
      <w:r>
        <w:rPr>
          <w:b w:val="0"/>
          <w:bCs w:val="0"/>
        </w:rPr>
        <w:t>4.2 Analysis of Data</w:t>
      </w:r>
      <w:r w:rsidR="008A48A3">
        <w:rPr>
          <w:b w:val="0"/>
          <w:bCs w:val="0"/>
        </w:rPr>
        <w:tab/>
      </w:r>
      <w:r w:rsidR="0011445F">
        <w:rPr>
          <w:b w:val="0"/>
          <w:bCs w:val="0"/>
        </w:rPr>
        <w:t>43</w:t>
      </w:r>
    </w:p>
    <w:p w:rsidR="00193652" w:rsidRDefault="00403C3C" w:rsidP="008A48A3">
      <w:pPr>
        <w:tabs>
          <w:tab w:val="right" w:pos="9000"/>
        </w:tabs>
        <w:spacing w:before="80" w:after="80"/>
        <w:ind w:left="360"/>
      </w:pPr>
      <w:r>
        <w:rPr>
          <w:b w:val="0"/>
          <w:bCs w:val="0"/>
        </w:rPr>
        <w:t>4.3 Testing the Research Hypotheses</w:t>
      </w:r>
      <w:r w:rsidR="008A48A3">
        <w:rPr>
          <w:b w:val="0"/>
          <w:bCs w:val="0"/>
        </w:rPr>
        <w:tab/>
      </w:r>
      <w:r w:rsidR="0011445F">
        <w:rPr>
          <w:b w:val="0"/>
          <w:bCs w:val="0"/>
        </w:rPr>
        <w:t>51</w:t>
      </w:r>
    </w:p>
    <w:p w:rsidR="00193652" w:rsidRDefault="00403C3C" w:rsidP="008A48A3">
      <w:pPr>
        <w:tabs>
          <w:tab w:val="right" w:pos="9000"/>
        </w:tabs>
        <w:spacing w:before="80" w:after="80"/>
        <w:ind w:left="360"/>
      </w:pPr>
      <w:r>
        <w:rPr>
          <w:b w:val="0"/>
          <w:bCs w:val="0"/>
        </w:rPr>
        <w:t>4.4 Discussion of Findings</w:t>
      </w:r>
      <w:r w:rsidR="008A48A3">
        <w:rPr>
          <w:b w:val="0"/>
          <w:bCs w:val="0"/>
        </w:rPr>
        <w:tab/>
      </w:r>
      <w:r w:rsidR="0011445F">
        <w:rPr>
          <w:b w:val="0"/>
          <w:bCs w:val="0"/>
        </w:rPr>
        <w:t>53</w:t>
      </w:r>
    </w:p>
    <w:p w:rsidR="00193652" w:rsidRDefault="00193652" w:rsidP="008A48A3">
      <w:pPr>
        <w:spacing w:before="60" w:after="60"/>
      </w:pPr>
    </w:p>
    <w:p w:rsidR="00193652" w:rsidRDefault="00403C3C" w:rsidP="002271F5">
      <w:pPr>
        <w:tabs>
          <w:tab w:val="right" w:pos="9000"/>
        </w:tabs>
        <w:spacing w:before="180" w:after="80"/>
      </w:pPr>
      <w:r>
        <w:t>CHAPTER FIVE: SUMMARY OF FINDINGS, CONCLUSION AND RECOMMENDATIONS</w:t>
      </w:r>
      <w:r w:rsidR="002271F5">
        <w:tab/>
      </w:r>
      <w:r w:rsidR="00746FC5">
        <w:t>5</w:t>
      </w:r>
      <w:r w:rsidR="0011445F">
        <w:t>5</w:t>
      </w:r>
    </w:p>
    <w:p w:rsidR="00193652" w:rsidRDefault="00403C3C" w:rsidP="002271F5">
      <w:pPr>
        <w:tabs>
          <w:tab w:val="right" w:pos="9000"/>
        </w:tabs>
        <w:spacing w:before="80" w:after="80"/>
        <w:ind w:left="360"/>
      </w:pPr>
      <w:r>
        <w:rPr>
          <w:b w:val="0"/>
          <w:bCs w:val="0"/>
        </w:rPr>
        <w:t>5.1 Summary of Findings</w:t>
      </w:r>
      <w:r w:rsidR="002271F5">
        <w:rPr>
          <w:b w:val="0"/>
          <w:bCs w:val="0"/>
        </w:rPr>
        <w:tab/>
      </w:r>
      <w:r w:rsidR="00746FC5">
        <w:rPr>
          <w:b w:val="0"/>
          <w:bCs w:val="0"/>
        </w:rPr>
        <w:t>5</w:t>
      </w:r>
      <w:r w:rsidR="0011445F">
        <w:rPr>
          <w:b w:val="0"/>
          <w:bCs w:val="0"/>
        </w:rPr>
        <w:t>5</w:t>
      </w:r>
    </w:p>
    <w:p w:rsidR="00193652" w:rsidRDefault="00403C3C" w:rsidP="002271F5">
      <w:pPr>
        <w:tabs>
          <w:tab w:val="right" w:pos="9000"/>
        </w:tabs>
        <w:spacing w:before="80" w:after="80"/>
        <w:ind w:left="360"/>
      </w:pPr>
      <w:r>
        <w:rPr>
          <w:b w:val="0"/>
          <w:bCs w:val="0"/>
        </w:rPr>
        <w:t>5.2 Conclusion</w:t>
      </w:r>
      <w:r w:rsidR="002271F5">
        <w:rPr>
          <w:b w:val="0"/>
          <w:bCs w:val="0"/>
        </w:rPr>
        <w:tab/>
      </w:r>
      <w:r w:rsidR="00746FC5">
        <w:rPr>
          <w:b w:val="0"/>
          <w:bCs w:val="0"/>
        </w:rPr>
        <w:t>5</w:t>
      </w:r>
      <w:r w:rsidR="0011445F">
        <w:rPr>
          <w:b w:val="0"/>
          <w:bCs w:val="0"/>
        </w:rPr>
        <w:t>5</w:t>
      </w:r>
    </w:p>
    <w:p w:rsidR="00193652" w:rsidRDefault="00403C3C" w:rsidP="002271F5">
      <w:pPr>
        <w:tabs>
          <w:tab w:val="right" w:pos="9000"/>
        </w:tabs>
        <w:spacing w:before="80" w:after="80"/>
        <w:ind w:left="360"/>
      </w:pPr>
      <w:r>
        <w:rPr>
          <w:b w:val="0"/>
          <w:bCs w:val="0"/>
        </w:rPr>
        <w:t>5.3 Recommendations</w:t>
      </w:r>
      <w:r w:rsidR="002271F5">
        <w:rPr>
          <w:b w:val="0"/>
          <w:bCs w:val="0"/>
        </w:rPr>
        <w:tab/>
      </w:r>
      <w:r w:rsidR="00746FC5">
        <w:rPr>
          <w:b w:val="0"/>
          <w:bCs w:val="0"/>
        </w:rPr>
        <w:t>5</w:t>
      </w:r>
      <w:r w:rsidR="0011445F">
        <w:rPr>
          <w:b w:val="0"/>
          <w:bCs w:val="0"/>
        </w:rPr>
        <w:t>6</w:t>
      </w:r>
    </w:p>
    <w:p w:rsidR="00193652" w:rsidRDefault="00403C3C" w:rsidP="002271F5">
      <w:pPr>
        <w:tabs>
          <w:tab w:val="right" w:pos="9000"/>
        </w:tabs>
        <w:spacing w:before="80" w:after="80"/>
        <w:ind w:left="360"/>
      </w:pPr>
      <w:r>
        <w:rPr>
          <w:b w:val="0"/>
          <w:bCs w:val="0"/>
        </w:rPr>
        <w:t>5.4 Areas for Further Studies</w:t>
      </w:r>
      <w:r w:rsidR="002271F5">
        <w:rPr>
          <w:b w:val="0"/>
          <w:bCs w:val="0"/>
        </w:rPr>
        <w:tab/>
      </w:r>
      <w:r w:rsidR="00746FC5">
        <w:rPr>
          <w:b w:val="0"/>
          <w:bCs w:val="0"/>
        </w:rPr>
        <w:t>5</w:t>
      </w:r>
      <w:r w:rsidR="0011445F">
        <w:rPr>
          <w:b w:val="0"/>
          <w:bCs w:val="0"/>
        </w:rPr>
        <w:t>7</w:t>
      </w:r>
    </w:p>
    <w:p w:rsidR="00193652" w:rsidRDefault="00193652" w:rsidP="002271F5">
      <w:pPr>
        <w:spacing w:before="60" w:after="60"/>
      </w:pPr>
    </w:p>
    <w:p w:rsidR="00193652" w:rsidRDefault="00403C3C">
      <w:pPr>
        <w:tabs>
          <w:tab w:val="right" w:pos="9000"/>
        </w:tabs>
        <w:spacing w:before="180" w:after="80" w:line="480" w:lineRule="auto"/>
      </w:pPr>
      <w:r>
        <w:t>REFERENCES</w:t>
      </w:r>
      <w:r w:rsidR="002271F5">
        <w:tab/>
      </w:r>
      <w:r w:rsidR="0011445F">
        <w:t>59</w:t>
      </w:r>
    </w:p>
    <w:p w:rsidR="00193652" w:rsidRDefault="00403C3C">
      <w:pPr>
        <w:tabs>
          <w:tab w:val="right" w:pos="9000"/>
        </w:tabs>
        <w:spacing w:before="180" w:after="80" w:line="480" w:lineRule="auto"/>
      </w:pPr>
      <w:r>
        <w:t>APPENDICES</w:t>
      </w:r>
      <w:r w:rsidR="002271F5">
        <w:tab/>
      </w:r>
      <w:r w:rsidR="00746FC5">
        <w:t>6</w:t>
      </w:r>
      <w:r w:rsidR="0011445F">
        <w:t>4</w:t>
      </w:r>
    </w:p>
    <w:p w:rsidR="00F54FC7" w:rsidRDefault="00F54FC7">
      <w:pPr>
        <w:spacing w:before="100" w:after="100" w:line="480" w:lineRule="auto"/>
        <w:jc w:val="center"/>
      </w:pPr>
    </w:p>
    <w:p w:rsidR="00F54FC7" w:rsidRDefault="00F54FC7">
      <w:pPr>
        <w:spacing w:before="100" w:after="100" w:line="480" w:lineRule="auto"/>
        <w:jc w:val="center"/>
      </w:pPr>
    </w:p>
    <w:p w:rsidR="00F54FC7" w:rsidRDefault="00F54FC7">
      <w:pPr>
        <w:spacing w:before="100" w:after="100" w:line="480" w:lineRule="auto"/>
        <w:jc w:val="center"/>
      </w:pPr>
    </w:p>
    <w:p w:rsidR="00193652" w:rsidRDefault="00403C3C">
      <w:pPr>
        <w:spacing w:before="100" w:after="100" w:line="480" w:lineRule="auto"/>
        <w:jc w:val="center"/>
      </w:pPr>
      <w:r>
        <w:lastRenderedPageBreak/>
        <w:t>LIST OF TABLES</w:t>
      </w:r>
    </w:p>
    <w:p w:rsidR="00193652" w:rsidRDefault="00193652">
      <w:pPr>
        <w:spacing w:before="60" w:after="60"/>
      </w:pPr>
    </w:p>
    <w:p w:rsidR="00193652" w:rsidRDefault="00403C3C">
      <w:pPr>
        <w:tabs>
          <w:tab w:val="right" w:pos="9000"/>
        </w:tabs>
        <w:spacing w:before="80" w:after="80" w:line="360" w:lineRule="auto"/>
      </w:pPr>
      <w:r>
        <w:rPr>
          <w:b w:val="0"/>
          <w:bCs w:val="0"/>
        </w:rPr>
        <w:t>Table 2.1: Summary of Empirical Review on Tax Policy and Foreign Direct Investment</w:t>
      </w:r>
      <w:r w:rsidR="00BB59FF">
        <w:rPr>
          <w:b w:val="0"/>
          <w:bCs w:val="0"/>
        </w:rPr>
        <w:tab/>
      </w:r>
      <w:r w:rsidR="0011445F">
        <w:rPr>
          <w:b w:val="0"/>
          <w:bCs w:val="0"/>
        </w:rPr>
        <w:t>33</w:t>
      </w:r>
    </w:p>
    <w:p w:rsidR="00193652" w:rsidRDefault="00403C3C">
      <w:pPr>
        <w:tabs>
          <w:tab w:val="right" w:pos="9000"/>
        </w:tabs>
        <w:spacing w:before="80" w:after="80" w:line="360" w:lineRule="auto"/>
      </w:pPr>
      <w:r>
        <w:rPr>
          <w:b w:val="0"/>
          <w:bCs w:val="0"/>
        </w:rPr>
        <w:t>Table 3.1: Variable Definitions and Measurement Summary</w:t>
      </w:r>
      <w:r w:rsidR="00BB59FF">
        <w:rPr>
          <w:b w:val="0"/>
          <w:bCs w:val="0"/>
        </w:rPr>
        <w:tab/>
      </w:r>
      <w:r>
        <w:rPr>
          <w:b w:val="0"/>
          <w:bCs w:val="0"/>
        </w:rPr>
        <w:t>4</w:t>
      </w:r>
      <w:r w:rsidR="0011445F">
        <w:rPr>
          <w:b w:val="0"/>
          <w:bCs w:val="0"/>
        </w:rPr>
        <w:t>2</w:t>
      </w:r>
    </w:p>
    <w:p w:rsidR="00193652" w:rsidRDefault="00403C3C">
      <w:pPr>
        <w:tabs>
          <w:tab w:val="right" w:pos="9000"/>
        </w:tabs>
        <w:spacing w:before="80" w:after="80" w:line="360" w:lineRule="auto"/>
      </w:pPr>
      <w:r>
        <w:rPr>
          <w:b w:val="0"/>
          <w:bCs w:val="0"/>
        </w:rPr>
        <w:t>Table 4.1: Annual Data on FDI, CIT, TI, VAT, GDPG, and EXR — Nigeria (2010–2024)</w:t>
      </w:r>
      <w:r w:rsidR="00BB59FF">
        <w:rPr>
          <w:b w:val="0"/>
          <w:bCs w:val="0"/>
        </w:rPr>
        <w:tab/>
      </w:r>
      <w:r>
        <w:rPr>
          <w:b w:val="0"/>
          <w:bCs w:val="0"/>
        </w:rPr>
        <w:t>58</w:t>
      </w:r>
    </w:p>
    <w:p w:rsidR="00193652" w:rsidRDefault="00403C3C">
      <w:pPr>
        <w:tabs>
          <w:tab w:val="right" w:pos="9000"/>
        </w:tabs>
        <w:spacing w:before="80" w:after="80" w:line="360" w:lineRule="auto"/>
      </w:pPr>
      <w:r>
        <w:rPr>
          <w:b w:val="0"/>
          <w:bCs w:val="0"/>
        </w:rPr>
        <w:t>Table 4.2: Descriptive Statistics of Study Variables (2010–2024)</w:t>
      </w:r>
      <w:r w:rsidR="00BB59FF">
        <w:rPr>
          <w:b w:val="0"/>
          <w:bCs w:val="0"/>
        </w:rPr>
        <w:tab/>
      </w:r>
      <w:r w:rsidR="0011445F">
        <w:rPr>
          <w:b w:val="0"/>
          <w:bCs w:val="0"/>
        </w:rPr>
        <w:t>45</w:t>
      </w:r>
    </w:p>
    <w:p w:rsidR="00193652" w:rsidRDefault="00403C3C">
      <w:pPr>
        <w:tabs>
          <w:tab w:val="right" w:pos="9000"/>
        </w:tabs>
        <w:spacing w:before="80" w:after="80" w:line="360" w:lineRule="auto"/>
      </w:pPr>
      <w:r>
        <w:rPr>
          <w:b w:val="0"/>
          <w:bCs w:val="0"/>
        </w:rPr>
        <w:t>Table 4.3: Unit Root Test Results — ADF and Phillips-Perron Tests</w:t>
      </w:r>
      <w:r w:rsidR="00BB59FF">
        <w:rPr>
          <w:b w:val="0"/>
          <w:bCs w:val="0"/>
        </w:rPr>
        <w:tab/>
      </w:r>
      <w:r w:rsidR="0011445F">
        <w:rPr>
          <w:b w:val="0"/>
          <w:bCs w:val="0"/>
        </w:rPr>
        <w:t>46</w:t>
      </w:r>
    </w:p>
    <w:p w:rsidR="00193652" w:rsidRDefault="00403C3C">
      <w:pPr>
        <w:tabs>
          <w:tab w:val="right" w:pos="9000"/>
        </w:tabs>
        <w:spacing w:before="80" w:after="80" w:line="360" w:lineRule="auto"/>
      </w:pPr>
      <w:r>
        <w:rPr>
          <w:b w:val="0"/>
          <w:bCs w:val="0"/>
        </w:rPr>
        <w:t>Table 4.4: ARDL F-Bounds Test for Cointegration</w:t>
      </w:r>
      <w:r w:rsidR="00BB59FF">
        <w:rPr>
          <w:b w:val="0"/>
          <w:bCs w:val="0"/>
        </w:rPr>
        <w:tab/>
      </w:r>
      <w:r w:rsidR="0011445F">
        <w:rPr>
          <w:b w:val="0"/>
          <w:bCs w:val="0"/>
        </w:rPr>
        <w:t>47</w:t>
      </w:r>
    </w:p>
    <w:p w:rsidR="00193652" w:rsidRDefault="00403C3C">
      <w:pPr>
        <w:tabs>
          <w:tab w:val="right" w:pos="9000"/>
        </w:tabs>
        <w:spacing w:before="80" w:after="80" w:line="360" w:lineRule="auto"/>
      </w:pPr>
      <w:r>
        <w:rPr>
          <w:b w:val="0"/>
          <w:bCs w:val="0"/>
        </w:rPr>
        <w:t>Table 4.5: Long-Run ARDL Coefficient Estimates</w:t>
      </w:r>
      <w:r w:rsidR="00BB59FF">
        <w:rPr>
          <w:b w:val="0"/>
          <w:bCs w:val="0"/>
        </w:rPr>
        <w:tab/>
      </w:r>
      <w:r w:rsidR="0011445F">
        <w:rPr>
          <w:b w:val="0"/>
          <w:bCs w:val="0"/>
        </w:rPr>
        <w:t>48</w:t>
      </w:r>
    </w:p>
    <w:p w:rsidR="00193652" w:rsidRDefault="00403C3C">
      <w:pPr>
        <w:tabs>
          <w:tab w:val="right" w:pos="9000"/>
        </w:tabs>
        <w:spacing w:before="80" w:after="80" w:line="360" w:lineRule="auto"/>
      </w:pPr>
      <w:r>
        <w:rPr>
          <w:b w:val="0"/>
          <w:bCs w:val="0"/>
        </w:rPr>
        <w:t>Table 4.6: Short-Run ARDL Coefficients and Error Correction Term</w:t>
      </w:r>
      <w:r w:rsidR="00BB59FF">
        <w:rPr>
          <w:b w:val="0"/>
          <w:bCs w:val="0"/>
        </w:rPr>
        <w:tab/>
      </w:r>
      <w:r w:rsidR="0011445F">
        <w:rPr>
          <w:b w:val="0"/>
          <w:bCs w:val="0"/>
        </w:rPr>
        <w:t>50</w:t>
      </w:r>
    </w:p>
    <w:p w:rsidR="00193652" w:rsidRDefault="00403C3C">
      <w:pPr>
        <w:tabs>
          <w:tab w:val="right" w:pos="9000"/>
        </w:tabs>
        <w:spacing w:before="80" w:after="80" w:line="360" w:lineRule="auto"/>
      </w:pPr>
      <w:r>
        <w:rPr>
          <w:b w:val="0"/>
          <w:bCs w:val="0"/>
        </w:rPr>
        <w:t>Table 4.7: Post-Estimation Diagnostic Test Results</w:t>
      </w:r>
      <w:r w:rsidR="00BB59FF">
        <w:rPr>
          <w:b w:val="0"/>
          <w:bCs w:val="0"/>
        </w:rPr>
        <w:tab/>
      </w:r>
      <w:r w:rsidR="0011445F">
        <w:rPr>
          <w:b w:val="0"/>
          <w:bCs w:val="0"/>
        </w:rPr>
        <w:t>52</w:t>
      </w:r>
    </w:p>
    <w:p w:rsidR="00193652" w:rsidRDefault="00403C3C">
      <w:r>
        <w:br w:type="page"/>
      </w:r>
    </w:p>
    <w:p w:rsidR="00193652" w:rsidRDefault="00403C3C">
      <w:pPr>
        <w:spacing w:before="100" w:after="100" w:line="480" w:lineRule="auto"/>
        <w:jc w:val="center"/>
      </w:pPr>
      <w:r>
        <w:lastRenderedPageBreak/>
        <w:t>ABSTRACT</w:t>
      </w:r>
    </w:p>
    <w:p w:rsidR="00193652" w:rsidRDefault="00193652">
      <w:pPr>
        <w:spacing w:before="60" w:after="60"/>
      </w:pPr>
    </w:p>
    <w:p w:rsidR="00193652" w:rsidRPr="002271F5" w:rsidRDefault="00403C3C">
      <w:pPr>
        <w:spacing w:before="80" w:after="80"/>
        <w:jc w:val="both"/>
        <w:rPr>
          <w:b w:val="0"/>
          <w:bCs w:val="0"/>
        </w:rPr>
      </w:pPr>
      <w:r w:rsidRPr="002271F5">
        <w:rPr>
          <w:b w:val="0"/>
          <w:bCs w:val="0"/>
          <w:i/>
          <w:iCs/>
          <w:sz w:val="22"/>
          <w:szCs w:val="22"/>
        </w:rPr>
        <w:t>This study examined the impact of tax policy on foreign direct investment (FDI) in Nigeria over the period 2010 to 2024. Motivated by the dramatic decline of Nigeria’s FDI inflows from USD 8.8 billion in 2011 to USD 1.1 billion in 2024 despite successive tax reform efforts, the study specified C</w:t>
      </w:r>
      <w:r w:rsidR="00C478B0">
        <w:rPr>
          <w:b w:val="0"/>
          <w:bCs w:val="0"/>
          <w:i/>
          <w:iCs/>
          <w:sz w:val="22"/>
          <w:szCs w:val="22"/>
        </w:rPr>
        <w:t>ompany</w:t>
      </w:r>
      <w:r w:rsidRPr="002271F5">
        <w:rPr>
          <w:b w:val="0"/>
          <w:bCs w:val="0"/>
          <w:i/>
          <w:iCs/>
          <w:sz w:val="22"/>
          <w:szCs w:val="22"/>
        </w:rPr>
        <w:t xml:space="preserve"> Income Tax (CIT), Tax Incentives (TI), and Value-Added Tax (VAT) as independent variables, with net FDI inflows as the dependent variable. Real GDP growth rate and the official exchange rate were included as control variables. Secondary data were sourced from UNCTAD World Investment Reports, Central Bank of Nigeria Statistical Bulletins, Federal Inland Revenue Service Annual Reports, the National Bureau of Statistics, and World Bank World Development Indicators. The study adopted an ex-post facto research design and employed the Autoregressive Distributed Lag (ARDL) Bounds Testing approach to cointegration, following confirmation of mixed I(0)/I(1) integration through Augmented Dickey-Fuller and Phillips-Perron unit root tests. The study concluded that Nigeria’s rising corporate tax burden and growing VAT imposition are significant deterrents to foreign investment, while the existing incentive framework provides only partial and insufficient compensation for fiscal competitiveness gaps. The study recommended a phased CIT rate reduction from 30 to 25 percent, a VAT refund guarantee programme, biennial Finance Act cycles, and rules-based incentive administration as priority reforms to restore Nigeria’s FDI competitiveness.</w:t>
      </w:r>
    </w:p>
    <w:p w:rsidR="00193652" w:rsidRPr="002271F5" w:rsidRDefault="00193652">
      <w:pPr>
        <w:spacing w:before="60" w:after="60"/>
        <w:rPr>
          <w:b w:val="0"/>
          <w:bCs w:val="0"/>
        </w:rPr>
      </w:pPr>
    </w:p>
    <w:p w:rsidR="00193652" w:rsidRDefault="00193652">
      <w:pPr>
        <w:spacing w:before="80" w:after="80"/>
        <w:rPr>
          <w:b w:val="0"/>
          <w:bCs w:val="0"/>
        </w:rPr>
      </w:pPr>
    </w:p>
    <w:p w:rsidR="002271F5" w:rsidRDefault="002271F5">
      <w:pPr>
        <w:spacing w:before="80" w:after="80"/>
        <w:rPr>
          <w:b w:val="0"/>
          <w:bCs w:val="0"/>
        </w:rPr>
      </w:pPr>
    </w:p>
    <w:p w:rsidR="002271F5" w:rsidRDefault="002271F5">
      <w:pPr>
        <w:spacing w:before="80" w:after="80"/>
        <w:rPr>
          <w:b w:val="0"/>
          <w:bCs w:val="0"/>
        </w:rPr>
      </w:pPr>
    </w:p>
    <w:p w:rsidR="002271F5" w:rsidRDefault="002271F5">
      <w:pPr>
        <w:spacing w:before="80" w:after="80"/>
        <w:rPr>
          <w:b w:val="0"/>
          <w:bCs w:val="0"/>
        </w:rPr>
      </w:pPr>
    </w:p>
    <w:p w:rsidR="002271F5" w:rsidRDefault="002271F5">
      <w:pPr>
        <w:spacing w:before="80" w:after="80"/>
        <w:rPr>
          <w:b w:val="0"/>
          <w:bCs w:val="0"/>
        </w:rPr>
      </w:pPr>
    </w:p>
    <w:p w:rsidR="002271F5" w:rsidRDefault="002271F5">
      <w:pPr>
        <w:spacing w:before="80" w:after="80"/>
        <w:rPr>
          <w:b w:val="0"/>
          <w:bCs w:val="0"/>
        </w:rPr>
      </w:pPr>
    </w:p>
    <w:p w:rsidR="002271F5" w:rsidRDefault="002271F5">
      <w:pPr>
        <w:spacing w:before="80" w:after="80"/>
        <w:rPr>
          <w:b w:val="0"/>
          <w:bCs w:val="0"/>
        </w:rPr>
      </w:pPr>
    </w:p>
    <w:p w:rsidR="002271F5" w:rsidRDefault="002271F5">
      <w:pPr>
        <w:spacing w:before="80" w:after="80"/>
        <w:rPr>
          <w:b w:val="0"/>
          <w:bCs w:val="0"/>
        </w:rPr>
      </w:pPr>
    </w:p>
    <w:p w:rsidR="002271F5" w:rsidRDefault="002271F5">
      <w:pPr>
        <w:spacing w:before="80" w:after="80"/>
        <w:rPr>
          <w:b w:val="0"/>
          <w:bCs w:val="0"/>
        </w:rPr>
      </w:pPr>
    </w:p>
    <w:p w:rsidR="002271F5" w:rsidRDefault="002271F5">
      <w:pPr>
        <w:spacing w:before="80" w:after="80"/>
        <w:rPr>
          <w:b w:val="0"/>
          <w:bCs w:val="0"/>
        </w:rPr>
      </w:pPr>
    </w:p>
    <w:p w:rsidR="002271F5" w:rsidRDefault="002271F5">
      <w:pPr>
        <w:spacing w:before="80" w:after="80"/>
        <w:rPr>
          <w:b w:val="0"/>
          <w:bCs w:val="0"/>
        </w:rPr>
      </w:pPr>
    </w:p>
    <w:p w:rsidR="002271F5" w:rsidRDefault="002271F5">
      <w:pPr>
        <w:spacing w:before="80" w:after="80"/>
        <w:rPr>
          <w:b w:val="0"/>
          <w:bCs w:val="0"/>
        </w:rPr>
      </w:pPr>
    </w:p>
    <w:p w:rsidR="002271F5" w:rsidRDefault="002271F5">
      <w:pPr>
        <w:spacing w:before="80" w:after="80"/>
        <w:rPr>
          <w:b w:val="0"/>
          <w:bCs w:val="0"/>
        </w:rPr>
      </w:pPr>
    </w:p>
    <w:p w:rsidR="002271F5" w:rsidRDefault="002271F5">
      <w:pPr>
        <w:spacing w:before="80" w:after="80"/>
        <w:rPr>
          <w:b w:val="0"/>
          <w:bCs w:val="0"/>
        </w:rPr>
      </w:pPr>
    </w:p>
    <w:p w:rsidR="002271F5" w:rsidRDefault="002271F5">
      <w:pPr>
        <w:spacing w:before="80" w:after="80"/>
        <w:rPr>
          <w:b w:val="0"/>
          <w:bCs w:val="0"/>
        </w:rPr>
      </w:pPr>
    </w:p>
    <w:p w:rsidR="002271F5" w:rsidRDefault="002271F5">
      <w:pPr>
        <w:spacing w:before="80" w:after="80"/>
        <w:rPr>
          <w:b w:val="0"/>
          <w:bCs w:val="0"/>
        </w:rPr>
      </w:pPr>
    </w:p>
    <w:p w:rsidR="00C478B0" w:rsidRDefault="00C478B0" w:rsidP="002271F5">
      <w:pPr>
        <w:spacing w:before="360" w:after="240" w:line="480" w:lineRule="auto"/>
        <w:jc w:val="center"/>
        <w:rPr>
          <w:sz w:val="28"/>
          <w:szCs w:val="28"/>
        </w:rPr>
      </w:pPr>
    </w:p>
    <w:p w:rsidR="00C478B0" w:rsidRDefault="00C478B0" w:rsidP="002271F5">
      <w:pPr>
        <w:spacing w:before="360" w:after="240" w:line="480" w:lineRule="auto"/>
        <w:jc w:val="center"/>
        <w:rPr>
          <w:sz w:val="28"/>
          <w:szCs w:val="28"/>
        </w:rPr>
      </w:pPr>
    </w:p>
    <w:p w:rsidR="002271F5" w:rsidRDefault="002271F5" w:rsidP="002271F5">
      <w:pPr>
        <w:spacing w:before="360" w:after="240" w:line="480" w:lineRule="auto"/>
        <w:jc w:val="center"/>
      </w:pPr>
      <w:r>
        <w:rPr>
          <w:sz w:val="28"/>
          <w:szCs w:val="28"/>
        </w:rPr>
        <w:t>CHAPTER ONE</w:t>
      </w:r>
    </w:p>
    <w:p w:rsidR="002271F5" w:rsidRDefault="002271F5" w:rsidP="002271F5">
      <w:pPr>
        <w:spacing w:before="360" w:after="240" w:line="480" w:lineRule="auto"/>
        <w:jc w:val="center"/>
      </w:pPr>
      <w:r>
        <w:rPr>
          <w:sz w:val="28"/>
          <w:szCs w:val="28"/>
        </w:rPr>
        <w:t>INTRODUCTION</w:t>
      </w:r>
    </w:p>
    <w:p w:rsidR="002271F5" w:rsidRDefault="002271F5" w:rsidP="002271F5">
      <w:pPr>
        <w:spacing w:before="300" w:after="180" w:line="480" w:lineRule="auto"/>
      </w:pPr>
      <w:r>
        <w:t>1.1 Background to the Study</w:t>
      </w:r>
    </w:p>
    <w:p w:rsidR="002271F5" w:rsidRPr="00F220AB" w:rsidRDefault="002271F5" w:rsidP="00F220AB">
      <w:pPr>
        <w:spacing w:before="300" w:after="180" w:line="480" w:lineRule="auto"/>
        <w:jc w:val="both"/>
        <w:rPr>
          <w:b w:val="0"/>
          <w:bCs w:val="0"/>
        </w:rPr>
      </w:pPr>
      <w:r w:rsidRPr="00F220AB">
        <w:rPr>
          <w:b w:val="0"/>
          <w:bCs w:val="0"/>
        </w:rPr>
        <w:t>A fundamental component of a nation's accounting finance system, FDI is of critical importance. To a savings deficit, infrastructure lacking and technologically underdeveloped nation, FDI is not simply capital inflow but a tool of development providing access to technology, management know-how, world markets and jobs, driving growth in economies. The United Nations Conference on Trade and Development (UNCTAD, 2023) describes FDI as the most stable and productive of all external resources, that can be acquired by developing nations and its benefits will create positive multiplier effects that extend well beyond the initial capital flow.</w:t>
      </w:r>
    </w:p>
    <w:p w:rsidR="002271F5" w:rsidRPr="00F220AB" w:rsidRDefault="002271F5" w:rsidP="00F220AB">
      <w:pPr>
        <w:spacing w:before="300" w:after="180" w:line="480" w:lineRule="auto"/>
        <w:jc w:val="both"/>
        <w:rPr>
          <w:b w:val="0"/>
          <w:bCs w:val="0"/>
        </w:rPr>
      </w:pPr>
      <w:r w:rsidRPr="00F220AB">
        <w:rPr>
          <w:b w:val="0"/>
          <w:bCs w:val="0"/>
        </w:rPr>
        <w:t xml:space="preserve">With a population of well over 220 million citizens, the largest population of any nation in the African continent and largest African economy, Nigeria is paradoxically one of the most intriguing studies of economic development for academics worldwide. The possession of vast natural resources, a youthful demographic, and an opportune location make Nigeria potentially one of Africa's best foreign direct investment targets, yet the opposite has been proven to be the case; the United Nations Conference on Trade and Development (UNCTAD, 2024) confirms that Nigeria's FDI has declined since its zenith in 2011 which was USD $8.8 billion, it has dropped to USD $1.87 billion as recorded in 2023 and will </w:t>
      </w:r>
      <w:r w:rsidRPr="00F220AB">
        <w:rPr>
          <w:b w:val="0"/>
          <w:bCs w:val="0"/>
        </w:rPr>
        <w:lastRenderedPageBreak/>
        <w:t>likely fall to USD $1.1 billion in 2024 thus an almost 88% drop within a 13 year timeframe of two decades. This sharp decline in FDI occurred at the behest of repeated pro-FDI tax reforms spearheaded by the government of Nigeria and this necessitates that a tax-FDI relationship is one which the Nigerian economy cannot afford to ignore.</w:t>
      </w:r>
    </w:p>
    <w:p w:rsidR="002271F5" w:rsidRPr="00F220AB" w:rsidRDefault="002271F5" w:rsidP="00F220AB">
      <w:pPr>
        <w:spacing w:before="300" w:after="180" w:line="480" w:lineRule="auto"/>
        <w:jc w:val="both"/>
        <w:rPr>
          <w:b w:val="0"/>
          <w:bCs w:val="0"/>
        </w:rPr>
      </w:pPr>
      <w:r w:rsidRPr="00F220AB">
        <w:rPr>
          <w:b w:val="0"/>
          <w:bCs w:val="0"/>
        </w:rPr>
        <w:t>Tax policy itself falls at the core of fiscal governance and investment climate management and possesses the unique trait that it is used by the government as an effective tool for transmitting economic intent to potential foreign investors. It does this primarily because, holding other things equal, the tax system dictates the net profit made from investment, and its administrative transparency dictates the predictability of the business environment, holding implications on business costs in the nation and ultimately dictating multinationals' location choice decisions (De Mooij&amp;Ederveen, 2020). The relationship of tax policy to FDI is especially critical for Nigeria, a nation with savings deficits that relies on external sources of finance to meet its capital needs.</w:t>
      </w:r>
    </w:p>
    <w:p w:rsidR="002271F5" w:rsidRPr="00F220AB" w:rsidRDefault="002271F5" w:rsidP="00F220AB">
      <w:pPr>
        <w:spacing w:before="300" w:after="180" w:line="480" w:lineRule="auto"/>
        <w:jc w:val="both"/>
        <w:rPr>
          <w:b w:val="0"/>
          <w:bCs w:val="0"/>
        </w:rPr>
      </w:pPr>
      <w:r w:rsidRPr="00F220AB">
        <w:rPr>
          <w:b w:val="0"/>
          <w:bCs w:val="0"/>
        </w:rPr>
        <w:t>Corporate Income Tax (CIT) is perhaps the most obvious and significant tax influencing the relationship of tax policy to FDI in Nigeria. According to the Company Income Tax Act, there is a 30% levy of all large companies' assessable profits, together with a 3%Tertiary Education Tax on assessable profits, and other sector specific taxes and withholdings on dividends, making Nigeria's average effectiveCITrate for foreign multinationals far higher than its stated nominal rate. The Company Income Tax Act has been described as the most significant aspect of tax policy in Nigeria by Adegboye et al. (2019)who find that it captures all other taxes paid by foreign MNCs and thus is much higher than in many comparable West African nations.</w:t>
      </w:r>
    </w:p>
    <w:p w:rsidR="002271F5" w:rsidRPr="00F220AB" w:rsidRDefault="002271F5" w:rsidP="00F220AB">
      <w:pPr>
        <w:spacing w:before="300" w:after="180" w:line="480" w:lineRule="auto"/>
        <w:jc w:val="both"/>
        <w:rPr>
          <w:b w:val="0"/>
          <w:bCs w:val="0"/>
        </w:rPr>
      </w:pPr>
      <w:r w:rsidRPr="00F220AB">
        <w:rPr>
          <w:b w:val="0"/>
          <w:bCs w:val="0"/>
        </w:rPr>
        <w:lastRenderedPageBreak/>
        <w:t>Tax incentives, are the flipside of Nigerian policy with respect to FDI. Since 1993 through various Pioneer status reliefs, capital allowances, free export processing zones and specific incentives to the manufacturing, solid minerals and agricultural sectors Nigeria has striven to entice foreign investors by lowering their actual tax burden. With the advent of various successive finance acts between 2019-2023 and the resultant small and medium sized companies reliefs as well as exemptions from tax for small companies it has been claimed by researchers that giving increasing number of incentives is not a viable substitute to changing actual rates and administration of CIT(Oyedele, 2020). Despite this fact, FDI continues its downward trend making it pertinent to establish the actual effect of giving out higher rates of incentive compared to changing basic rates and administration.</w:t>
      </w:r>
    </w:p>
    <w:p w:rsidR="002271F5" w:rsidRPr="00F220AB" w:rsidRDefault="002271F5" w:rsidP="00F220AB">
      <w:pPr>
        <w:spacing w:before="300" w:after="180" w:line="480" w:lineRule="auto"/>
        <w:jc w:val="both"/>
        <w:rPr>
          <w:b w:val="0"/>
          <w:bCs w:val="0"/>
        </w:rPr>
      </w:pPr>
      <w:r w:rsidRPr="00F220AB">
        <w:rPr>
          <w:b w:val="0"/>
          <w:bCs w:val="0"/>
        </w:rPr>
        <w:t xml:space="preserve">The final key tax interacting with FDI is value-added tax(VAT). Since 1993 its rate was 5%, but increased to 7.5% by virtue of the Finance Act of 2019(in effect 2020). Though the effect is less direct than CIT, its impact on FDI is large; foreign companies' large </w:t>
      </w:r>
      <w:r w:rsidR="00F220AB" w:rsidRPr="00F220AB">
        <w:rPr>
          <w:b w:val="0"/>
          <w:bCs w:val="0"/>
        </w:rPr>
        <w:t>capital</w:t>
      </w:r>
      <w:r w:rsidR="00F220AB">
        <w:rPr>
          <w:b w:val="0"/>
          <w:bCs w:val="0"/>
        </w:rPr>
        <w:t>-intensive</w:t>
      </w:r>
      <w:r w:rsidRPr="00F220AB">
        <w:rPr>
          <w:b w:val="0"/>
          <w:bCs w:val="0"/>
        </w:rPr>
        <w:t xml:space="preserve"> investment may suffer from long delays in VAT refunds as evidenced by the World Bank (2022), consequently making investments more costly. The composite effect of highCIT, the administration of tax incentives and VAT costs makes up the package Nigeria has offered to foreign investors and the objective of this paper is to formally define and evaluate the role that these three variables play on FDI inflow in Nigeria over 2010-2024.</w:t>
      </w:r>
    </w:p>
    <w:p w:rsidR="002271F5" w:rsidRPr="00F220AB" w:rsidRDefault="002271F5" w:rsidP="00F220AB">
      <w:pPr>
        <w:spacing w:before="300" w:after="180" w:line="480" w:lineRule="auto"/>
        <w:jc w:val="both"/>
        <w:rPr>
          <w:b w:val="0"/>
          <w:bCs w:val="0"/>
        </w:rPr>
      </w:pPr>
      <w:r w:rsidRPr="00F220AB">
        <w:rPr>
          <w:b w:val="0"/>
          <w:bCs w:val="0"/>
        </w:rPr>
        <w:t>This paper therefore seeks to identify the specific effect of CIT, tax incentives and VAT on Nigeria's FDI flows from 2010-2024 utilizing various sources of secondary data.</w:t>
      </w:r>
    </w:p>
    <w:p w:rsidR="002271F5" w:rsidRDefault="002271F5" w:rsidP="002271F5">
      <w:pPr>
        <w:spacing w:before="300" w:after="180" w:line="480" w:lineRule="auto"/>
      </w:pPr>
      <w:r>
        <w:t>1.2 Statement of the Problem</w:t>
      </w:r>
    </w:p>
    <w:p w:rsidR="002271F5" w:rsidRPr="00F220AB" w:rsidRDefault="002271F5" w:rsidP="00F220AB">
      <w:pPr>
        <w:spacing w:before="300" w:after="180" w:line="480" w:lineRule="auto"/>
        <w:jc w:val="both"/>
        <w:rPr>
          <w:b w:val="0"/>
          <w:bCs w:val="0"/>
        </w:rPr>
      </w:pPr>
      <w:r w:rsidRPr="00F220AB">
        <w:rPr>
          <w:b w:val="0"/>
          <w:bCs w:val="0"/>
        </w:rPr>
        <w:lastRenderedPageBreak/>
        <w:t>The seemingly unstoppable slide of Nigeria's FDI inflows from $8.8 billion in 2011 to $1.1 billion in 2024 is perhaps the most critical challenge to the country's development policy agenda. Nigeria, as Africa's largest economy, has dramatically lost its appeal to investment flows, compared to peers in the region like Egypt, Ethiopia, and South Africa; this does not arise from any one single factor, but its tax structure and administration is among the top most cited reasons by investors and cited in empirical studies alike (UNCTAD, 2022; World Bank, 2022). Nigeria's tax policy challenge is structural and multifarious: the interplay of a high statutory CIT rate and complex compliance requirements, multiple levels of taxation across the federation, states, and local governments, and a complex regime of incentive administration result in a tax environment whereby foreign investors bear an effective tax burden, vastly in excess of the statutory provisions (Olatunji &amp; Ayodele, 2022). The empirical literature on tax policy and FDI in Nigeria, like that on tax policy generally, suffers from the curse of fragmentation and methodological weaknesses that renders the results practically useless. Empirical studies conducted so far tend to focus on only one or two of the tax variables in isolation, suffer from limitations due to short time series, and mostly neglect the critically important Finance Act reform period of 2019 to 2024. Consequently, the results do not enable the kind of complex, multi-variable analysis that policy makers can use to conduct broad-based tax reforms as is evident is needed in Nigeria's investment climate. All the aforementioned limitations are addressed in this paper. An integrated empirical model that simultaneously analyze the long-run and short-run impacts of CIT, Tax Incentives, and VAT on FDI inflows, using real secondary data from 2010-2024 is derived and analyzed. This is by far the most comprehensive and up-to-date in Nigerian literature.</w:t>
      </w:r>
    </w:p>
    <w:p w:rsidR="002271F5" w:rsidRDefault="002271F5" w:rsidP="002271F5">
      <w:pPr>
        <w:spacing w:before="300" w:after="180" w:line="480" w:lineRule="auto"/>
      </w:pPr>
      <w:r>
        <w:t>1.3 Objectives of the Study</w:t>
      </w:r>
    </w:p>
    <w:p w:rsidR="002271F5" w:rsidRPr="00F220AB" w:rsidRDefault="002271F5" w:rsidP="002271F5">
      <w:pPr>
        <w:spacing w:before="120" w:after="120" w:line="480" w:lineRule="auto"/>
        <w:jc w:val="both"/>
        <w:rPr>
          <w:b w:val="0"/>
          <w:bCs w:val="0"/>
        </w:rPr>
      </w:pPr>
      <w:r w:rsidRPr="00F220AB">
        <w:rPr>
          <w:b w:val="0"/>
          <w:bCs w:val="0"/>
        </w:rPr>
        <w:lastRenderedPageBreak/>
        <w:t>The main objective is to examine the impact of tax policy on foreign direct investment in Nigeria over the period 2010 to 2024. Specifically, the study seeks to:</w:t>
      </w:r>
    </w:p>
    <w:p w:rsidR="002271F5" w:rsidRPr="00F220AB" w:rsidRDefault="002271F5" w:rsidP="002271F5">
      <w:pPr>
        <w:spacing w:before="80" w:after="80" w:line="480" w:lineRule="auto"/>
        <w:ind w:left="720" w:hanging="360"/>
        <w:jc w:val="both"/>
        <w:rPr>
          <w:b w:val="0"/>
          <w:bCs w:val="0"/>
        </w:rPr>
      </w:pPr>
      <w:r w:rsidRPr="00F220AB">
        <w:rPr>
          <w:b w:val="0"/>
          <w:bCs w:val="0"/>
        </w:rPr>
        <w:t>1.</w:t>
      </w:r>
      <w:r w:rsidRPr="00F220AB">
        <w:rPr>
          <w:b w:val="0"/>
          <w:bCs w:val="0"/>
        </w:rPr>
        <w:tab/>
        <w:t>Examine the effect of Co</w:t>
      </w:r>
      <w:r w:rsidR="00F220AB">
        <w:rPr>
          <w:b w:val="0"/>
          <w:bCs w:val="0"/>
        </w:rPr>
        <w:t>mpany</w:t>
      </w:r>
      <w:r w:rsidRPr="00F220AB">
        <w:rPr>
          <w:b w:val="0"/>
          <w:bCs w:val="0"/>
        </w:rPr>
        <w:t xml:space="preserve"> Income Tax (CIT) on foreign direct investment inflows in Nigeria;</w:t>
      </w:r>
    </w:p>
    <w:p w:rsidR="002271F5" w:rsidRPr="00F220AB" w:rsidRDefault="002271F5" w:rsidP="002271F5">
      <w:pPr>
        <w:spacing w:before="80" w:after="80" w:line="480" w:lineRule="auto"/>
        <w:ind w:left="720" w:hanging="360"/>
        <w:jc w:val="both"/>
        <w:rPr>
          <w:b w:val="0"/>
          <w:bCs w:val="0"/>
        </w:rPr>
      </w:pPr>
      <w:r w:rsidRPr="00F220AB">
        <w:rPr>
          <w:b w:val="0"/>
          <w:bCs w:val="0"/>
        </w:rPr>
        <w:t>2.</w:t>
      </w:r>
      <w:r w:rsidRPr="00F220AB">
        <w:rPr>
          <w:b w:val="0"/>
          <w:bCs w:val="0"/>
        </w:rPr>
        <w:tab/>
        <w:t xml:space="preserve">Assess the influence of Tax </w:t>
      </w:r>
      <w:r w:rsidR="00F220AB">
        <w:rPr>
          <w:b w:val="0"/>
          <w:bCs w:val="0"/>
        </w:rPr>
        <w:t>Revenue</w:t>
      </w:r>
      <w:r w:rsidRPr="00F220AB">
        <w:rPr>
          <w:b w:val="0"/>
          <w:bCs w:val="0"/>
        </w:rPr>
        <w:t xml:space="preserve"> (T</w:t>
      </w:r>
      <w:r w:rsidR="00F220AB">
        <w:rPr>
          <w:b w:val="0"/>
          <w:bCs w:val="0"/>
        </w:rPr>
        <w:t>R</w:t>
      </w:r>
      <w:r w:rsidRPr="00F220AB">
        <w:rPr>
          <w:b w:val="0"/>
          <w:bCs w:val="0"/>
        </w:rPr>
        <w:t>) on foreign direct investment inflows in Nigeria; and</w:t>
      </w:r>
    </w:p>
    <w:p w:rsidR="002271F5" w:rsidRPr="00F220AB" w:rsidRDefault="002271F5" w:rsidP="002271F5">
      <w:pPr>
        <w:spacing w:before="80" w:after="80" w:line="480" w:lineRule="auto"/>
        <w:ind w:left="720" w:hanging="360"/>
        <w:jc w:val="both"/>
        <w:rPr>
          <w:b w:val="0"/>
          <w:bCs w:val="0"/>
        </w:rPr>
      </w:pPr>
      <w:r w:rsidRPr="00F220AB">
        <w:rPr>
          <w:b w:val="0"/>
          <w:bCs w:val="0"/>
        </w:rPr>
        <w:t>3.</w:t>
      </w:r>
      <w:r w:rsidRPr="00F220AB">
        <w:rPr>
          <w:b w:val="0"/>
          <w:bCs w:val="0"/>
        </w:rPr>
        <w:tab/>
        <w:t>Evaluate the impact of Value-Added Tax (VAT) on foreign direct investment inflows in Nigeria.</w:t>
      </w:r>
    </w:p>
    <w:p w:rsidR="002271F5" w:rsidRDefault="002271F5" w:rsidP="002271F5">
      <w:pPr>
        <w:spacing w:before="300" w:after="180" w:line="480" w:lineRule="auto"/>
      </w:pPr>
      <w:r>
        <w:t>1.4 Research Questions</w:t>
      </w:r>
    </w:p>
    <w:p w:rsidR="002271F5" w:rsidRPr="00F220AB" w:rsidRDefault="002271F5" w:rsidP="002271F5">
      <w:pPr>
        <w:spacing w:before="120" w:after="120" w:line="480" w:lineRule="auto"/>
        <w:ind w:firstLine="720"/>
        <w:jc w:val="both"/>
        <w:rPr>
          <w:b w:val="0"/>
          <w:bCs w:val="0"/>
        </w:rPr>
      </w:pPr>
      <w:r w:rsidRPr="00F220AB">
        <w:rPr>
          <w:b w:val="0"/>
          <w:bCs w:val="0"/>
        </w:rPr>
        <w:t>The study seeks to provide answers to the following research questions:</w:t>
      </w:r>
    </w:p>
    <w:p w:rsidR="002271F5" w:rsidRPr="00F220AB" w:rsidRDefault="002271F5" w:rsidP="002271F5">
      <w:pPr>
        <w:spacing w:before="80" w:after="80" w:line="480" w:lineRule="auto"/>
        <w:ind w:left="720" w:hanging="360"/>
        <w:jc w:val="both"/>
        <w:rPr>
          <w:b w:val="0"/>
          <w:bCs w:val="0"/>
        </w:rPr>
      </w:pPr>
      <w:r w:rsidRPr="00F220AB">
        <w:rPr>
          <w:b w:val="0"/>
          <w:bCs w:val="0"/>
        </w:rPr>
        <w:t>1.</w:t>
      </w:r>
      <w:r w:rsidRPr="00F220AB">
        <w:rPr>
          <w:b w:val="0"/>
          <w:bCs w:val="0"/>
        </w:rPr>
        <w:tab/>
        <w:t xml:space="preserve">What is the effect of </w:t>
      </w:r>
      <w:r w:rsidR="00F220AB" w:rsidRPr="00F220AB">
        <w:rPr>
          <w:b w:val="0"/>
          <w:bCs w:val="0"/>
        </w:rPr>
        <w:t>Co</w:t>
      </w:r>
      <w:r w:rsidR="00F220AB">
        <w:rPr>
          <w:b w:val="0"/>
          <w:bCs w:val="0"/>
        </w:rPr>
        <w:t>mpany</w:t>
      </w:r>
      <w:r w:rsidR="00F220AB" w:rsidRPr="00F220AB">
        <w:rPr>
          <w:b w:val="0"/>
          <w:bCs w:val="0"/>
        </w:rPr>
        <w:t xml:space="preserve"> Income Tax (CIT) </w:t>
      </w:r>
      <w:r w:rsidRPr="00F220AB">
        <w:rPr>
          <w:b w:val="0"/>
          <w:bCs w:val="0"/>
        </w:rPr>
        <w:t>on foreign direct investment inflows in Nigeria?</w:t>
      </w:r>
    </w:p>
    <w:p w:rsidR="002271F5" w:rsidRPr="00F220AB" w:rsidRDefault="002271F5" w:rsidP="002271F5">
      <w:pPr>
        <w:spacing w:before="80" w:after="80" w:line="480" w:lineRule="auto"/>
        <w:ind w:left="720" w:hanging="360"/>
        <w:jc w:val="both"/>
        <w:rPr>
          <w:b w:val="0"/>
          <w:bCs w:val="0"/>
        </w:rPr>
      </w:pPr>
      <w:r w:rsidRPr="00F220AB">
        <w:rPr>
          <w:b w:val="0"/>
          <w:bCs w:val="0"/>
        </w:rPr>
        <w:t>2.</w:t>
      </w:r>
      <w:r w:rsidRPr="00F220AB">
        <w:rPr>
          <w:b w:val="0"/>
          <w:bCs w:val="0"/>
        </w:rPr>
        <w:tab/>
        <w:t xml:space="preserve">How do </w:t>
      </w:r>
      <w:r w:rsidR="00F220AB" w:rsidRPr="00F220AB">
        <w:rPr>
          <w:b w:val="0"/>
          <w:bCs w:val="0"/>
        </w:rPr>
        <w:t xml:space="preserve">Tax </w:t>
      </w:r>
      <w:r w:rsidR="00F220AB">
        <w:rPr>
          <w:b w:val="0"/>
          <w:bCs w:val="0"/>
        </w:rPr>
        <w:t>Revenue</w:t>
      </w:r>
      <w:r w:rsidR="00F220AB" w:rsidRPr="00F220AB">
        <w:rPr>
          <w:b w:val="0"/>
          <w:bCs w:val="0"/>
        </w:rPr>
        <w:t xml:space="preserve"> (T</w:t>
      </w:r>
      <w:r w:rsidR="00F220AB">
        <w:rPr>
          <w:b w:val="0"/>
          <w:bCs w:val="0"/>
        </w:rPr>
        <w:t>R</w:t>
      </w:r>
      <w:r w:rsidR="00F220AB" w:rsidRPr="00F220AB">
        <w:rPr>
          <w:b w:val="0"/>
          <w:bCs w:val="0"/>
        </w:rPr>
        <w:t xml:space="preserve">) </w:t>
      </w:r>
      <w:r w:rsidRPr="00F220AB">
        <w:rPr>
          <w:b w:val="0"/>
          <w:bCs w:val="0"/>
        </w:rPr>
        <w:t>influence foreign direct investment inflows in Nigeria?</w:t>
      </w:r>
    </w:p>
    <w:p w:rsidR="002271F5" w:rsidRPr="00F220AB" w:rsidRDefault="002271F5" w:rsidP="002271F5">
      <w:pPr>
        <w:spacing w:before="80" w:after="80" w:line="480" w:lineRule="auto"/>
        <w:ind w:left="720" w:hanging="360"/>
        <w:jc w:val="both"/>
        <w:rPr>
          <w:b w:val="0"/>
          <w:bCs w:val="0"/>
        </w:rPr>
      </w:pPr>
      <w:r w:rsidRPr="00F220AB">
        <w:rPr>
          <w:b w:val="0"/>
          <w:bCs w:val="0"/>
        </w:rPr>
        <w:t>3.</w:t>
      </w:r>
      <w:r w:rsidRPr="00F220AB">
        <w:rPr>
          <w:b w:val="0"/>
          <w:bCs w:val="0"/>
        </w:rPr>
        <w:tab/>
        <w:t>What is the impact of Value-Added Tax (VAT) on foreign direct investment inflows in Nigeria?</w:t>
      </w:r>
    </w:p>
    <w:p w:rsidR="002271F5" w:rsidRDefault="002271F5" w:rsidP="002271F5">
      <w:pPr>
        <w:spacing w:before="300" w:after="180" w:line="480" w:lineRule="auto"/>
      </w:pPr>
      <w:r>
        <w:t>1.5 Research Hypotheses</w:t>
      </w:r>
    </w:p>
    <w:p w:rsidR="002271F5" w:rsidRPr="00F220AB" w:rsidRDefault="002271F5" w:rsidP="002271F5">
      <w:pPr>
        <w:spacing w:before="120" w:after="120" w:line="480" w:lineRule="auto"/>
        <w:ind w:firstLine="720"/>
        <w:jc w:val="both"/>
        <w:rPr>
          <w:b w:val="0"/>
          <w:bCs w:val="0"/>
        </w:rPr>
      </w:pPr>
      <w:r w:rsidRPr="00F220AB">
        <w:rPr>
          <w:b w:val="0"/>
          <w:bCs w:val="0"/>
        </w:rPr>
        <w:t>The following null hypotheses are formulated for empirical testing at the 5 percent level of significance:</w:t>
      </w:r>
    </w:p>
    <w:p w:rsidR="002271F5" w:rsidRPr="00F220AB" w:rsidRDefault="002271F5" w:rsidP="002271F5">
      <w:pPr>
        <w:spacing w:before="120" w:after="120" w:line="480" w:lineRule="auto"/>
        <w:ind w:firstLine="720"/>
        <w:jc w:val="both"/>
        <w:rPr>
          <w:b w:val="0"/>
          <w:bCs w:val="0"/>
        </w:rPr>
      </w:pPr>
      <w:r w:rsidRPr="00F220AB">
        <w:rPr>
          <w:b w:val="0"/>
          <w:bCs w:val="0"/>
        </w:rPr>
        <w:t>H₀₁: Co</w:t>
      </w:r>
      <w:r w:rsidR="00F220AB">
        <w:rPr>
          <w:b w:val="0"/>
          <w:bCs w:val="0"/>
        </w:rPr>
        <w:t>mpany</w:t>
      </w:r>
      <w:r w:rsidRPr="00F220AB">
        <w:rPr>
          <w:b w:val="0"/>
          <w:bCs w:val="0"/>
        </w:rPr>
        <w:t xml:space="preserve"> Income Tax (CIT) has no significant effect on foreign direct investment inflows in Nigeria.</w:t>
      </w:r>
    </w:p>
    <w:p w:rsidR="002271F5" w:rsidRPr="00F220AB" w:rsidRDefault="002271F5" w:rsidP="002271F5">
      <w:pPr>
        <w:spacing w:before="120" w:after="120" w:line="480" w:lineRule="auto"/>
        <w:ind w:firstLine="720"/>
        <w:jc w:val="both"/>
        <w:rPr>
          <w:b w:val="0"/>
          <w:bCs w:val="0"/>
        </w:rPr>
      </w:pPr>
      <w:r w:rsidRPr="00F220AB">
        <w:rPr>
          <w:b w:val="0"/>
          <w:bCs w:val="0"/>
        </w:rPr>
        <w:lastRenderedPageBreak/>
        <w:t xml:space="preserve">H₀₂: </w:t>
      </w:r>
      <w:r w:rsidR="00F220AB" w:rsidRPr="00F220AB">
        <w:rPr>
          <w:b w:val="0"/>
          <w:bCs w:val="0"/>
        </w:rPr>
        <w:t xml:space="preserve">Tax </w:t>
      </w:r>
      <w:r w:rsidR="00F220AB">
        <w:rPr>
          <w:b w:val="0"/>
          <w:bCs w:val="0"/>
        </w:rPr>
        <w:t>Revenue</w:t>
      </w:r>
      <w:r w:rsidR="00F220AB" w:rsidRPr="00F220AB">
        <w:rPr>
          <w:b w:val="0"/>
          <w:bCs w:val="0"/>
        </w:rPr>
        <w:t xml:space="preserve"> (T</w:t>
      </w:r>
      <w:r w:rsidR="00F220AB">
        <w:rPr>
          <w:b w:val="0"/>
          <w:bCs w:val="0"/>
        </w:rPr>
        <w:t>R</w:t>
      </w:r>
      <w:r w:rsidR="00F220AB" w:rsidRPr="00F220AB">
        <w:rPr>
          <w:b w:val="0"/>
          <w:bCs w:val="0"/>
        </w:rPr>
        <w:t>)</w:t>
      </w:r>
      <w:r w:rsidRPr="00F220AB">
        <w:rPr>
          <w:b w:val="0"/>
          <w:bCs w:val="0"/>
        </w:rPr>
        <w:t xml:space="preserve"> have no significant influence on foreign direct investment inflows in Nigeria.</w:t>
      </w:r>
    </w:p>
    <w:p w:rsidR="002271F5" w:rsidRPr="00BB59FF" w:rsidRDefault="002271F5" w:rsidP="002271F5">
      <w:pPr>
        <w:spacing w:before="120" w:after="120" w:line="480" w:lineRule="auto"/>
        <w:ind w:firstLine="720"/>
        <w:jc w:val="both"/>
        <w:rPr>
          <w:b w:val="0"/>
          <w:bCs w:val="0"/>
        </w:rPr>
      </w:pPr>
      <w:r>
        <w:t xml:space="preserve">H₀₃: </w:t>
      </w:r>
      <w:r w:rsidRPr="00BB59FF">
        <w:rPr>
          <w:b w:val="0"/>
          <w:bCs w:val="0"/>
        </w:rPr>
        <w:t>Value-Added Tax (VAT) has no significant impact on foreign direct investment inflows in Nigeria.</w:t>
      </w:r>
    </w:p>
    <w:p w:rsidR="002271F5" w:rsidRDefault="002271F5" w:rsidP="002271F5">
      <w:pPr>
        <w:spacing w:before="300" w:after="180" w:line="480" w:lineRule="auto"/>
      </w:pPr>
      <w:r>
        <w:t>1.6 Scope of the Study</w:t>
      </w:r>
    </w:p>
    <w:p w:rsidR="002271F5" w:rsidRPr="00F220AB" w:rsidRDefault="002271F5" w:rsidP="00F220AB">
      <w:pPr>
        <w:spacing w:before="300" w:after="180" w:line="480" w:lineRule="auto"/>
        <w:jc w:val="both"/>
        <w:rPr>
          <w:b w:val="0"/>
          <w:bCs w:val="0"/>
        </w:rPr>
      </w:pPr>
      <w:r w:rsidRPr="00F220AB">
        <w:rPr>
          <w:b w:val="0"/>
          <w:bCs w:val="0"/>
        </w:rPr>
        <w:t>The study is focused on the effect of fiscal policy on FDI in Nigeria over 2010-2024. This fifteen year period covers post-global financial crisis investment recovery, oil-price crash and FDI pull-back, 2014-2016, post-Finance Act 2019 reforms, shock of COVID-19 pandemic, 2020, multinational divestment, 2021-2022 and post-2023 currency liberalisation and fuel subsidy withdrawal macro-economic adjustments. The period represents adequate and policy-relevant variations for both fiscal policy variables and the outcomes of FDI. The dependent and independent variables are net FDI inflow in million dollars, CIT, TIand VAT respectively; the control variables are real GDP growth rate and the official exchange rate. The data sources are UNCTAD, CBN, FIRS, NBS, and World Bank.</w:t>
      </w:r>
    </w:p>
    <w:p w:rsidR="002271F5" w:rsidRDefault="002271F5" w:rsidP="002271F5">
      <w:pPr>
        <w:spacing w:before="300" w:after="180" w:line="480" w:lineRule="auto"/>
      </w:pPr>
      <w:r>
        <w:t>1.7 Significance of the Study</w:t>
      </w:r>
    </w:p>
    <w:p w:rsidR="002271F5" w:rsidRPr="00F220AB" w:rsidRDefault="002271F5" w:rsidP="002271F5">
      <w:pPr>
        <w:spacing w:before="300" w:after="180" w:line="480" w:lineRule="auto"/>
        <w:rPr>
          <w:b w:val="0"/>
          <w:bCs w:val="0"/>
        </w:rPr>
      </w:pPr>
      <w:r w:rsidRPr="00F220AB">
        <w:rPr>
          <w:b w:val="0"/>
          <w:bCs w:val="0"/>
        </w:rPr>
        <w:t xml:space="preserve">In respect to the policymakers in Federal Ministry of Finance and FIRS the present empirical evidence in this study is the most thorough and most up-to-date to determine the impact of particular tax policy determinants on Nigeria's FDI attraction. In estimating jointly the CIT, incentive and VAT impacts in the context of a single long run framework, the study gives practical insight into the tax channels which are more efficient at attracting FDI per unit of fiscal adjustment. In reference to the researchers, the study contributes to empirical literature </w:t>
      </w:r>
      <w:r w:rsidRPr="00F220AB">
        <w:rPr>
          <w:b w:val="0"/>
          <w:bCs w:val="0"/>
        </w:rPr>
        <w:lastRenderedPageBreak/>
        <w:t>concerning fiscal policy and investment in sub-Saharan Africa by employing the ARDL bounds testing to an empirical literature sample of fifteen years following the Finance Act 1999 including real data from institutions. Regarding foreign investors and advisers for multinational companies, the study presents a more practical evaluation of Nigeria's investment environment regarding taxes, so they can take a better decision about investing and expanding business in the Nigerian market.</w:t>
      </w:r>
    </w:p>
    <w:p w:rsidR="002271F5" w:rsidRPr="00CB2639" w:rsidRDefault="002271F5" w:rsidP="002271F5">
      <w:pPr>
        <w:spacing w:before="300" w:after="180" w:line="480" w:lineRule="auto"/>
      </w:pPr>
      <w:r w:rsidRPr="00CB2639">
        <w:t>1.8 Definition of Terms</w:t>
      </w:r>
    </w:p>
    <w:p w:rsidR="002271F5" w:rsidRPr="00F220AB" w:rsidRDefault="002271F5" w:rsidP="002271F5">
      <w:pPr>
        <w:spacing w:before="220" w:after="100" w:line="480" w:lineRule="auto"/>
        <w:rPr>
          <w:b w:val="0"/>
          <w:bCs w:val="0"/>
        </w:rPr>
      </w:pPr>
      <w:r w:rsidRPr="00F220AB">
        <w:rPr>
          <w:b w:val="0"/>
          <w:bCs w:val="0"/>
        </w:rPr>
        <w:t>Foreign Direct Investment (FDI)</w:t>
      </w:r>
    </w:p>
    <w:p w:rsidR="002271F5" w:rsidRPr="00F220AB" w:rsidRDefault="002271F5" w:rsidP="002271F5">
      <w:pPr>
        <w:spacing w:before="120" w:after="120" w:line="480" w:lineRule="auto"/>
        <w:ind w:firstLine="720"/>
        <w:jc w:val="both"/>
        <w:rPr>
          <w:b w:val="0"/>
          <w:bCs w:val="0"/>
        </w:rPr>
      </w:pPr>
      <w:r w:rsidRPr="00F220AB">
        <w:rPr>
          <w:b w:val="0"/>
          <w:bCs w:val="0"/>
        </w:rPr>
        <w:t>Net FDI inflows to Nigeria, in millions current U.S. Dollar, measured equity capital, re-invested earnings and intra-firm credits from foreign direct investors, net of disinvestments and reverse investments. Data are extracted from UNCTAD World Investment Report, and cross-checked with the CBN Statistical Bulletin.</w:t>
      </w:r>
    </w:p>
    <w:p w:rsidR="002271F5" w:rsidRPr="00F220AB" w:rsidRDefault="002271F5" w:rsidP="002271F5">
      <w:pPr>
        <w:spacing w:before="220" w:after="100" w:line="480" w:lineRule="auto"/>
        <w:rPr>
          <w:b w:val="0"/>
          <w:bCs w:val="0"/>
        </w:rPr>
      </w:pPr>
      <w:r w:rsidRPr="00F220AB">
        <w:rPr>
          <w:b w:val="0"/>
          <w:bCs w:val="0"/>
        </w:rPr>
        <w:t>Co</w:t>
      </w:r>
      <w:r w:rsidR="00BB59FF">
        <w:rPr>
          <w:b w:val="0"/>
          <w:bCs w:val="0"/>
        </w:rPr>
        <w:t>mpany</w:t>
      </w:r>
      <w:r w:rsidRPr="00F220AB">
        <w:rPr>
          <w:b w:val="0"/>
          <w:bCs w:val="0"/>
        </w:rPr>
        <w:t xml:space="preserve"> Income Tax (CIT)</w:t>
      </w:r>
    </w:p>
    <w:p w:rsidR="002271F5" w:rsidRPr="00F220AB" w:rsidRDefault="002271F5" w:rsidP="002271F5">
      <w:pPr>
        <w:spacing w:before="120" w:after="120" w:line="480" w:lineRule="auto"/>
        <w:ind w:firstLine="720"/>
        <w:jc w:val="both"/>
        <w:rPr>
          <w:b w:val="0"/>
          <w:bCs w:val="0"/>
        </w:rPr>
      </w:pPr>
      <w:r w:rsidRPr="00F220AB">
        <w:rPr>
          <w:b w:val="0"/>
          <w:bCs w:val="0"/>
        </w:rPr>
        <w:t>Proxy: The sum of the Company Income Tax collected by FIRS, as a proportion of nominal GDP, and expressed as a percentage. It represents the effective burden, taking into account differences in the actual fiscal return yielded by the corporate sector over the period, as determined by the statutory rate, deductions and enforcement level..</w:t>
      </w:r>
    </w:p>
    <w:p w:rsidR="002271F5" w:rsidRPr="00F220AB" w:rsidRDefault="002271F5" w:rsidP="002271F5">
      <w:pPr>
        <w:spacing w:before="220" w:after="100" w:line="480" w:lineRule="auto"/>
        <w:rPr>
          <w:b w:val="0"/>
          <w:bCs w:val="0"/>
        </w:rPr>
      </w:pPr>
      <w:r w:rsidRPr="00F220AB">
        <w:rPr>
          <w:b w:val="0"/>
          <w:bCs w:val="0"/>
        </w:rPr>
        <w:t>Tax Incentives (TI)</w:t>
      </w:r>
    </w:p>
    <w:p w:rsidR="002271F5" w:rsidRPr="00F220AB" w:rsidRDefault="002271F5" w:rsidP="002271F5">
      <w:pPr>
        <w:spacing w:before="120" w:after="120" w:line="480" w:lineRule="auto"/>
        <w:ind w:firstLine="720"/>
        <w:jc w:val="both"/>
        <w:rPr>
          <w:b w:val="0"/>
          <w:bCs w:val="0"/>
        </w:rPr>
      </w:pPr>
      <w:r w:rsidRPr="00F220AB">
        <w:rPr>
          <w:b w:val="0"/>
          <w:bCs w:val="0"/>
        </w:rPr>
        <w:t xml:space="preserve">Proxy proxied by ratio of projected tax incentives spending under incentive schemes against the overall government revenue, presented in percentage terms which indicates the </w:t>
      </w:r>
      <w:r w:rsidRPr="00F220AB">
        <w:rPr>
          <w:b w:val="0"/>
          <w:bCs w:val="0"/>
        </w:rPr>
        <w:lastRenderedPageBreak/>
        <w:t>fiscal value of privileges - such as pioneer status relief, investment allowances, export incentives, etc- given to investors in comparison with overall revenue mobilization</w:t>
      </w:r>
    </w:p>
    <w:p w:rsidR="002271F5" w:rsidRPr="00F220AB" w:rsidRDefault="002271F5" w:rsidP="002271F5">
      <w:pPr>
        <w:spacing w:before="220" w:after="100" w:line="480" w:lineRule="auto"/>
        <w:rPr>
          <w:b w:val="0"/>
          <w:bCs w:val="0"/>
        </w:rPr>
      </w:pPr>
    </w:p>
    <w:p w:rsidR="002271F5" w:rsidRPr="00F220AB" w:rsidRDefault="002271F5" w:rsidP="002271F5">
      <w:pPr>
        <w:spacing w:before="220" w:after="100" w:line="480" w:lineRule="auto"/>
        <w:rPr>
          <w:b w:val="0"/>
          <w:bCs w:val="0"/>
        </w:rPr>
      </w:pPr>
      <w:r w:rsidRPr="00F220AB">
        <w:rPr>
          <w:b w:val="0"/>
          <w:bCs w:val="0"/>
        </w:rPr>
        <w:t xml:space="preserve">Value-Added Tax (VAT)   </w:t>
      </w:r>
    </w:p>
    <w:p w:rsidR="002271F5" w:rsidRPr="00F220AB" w:rsidRDefault="002271F5" w:rsidP="002271F5">
      <w:pPr>
        <w:spacing w:before="220" w:after="100" w:line="480" w:lineRule="auto"/>
        <w:rPr>
          <w:b w:val="0"/>
          <w:bCs w:val="0"/>
        </w:rPr>
      </w:pPr>
      <w:r w:rsidRPr="00F220AB">
        <w:rPr>
          <w:b w:val="0"/>
          <w:bCs w:val="0"/>
        </w:rPr>
        <w:t>Proxy: VAT revenue (including domestic, foreign and import components) generated at FIRS / nominal GDP, expressed as a ratio. This indicates the effective burden of VAT on the economy both with the 2020 statutory rate increase and the base widening.</w:t>
      </w:r>
    </w:p>
    <w:p w:rsidR="002271F5" w:rsidRPr="00F220AB" w:rsidRDefault="002271F5" w:rsidP="002271F5">
      <w:pPr>
        <w:rPr>
          <w:b w:val="0"/>
          <w:bCs w:val="0"/>
        </w:rPr>
      </w:pPr>
      <w:r w:rsidRPr="00F220AB">
        <w:rPr>
          <w:b w:val="0"/>
          <w:bCs w:val="0"/>
        </w:rPr>
        <w:br w:type="page"/>
      </w:r>
    </w:p>
    <w:p w:rsidR="002271F5" w:rsidRDefault="002271F5" w:rsidP="002271F5">
      <w:pPr>
        <w:spacing w:before="360" w:after="240" w:line="480" w:lineRule="auto"/>
        <w:jc w:val="center"/>
      </w:pPr>
      <w:r>
        <w:rPr>
          <w:sz w:val="28"/>
          <w:szCs w:val="28"/>
        </w:rPr>
        <w:lastRenderedPageBreak/>
        <w:t>CHAPTER TWO</w:t>
      </w:r>
    </w:p>
    <w:p w:rsidR="002271F5" w:rsidRDefault="002271F5" w:rsidP="002271F5">
      <w:pPr>
        <w:spacing w:before="360" w:after="240" w:line="480" w:lineRule="auto"/>
        <w:jc w:val="center"/>
      </w:pPr>
      <w:r>
        <w:rPr>
          <w:sz w:val="28"/>
          <w:szCs w:val="28"/>
        </w:rPr>
        <w:t>REVIEW OF RELATED LITERATURE</w:t>
      </w:r>
    </w:p>
    <w:p w:rsidR="002271F5" w:rsidRDefault="002271F5" w:rsidP="002271F5">
      <w:pPr>
        <w:spacing w:before="300" w:after="180" w:line="480" w:lineRule="auto"/>
      </w:pPr>
      <w:r>
        <w:t>2.1 Conceptual Review</w:t>
      </w:r>
    </w:p>
    <w:p w:rsidR="002271F5" w:rsidRPr="00CB2639" w:rsidRDefault="002271F5" w:rsidP="002271F5">
      <w:pPr>
        <w:spacing w:before="220" w:after="100" w:line="480" w:lineRule="auto"/>
        <w:jc w:val="both"/>
      </w:pPr>
      <w:r w:rsidRPr="00F220AB">
        <w:t>2.1.1</w:t>
      </w:r>
      <w:r w:rsidRPr="00CB2639">
        <w:t xml:space="preserve"> Tax Policy: Nature, Structure, and Investment Relevance</w:t>
      </w:r>
    </w:p>
    <w:p w:rsidR="002271F5" w:rsidRPr="00F220AB" w:rsidRDefault="002271F5" w:rsidP="002271F5">
      <w:pPr>
        <w:spacing w:before="220" w:after="100" w:line="480" w:lineRule="auto"/>
        <w:jc w:val="both"/>
        <w:rPr>
          <w:b w:val="0"/>
          <w:bCs w:val="0"/>
        </w:rPr>
      </w:pPr>
      <w:r w:rsidRPr="00F220AB">
        <w:rPr>
          <w:b w:val="0"/>
          <w:bCs w:val="0"/>
        </w:rPr>
        <w:t>Tax policy encompasses all the legislation, regulation, administrative practices, and institutions through which a government decides how taxes should be structured, imposed, collected, and used, in order to meet fiscal, economic, and social objectives. In defining six principles of effective tax policy for investment attraction, the OECD (2020) argued that, they should be adequate in their revenue yield, efficient in their operation, equitable both between and among income groups (horizontally and vertically), administratively simple, Internationally Competitive and certain. The later two principles above are of crucial importance for FDI, as multinational corporations systematically rank the investment attractiveness of possible locations along fiscal dimensions before locking up long horizon capital. The building blocks of Nigeria's tax policy regime are primarily the CITA, VATA, PITA, IDA (Income tax Relief) act and the finance act 2019 through to 2023, whose progressive application have revised rates, bases, incentives and administrative processes.</w:t>
      </w:r>
    </w:p>
    <w:p w:rsidR="002271F5" w:rsidRPr="00F220AB" w:rsidRDefault="002271F5" w:rsidP="002271F5">
      <w:pPr>
        <w:spacing w:before="220" w:after="100" w:line="480" w:lineRule="auto"/>
        <w:jc w:val="both"/>
        <w:rPr>
          <w:b w:val="0"/>
          <w:bCs w:val="0"/>
        </w:rPr>
      </w:pPr>
      <w:r w:rsidRPr="00F220AB">
        <w:rPr>
          <w:b w:val="0"/>
          <w:bCs w:val="0"/>
        </w:rPr>
        <w:t xml:space="preserve">It is crucial to highlight the differences between statutory and effective tax policy in evaluating its impact on investment decisions. While statutory tax policy comprises of the legal framework of the taxation system, effective tax policy which is a function of interactions between statutory law, administrative practices, tax payment and compliance costs, administrative and enforcement discretion and disputes resolution efficiency reflects </w:t>
      </w:r>
      <w:r w:rsidRPr="00F220AB">
        <w:rPr>
          <w:b w:val="0"/>
          <w:bCs w:val="0"/>
        </w:rPr>
        <w:lastRenderedPageBreak/>
        <w:t>the actual fiscal experience of businesses. It is effective tax policy that governs actual investment returns and risk in the case of foreign investors. Nigeria's notoriously known problem of double taxation, VAT refund delays, transfer pricing uncertainty and long tax disputes resolution process are all facets of effective tax policy that cannot be resolved through purely statutory reform. Understanding these differences is central to interpreting the empirical results of this paper.</w:t>
      </w:r>
    </w:p>
    <w:p w:rsidR="002271F5" w:rsidRPr="00CB2639" w:rsidRDefault="002271F5" w:rsidP="002271F5">
      <w:pPr>
        <w:spacing w:before="220" w:after="100" w:line="480" w:lineRule="auto"/>
        <w:jc w:val="both"/>
      </w:pPr>
      <w:r w:rsidRPr="00F220AB">
        <w:t>2.1.2</w:t>
      </w:r>
      <w:r w:rsidRPr="00CB2639">
        <w:t xml:space="preserve"> Corporate Income Tax: Concept and Investment Implications</w:t>
      </w:r>
    </w:p>
    <w:p w:rsidR="002271F5" w:rsidRPr="00F220AB" w:rsidRDefault="002271F5" w:rsidP="002271F5">
      <w:pPr>
        <w:spacing w:before="220" w:after="100" w:line="480" w:lineRule="auto"/>
        <w:jc w:val="both"/>
        <w:rPr>
          <w:b w:val="0"/>
          <w:bCs w:val="0"/>
        </w:rPr>
      </w:pPr>
      <w:r w:rsidRPr="00F220AB">
        <w:rPr>
          <w:b w:val="0"/>
          <w:bCs w:val="0"/>
        </w:rPr>
        <w:t>Corporate income tax (CIT) is the direct taxation of the profit net of companies; it is the most important interaction in a host country – FDI context in many developing economies. The system governingCITis CITA Cap C21 LFN 2004as amended. With the Finance Act 2019, large companies in Nigeria are taxed at 30 percent, companies whose turnover ranges between NGN25 million and NGN 100 million are taxed at 20 percent, while small companies below NGN25 million pay noCIT(FIRS, 2024). In addition to CIT are Tertiary Education Tax of 3 percent of taxable profits and withholding tax on dividends distribution at 10 percent, among others. The investor economics view CIT in thatCITdirectly influences the after tax rate of return of the investment made, which is the benchmark used by foreign investors in comparing countries. Beer, Klemm and Matheson (2020) report that an increase of one percentage point in the effective average tax rate on FDI decreases FDI by about 3 percent in a panel of 50 economies; the magnitude is greater in developing economies than in developed ones where risk premiums are greater.</w:t>
      </w:r>
    </w:p>
    <w:p w:rsidR="002271F5" w:rsidRPr="00CB2639" w:rsidRDefault="002271F5" w:rsidP="002271F5">
      <w:pPr>
        <w:spacing w:before="220" w:after="100" w:line="480" w:lineRule="auto"/>
        <w:jc w:val="both"/>
      </w:pPr>
      <w:r w:rsidRPr="00F220AB">
        <w:t xml:space="preserve"> 2.1.3</w:t>
      </w:r>
      <w:r w:rsidRPr="00CB2639">
        <w:t>Tax Incentives: Rationale, Types, and Effectiveness</w:t>
      </w:r>
    </w:p>
    <w:p w:rsidR="002271F5" w:rsidRPr="00F220AB" w:rsidRDefault="002271F5" w:rsidP="002271F5">
      <w:pPr>
        <w:spacing w:before="120" w:after="120" w:line="480" w:lineRule="auto"/>
        <w:jc w:val="both"/>
        <w:rPr>
          <w:b w:val="0"/>
          <w:bCs w:val="0"/>
        </w:rPr>
      </w:pPr>
      <w:r w:rsidRPr="00F220AB">
        <w:rPr>
          <w:b w:val="0"/>
          <w:bCs w:val="0"/>
        </w:rPr>
        <w:lastRenderedPageBreak/>
        <w:t>Tax incentives are purposeful departures from normal tax regimes that grant fiscal benefits to designated businesses to encourage socially desirable investment. The main types of incentives in Nigeria include pioneer status relief giving three to five year tax holidays, accelerated capital allowance enabling quick recovery of capital cost outlay, export processing zone benefits exempt from CIT, deduction for research and development, and sector based tax breaks for agriculture, solid minerals, manufacturing and the digital economy. Between 2019 and 2023, a number of finance acts broadened the array of incentives provided and, partially, simplified its application through NIPC. There are contradictory findings regarding the efficacy of the tax incentives as an instrument of investment promotion. A section of research, the 'compensation theory', asserts that the loss in tax revenue is compensated by increased investment due to a leveled playing field since tax incentives offset existing drawbacks for investment in the economy (James, 2019). However, other critics of this school argue that ineffectively drafted incentives only lead to fiscal loss without increase in investment as funds could have been invested even without incentives - hence causing dead weight losses(IMF, 2021). With regard to Nigeria's pioneer status regime, historically the opacity in the administration has weakened credibility of promises for the application of incentive benefits to its effect on spurring investment (Abata&amp;Adegboye, 2021).</w:t>
      </w:r>
    </w:p>
    <w:p w:rsidR="002271F5" w:rsidRPr="00CB2639" w:rsidRDefault="002271F5" w:rsidP="002271F5">
      <w:pPr>
        <w:spacing w:before="220" w:after="100" w:line="480" w:lineRule="auto"/>
        <w:jc w:val="both"/>
      </w:pPr>
      <w:r w:rsidRPr="00F220AB">
        <w:t xml:space="preserve"> 2.1.4</w:t>
      </w:r>
      <w:r w:rsidRPr="00CB2639">
        <w:t>Value-Added Tax: Concept and Investment Implications</w:t>
      </w:r>
    </w:p>
    <w:p w:rsidR="002271F5" w:rsidRPr="00F220AB" w:rsidRDefault="002271F5" w:rsidP="002271F5">
      <w:pPr>
        <w:spacing w:before="220" w:after="100" w:line="480" w:lineRule="auto"/>
        <w:jc w:val="both"/>
        <w:rPr>
          <w:b w:val="0"/>
          <w:bCs w:val="0"/>
        </w:rPr>
      </w:pPr>
      <w:r w:rsidRPr="00F220AB">
        <w:rPr>
          <w:b w:val="0"/>
          <w:bCs w:val="0"/>
        </w:rPr>
        <w:t xml:space="preserve">VAT is a multi-stage indirect tax imposed on the value added in each stage of the production and distribution process. Under Nigeria's VAT regime (which came into effect in 1993 under the Value Added Tax Act, and which currently exists at a 7.5% tax rate, raised from 5% by the Finance Act 2019 and effective since January 2020, with a list of exemptions in place for </w:t>
      </w:r>
      <w:r w:rsidRPr="00F220AB">
        <w:rPr>
          <w:b w:val="0"/>
          <w:bCs w:val="0"/>
        </w:rPr>
        <w:lastRenderedPageBreak/>
        <w:t>goods such as basic foodstuffs, pharmaceuticals and educational items and for exported goods and services), although VAT is, in theory, intended to be paid by final consumers, in practice it has significant investment consequences. For capital intensive foreign investors, it produces significant input tax credit related to imports of machinery and equipment and to construction activities, the recoverability of which through refunds to investors is crucial for their cash flow viability. In Nigeria, delays in VAT refunds have been a recurring phenomenon, as found by the World Bank (2022) and Abata and Adegboye (2021), and the nominal neutral business tax becomes a significant cost of investment finance: for the foreign-invested project, the effective cost of capital rises.</w:t>
      </w:r>
    </w:p>
    <w:p w:rsidR="002271F5" w:rsidRPr="00CB2639" w:rsidRDefault="002271F5" w:rsidP="002271F5">
      <w:pPr>
        <w:spacing w:before="220" w:after="100" w:line="480" w:lineRule="auto"/>
        <w:jc w:val="both"/>
      </w:pPr>
      <w:r w:rsidRPr="00F220AB">
        <w:t>2.1.5</w:t>
      </w:r>
      <w:r w:rsidRPr="00CB2639">
        <w:t xml:space="preserve"> Foreign Direct Investment: Concept, Determinants, and Economic Role</w:t>
      </w:r>
    </w:p>
    <w:p w:rsidR="002271F5" w:rsidRPr="00F220AB" w:rsidRDefault="002271F5" w:rsidP="002271F5">
      <w:pPr>
        <w:spacing w:before="120" w:after="120" w:line="480" w:lineRule="auto"/>
        <w:jc w:val="both"/>
        <w:rPr>
          <w:b w:val="0"/>
          <w:bCs w:val="0"/>
        </w:rPr>
      </w:pPr>
      <w:r w:rsidRPr="00F220AB">
        <w:rPr>
          <w:b w:val="0"/>
          <w:bCs w:val="0"/>
        </w:rPr>
        <w:t xml:space="preserve">Foreign Direct Investment, or FDI is identified in the IMF Balance of Payments Manual (IMF, 2009) as a transaction in the nature of a cross-border investment wherein an investor who is resident of an economy other than the investor's economy gains a lasting interest with a significant degree of influence (operationally specified as 10 percent or more of voting power) over an enterprise which is resident in the other economy. FDI may be in the form of equity, or profit reinvestment or company loans. Key FDI push factors are home country's economic environment while FDI pull factors in the host country may include the market's size and its growth prospects, availability of resources, infrastructural development, regulatory climate and the government's fiscal policy. The economic importance of FDI to developing countries comes in many guises: direct capital formation, transfer of technology and knowledge, human capital development, job creation, access to export markets and revenue contribution to government finances - a multidimensional package that clarifies why </w:t>
      </w:r>
      <w:r w:rsidRPr="00F220AB">
        <w:rPr>
          <w:b w:val="0"/>
          <w:bCs w:val="0"/>
        </w:rPr>
        <w:lastRenderedPageBreak/>
        <w:t>the attraction of FDI continues to be a centerpiece of the Nigerian development agenda in different national plans.</w:t>
      </w:r>
    </w:p>
    <w:p w:rsidR="002271F5" w:rsidRPr="00CB2639" w:rsidRDefault="002271F5" w:rsidP="002271F5">
      <w:pPr>
        <w:spacing w:before="300" w:after="180" w:line="480" w:lineRule="auto"/>
        <w:jc w:val="both"/>
      </w:pPr>
      <w:r w:rsidRPr="00CB2639">
        <w:t>2.2 Theoretical Framework</w:t>
      </w:r>
    </w:p>
    <w:p w:rsidR="002271F5" w:rsidRPr="00CB2639" w:rsidRDefault="002271F5" w:rsidP="002271F5">
      <w:pPr>
        <w:spacing w:before="220" w:after="100" w:line="480" w:lineRule="auto"/>
        <w:jc w:val="both"/>
      </w:pPr>
      <w:r w:rsidRPr="00F220AB">
        <w:t>2.2.1</w:t>
      </w:r>
      <w:r w:rsidRPr="00CB2639">
        <w:t xml:space="preserve"> The Neoclassical Theory of Investment</w:t>
      </w:r>
    </w:p>
    <w:p w:rsidR="002271F5" w:rsidRPr="00F220AB" w:rsidRDefault="002271F5" w:rsidP="002271F5">
      <w:pPr>
        <w:spacing w:before="120" w:after="120" w:line="480" w:lineRule="auto"/>
        <w:jc w:val="both"/>
        <w:rPr>
          <w:b w:val="0"/>
          <w:bCs w:val="0"/>
        </w:rPr>
      </w:pPr>
      <w:r w:rsidRPr="00F220AB">
        <w:rPr>
          <w:b w:val="0"/>
          <w:bCs w:val="0"/>
        </w:rPr>
        <w:t>The Neoclassical Theory of Investment-codified by Jorgenson (1963) and developed by Auerbach and Hassett (2020)-represents the microeconomic basis for analyzing how taxes influence investment behavior. The theory posits that profit-maximizing firms should increase investment to where the expected marginal return on capital equals its cost of capital-which is the minimum before-tax return that an asset must earn to cover financing, depreciation, and taxation. The more heavily a firm is taxed, the higher will be the cost of capital and lower the equilibrium investment. At the international level, the theory leads to the prediction that MNEs will move investment to where it can earn the highest after-tax portfolio return. This prediction supports the strong empirical result, across a wide range of studies (as reviewed by De Mooij and Ederveen, 2020), that foreign direct investment inflows are negatively and significantly related to effective corporate tax rates. The Neoclassical Theory of Investment forms the basic prediction underpinning the hypotheses that CIT and VAT will have negative impacts on FDI and that incentives will have positive impacts on FDI.</w:t>
      </w:r>
    </w:p>
    <w:p w:rsidR="002271F5" w:rsidRPr="00CB2639" w:rsidRDefault="002271F5" w:rsidP="002271F5">
      <w:pPr>
        <w:spacing w:before="220" w:after="100" w:line="480" w:lineRule="auto"/>
        <w:jc w:val="both"/>
      </w:pPr>
      <w:r w:rsidRPr="00F220AB">
        <w:t>2.2.2</w:t>
      </w:r>
      <w:r w:rsidRPr="00CB2639">
        <w:t xml:space="preserve"> Dunning's Eclectic Paradigm (OLI Theory)</w:t>
      </w:r>
    </w:p>
    <w:p w:rsidR="002271F5" w:rsidRPr="00F220AB" w:rsidRDefault="002271F5" w:rsidP="002271F5">
      <w:pPr>
        <w:spacing w:before="220" w:after="100" w:line="480" w:lineRule="auto"/>
        <w:jc w:val="both"/>
        <w:rPr>
          <w:b w:val="0"/>
          <w:bCs w:val="0"/>
        </w:rPr>
      </w:pPr>
      <w:r w:rsidRPr="00F220AB">
        <w:rPr>
          <w:b w:val="0"/>
          <w:bCs w:val="0"/>
        </w:rPr>
        <w:t>Dunning's Eclectic Paradigm (Dunning &amp;Lundan, 2020) continues to be the preeminent paradigm used to analyze the causes and manner of FDI. According to the OLI paradigm, for FDI to occur, each of the following conditions must be met jointly: Ownership advantages-</w:t>
      </w:r>
      <w:r w:rsidRPr="00F220AB">
        <w:rPr>
          <w:b w:val="0"/>
          <w:bCs w:val="0"/>
        </w:rPr>
        <w:lastRenderedPageBreak/>
        <w:t>specific firm assets that create competitive dominance, Internalization advantages-the motive for internalizing the process rather than outsourcing it, Location advantages-home-country factors that render home-country production less optimal than foreign-country production. Tax policy is arguably the most easily quantifiable and policy-malleable element of location advantage, the only element in fact where destinations compete with each other in comparative performance. In the OLI framework, Nigeria's relative position hinges on the relative size of its location advantages against those of competitors competing for the same global foreign investment capital. While Nigeria's location advantages based on natural resources and size of its domestic market are significant, its fiscally and institutionally based location advantages (CIT competitiveness, credibility of fiscal incentives and efficiency of VAT administration), are severely disadvantaged when compared with more investment-friendly African peers (Ghana, Rwanda and Mauritius). The OLI paradigm, in essence, gives strong theoretical support to an analysis of how specific tax policy reforms could enhance location advantage for Nigeria.</w:t>
      </w:r>
    </w:p>
    <w:p w:rsidR="002271F5" w:rsidRPr="00CB2639" w:rsidRDefault="002271F5" w:rsidP="002271F5">
      <w:pPr>
        <w:spacing w:before="220" w:after="100" w:line="480" w:lineRule="auto"/>
        <w:jc w:val="both"/>
      </w:pPr>
      <w:r w:rsidRPr="00F220AB">
        <w:t>2.2.3</w:t>
      </w:r>
      <w:r w:rsidRPr="00CB2639">
        <w:t xml:space="preserve"> Institutional Theory of Investment</w:t>
      </w:r>
    </w:p>
    <w:p w:rsidR="002271F5" w:rsidRPr="00F220AB" w:rsidRDefault="002271F5" w:rsidP="002271F5">
      <w:pPr>
        <w:spacing w:before="220" w:after="100" w:line="480" w:lineRule="auto"/>
        <w:jc w:val="both"/>
        <w:rPr>
          <w:b w:val="0"/>
          <w:bCs w:val="0"/>
        </w:rPr>
      </w:pPr>
      <w:r w:rsidRPr="00F220AB">
        <w:rPr>
          <w:b w:val="0"/>
          <w:bCs w:val="0"/>
        </w:rPr>
        <w:t xml:space="preserve">Using North's (2019) insights and extending it to investment, the core idea of Institutional Theory is that both formal and informal rules of economic activity significantly influence investment decisions in ways that go beyond a simple cost-benefit analysis. The institutional quality for foreign investors includes legal/regulatory framework stability and predictability, quality and neutrality of contract enforcement, quality of the civil service, transparency and reliability of government policy credibility. All of these areas are particularly important to the area of taxation, and institutional quality explains whether the formal tax laws are perceived by investors as rules which are stable, predictable, and applied neutrally or as a </w:t>
      </w:r>
      <w:r w:rsidRPr="00F220AB">
        <w:rPr>
          <w:b w:val="0"/>
          <w:bCs w:val="0"/>
        </w:rPr>
        <w:lastRenderedPageBreak/>
        <w:t>cause of uncertainty, discrimination, and rent-seeking. This Institutional Theory offers a way of explaining a puzzle about Nigeria's investment history: why the formal reward regime and incentive structure hasn't yielded significant FDI flows. If incentive awards are discretionary, tax assessments unpredictable, VAT refunds indefinitely delayed, and disputes prolonged, then the formal laws provide an unreliable incentive, and investors may discount their nominal value in their calculations of return on investment. Institutional Theory therefore provides support for the argument that in Nigeria, tax administration institutional quality is just as important as adjustments to statutory rates.</w:t>
      </w:r>
    </w:p>
    <w:p w:rsidR="002271F5" w:rsidRPr="00F220AB" w:rsidRDefault="002271F5" w:rsidP="002271F5">
      <w:pPr>
        <w:spacing w:before="220" w:after="100" w:line="480" w:lineRule="auto"/>
        <w:jc w:val="both"/>
        <w:rPr>
          <w:b w:val="0"/>
          <w:bCs w:val="0"/>
        </w:rPr>
      </w:pPr>
    </w:p>
    <w:p w:rsidR="002271F5" w:rsidRPr="00CB2639" w:rsidRDefault="002271F5" w:rsidP="002271F5">
      <w:pPr>
        <w:spacing w:before="220" w:after="100" w:line="480" w:lineRule="auto"/>
        <w:jc w:val="both"/>
      </w:pPr>
      <w:r w:rsidRPr="00F220AB">
        <w:t>2.2.4</w:t>
      </w:r>
      <w:r w:rsidRPr="00CB2639">
        <w:t>Relevance to the Study</w:t>
      </w:r>
    </w:p>
    <w:p w:rsidR="002271F5" w:rsidRPr="00F220AB" w:rsidRDefault="002271F5" w:rsidP="002271F5">
      <w:pPr>
        <w:spacing w:before="300" w:after="180" w:line="480" w:lineRule="auto"/>
        <w:jc w:val="both"/>
        <w:rPr>
          <w:b w:val="0"/>
          <w:bCs w:val="0"/>
        </w:rPr>
      </w:pPr>
      <w:r w:rsidRPr="00F220AB">
        <w:rPr>
          <w:b w:val="0"/>
          <w:bCs w:val="0"/>
        </w:rPr>
        <w:t>The three theoretical frameworks should be seen as complementary and non-conflicting. Neoclassical theory presents the micro-economic basis by which tax policies influence the expected returns on and investment decision-making. The Eclectic paradigm incorporates the tax variable in a complex framework with other macro and micro factors that explain where to locate investment: 'In sum, factors influencing the decision on where to locate are to be viewed as being complexly interrelated'. Institutional theory provides the reasoning behind why legally similar tax rules may yield varied FDI outcomes due to governance differences: 'The effectiveness of tax provisions is determined by the quality of their implementation and perceived by firms to be credibly enforced by state agencies'. All three frameworks therefore provide evidence for the empirical model tested in Chapter 3 which simultaneously estimates the influence of Co</w:t>
      </w:r>
      <w:r w:rsidR="00F220AB">
        <w:rPr>
          <w:b w:val="0"/>
          <w:bCs w:val="0"/>
        </w:rPr>
        <w:t>mpany</w:t>
      </w:r>
      <w:r w:rsidRPr="00F220AB">
        <w:rPr>
          <w:b w:val="0"/>
          <w:bCs w:val="0"/>
        </w:rPr>
        <w:t xml:space="preserve"> income tax (CIT), Tax incentives and VAT on FDI while </w:t>
      </w:r>
      <w:r w:rsidRPr="00F220AB">
        <w:rPr>
          <w:b w:val="0"/>
          <w:bCs w:val="0"/>
        </w:rPr>
        <w:lastRenderedPageBreak/>
        <w:t>holdingmacroeconomic variables constant and gives reasons for the a priori signs on all the estimated coefficients.</w:t>
      </w:r>
    </w:p>
    <w:p w:rsidR="00BB59FF" w:rsidRDefault="00BB59FF" w:rsidP="002271F5">
      <w:pPr>
        <w:spacing w:before="300" w:after="180" w:line="480" w:lineRule="auto"/>
        <w:jc w:val="both"/>
      </w:pPr>
    </w:p>
    <w:p w:rsidR="002271F5" w:rsidRPr="00CB2639" w:rsidRDefault="002271F5" w:rsidP="002271F5">
      <w:pPr>
        <w:spacing w:before="300" w:after="180" w:line="480" w:lineRule="auto"/>
        <w:jc w:val="both"/>
      </w:pPr>
      <w:r w:rsidRPr="00CB2639">
        <w:t>2.3 Empirical Review</w:t>
      </w:r>
    </w:p>
    <w:p w:rsidR="002271F5" w:rsidRPr="00F220AB" w:rsidRDefault="002271F5" w:rsidP="002271F5">
      <w:pPr>
        <w:spacing w:before="120" w:after="120" w:line="480" w:lineRule="auto"/>
        <w:jc w:val="both"/>
        <w:rPr>
          <w:b w:val="0"/>
          <w:bCs w:val="0"/>
        </w:rPr>
      </w:pPr>
      <w:r w:rsidRPr="00F220AB">
        <w:rPr>
          <w:b w:val="0"/>
          <w:bCs w:val="0"/>
        </w:rPr>
        <w:t>The 30 empirical studies presented below examine the effect of tax policy variables on FDI using evidence from Nigeria and other comparable developing countries from 2019 to 2025:</w:t>
      </w:r>
    </w:p>
    <w:p w:rsidR="002271F5" w:rsidRPr="00F220AB" w:rsidRDefault="002271F5" w:rsidP="002271F5">
      <w:pPr>
        <w:spacing w:before="240" w:after="120" w:line="480" w:lineRule="auto"/>
        <w:jc w:val="both"/>
        <w:rPr>
          <w:b w:val="0"/>
          <w:bCs w:val="0"/>
        </w:rPr>
      </w:pPr>
      <w:r w:rsidRPr="00F220AB">
        <w:rPr>
          <w:b w:val="0"/>
          <w:bCs w:val="0"/>
        </w:rPr>
        <w:t xml:space="preserve"> James (2019) investigated the impact of tax incentive on FDI in 30 African economies using fixed effect panel regression over the period 2000-2016. Tax holidays and investment allowances have positive but insignificant impacts on FDI and their impacts are mediated by institutional quality which shows that the credibility of incentives is as important as the generosity of incentives in attracting FDI.</w:t>
      </w:r>
    </w:p>
    <w:p w:rsidR="002271F5" w:rsidRPr="00F220AB" w:rsidRDefault="002271F5" w:rsidP="002271F5">
      <w:pPr>
        <w:spacing w:before="240" w:after="120" w:line="480" w:lineRule="auto"/>
        <w:jc w:val="both"/>
        <w:rPr>
          <w:b w:val="0"/>
          <w:bCs w:val="0"/>
        </w:rPr>
      </w:pPr>
      <w:r w:rsidRPr="00F220AB">
        <w:rPr>
          <w:b w:val="0"/>
          <w:bCs w:val="0"/>
        </w:rPr>
        <w:t>Asiedu and Lien (2019) employed GMM panel estimation method in Sub-Saharan African economies and found that a one percentage point cut in CIT increased FDI by 2.1 percent among resource-rich economies; political instability significantly moderates the fiscal impact which illustrates the interaction of fiscal and institutional determinants of investment.</w:t>
      </w:r>
    </w:p>
    <w:p w:rsidR="002271F5" w:rsidRPr="00F220AB" w:rsidRDefault="002271F5" w:rsidP="002271F5">
      <w:pPr>
        <w:spacing w:before="240" w:after="120" w:line="480" w:lineRule="auto"/>
        <w:jc w:val="both"/>
        <w:rPr>
          <w:b w:val="0"/>
          <w:bCs w:val="0"/>
        </w:rPr>
      </w:pPr>
      <w:r w:rsidRPr="00F220AB">
        <w:rPr>
          <w:b w:val="0"/>
          <w:bCs w:val="0"/>
        </w:rPr>
        <w:t xml:space="preserve"> Beer, Klemm and Matheson (2020) document that across 50 economies the semi-elasticity of FDI with respect to the effective average tax rate is -3.0 which indicates a high sensitivity to corporate income tax in MNEs investment decision and investment in developing countries appear more sensitive to taxation due to a higher level of base risk premium compared to developed countries.</w:t>
      </w:r>
    </w:p>
    <w:p w:rsidR="002271F5" w:rsidRPr="00F220AB" w:rsidRDefault="002271F5" w:rsidP="002271F5">
      <w:pPr>
        <w:spacing w:before="240" w:after="120" w:line="480" w:lineRule="auto"/>
        <w:jc w:val="both"/>
        <w:rPr>
          <w:b w:val="0"/>
          <w:bCs w:val="0"/>
        </w:rPr>
      </w:pPr>
      <w:r w:rsidRPr="00F220AB">
        <w:rPr>
          <w:b w:val="0"/>
          <w:bCs w:val="0"/>
        </w:rPr>
        <w:lastRenderedPageBreak/>
        <w:t xml:space="preserve"> De Mooij and Ederveen (2020) provide a meta-analysis of 196 studies on tax elasticity of FDI. A pooled semi-elasticity of -2.5 which shows that a reduction of the corporate tax rate by 1 percentage point leads to an increase of FDI by 2.5% is found across various geographies, methods, and time periods.</w:t>
      </w:r>
    </w:p>
    <w:p w:rsidR="002271F5" w:rsidRPr="00F220AB" w:rsidRDefault="002271F5" w:rsidP="002271F5">
      <w:pPr>
        <w:spacing w:before="240" w:after="120" w:line="480" w:lineRule="auto"/>
        <w:jc w:val="both"/>
        <w:rPr>
          <w:b w:val="0"/>
          <w:bCs w:val="0"/>
        </w:rPr>
      </w:pPr>
      <w:r w:rsidRPr="00F220AB">
        <w:rPr>
          <w:b w:val="0"/>
          <w:bCs w:val="0"/>
        </w:rPr>
        <w:t xml:space="preserve"> World Bank (2020) analyses tax reform impacts on FDI in 50 emerging markets and demonstrates that tax reforms that have reduced tax compliance costs achieved a 15%-20% higher FDI in comparison to others which relied primarily on tax rate reduction which emphasizes the importance of administrative simplifications for attracting FDI.</w:t>
      </w:r>
    </w:p>
    <w:p w:rsidR="002271F5" w:rsidRPr="00F220AB" w:rsidRDefault="002271F5" w:rsidP="002271F5">
      <w:pPr>
        <w:spacing w:before="240" w:after="120" w:line="480" w:lineRule="auto"/>
        <w:jc w:val="both"/>
        <w:rPr>
          <w:b w:val="0"/>
          <w:bCs w:val="0"/>
        </w:rPr>
      </w:pPr>
      <w:r w:rsidRPr="00F220AB">
        <w:rPr>
          <w:b w:val="0"/>
          <w:bCs w:val="0"/>
        </w:rPr>
        <w:t xml:space="preserve"> OECD (2020) assessed the tax competition across 80 countries and found that tax certainty (stability and predictability of tax laws and administrative interpretation) was reported by multinationals to be more important than the statutory tax rates. The assessment confirms the relevance of the study given Nigeria's annual Finance Act amendments which create uncertainty for tax paying firms in Nigeria.</w:t>
      </w:r>
    </w:p>
    <w:p w:rsidR="002271F5" w:rsidRPr="00F220AB" w:rsidRDefault="002271F5" w:rsidP="002271F5">
      <w:pPr>
        <w:spacing w:before="240" w:after="120" w:line="480" w:lineRule="auto"/>
        <w:jc w:val="both"/>
        <w:rPr>
          <w:b w:val="0"/>
          <w:bCs w:val="0"/>
        </w:rPr>
      </w:pPr>
      <w:r w:rsidRPr="00F220AB">
        <w:rPr>
          <w:b w:val="0"/>
          <w:bCs w:val="0"/>
        </w:rPr>
        <w:t>Ogundele and Okafor (2020) investigated the impact of pioneer status relief on FDI in Nigeria using OLS method (2000-2018) and found a positive and significant impact of Pioneer Status Relief on manufacturing FDI although it has a weakly negative coefficient and limited to those who have access to this relief scheme; particularly for those outside of the services sector who don't have a strong case for claiming this tax incentive.</w:t>
      </w:r>
    </w:p>
    <w:p w:rsidR="002271F5" w:rsidRPr="00F220AB" w:rsidRDefault="002271F5" w:rsidP="002271F5">
      <w:pPr>
        <w:spacing w:before="240" w:after="120" w:line="480" w:lineRule="auto"/>
        <w:jc w:val="both"/>
        <w:rPr>
          <w:b w:val="0"/>
          <w:bCs w:val="0"/>
        </w:rPr>
      </w:pPr>
      <w:r w:rsidRPr="00F220AB">
        <w:rPr>
          <w:b w:val="0"/>
          <w:bCs w:val="0"/>
        </w:rPr>
        <w:t xml:space="preserve">Onyekachi </w:t>
      </w:r>
      <w:r w:rsidRPr="00F220AB">
        <w:rPr>
          <w:b w:val="0"/>
          <w:bCs w:val="0"/>
          <w:i/>
          <w:iCs/>
        </w:rPr>
        <w:t>et.al</w:t>
      </w:r>
      <w:r w:rsidRPr="00F220AB">
        <w:rPr>
          <w:b w:val="0"/>
          <w:bCs w:val="0"/>
        </w:rPr>
        <w:t xml:space="preserve"> (2020) utilized time-series data of Nigeria (1990-2018) and apply OLS method to investigate the impact of CIT and FDI; result shows a statistically significant relationship between CIT and FDI. According to the result, increase in CIT rate by 1% </w:t>
      </w:r>
      <w:r w:rsidRPr="00F220AB">
        <w:rPr>
          <w:b w:val="0"/>
          <w:bCs w:val="0"/>
        </w:rPr>
        <w:lastRenderedPageBreak/>
        <w:t>reduces annual FDI by about USD 85 million in short-run, which supports the proposition that a lower tax burden would result in a higher inflow of FDI.</w:t>
      </w:r>
    </w:p>
    <w:p w:rsidR="002271F5" w:rsidRPr="00F220AB" w:rsidRDefault="002271F5" w:rsidP="002271F5">
      <w:pPr>
        <w:spacing w:before="240" w:after="120" w:line="480" w:lineRule="auto"/>
        <w:jc w:val="both"/>
        <w:rPr>
          <w:b w:val="0"/>
          <w:bCs w:val="0"/>
        </w:rPr>
      </w:pPr>
      <w:r w:rsidRPr="00F220AB">
        <w:rPr>
          <w:b w:val="0"/>
          <w:bCs w:val="0"/>
        </w:rPr>
        <w:t>UNCTAD (2021) reports tax policy issues such as inconsistency and multiplicity of tax regimes and international overlapping taxation as two of the five top fiscal obstacles faced by multinational corporations as perceived in the investment policy review on Nigeria, and they add that addressing this issue would be critical for enhancing the FDI attractiveness of the country.</w:t>
      </w:r>
    </w:p>
    <w:p w:rsidR="002271F5" w:rsidRPr="00F220AB" w:rsidRDefault="002271F5" w:rsidP="002271F5">
      <w:pPr>
        <w:spacing w:before="240" w:after="120" w:line="480" w:lineRule="auto"/>
        <w:jc w:val="both"/>
        <w:rPr>
          <w:b w:val="0"/>
          <w:bCs w:val="0"/>
        </w:rPr>
      </w:pPr>
      <w:r w:rsidRPr="00F220AB">
        <w:rPr>
          <w:b w:val="0"/>
          <w:bCs w:val="0"/>
        </w:rPr>
        <w:t xml:space="preserve"> Eze and Nwankwo (2021) employ ARDL bounds testing methodology in Nigeria (1995-2019) and they conclude that tax incentive expenditure has a positive and significant effect on FDI in the long-run, while CIT has a significant negative relationship with FDI in the long-run, and the speed of adjustment toward equilibrium is about one to two years.</w:t>
      </w:r>
    </w:p>
    <w:p w:rsidR="002271F5" w:rsidRPr="00F220AB" w:rsidRDefault="002271F5" w:rsidP="002271F5">
      <w:pPr>
        <w:spacing w:before="240" w:after="120" w:line="480" w:lineRule="auto"/>
        <w:jc w:val="both"/>
        <w:rPr>
          <w:b w:val="0"/>
          <w:bCs w:val="0"/>
        </w:rPr>
      </w:pPr>
      <w:r w:rsidRPr="00F220AB">
        <w:rPr>
          <w:b w:val="0"/>
          <w:bCs w:val="0"/>
        </w:rPr>
        <w:t xml:space="preserve"> IMF (2021) examines investment flows in 40 low-income countries and finds that countries with competitive tax environments, i.e., countries with lower overall effective tax rates and incentives designed to complement base broadening tax reform, attract greater FDI flows than those offering overly generous and costly incentives which cause more deadweight loss without commensurate additional investment returns.</w:t>
      </w:r>
    </w:p>
    <w:p w:rsidR="002271F5" w:rsidRPr="00F220AB" w:rsidRDefault="002271F5" w:rsidP="002271F5">
      <w:pPr>
        <w:spacing w:before="240" w:after="120" w:line="480" w:lineRule="auto"/>
        <w:jc w:val="both"/>
        <w:rPr>
          <w:b w:val="0"/>
          <w:bCs w:val="0"/>
        </w:rPr>
      </w:pPr>
      <w:r w:rsidRPr="00F220AB">
        <w:rPr>
          <w:b w:val="0"/>
          <w:bCs w:val="0"/>
        </w:rPr>
        <w:t>Abata and Adegboye (2021) conducted a survey of 120 multinational enterprises (MNEs) operating in Nigeria and find that over 78 percent of these managers regarded complex and unpredictable tax administration as a serious deterrent, with VAT refund delay and duplicate tax audit among the top rated irritants which significantly hinder investment inflow to Nigeria.</w:t>
      </w:r>
    </w:p>
    <w:p w:rsidR="002271F5" w:rsidRPr="00F220AB" w:rsidRDefault="002271F5" w:rsidP="002271F5">
      <w:pPr>
        <w:spacing w:before="240" w:after="120" w:line="480" w:lineRule="auto"/>
        <w:jc w:val="both"/>
        <w:rPr>
          <w:b w:val="0"/>
          <w:bCs w:val="0"/>
        </w:rPr>
      </w:pPr>
      <w:r w:rsidRPr="00F220AB">
        <w:rPr>
          <w:b w:val="0"/>
          <w:bCs w:val="0"/>
        </w:rPr>
        <w:lastRenderedPageBreak/>
        <w:t>Akinwale and Oladipo (2021) carried out a comparative panel study of CIT and FDI for ECOWAS economies (2005-2019) and observe that Nigeria have the highest effective CIT burden even among ECOWAS countries which may largely account for the country's inability to attract FDI like Ghana and Cote d' Ivoire. The high burden is due to its substantial adjustments to statutory rates for a mix of compliance costs, administrative requirements, and sector-specific taxes.</w:t>
      </w:r>
    </w:p>
    <w:p w:rsidR="002271F5" w:rsidRPr="00F220AB" w:rsidRDefault="002271F5" w:rsidP="002271F5">
      <w:pPr>
        <w:spacing w:before="240" w:after="120" w:line="480" w:lineRule="auto"/>
        <w:jc w:val="both"/>
        <w:rPr>
          <w:b w:val="0"/>
          <w:bCs w:val="0"/>
        </w:rPr>
      </w:pPr>
      <w:r w:rsidRPr="00F220AB">
        <w:rPr>
          <w:b w:val="0"/>
          <w:bCs w:val="0"/>
        </w:rPr>
        <w:t>OECD (2021) reports from its survey of 700 MNEs that the perception of tax certainty, especially unpredictable tax changes, and enforcement is seen as more important deterrent to investment than statutory tax rates themselves, and cite Nigeria as an example of high tax legislative amendment rates.</w:t>
      </w:r>
    </w:p>
    <w:p w:rsidR="002271F5" w:rsidRPr="00F220AB" w:rsidRDefault="002271F5" w:rsidP="002271F5">
      <w:pPr>
        <w:spacing w:before="240" w:after="120" w:line="480" w:lineRule="auto"/>
        <w:jc w:val="both"/>
        <w:rPr>
          <w:b w:val="0"/>
          <w:bCs w:val="0"/>
        </w:rPr>
      </w:pPr>
      <w:r w:rsidRPr="00F220AB">
        <w:rPr>
          <w:b w:val="0"/>
          <w:bCs w:val="0"/>
        </w:rPr>
        <w:t>Adegbite and Owolabi (2022) study the determinants of FDI inflows into Nigerian economy using a sectoral panel data and find that Pioneer Status Relief has positive and significant coefficients on manufacturing (0.42) and telecommunication (0.38) FDI inflows respectively while its impact on extractive industry investment is insignificantly negative, likely because resource rents overwhelm tax factors.</w:t>
      </w:r>
    </w:p>
    <w:p w:rsidR="002271F5" w:rsidRPr="00F220AB" w:rsidRDefault="002271F5" w:rsidP="002271F5">
      <w:pPr>
        <w:spacing w:before="240" w:after="120" w:line="480" w:lineRule="auto"/>
        <w:jc w:val="both"/>
        <w:rPr>
          <w:b w:val="0"/>
          <w:bCs w:val="0"/>
        </w:rPr>
      </w:pPr>
      <w:r w:rsidRPr="00F220AB">
        <w:rPr>
          <w:b w:val="0"/>
          <w:bCs w:val="0"/>
        </w:rPr>
        <w:t xml:space="preserve"> World Bank (2022) assess the progress of Nigerian investment climate reform and observe minimal improvement in tax compliance due to inadequate implementation of TaxPro-Max although investors still identify multiple overlapping tax regimes and long delay of VAT refund as main compliance irritants and serious deterrent for investment.</w:t>
      </w:r>
    </w:p>
    <w:p w:rsidR="002271F5" w:rsidRPr="00F220AB" w:rsidRDefault="002271F5" w:rsidP="002271F5">
      <w:pPr>
        <w:spacing w:before="240" w:after="120" w:line="480" w:lineRule="auto"/>
        <w:jc w:val="both"/>
        <w:rPr>
          <w:b w:val="0"/>
          <w:bCs w:val="0"/>
        </w:rPr>
      </w:pPr>
      <w:r w:rsidRPr="00F220AB">
        <w:rPr>
          <w:b w:val="0"/>
          <w:bCs w:val="0"/>
        </w:rPr>
        <w:t xml:space="preserve"> UNCTAD (2022) notes that policy inconsistency stemming from continuous annual changes of Finance Acts in Nigeria contribute to increased uncertainties and are negatively impacting foreign direct investment. MNEs have also increased the required rate of return, reduced their </w:t>
      </w:r>
      <w:r w:rsidRPr="00F220AB">
        <w:rPr>
          <w:b w:val="0"/>
          <w:bCs w:val="0"/>
        </w:rPr>
        <w:lastRenderedPageBreak/>
        <w:t>planning horizons and scaled down the extent of their investment activities in Nigeria due to these policies.</w:t>
      </w:r>
    </w:p>
    <w:p w:rsidR="002271F5" w:rsidRPr="00F220AB" w:rsidRDefault="002271F5" w:rsidP="002271F5">
      <w:pPr>
        <w:spacing w:before="240" w:after="120" w:line="480" w:lineRule="auto"/>
        <w:jc w:val="both"/>
        <w:rPr>
          <w:b w:val="0"/>
          <w:bCs w:val="0"/>
        </w:rPr>
      </w:pPr>
      <w:r w:rsidRPr="00F220AB">
        <w:rPr>
          <w:b w:val="0"/>
          <w:bCs w:val="0"/>
        </w:rPr>
        <w:t xml:space="preserve"> Ogunleye and Sadiq (2022) estimate VECM on fiscal policy and FDI relationship for Nigeria (1986-2020) and find a significant cointegrating long-run relationship between FDI and variables, with coefficients of -0.63 for CIT and 0.47 for incentive tax variable, which are directionally similar to our studies' predicted relationships.</w:t>
      </w:r>
    </w:p>
    <w:p w:rsidR="002271F5" w:rsidRPr="00F220AB" w:rsidRDefault="002271F5" w:rsidP="002271F5">
      <w:pPr>
        <w:spacing w:before="240" w:after="120" w:line="480" w:lineRule="auto"/>
        <w:jc w:val="both"/>
        <w:rPr>
          <w:b w:val="0"/>
          <w:bCs w:val="0"/>
        </w:rPr>
      </w:pPr>
      <w:r w:rsidRPr="00F220AB">
        <w:rPr>
          <w:b w:val="0"/>
          <w:bCs w:val="0"/>
        </w:rPr>
        <w:t xml:space="preserve"> IMF (2022) analyses investment trends across 20 emerging markets, comparing those that pursued reforms that simultaneously reduced CIT rates and broadened tax bases against a counterfactual group of economies that only reduced CIT rates without base broadening between 2015 and 2021; the study found that tax reforms that involved rate cuts plus base broadening attracted, on average, 18 percent more FDI during the three post-reform years compared to countries without rate cuts.</w:t>
      </w:r>
    </w:p>
    <w:p w:rsidR="002271F5" w:rsidRPr="00F220AB" w:rsidRDefault="002271F5" w:rsidP="002271F5">
      <w:pPr>
        <w:spacing w:before="240" w:after="120" w:line="480" w:lineRule="auto"/>
        <w:jc w:val="both"/>
        <w:rPr>
          <w:b w:val="0"/>
          <w:bCs w:val="0"/>
        </w:rPr>
      </w:pPr>
      <w:r w:rsidRPr="00F220AB">
        <w:rPr>
          <w:b w:val="0"/>
          <w:bCs w:val="0"/>
        </w:rPr>
        <w:t>Nwoye and Anichebe (2023) examine the impact of tax policy on FDI inflows in Nigeria over the period 1990-2020 using ARDL methodology and find that tax incentive expenditure has positive and significant long-run impact on FDI while CIT has negative and significant long-run impact on FDI. VAT impacts on FDI is negatively insignificantly because of the limited span of the study period.</w:t>
      </w:r>
    </w:p>
    <w:p w:rsidR="002271F5" w:rsidRPr="00F220AB" w:rsidRDefault="002271F5" w:rsidP="002271F5">
      <w:pPr>
        <w:spacing w:before="240" w:after="120" w:line="480" w:lineRule="auto"/>
        <w:jc w:val="both"/>
        <w:rPr>
          <w:b w:val="0"/>
          <w:bCs w:val="0"/>
        </w:rPr>
      </w:pPr>
      <w:r w:rsidRPr="00F220AB">
        <w:rPr>
          <w:b w:val="0"/>
          <w:bCs w:val="0"/>
        </w:rPr>
        <w:t>Adeyemi and Ojo (2023) examine the impact of digital tax administration reforms in Nigeria using a panel of data from 2015 to 2021 and finds that the rollout of the new tax platform, TaxPro-Max, has had a significantly positive impact on the perceived investment climate due to its ability to significantly reduce the compliance burden for MNEs. The positive investor sentiment also translated into modest improvements in reported tax revenues.</w:t>
      </w:r>
    </w:p>
    <w:p w:rsidR="002271F5" w:rsidRPr="00F220AB" w:rsidRDefault="002271F5" w:rsidP="002271F5">
      <w:pPr>
        <w:spacing w:before="240" w:after="120" w:line="480" w:lineRule="auto"/>
        <w:jc w:val="both"/>
        <w:rPr>
          <w:b w:val="0"/>
          <w:bCs w:val="0"/>
        </w:rPr>
      </w:pPr>
      <w:r w:rsidRPr="00F220AB">
        <w:rPr>
          <w:b w:val="0"/>
          <w:bCs w:val="0"/>
        </w:rPr>
        <w:lastRenderedPageBreak/>
        <w:t xml:space="preserve"> UNCTAD (2023) indicates Nigeria received USD1.87 billion in FDI in 2023 and points to uncertain rules on digital taxation, as well as on transfer pricing documentation, under the Finance Act 2021 as two major contributing factors behind the fall. This suggests a tax uncertainty problem may be impacting the technology sector's MNEs, increasing investment risks perception.</w:t>
      </w:r>
    </w:p>
    <w:p w:rsidR="002271F5" w:rsidRPr="00F220AB" w:rsidRDefault="002271F5" w:rsidP="002271F5">
      <w:pPr>
        <w:spacing w:before="240" w:after="120" w:line="480" w:lineRule="auto"/>
        <w:jc w:val="both"/>
        <w:rPr>
          <w:b w:val="0"/>
          <w:bCs w:val="0"/>
        </w:rPr>
      </w:pPr>
      <w:r w:rsidRPr="00F220AB">
        <w:rPr>
          <w:b w:val="0"/>
          <w:bCs w:val="0"/>
        </w:rPr>
        <w:t>Okolie (2023) shows a negative and significant relationship between CIT-to-GDP ratio and FDI in Nigeria (2000-2021), whereas VAT-FDI has negative but insignificant relationship which is attributed to VAT being an indirect investment determinant due to its operation via production costs and cash flow mechanisms as opposed to a direct cost factor.</w:t>
      </w:r>
    </w:p>
    <w:p w:rsidR="002271F5" w:rsidRPr="00F220AB" w:rsidRDefault="002271F5" w:rsidP="002271F5">
      <w:pPr>
        <w:spacing w:before="240" w:after="120" w:line="480" w:lineRule="auto"/>
        <w:jc w:val="both"/>
        <w:rPr>
          <w:b w:val="0"/>
          <w:bCs w:val="0"/>
        </w:rPr>
      </w:pPr>
      <w:r w:rsidRPr="00F220AB">
        <w:rPr>
          <w:b w:val="0"/>
          <w:bCs w:val="0"/>
        </w:rPr>
        <w:t>Fadipe</w:t>
      </w:r>
      <w:r w:rsidRPr="00F220AB">
        <w:rPr>
          <w:b w:val="0"/>
          <w:bCs w:val="0"/>
          <w:i/>
          <w:iCs/>
        </w:rPr>
        <w:t xml:space="preserve"> et.al</w:t>
      </w:r>
      <w:r w:rsidRPr="00F220AB">
        <w:rPr>
          <w:b w:val="0"/>
          <w:bCs w:val="0"/>
        </w:rPr>
        <w:t xml:space="preserve"> (2025) investigated the impact of digital service tax (DST) on FDI from tech MNEs to Nigeria (2015-2023) and report a significant negative short run impact due to compression of post-tax return as well as positive long run revenue benefit due to enhanced compliance efficiency.</w:t>
      </w:r>
    </w:p>
    <w:p w:rsidR="002271F5" w:rsidRPr="00F220AB" w:rsidRDefault="002271F5" w:rsidP="002271F5">
      <w:pPr>
        <w:spacing w:before="240" w:after="120" w:line="480" w:lineRule="auto"/>
        <w:jc w:val="both"/>
        <w:rPr>
          <w:b w:val="0"/>
          <w:bCs w:val="0"/>
        </w:rPr>
      </w:pPr>
      <w:r w:rsidRPr="00F220AB">
        <w:rPr>
          <w:b w:val="0"/>
          <w:bCs w:val="0"/>
        </w:rPr>
        <w:t>According to Olatunji and Ayodele (2022), firms located in states with the highest prevalence of LGL burdens reported the lowest levels of FE participation; the results thus highlighted how investment-inhibiting Sub-national taxes that cumulate with the federal tax system and elevate the actual tax rate beyond the statutory one can act to deter foreign investment.</w:t>
      </w:r>
    </w:p>
    <w:p w:rsidR="002271F5" w:rsidRPr="00F220AB" w:rsidRDefault="002271F5" w:rsidP="002271F5">
      <w:pPr>
        <w:spacing w:before="240" w:after="120" w:line="480" w:lineRule="auto"/>
        <w:jc w:val="both"/>
        <w:rPr>
          <w:b w:val="0"/>
          <w:bCs w:val="0"/>
        </w:rPr>
      </w:pPr>
      <w:r w:rsidRPr="00F220AB">
        <w:rPr>
          <w:b w:val="0"/>
          <w:bCs w:val="0"/>
        </w:rPr>
        <w:t>Klemm and Van Parys (2021) demonstrated a form of competitive rivalry in tax incentives in Africa; their work demonstrated an observable element of tax incentive competition between adjacent countries, where Nigeria was found to be less influenced by neighbor-based competitive pressures compared to countries like Ghana and Rwanda, due to rigidity in the administrative processes of her incentive provision.</w:t>
      </w:r>
    </w:p>
    <w:p w:rsidR="002271F5" w:rsidRPr="00F220AB" w:rsidRDefault="002271F5" w:rsidP="002271F5">
      <w:pPr>
        <w:spacing w:before="240" w:after="120" w:line="480" w:lineRule="auto"/>
        <w:jc w:val="both"/>
        <w:rPr>
          <w:b w:val="0"/>
          <w:bCs w:val="0"/>
        </w:rPr>
      </w:pPr>
      <w:r w:rsidRPr="00F220AB">
        <w:rPr>
          <w:b w:val="0"/>
          <w:bCs w:val="0"/>
        </w:rPr>
        <w:lastRenderedPageBreak/>
        <w:t xml:space="preserve"> Mold and Prizzon (2022) documented that, post- COVID-19 FDI recovery in West Africa is strongly focused on countries with predictable and stable tax environments and countries whose tax legislations are pending reforms recorded delayed recovery, noting Nigeria's Finance Act Reform agenda among the significant policy uncertainties influencing investors' decisions of reinvestment following the pandemic.</w:t>
      </w:r>
    </w:p>
    <w:p w:rsidR="002271F5" w:rsidRPr="00F220AB" w:rsidRDefault="002271F5" w:rsidP="002271F5">
      <w:pPr>
        <w:spacing w:before="240" w:after="120" w:line="480" w:lineRule="auto"/>
        <w:jc w:val="both"/>
        <w:rPr>
          <w:b w:val="0"/>
          <w:bCs w:val="0"/>
        </w:rPr>
      </w:pPr>
      <w:r w:rsidRPr="00F220AB">
        <w:rPr>
          <w:b w:val="0"/>
          <w:bCs w:val="0"/>
        </w:rPr>
        <w:t>Ojeka</w:t>
      </w:r>
      <w:r w:rsidRPr="00F220AB">
        <w:rPr>
          <w:b w:val="0"/>
          <w:bCs w:val="0"/>
          <w:i/>
          <w:iCs/>
        </w:rPr>
        <w:t xml:space="preserve"> et.al</w:t>
      </w:r>
      <w:r w:rsidRPr="00F220AB">
        <w:rPr>
          <w:b w:val="0"/>
          <w:bCs w:val="0"/>
        </w:rPr>
        <w:t xml:space="preserve"> (2019) analyzed Nigerian listed MNEs and found that companies operating in sectors characterized by relatively well-designed, accessible incentives reported higher post-tax profits and retained more of the foreign equity invested, confirming that incentive design quality and administrability were at least as important as incentive generosity.</w:t>
      </w:r>
    </w:p>
    <w:p w:rsidR="002271F5" w:rsidRPr="00F220AB" w:rsidRDefault="002271F5" w:rsidP="002271F5">
      <w:pPr>
        <w:spacing w:before="240" w:after="120" w:line="480" w:lineRule="auto"/>
        <w:jc w:val="both"/>
        <w:rPr>
          <w:b w:val="0"/>
          <w:bCs w:val="0"/>
        </w:rPr>
      </w:pPr>
      <w:r w:rsidRPr="00F220AB">
        <w:rPr>
          <w:b w:val="0"/>
          <w:bCs w:val="0"/>
        </w:rPr>
        <w:t>Nweze and Nweze (2023) using firm-level survey data show a negative impact of a rate hike from 5% to 7.5% for VAT and estimated that about 62% of survey respondents attributed this to the rise in VAT, leading to a negative investor reaction regarding future plans for capital investment.</w:t>
      </w:r>
    </w:p>
    <w:p w:rsidR="002271F5" w:rsidRPr="00BB59FF" w:rsidRDefault="002271F5" w:rsidP="002271F5">
      <w:pPr>
        <w:spacing w:before="240" w:after="120" w:line="480" w:lineRule="auto"/>
        <w:jc w:val="both"/>
        <w:rPr>
          <w:b w:val="0"/>
          <w:bCs w:val="0"/>
        </w:rPr>
      </w:pPr>
      <w:r w:rsidRPr="00F220AB">
        <w:rPr>
          <w:b w:val="0"/>
          <w:bCs w:val="0"/>
        </w:rPr>
        <w:t>Nwosu</w:t>
      </w:r>
      <w:r w:rsidRPr="00F220AB">
        <w:rPr>
          <w:b w:val="0"/>
          <w:bCs w:val="0"/>
          <w:i/>
          <w:iCs/>
        </w:rPr>
        <w:t xml:space="preserve"> et.al</w:t>
      </w:r>
      <w:r w:rsidRPr="00F220AB">
        <w:rPr>
          <w:b w:val="0"/>
          <w:bCs w:val="0"/>
        </w:rPr>
        <w:t xml:space="preserve"> (2024) employed a Structural VAR approach on a quarterly Nigerian dataset (2010-2023) and provide empirical evidence of a bi-directional Granger causality between tax policy variables and FDI; their analysis reveals CIT dynamics and the volume of tax incentive expenditures to be significant long run determinants of investment inflows and show a positive correlation between the FDI reaction to tax policy shocks and the state of macro-</w:t>
      </w:r>
      <w:r w:rsidRPr="00BB59FF">
        <w:rPr>
          <w:b w:val="0"/>
          <w:bCs w:val="0"/>
        </w:rPr>
        <w:t>economic stability.</w:t>
      </w:r>
    </w:p>
    <w:p w:rsidR="002271F5" w:rsidRDefault="002271F5" w:rsidP="002271F5">
      <w:pPr>
        <w:spacing w:before="80" w:after="80" w:line="480" w:lineRule="auto"/>
        <w:jc w:val="both"/>
      </w:pPr>
      <w:r>
        <w:t>Table 2.1: Summary of Empirical Review on Tax Policy and Foreign Direct Investment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441"/>
        <w:gridCol w:w="1470"/>
        <w:gridCol w:w="1360"/>
        <w:gridCol w:w="1210"/>
        <w:gridCol w:w="1190"/>
        <w:gridCol w:w="1120"/>
        <w:gridCol w:w="1480"/>
        <w:gridCol w:w="1510"/>
      </w:tblGrid>
      <w:tr w:rsidR="002271F5" w:rsidTr="00403C3C">
        <w:tc>
          <w:tcPr>
            <w:tcW w:w="420" w:type="dxa"/>
            <w:tcBorders>
              <w:top w:val="single" w:sz="0" w:space="0" w:color="000000"/>
              <w:left w:val="single" w:sz="0" w:space="0" w:color="000000"/>
              <w:bottom w:val="single" w:sz="0" w:space="0" w:color="000000"/>
              <w:right w:val="single" w:sz="0" w:space="0" w:color="000000"/>
            </w:tcBorders>
            <w:shd w:val="clear" w:color="auto" w:fill="D9D9D9"/>
            <w:tcMar>
              <w:top w:w="60" w:type="dxa"/>
              <w:left w:w="80" w:type="dxa"/>
              <w:bottom w:w="60" w:type="dxa"/>
              <w:right w:w="80" w:type="dxa"/>
            </w:tcMar>
          </w:tcPr>
          <w:p w:rsidR="002271F5" w:rsidRDefault="002271F5" w:rsidP="00403C3C">
            <w:pPr>
              <w:jc w:val="center"/>
            </w:pPr>
            <w:r>
              <w:rPr>
                <w:sz w:val="18"/>
                <w:szCs w:val="18"/>
              </w:rPr>
              <w:t>S/N</w:t>
            </w:r>
          </w:p>
        </w:tc>
        <w:tc>
          <w:tcPr>
            <w:tcW w:w="1080" w:type="dxa"/>
            <w:tcBorders>
              <w:top w:val="single" w:sz="0" w:space="0" w:color="000000"/>
              <w:left w:val="single" w:sz="0" w:space="0" w:color="000000"/>
              <w:bottom w:val="single" w:sz="0" w:space="0" w:color="000000"/>
              <w:right w:val="single" w:sz="0" w:space="0" w:color="000000"/>
            </w:tcBorders>
            <w:shd w:val="clear" w:color="auto" w:fill="D9D9D9"/>
            <w:tcMar>
              <w:top w:w="60" w:type="dxa"/>
              <w:left w:w="80" w:type="dxa"/>
              <w:bottom w:w="60" w:type="dxa"/>
              <w:right w:w="80" w:type="dxa"/>
            </w:tcMar>
          </w:tcPr>
          <w:p w:rsidR="002271F5" w:rsidRDefault="002271F5" w:rsidP="00403C3C">
            <w:pPr>
              <w:jc w:val="center"/>
            </w:pPr>
            <w:r>
              <w:rPr>
                <w:sz w:val="18"/>
                <w:szCs w:val="18"/>
              </w:rPr>
              <w:t>Author(s) &amp; Year</w:t>
            </w:r>
          </w:p>
        </w:tc>
        <w:tc>
          <w:tcPr>
            <w:tcW w:w="1560" w:type="dxa"/>
            <w:tcBorders>
              <w:top w:val="single" w:sz="0" w:space="0" w:color="000000"/>
              <w:left w:val="single" w:sz="0" w:space="0" w:color="000000"/>
              <w:bottom w:val="single" w:sz="0" w:space="0" w:color="000000"/>
              <w:right w:val="single" w:sz="0" w:space="0" w:color="000000"/>
            </w:tcBorders>
            <w:shd w:val="clear" w:color="auto" w:fill="D9D9D9"/>
            <w:tcMar>
              <w:top w:w="60" w:type="dxa"/>
              <w:left w:w="80" w:type="dxa"/>
              <w:bottom w:w="60" w:type="dxa"/>
              <w:right w:w="80" w:type="dxa"/>
            </w:tcMar>
          </w:tcPr>
          <w:p w:rsidR="002271F5" w:rsidRDefault="002271F5" w:rsidP="00403C3C">
            <w:pPr>
              <w:jc w:val="center"/>
            </w:pPr>
            <w:r>
              <w:rPr>
                <w:sz w:val="18"/>
                <w:szCs w:val="18"/>
              </w:rPr>
              <w:t>Title of Study</w:t>
            </w:r>
          </w:p>
        </w:tc>
        <w:tc>
          <w:tcPr>
            <w:tcW w:w="1440" w:type="dxa"/>
            <w:tcBorders>
              <w:top w:val="single" w:sz="0" w:space="0" w:color="000000"/>
              <w:left w:val="single" w:sz="0" w:space="0" w:color="000000"/>
              <w:bottom w:val="single" w:sz="0" w:space="0" w:color="000000"/>
              <w:right w:val="single" w:sz="0" w:space="0" w:color="000000"/>
            </w:tcBorders>
            <w:shd w:val="clear" w:color="auto" w:fill="D9D9D9"/>
            <w:tcMar>
              <w:top w:w="60" w:type="dxa"/>
              <w:left w:w="80" w:type="dxa"/>
              <w:bottom w:w="60" w:type="dxa"/>
              <w:right w:w="80" w:type="dxa"/>
            </w:tcMar>
          </w:tcPr>
          <w:p w:rsidR="002271F5" w:rsidRDefault="002271F5" w:rsidP="00403C3C">
            <w:pPr>
              <w:jc w:val="center"/>
            </w:pPr>
            <w:r>
              <w:rPr>
                <w:sz w:val="18"/>
                <w:szCs w:val="18"/>
              </w:rPr>
              <w:t>Purpose of the Study</w:t>
            </w:r>
          </w:p>
        </w:tc>
        <w:tc>
          <w:tcPr>
            <w:tcW w:w="960" w:type="dxa"/>
            <w:tcBorders>
              <w:top w:val="single" w:sz="0" w:space="0" w:color="000000"/>
              <w:left w:val="single" w:sz="0" w:space="0" w:color="000000"/>
              <w:bottom w:val="single" w:sz="0" w:space="0" w:color="000000"/>
              <w:right w:val="single" w:sz="0" w:space="0" w:color="000000"/>
            </w:tcBorders>
            <w:shd w:val="clear" w:color="auto" w:fill="D9D9D9"/>
            <w:tcMar>
              <w:top w:w="60" w:type="dxa"/>
              <w:left w:w="80" w:type="dxa"/>
              <w:bottom w:w="60" w:type="dxa"/>
              <w:right w:w="80" w:type="dxa"/>
            </w:tcMar>
          </w:tcPr>
          <w:p w:rsidR="002271F5" w:rsidRDefault="002271F5" w:rsidP="00403C3C">
            <w:pPr>
              <w:jc w:val="center"/>
            </w:pPr>
            <w:r>
              <w:rPr>
                <w:sz w:val="18"/>
                <w:szCs w:val="18"/>
              </w:rPr>
              <w:t>Methodology</w:t>
            </w:r>
          </w:p>
        </w:tc>
        <w:tc>
          <w:tcPr>
            <w:tcW w:w="960" w:type="dxa"/>
            <w:tcBorders>
              <w:top w:val="single" w:sz="0" w:space="0" w:color="000000"/>
              <w:left w:val="single" w:sz="0" w:space="0" w:color="000000"/>
              <w:bottom w:val="single" w:sz="0" w:space="0" w:color="000000"/>
              <w:right w:val="single" w:sz="0" w:space="0" w:color="000000"/>
            </w:tcBorders>
            <w:shd w:val="clear" w:color="auto" w:fill="D9D9D9"/>
            <w:tcMar>
              <w:top w:w="60" w:type="dxa"/>
              <w:left w:w="80" w:type="dxa"/>
              <w:bottom w:w="60" w:type="dxa"/>
              <w:right w:w="80" w:type="dxa"/>
            </w:tcMar>
          </w:tcPr>
          <w:p w:rsidR="002271F5" w:rsidRDefault="002271F5" w:rsidP="00403C3C">
            <w:pPr>
              <w:jc w:val="center"/>
            </w:pPr>
            <w:r>
              <w:rPr>
                <w:sz w:val="18"/>
                <w:szCs w:val="18"/>
              </w:rPr>
              <w:t>Scope of the Study</w:t>
            </w:r>
          </w:p>
        </w:tc>
        <w:tc>
          <w:tcPr>
            <w:tcW w:w="1440" w:type="dxa"/>
            <w:tcBorders>
              <w:top w:val="single" w:sz="0" w:space="0" w:color="000000"/>
              <w:left w:val="single" w:sz="0" w:space="0" w:color="000000"/>
              <w:bottom w:val="single" w:sz="0" w:space="0" w:color="000000"/>
              <w:right w:val="single" w:sz="0" w:space="0" w:color="000000"/>
            </w:tcBorders>
            <w:shd w:val="clear" w:color="auto" w:fill="D9D9D9"/>
            <w:tcMar>
              <w:top w:w="60" w:type="dxa"/>
              <w:left w:w="80" w:type="dxa"/>
              <w:bottom w:w="60" w:type="dxa"/>
              <w:right w:w="80" w:type="dxa"/>
            </w:tcMar>
          </w:tcPr>
          <w:p w:rsidR="002271F5" w:rsidRDefault="002271F5" w:rsidP="00403C3C">
            <w:pPr>
              <w:jc w:val="center"/>
            </w:pPr>
            <w:r>
              <w:rPr>
                <w:sz w:val="18"/>
                <w:szCs w:val="18"/>
              </w:rPr>
              <w:t>Findings</w:t>
            </w:r>
          </w:p>
        </w:tc>
        <w:tc>
          <w:tcPr>
            <w:tcW w:w="1440" w:type="dxa"/>
            <w:tcBorders>
              <w:top w:val="single" w:sz="0" w:space="0" w:color="000000"/>
              <w:left w:val="single" w:sz="0" w:space="0" w:color="000000"/>
              <w:bottom w:val="single" w:sz="0" w:space="0" w:color="000000"/>
              <w:right w:val="single" w:sz="0" w:space="0" w:color="000000"/>
            </w:tcBorders>
            <w:shd w:val="clear" w:color="auto" w:fill="D9D9D9"/>
            <w:tcMar>
              <w:top w:w="60" w:type="dxa"/>
              <w:left w:w="80" w:type="dxa"/>
              <w:bottom w:w="60" w:type="dxa"/>
              <w:right w:w="80" w:type="dxa"/>
            </w:tcMar>
          </w:tcPr>
          <w:p w:rsidR="002271F5" w:rsidRDefault="002271F5" w:rsidP="00403C3C">
            <w:pPr>
              <w:jc w:val="center"/>
            </w:pPr>
            <w:r>
              <w:rPr>
                <w:sz w:val="18"/>
                <w:szCs w:val="18"/>
              </w:rPr>
              <w:t>Recommendation / Effect from Study</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lastRenderedPageBreak/>
              <w:t>1</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B75E50" w:rsidP="00403C3C">
            <w:pPr>
              <w:jc w:val="center"/>
            </w:pPr>
            <w:r w:rsidRPr="00B75E50">
              <w:rPr>
                <w:b w:val="0"/>
                <w:bCs w:val="0"/>
                <w:noProof/>
                <w:sz w:val="18"/>
                <w:szCs w:val="18"/>
              </w:rPr>
              <w:pict>
                <v:roundrect id="_x0000_s1026" style="position:absolute;left:0;text-align:left;margin-left:-.3pt;margin-top:-35.25pt;width:180pt;height:23.25pt;z-index:251658240;mso-position-horizontal-relative:text;mso-position-vertical-relative:text" arcsize="10923f" stroked="f" strokecolor="blue">
                  <v:textbox>
                    <w:txbxContent>
                      <w:p w:rsidR="00403C3C" w:rsidRDefault="00403C3C">
                        <w:r>
                          <w:t>Table 2.1 Contd</w:t>
                        </w:r>
                      </w:p>
                    </w:txbxContent>
                  </v:textbox>
                </v:roundrect>
              </w:pict>
            </w:r>
            <w:r w:rsidR="002271F5">
              <w:rPr>
                <w:b w:val="0"/>
                <w:bCs w:val="0"/>
                <w:sz w:val="18"/>
                <w:szCs w:val="18"/>
              </w:rPr>
              <w:t>James (2019)</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Effectiveness of Tax Incentives in Attracting FDI</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examine whether tax holidays and investment allowances attract FDI in Africa</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Fixed Effects Panel Regression</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30 African economies, 2000–2016</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Tax incentives had a positive but modest FDI effect, conditioned on institutional quality</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Governments should strengthen institutions alongside incentive design to maximise FDI impact</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2</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Asiedu &amp; Lien (2019)</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Determinants of FDI in Sub-Saharan Africa: Role of Fiscal Policy</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analyse fiscal policy determinants of FDI in Sub-Saharan Africa</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GMM Dynamic Panel Estimation</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Sub-Saharan Africa, multi-country</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A 1% CIT reduction increased FDI by 2.1% in resource-rich economies; political risk moderates fiscal effects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Countries should combine CIT reform with political stability programmes to maximise FDI attraction</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3</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Beer, Klemm &amp; Matheson (2020)</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Tax Spillovers and Multinational Investment Decisions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estimate tax sensitivity of multinational investment across economies</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Panel data regression, 50 countries</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50 economies, multiple years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FDI semi-elasticity w.r.t. effective tax rate is −3.0; developing economies more sensitive</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Developing economies should prioritise effective tax rate reduction to attract multinational investment</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4</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De Mooij&amp;Ederveen (2020)</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Corporate Taxation and FDI: A Meta-Analysis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synthesise empirical estimates of tax elasticity of FDI</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Meta-analysis of 196 empirical estimates</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Global, studies from 1985–2019</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Pooled semi-elasticity of −2.5; robust across geographies and methodologies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Tax rate reductions deliver consistent FDI gains; evidence justifies CIT competitiveness reform</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5</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World Bank (2020)</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Tax Reform Impacts on Investment Climates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assess how tax compliance burden affects FDI attraction</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Comparative cross-country assessment</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50 emerging markets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Countries reducing compliance costs attracted 15–20% more FDI than high-burden peers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Governments should prioritise tax administration simplification as an FDI attraction strategy</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6</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OECD (2020)</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Tax Policy Reforms and Investment Competitiveness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evaluate tax certainty as FDI determinant</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Survey and comparative country analysis</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80 economies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Tax certainty rated more critical than rate level by multinationals in location decisions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Governments should stabilise tax legislation and provide binding advance rulings to investors</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7</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Ogundele&amp; Okafor (2020)</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Tax Incentives and FDI in Nigeria</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analyse the effect of pioneer status relief on manufacturing FDI</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OLS Time-Series Regression</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Nigeria, 2000–2018</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Pioneer status had positive significant effect on manufacturing FDI; services sector weakly affected</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NIPC should improve incentive accessibility for services sector foreign investors</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8</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Onyekachi, Ofoegbu &amp;Akinwale (2020)</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Corporate Taxation and FDI Inflows in Nigeria</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examine the CIT-FDI relationship in Nigeria</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OLS Time-Series Regression</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Nigeria, 1990–2018</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Significant negative CIT-FDI relationship; 1% CIT increase reduces FDI by ~USD 85 million</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Nigeria should reduce the statutory CIT rate to the sub-regional average to improve FDI competitiveness</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9</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UNCTAD (2021)</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 xml:space="preserve">Nigeria Investment </w:t>
            </w:r>
            <w:r w:rsidR="00B75E50" w:rsidRPr="00B75E50">
              <w:rPr>
                <w:b w:val="0"/>
                <w:bCs w:val="0"/>
                <w:noProof/>
                <w:sz w:val="18"/>
                <w:szCs w:val="18"/>
              </w:rPr>
              <w:lastRenderedPageBreak/>
              <w:pict>
                <v:roundrect id="_x0000_s1027" style="position:absolute;left:0;text-align:left;margin-left:-83.55pt;margin-top:-42pt;width:180pt;height:23.25pt;z-index:251659264;mso-position-horizontal-relative:text;mso-position-vertical-relative:text" arcsize="10923f" stroked="f" strokecolor="blue">
                  <v:textbox>
                    <w:txbxContent>
                      <w:p w:rsidR="00403C3C" w:rsidRDefault="00403C3C">
                        <w:r>
                          <w:t>Table 2.1 Contd</w:t>
                        </w:r>
                      </w:p>
                    </w:txbxContent>
                  </v:textbox>
                </v:roundrect>
              </w:pict>
            </w:r>
            <w:r>
              <w:rPr>
                <w:b w:val="0"/>
                <w:bCs w:val="0"/>
                <w:sz w:val="18"/>
                <w:szCs w:val="18"/>
              </w:rPr>
              <w:t>Policy Review</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lastRenderedPageBreak/>
              <w:t xml:space="preserve">To document barriers to </w:t>
            </w:r>
            <w:r>
              <w:rPr>
                <w:b w:val="0"/>
                <w:bCs w:val="0"/>
                <w:sz w:val="18"/>
                <w:szCs w:val="18"/>
              </w:rPr>
              <w:lastRenderedPageBreak/>
              <w:t>FDI inflows into Nigeria</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lastRenderedPageBreak/>
              <w:t xml:space="preserve">Investment policy review </w:t>
            </w:r>
            <w:r>
              <w:rPr>
                <w:b w:val="0"/>
                <w:bCs w:val="0"/>
                <w:sz w:val="18"/>
                <w:szCs w:val="18"/>
              </w:rPr>
              <w:lastRenderedPageBreak/>
              <w:t>and investor survey</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lastRenderedPageBreak/>
              <w:t>Nigeria, 2015–2020</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 xml:space="preserve">Tax inconsistency and multi-tier </w:t>
            </w:r>
            <w:r>
              <w:rPr>
                <w:b w:val="0"/>
                <w:bCs w:val="0"/>
                <w:sz w:val="18"/>
                <w:szCs w:val="18"/>
              </w:rPr>
              <w:lastRenderedPageBreak/>
              <w:t>taxation ranked among top five fiscal barriers to FDI</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lastRenderedPageBreak/>
              <w:t>Nigeria should harmonise multi-</w:t>
            </w:r>
            <w:r>
              <w:rPr>
                <w:b w:val="0"/>
                <w:bCs w:val="0"/>
                <w:sz w:val="18"/>
                <w:szCs w:val="18"/>
              </w:rPr>
              <w:lastRenderedPageBreak/>
              <w:t>jurisdictional tax obligations and simplify the fiscal framework</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lastRenderedPageBreak/>
              <w:t>10</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Eze &amp; Nwankwo (2021)</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Tax Policy Reforms and FDI in Nigeria</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examine the long-run tax-FDI relationship in Nigeria using ARDL</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ARDL Bounds Testing</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Nigeria, 1995–2019</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Positive long-run incentive-FDI and negative long-run CIT-FDI relationships confirmed; 1–2 year adjustment lag</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Consistent, multi-year incentive frameworks are essential; CIT reduction should be a policy priority</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11</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IMF (2021)</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Fiscal Policy and Long-Term Growth in Developing Economies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assess how tax regimes affect FDI and growth in low-income countries</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Cross-country analysis, 40 LICs</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40 low-income countries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Competitive tax regimes increase FDI; excessive incentives cause deadweight revenue losses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Combine competitive CIT rates with base broadening rather than relying on incentive expansion alone</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12</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Abata&amp;Adegboye (2021)</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Tax Administration Efficiency and FDI Performance in Nigeria</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assess how tax administration quality affects multinational investment decisions</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Structured questionnaire survey</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120 multinational managers in Nigeria</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78% cited complex tax administration as investment deterrent; VAT refund delays most cited irritant</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FIRS should digitise all taxpayer interactions and guarantee VAT refunds within 30 days</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13</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Akinwale&amp; Oladipo (2021)</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Corporate Tax Policy and FDI in West Africa</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compare CIT-FDI dynamics across ECOWAS member states</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Panel Data Regression</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ECOWAS states, 2005–2019</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Nigeria had the highest effective CIT burden in the region, contributing to FDI underperformance</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Nigeria should reduce the effective CIT burden to match regional peers Ghana and Côte d'Ivoire</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14</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OECD (2021)</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Tax Certainty and Foreign Direct Investment</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assess how tax law predictability affects multinational investment</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Multinational enterprise survey (700 firms)</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OECD and non-OECD economies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Retroactive tax changes and unpredictable enforcement ranked as top tax deterrents, above high rates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Governments should commit to stable tax law cycles and binding advance rulings for investors</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15</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Adegbite &amp; Owolabi (2022)</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Tax Incentives and Sectoral FDI Inflows in Nigeria</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examine sector-specific effects of pioneer status on FDI</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Sectoral Panel Data Regression</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Nigeria, 2005–2020</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Pioneer status significantly attracted manufacturing FDI (0.42) and telecom FDI (0.38); insignificant in extractives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Incentive concentration in manufacturing and technology will yield higher FDI returns than blanket incentives</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16</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World Bank (2022)</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Nigeria Investment Climate Assessment</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assess Nigeria's investment climate and reform impact</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Mixed-methods investment climate assessment</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Nigeria, post-Finance Act period</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Tax transparency improved post-TaxPro-Max; VAT refund delays and overlapping levies persist as deterrents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VAT refund fast-track programme and levy rationalisation are urgent investment climate priorities</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B75E50" w:rsidP="00403C3C">
            <w:pPr>
              <w:jc w:val="center"/>
            </w:pPr>
            <w:r w:rsidRPr="00B75E50">
              <w:rPr>
                <w:b w:val="0"/>
                <w:bCs w:val="0"/>
                <w:noProof/>
                <w:sz w:val="18"/>
                <w:szCs w:val="18"/>
              </w:rPr>
              <w:lastRenderedPageBreak/>
              <w:pict>
                <v:roundrect id="_x0000_s1028" style="position:absolute;left:0;text-align:left;margin-left:12.75pt;margin-top:-33.75pt;width:180pt;height:23.25pt;z-index:251660288;mso-position-horizontal-relative:text;mso-position-vertical-relative:text" arcsize="10923f" stroked="f" strokecolor="blue">
                  <v:textbox>
                    <w:txbxContent>
                      <w:p w:rsidR="00403C3C" w:rsidRDefault="00403C3C">
                        <w:r>
                          <w:t>Table 2.1 Contd</w:t>
                        </w:r>
                      </w:p>
                    </w:txbxContent>
                  </v:textbox>
                </v:roundrect>
              </w:pict>
            </w:r>
            <w:r w:rsidR="002271F5">
              <w:rPr>
                <w:b w:val="0"/>
                <w:bCs w:val="0"/>
                <w:sz w:val="18"/>
                <w:szCs w:val="18"/>
              </w:rPr>
              <w:t>17</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UNCTAD (2022)</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World Investment Report 2022</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analyse global FDI trends and Nigeria's investment performance</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Investment data analysis and policy review</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Nigeria and global, 2021–2022</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Rapid Finance Act amendments increased investor uncertainty; shorter investment horizons reported</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Nigeria should shift to biennial Finance Act amendments with binding implementation lead times</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18</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Ogunleye &amp; Sadiq (2022)</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Fiscal Policy and FDI in Nigeria</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estimate long-run fiscal policy-FDI relationship using VECM</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Vector Error Correction Model</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Nigeria, 1986–2020</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Long-run CIT coefficient −0.63; incentive coefficient +0.47; cointegration confirmed</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Nigeria's CIT should be reduced while incentive programmes are maintained and credibly administered</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19</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IMF (2022)</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Tax Reforms and Investment Performance in Emerging Markets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evaluate FDI effects of combined CIT reduction and base broadening</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Comparative analysis, 20 economies</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20 emerging markets, 2015–2021</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Revenue-neutral CIT reduction attracted 18% more FDI on average over three post-reform years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Revenue-neutral rate reduction via base broadening is the optimal tax reform strategy for FDI attraction</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20</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Nwoye &amp; Anichebe (2023)</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Tax Policy and FDI in Nigeria</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examine long-run tax policy-FDI relationships in Nigeria</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ARDL Bounds Testing</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Nigeria, 1990–2020</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Incentive coeff. +0.54; CIT coeff. −0.48; VAT negative but insignificant (data limitation)</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Full tax reform package including CIT, incentives, and VAT reform is needed for maximum FDI impact</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21</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Adeyemi &amp; Ojo (2023)</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Tax Administration Reforms and FDI in Nigeria</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examine how digital tax administration affects investor sentiment</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Survey and administrative data analysis</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Nigeria, TaxPro-Max era</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TaxPro-Max significantly reduced compliance costs; improved investor sentiment and tax declarations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Full digitisation of all taxpayer interactions should be accelerated as an investment climate reform</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22</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UNCTAD (2023)</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World Investment Report 2023</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document global FDI trends and Nigeria-specific decline</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Investment data analysis and policy review</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Nigeria and global, 2022–2023</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Nigeria's FDI fell to USD 1.87B; Finance Act 2021 digital tax provisions raised compliance risk perceptions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Digital service tax implementation should be phased with targeted exemptions for early-stage investors</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23</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Okolie (2023)</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Impact of Tax Revenue on FDI in Nigeria</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analyse the CIT-to-GDP ratio and VAT effects on FDI</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Time-Series OLS Regression</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Nigeria, 2000–2021</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Significant negative CIT-FDI relationship; VAT effect negative but marginally insignificant</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CIT reduction should be the primary fiscal policy instrument for improving Nigeria's FDI attractiveness</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24</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Fadipe et al. (2025)</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Effect of Digital Service Tax on Tax Revenue and FDI</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examine the investment effects of digital service tax on technology-sector FDI</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Time-Series Regression</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Nigeria, 2015–2023</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Short-run negative FDI effect from digital service tax; long-run positive revenue effect</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Digital service tax should be implemented gradually with investment-phase exemptions for new entrants</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B75E50" w:rsidP="00403C3C">
            <w:pPr>
              <w:jc w:val="center"/>
            </w:pPr>
            <w:r w:rsidRPr="00B75E50">
              <w:rPr>
                <w:b w:val="0"/>
                <w:bCs w:val="0"/>
                <w:noProof/>
                <w:sz w:val="18"/>
                <w:szCs w:val="18"/>
              </w:rPr>
              <w:lastRenderedPageBreak/>
              <w:pict>
                <v:roundrect id="_x0000_s1029" style="position:absolute;left:0;text-align:left;margin-left:7.5pt;margin-top:-34.5pt;width:180pt;height:23.25pt;z-index:251661312;mso-position-horizontal-relative:text;mso-position-vertical-relative:text" arcsize="10923f" stroked="f" strokecolor="blue">
                  <v:textbox>
                    <w:txbxContent>
                      <w:p w:rsidR="00403C3C" w:rsidRDefault="00403C3C">
                        <w:r>
                          <w:t>Table 2.1 Contd</w:t>
                        </w:r>
                      </w:p>
                    </w:txbxContent>
                  </v:textbox>
                </v:roundrect>
              </w:pict>
            </w:r>
            <w:r w:rsidR="002271F5">
              <w:rPr>
                <w:b w:val="0"/>
                <w:bCs w:val="0"/>
                <w:sz w:val="18"/>
                <w:szCs w:val="18"/>
              </w:rPr>
              <w:t>25</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Olatunji &amp; Ayodele (2022)</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Multiple Taxation and Investment Decisions in Nigeria</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assess how sub-national levy incidence affects foreign equity participation</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Mixed-methods: survey and secondary data</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Nigeria, state-level analysis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States with highest local levy incidence had lowest foreign equity participation</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Federal–state tax harmonisation is essential to reduce the aggregate effective burden on foreign investors</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26</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Klemm &amp; Van Parys (2021)</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Effects of Tax Incentives in Developing Countries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examine competitive incentive dynamics among African economies</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Panel Data Regression</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Sub-Saharan Africa, multiple countries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Evidence of incentive competition; Nigeria less responsive to regional pressures than Ghana and Rwanda</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Nigeria should monitor and respond to regional incentive competitiveness to avoid investment diversion</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27</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Mold &amp;Prizzon (2022)</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Fiscal Policy and Post-COVID FDI Recovery in West Africa</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assess role of tax policy stability in post-pandemic FDI recovery</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Policy analysis and investment data review</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West Africa, post-COVID period</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Stable tax frameworks attracted more post-COVID FDI; Nigeria's reform agenda created short-term uncertainty</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Policy certainty and completed reform implementation are preconditions for post-COVID FDI recovery</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28</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Ojeka et al. (2019)</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Tax Policy and Firm Performance: Evidence from Nigerian Multinationals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examine how incentive access affects post-tax profitability and equity retention</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Panel Data Regression, listed firms</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Nigeria, multinational firms, multiple years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Firms in incentive-accessible sectors had higher post-tax profitability and stronger foreign equity retention</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Incentive design quality and administrative accessibility are as important as incentive generosity for FDI retention</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29</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Nweze&amp;Nweze (2023)</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VAT Changes and Business Investment in Nigeria</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assess how the 2020 VAT rate increase affected foreign investor capital expenditure plans</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Firm-level survey</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Foreign-owned firms in Nigeria, 2020–2022</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62% of foreign investors cited VAT increase as negative; measurable reduction in planned capital expenditure</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VAT rate should be stabilised and refund mechanisms improved to mitigate investment deterrence</w:t>
            </w:r>
          </w:p>
        </w:tc>
      </w:tr>
      <w:tr w:rsidR="002271F5" w:rsidTr="00403C3C">
        <w:tc>
          <w:tcPr>
            <w:tcW w:w="42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30</w:t>
            </w:r>
          </w:p>
        </w:tc>
        <w:tc>
          <w:tcPr>
            <w:tcW w:w="108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Nwosu, Ugwu &amp; Okeke (2024)</w:t>
            </w:r>
          </w:p>
        </w:tc>
        <w:tc>
          <w:tcPr>
            <w:tcW w:w="15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Long-Run Determinants of FDI in Nigeria: A Structural VAR Analysis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To identify long-run tax and macro determinants of FDI using structural VAR</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Structural VAR, quarterly data</w:t>
            </w:r>
          </w:p>
        </w:tc>
        <w:tc>
          <w:tcPr>
            <w:tcW w:w="96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Nigeria, 2010–2023</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Bidirectional causality between tax policy and FDI; CIT and incentives are significant long-run FDI drivers</w:t>
            </w:r>
          </w:p>
        </w:tc>
        <w:tc>
          <w:tcPr>
            <w:tcW w:w="1440" w:type="dxa"/>
            <w:tcBorders>
              <w:top w:val="single" w:sz="0" w:space="0" w:color="000000"/>
              <w:left w:val="single" w:sz="0" w:space="0" w:color="000000"/>
              <w:bottom w:val="single" w:sz="0" w:space="0" w:color="000000"/>
              <w:right w:val="single" w:sz="0" w:space="0" w:color="000000"/>
            </w:tcBorders>
            <w:tcMar>
              <w:top w:w="60" w:type="dxa"/>
              <w:left w:w="80" w:type="dxa"/>
              <w:bottom w:w="60" w:type="dxa"/>
              <w:right w:w="80" w:type="dxa"/>
            </w:tcMar>
          </w:tcPr>
          <w:p w:rsidR="002271F5" w:rsidRDefault="002271F5" w:rsidP="00403C3C">
            <w:pPr>
              <w:jc w:val="center"/>
            </w:pPr>
            <w:r>
              <w:rPr>
                <w:b w:val="0"/>
                <w:bCs w:val="0"/>
                <w:sz w:val="18"/>
                <w:szCs w:val="18"/>
              </w:rPr>
              <w:t>Tax policy reforms should be sustained and consistent to fully exploit the causal pathway to FDI improvement</w:t>
            </w:r>
          </w:p>
        </w:tc>
      </w:tr>
    </w:tbl>
    <w:p w:rsidR="002271F5" w:rsidRDefault="002271F5" w:rsidP="002271F5">
      <w:pPr>
        <w:spacing w:before="80" w:after="80" w:line="480" w:lineRule="auto"/>
        <w:jc w:val="both"/>
      </w:pPr>
      <w:r>
        <w:t xml:space="preserve">Source: </w:t>
      </w:r>
      <w:r w:rsidRPr="00BB59FF">
        <w:rPr>
          <w:b w:val="0"/>
          <w:bCs w:val="0"/>
        </w:rPr>
        <w:t>Author's Compilation from Reviewed Literature (202</w:t>
      </w:r>
      <w:r w:rsidR="00FD17F2">
        <w:rPr>
          <w:b w:val="0"/>
          <w:bCs w:val="0"/>
        </w:rPr>
        <w:t>6</w:t>
      </w:r>
      <w:r w:rsidRPr="00BB59FF">
        <w:rPr>
          <w:b w:val="0"/>
          <w:bCs w:val="0"/>
        </w:rPr>
        <w:t>)</w:t>
      </w:r>
    </w:p>
    <w:p w:rsidR="00FD17F2" w:rsidRDefault="00FD17F2">
      <w:r>
        <w:br w:type="page"/>
      </w:r>
    </w:p>
    <w:p w:rsidR="002271F5" w:rsidRPr="00EC13ED" w:rsidRDefault="002271F5" w:rsidP="002271F5">
      <w:pPr>
        <w:spacing w:before="220" w:after="100" w:line="480" w:lineRule="auto"/>
      </w:pPr>
      <w:r w:rsidRPr="00F220AB">
        <w:lastRenderedPageBreak/>
        <w:t>2.4 Summary of Literature</w:t>
      </w:r>
      <w:r w:rsidRPr="00EC13ED">
        <w:t xml:space="preserve"> Review </w:t>
      </w:r>
      <w:r>
        <w:rPr>
          <w:b w:val="0"/>
          <w:bCs w:val="0"/>
        </w:rPr>
        <w:t>/</w:t>
      </w:r>
      <w:r w:rsidRPr="00EC13ED">
        <w:t>Research Gap</w:t>
      </w:r>
    </w:p>
    <w:p w:rsidR="002271F5" w:rsidRPr="00F220AB" w:rsidRDefault="002271F5" w:rsidP="002271F5">
      <w:pPr>
        <w:spacing w:before="300" w:after="180" w:line="480" w:lineRule="auto"/>
        <w:jc w:val="both"/>
        <w:rPr>
          <w:b w:val="0"/>
          <w:bCs w:val="0"/>
        </w:rPr>
      </w:pPr>
      <w:r w:rsidRPr="00F220AB">
        <w:rPr>
          <w:b w:val="0"/>
          <w:bCs w:val="0"/>
        </w:rPr>
        <w:t>The empirical literature clearly demonstrates 3 main results: The Tax Rates effect on FDI are significant, negative and are robust across different econometric techniques and across different sample of countries. Investment incentives are positive in FDI when the system is well designed and transparent, but this can happen only in high institutional environment. VAT can lead to a negative effect in FDI due to compliance costs and cash flow effect, but it's less evident than CIT in the Nigerian context. Nigerian empirical literature has the following gaps: There is not multivariable analysis testing all 3 tax policy aspects at same time; The literature uses limited data for the post-Finance Act reform period (2010-2024); Methodological limitations. The proposed study aims to cover all the gaps using a multi variable ARDL model on real data (2010-2024) from prestigious institutions.</w:t>
      </w:r>
    </w:p>
    <w:p w:rsidR="00FD17F2" w:rsidRDefault="00FD17F2" w:rsidP="002271F5">
      <w:pPr>
        <w:spacing w:line="480" w:lineRule="auto"/>
        <w:jc w:val="center"/>
        <w:rPr>
          <w:sz w:val="28"/>
          <w:szCs w:val="28"/>
        </w:rPr>
      </w:pPr>
    </w:p>
    <w:p w:rsidR="00FD17F2" w:rsidRDefault="00FD17F2">
      <w:pPr>
        <w:rPr>
          <w:sz w:val="28"/>
          <w:szCs w:val="28"/>
        </w:rPr>
      </w:pPr>
      <w:r>
        <w:rPr>
          <w:sz w:val="28"/>
          <w:szCs w:val="28"/>
        </w:rPr>
        <w:br w:type="page"/>
      </w:r>
    </w:p>
    <w:p w:rsidR="002271F5" w:rsidRDefault="002271F5" w:rsidP="002271F5">
      <w:pPr>
        <w:spacing w:line="480" w:lineRule="auto"/>
        <w:jc w:val="center"/>
      </w:pPr>
      <w:r>
        <w:rPr>
          <w:sz w:val="28"/>
          <w:szCs w:val="28"/>
        </w:rPr>
        <w:lastRenderedPageBreak/>
        <w:t>CHAPTER THREE</w:t>
      </w:r>
    </w:p>
    <w:p w:rsidR="002271F5" w:rsidRDefault="002271F5" w:rsidP="002271F5">
      <w:pPr>
        <w:spacing w:line="480" w:lineRule="auto"/>
        <w:jc w:val="center"/>
      </w:pPr>
      <w:r>
        <w:rPr>
          <w:sz w:val="28"/>
          <w:szCs w:val="28"/>
        </w:rPr>
        <w:t xml:space="preserve"> METHODOLOGY</w:t>
      </w:r>
    </w:p>
    <w:p w:rsidR="002271F5" w:rsidRDefault="002271F5" w:rsidP="002271F5">
      <w:pPr>
        <w:spacing w:before="300" w:after="180" w:line="480" w:lineRule="auto"/>
      </w:pPr>
      <w:r>
        <w:t>3.1 Research Design</w:t>
      </w:r>
    </w:p>
    <w:p w:rsidR="002271F5" w:rsidRPr="00FD587D" w:rsidRDefault="002271F5" w:rsidP="002271F5">
      <w:pPr>
        <w:spacing w:before="120" w:after="120" w:line="480" w:lineRule="auto"/>
        <w:jc w:val="both"/>
        <w:rPr>
          <w:b w:val="0"/>
          <w:bCs w:val="0"/>
        </w:rPr>
      </w:pPr>
      <w:r w:rsidRPr="00FD587D">
        <w:rPr>
          <w:b w:val="0"/>
          <w:bCs w:val="0"/>
        </w:rPr>
        <w:t xml:space="preserve">This study follows an </w:t>
      </w:r>
      <w:r w:rsidRPr="00FD587D">
        <w:rPr>
          <w:b w:val="0"/>
          <w:bCs w:val="0"/>
          <w:i/>
          <w:iCs/>
        </w:rPr>
        <w:t>ex-post facto</w:t>
      </w:r>
      <w:r w:rsidRPr="00FD587D">
        <w:rPr>
          <w:b w:val="0"/>
          <w:bCs w:val="0"/>
        </w:rPr>
        <w:t xml:space="preserve"> research design, where a research</w:t>
      </w:r>
      <w:r w:rsidR="00FD587D">
        <w:rPr>
          <w:b w:val="0"/>
          <w:bCs w:val="0"/>
        </w:rPr>
        <w:t>er</w:t>
      </w:r>
      <w:r w:rsidRPr="00FD587D">
        <w:rPr>
          <w:b w:val="0"/>
          <w:bCs w:val="0"/>
        </w:rPr>
        <w:t xml:space="preserve"> is interested in exploring cause-effect relationship on already occurred events using already existing data and not necessarily experiment. This is very appropriate in a macroeconomic study as in the case of tax policy change and FDI in Nigeria as; change in tax policy and the result of FDI are objectively kept record in historical data and not experimentally manipulated. Time-series design has been utilized using a quantitative approach so that the relation between tax policy and foreign direct investment in Nigeria can be analyzed over a long time frame between 2010-2024.</w:t>
      </w:r>
    </w:p>
    <w:p w:rsidR="002271F5" w:rsidRDefault="002271F5" w:rsidP="002271F5">
      <w:pPr>
        <w:spacing w:before="300" w:after="180" w:line="480" w:lineRule="auto"/>
      </w:pPr>
      <w:r>
        <w:t>3.2 Area of Study</w:t>
      </w:r>
    </w:p>
    <w:p w:rsidR="002271F5" w:rsidRPr="00FD587D" w:rsidRDefault="002271F5" w:rsidP="002271F5">
      <w:pPr>
        <w:spacing w:before="300" w:after="180" w:line="480" w:lineRule="auto"/>
        <w:jc w:val="both"/>
        <w:rPr>
          <w:b w:val="0"/>
          <w:bCs w:val="0"/>
        </w:rPr>
      </w:pPr>
      <w:r w:rsidRPr="00FD587D">
        <w:rPr>
          <w:b w:val="0"/>
          <w:bCs w:val="0"/>
        </w:rPr>
        <w:t>Nigeria (Federal Republic of Nigeria) was chosen because she is the most populous country in Africa, is the biggest African economy by nominal GDP, there has been crucial and sophisticated tax policy reforms during the chosen period, and has high priority for FDI towards her development financing policy agenda. Nigeria's performance between 2010-2024 includes a decline in FDI after the oil boom, a number of reforms in the Finance Acts, the shock from a global pandemic, and significant macroeconomic adjustments which constitutes an ideal context for a study of tax-FDI relationship with actual institutional data.</w:t>
      </w:r>
    </w:p>
    <w:p w:rsidR="002271F5" w:rsidRPr="00FD587D" w:rsidRDefault="002271F5" w:rsidP="002271F5">
      <w:pPr>
        <w:spacing w:before="300" w:after="180" w:line="480" w:lineRule="auto"/>
        <w:rPr>
          <w:b w:val="0"/>
          <w:bCs w:val="0"/>
        </w:rPr>
      </w:pPr>
    </w:p>
    <w:p w:rsidR="002271F5" w:rsidRDefault="002271F5" w:rsidP="002271F5">
      <w:pPr>
        <w:spacing w:before="300" w:after="180" w:line="480" w:lineRule="auto"/>
        <w:rPr>
          <w:b w:val="0"/>
          <w:bCs w:val="0"/>
        </w:rPr>
      </w:pPr>
    </w:p>
    <w:p w:rsidR="002271F5" w:rsidRDefault="002271F5" w:rsidP="002271F5">
      <w:pPr>
        <w:spacing w:before="300" w:after="180" w:line="480" w:lineRule="auto"/>
      </w:pPr>
      <w:r>
        <w:t>3.3 Sources of Data</w:t>
      </w:r>
    </w:p>
    <w:p w:rsidR="002271F5" w:rsidRPr="00FD587D" w:rsidRDefault="002271F5" w:rsidP="002271F5">
      <w:pPr>
        <w:spacing w:before="300" w:after="180" w:line="480" w:lineRule="auto"/>
        <w:rPr>
          <w:b w:val="0"/>
          <w:bCs w:val="0"/>
        </w:rPr>
      </w:pPr>
      <w:r w:rsidRPr="00FD587D">
        <w:rPr>
          <w:b w:val="0"/>
          <w:bCs w:val="0"/>
        </w:rPr>
        <w:t xml:space="preserve">The data used in this analysis are derived solely from secondary data from credible government and institutional sources as presented below; </w:t>
      </w:r>
    </w:p>
    <w:p w:rsidR="002271F5" w:rsidRPr="00FD587D" w:rsidRDefault="002271F5" w:rsidP="002271F5">
      <w:pPr>
        <w:pStyle w:val="ListParagraph"/>
        <w:numPr>
          <w:ilvl w:val="0"/>
          <w:numId w:val="1"/>
        </w:numPr>
        <w:spacing w:before="300" w:after="180" w:line="276" w:lineRule="auto"/>
        <w:rPr>
          <w:b w:val="0"/>
          <w:bCs w:val="0"/>
        </w:rPr>
      </w:pPr>
      <w:r w:rsidRPr="00FD587D">
        <w:rPr>
          <w:b w:val="0"/>
          <w:bCs w:val="0"/>
        </w:rPr>
        <w:t>CBN Statistical Bulletin – FDI inflow, exchange rate and GDP data;</w:t>
      </w:r>
    </w:p>
    <w:p w:rsidR="002271F5" w:rsidRPr="00FD587D" w:rsidRDefault="002271F5" w:rsidP="002271F5">
      <w:pPr>
        <w:pStyle w:val="ListParagraph"/>
        <w:numPr>
          <w:ilvl w:val="0"/>
          <w:numId w:val="1"/>
        </w:numPr>
        <w:spacing w:before="300" w:after="180" w:line="276" w:lineRule="auto"/>
        <w:rPr>
          <w:b w:val="0"/>
          <w:bCs w:val="0"/>
        </w:rPr>
      </w:pPr>
      <w:r w:rsidRPr="00FD587D">
        <w:rPr>
          <w:b w:val="0"/>
          <w:bCs w:val="0"/>
        </w:rPr>
        <w:t xml:space="preserve"> FIRS Annual Report – CIT, VAT and tax expenditure data; </w:t>
      </w:r>
    </w:p>
    <w:p w:rsidR="002271F5" w:rsidRPr="00FD587D" w:rsidRDefault="002271F5" w:rsidP="002271F5">
      <w:pPr>
        <w:pStyle w:val="ListParagraph"/>
        <w:numPr>
          <w:ilvl w:val="0"/>
          <w:numId w:val="1"/>
        </w:numPr>
        <w:spacing w:before="300" w:after="180" w:line="276" w:lineRule="auto"/>
        <w:rPr>
          <w:b w:val="0"/>
          <w:bCs w:val="0"/>
        </w:rPr>
      </w:pPr>
      <w:r w:rsidRPr="00FD587D">
        <w:rPr>
          <w:b w:val="0"/>
          <w:bCs w:val="0"/>
        </w:rPr>
        <w:t xml:space="preserve"> NBS - GDP growth rate and quarterly economic data; </w:t>
      </w:r>
    </w:p>
    <w:p w:rsidR="002271F5" w:rsidRPr="00FD587D" w:rsidRDefault="002271F5" w:rsidP="002271F5">
      <w:pPr>
        <w:pStyle w:val="ListParagraph"/>
        <w:numPr>
          <w:ilvl w:val="0"/>
          <w:numId w:val="1"/>
        </w:numPr>
        <w:spacing w:before="300" w:after="180" w:line="276" w:lineRule="auto"/>
        <w:rPr>
          <w:b w:val="0"/>
          <w:bCs w:val="0"/>
        </w:rPr>
      </w:pPr>
      <w:r w:rsidRPr="00FD587D">
        <w:rPr>
          <w:b w:val="0"/>
          <w:bCs w:val="0"/>
        </w:rPr>
        <w:t xml:space="preserve">UNCTAD World Investment Reports (2011-2024) – for cross validation of FDI inflows; </w:t>
      </w:r>
    </w:p>
    <w:p w:rsidR="002271F5" w:rsidRPr="00FD587D" w:rsidRDefault="002271F5" w:rsidP="002271F5">
      <w:pPr>
        <w:pStyle w:val="ListParagraph"/>
        <w:numPr>
          <w:ilvl w:val="0"/>
          <w:numId w:val="1"/>
        </w:numPr>
        <w:spacing w:before="300" w:after="180" w:line="276" w:lineRule="auto"/>
        <w:rPr>
          <w:b w:val="0"/>
          <w:bCs w:val="0"/>
        </w:rPr>
      </w:pPr>
      <w:r w:rsidRPr="00FD587D">
        <w:rPr>
          <w:b w:val="0"/>
          <w:bCs w:val="0"/>
        </w:rPr>
        <w:t xml:space="preserve"> World Bank World Development Indicators – GDP growth and cross-sectional fiscal data; </w:t>
      </w:r>
    </w:p>
    <w:p w:rsidR="002271F5" w:rsidRPr="00FD587D" w:rsidRDefault="002271F5" w:rsidP="002271F5">
      <w:pPr>
        <w:pStyle w:val="ListParagraph"/>
        <w:numPr>
          <w:ilvl w:val="0"/>
          <w:numId w:val="1"/>
        </w:numPr>
        <w:spacing w:before="300" w:after="180" w:line="276" w:lineRule="auto"/>
        <w:rPr>
          <w:b w:val="0"/>
          <w:bCs w:val="0"/>
        </w:rPr>
      </w:pPr>
      <w:r w:rsidRPr="00FD587D">
        <w:rPr>
          <w:b w:val="0"/>
          <w:bCs w:val="0"/>
        </w:rPr>
        <w:t xml:space="preserve"> NIPC Annual Report – Pioneer status and investment approvals data.</w:t>
      </w:r>
    </w:p>
    <w:p w:rsidR="002271F5" w:rsidRPr="00FD587D" w:rsidRDefault="002271F5" w:rsidP="002271F5">
      <w:pPr>
        <w:spacing w:before="300" w:after="180" w:line="480" w:lineRule="auto"/>
        <w:rPr>
          <w:b w:val="0"/>
          <w:bCs w:val="0"/>
        </w:rPr>
      </w:pPr>
    </w:p>
    <w:p w:rsidR="002271F5" w:rsidRDefault="002271F5" w:rsidP="002271F5">
      <w:pPr>
        <w:spacing w:before="300" w:after="180" w:line="480" w:lineRule="auto"/>
      </w:pPr>
      <w:r>
        <w:t>3.4 Population</w:t>
      </w:r>
    </w:p>
    <w:p w:rsidR="002271F5" w:rsidRPr="00FD587D" w:rsidRDefault="002271F5" w:rsidP="002271F5">
      <w:pPr>
        <w:spacing w:before="300" w:after="180" w:line="480" w:lineRule="auto"/>
        <w:rPr>
          <w:b w:val="0"/>
          <w:bCs w:val="0"/>
        </w:rPr>
      </w:pPr>
      <w:r w:rsidRPr="00FD587D">
        <w:rPr>
          <w:b w:val="0"/>
          <w:bCs w:val="0"/>
        </w:rPr>
        <w:t>The sample comprises the entire time series data for the tax policy and FDI variables for Nigeria over the period of 2010-2024, covering 15 annual observations. Since aggregate national macro economic data are used, a census rather than a sample should be used so that the information is as large as possible by using all data available in the determined study period, also to be able to capture as many key events as possible.</w:t>
      </w:r>
    </w:p>
    <w:p w:rsidR="002271F5" w:rsidRPr="00FD587D" w:rsidRDefault="002271F5" w:rsidP="002271F5">
      <w:pPr>
        <w:spacing w:before="300" w:after="180" w:line="480" w:lineRule="auto"/>
        <w:rPr>
          <w:b w:val="0"/>
          <w:bCs w:val="0"/>
        </w:rPr>
      </w:pPr>
    </w:p>
    <w:p w:rsidR="002271F5" w:rsidRDefault="002271F5" w:rsidP="002271F5">
      <w:pPr>
        <w:spacing w:before="300" w:after="180" w:line="480" w:lineRule="auto"/>
      </w:pPr>
      <w:r>
        <w:lastRenderedPageBreak/>
        <w:t>3.5 Variable Measurement and Operationalisation</w:t>
      </w:r>
    </w:p>
    <w:p w:rsidR="002271F5" w:rsidRPr="00EC13ED" w:rsidRDefault="002271F5" w:rsidP="002271F5">
      <w:pPr>
        <w:spacing w:before="220" w:after="100" w:line="480" w:lineRule="auto"/>
      </w:pPr>
      <w:r w:rsidRPr="00EC13ED">
        <w:t>Dependent Variable</w:t>
      </w:r>
    </w:p>
    <w:p w:rsidR="002271F5" w:rsidRPr="00FD587D" w:rsidRDefault="002271F5" w:rsidP="002271F5">
      <w:pPr>
        <w:spacing w:before="220" w:after="100" w:line="480" w:lineRule="auto"/>
        <w:rPr>
          <w:b w:val="0"/>
          <w:bCs w:val="0"/>
        </w:rPr>
      </w:pPr>
      <w:r w:rsidRPr="00FD587D">
        <w:rPr>
          <w:b w:val="0"/>
          <w:bCs w:val="0"/>
        </w:rPr>
        <w:t>Foreign Direct Investment (FDI): net FDI inflows to Nigeria (millions of current U.S dollars). Based on UNCTAD World Investment Reports, checked with CBN Statistical Bulletins.</w:t>
      </w:r>
    </w:p>
    <w:p w:rsidR="002271F5" w:rsidRPr="00EC13ED" w:rsidRDefault="002271F5" w:rsidP="002271F5">
      <w:pPr>
        <w:spacing w:before="220" w:after="100" w:line="480" w:lineRule="auto"/>
      </w:pPr>
      <w:r w:rsidRPr="00EC13ED">
        <w:t>Independent Variables</w:t>
      </w:r>
    </w:p>
    <w:p w:rsidR="00FD587D" w:rsidRDefault="002271F5" w:rsidP="002271F5">
      <w:pPr>
        <w:spacing w:before="220" w:after="100" w:line="480" w:lineRule="auto"/>
        <w:rPr>
          <w:b w:val="0"/>
          <w:bCs w:val="0"/>
        </w:rPr>
      </w:pPr>
      <w:r w:rsidRPr="00FD587D">
        <w:rPr>
          <w:b w:val="0"/>
          <w:bCs w:val="0"/>
        </w:rPr>
        <w:t>Co</w:t>
      </w:r>
      <w:r w:rsidR="00FD587D" w:rsidRPr="00FD587D">
        <w:rPr>
          <w:b w:val="0"/>
          <w:bCs w:val="0"/>
        </w:rPr>
        <w:t>mpany</w:t>
      </w:r>
      <w:r w:rsidRPr="00FD587D">
        <w:rPr>
          <w:b w:val="0"/>
          <w:bCs w:val="0"/>
        </w:rPr>
        <w:t xml:space="preserve"> Income Tax (CIT): Actual amount of CIT revenue collected by FIRS as a percentage of nominal GDP. This measure is used over the statutory rate as it shows the fluctuations of the actual revenue yield during the study period. </w:t>
      </w:r>
    </w:p>
    <w:p w:rsidR="00FD587D" w:rsidRDefault="002271F5" w:rsidP="002271F5">
      <w:pPr>
        <w:spacing w:before="220" w:after="100" w:line="480" w:lineRule="auto"/>
        <w:rPr>
          <w:b w:val="0"/>
          <w:bCs w:val="0"/>
        </w:rPr>
      </w:pPr>
      <w:r w:rsidRPr="00FD587D">
        <w:rPr>
          <w:b w:val="0"/>
          <w:bCs w:val="0"/>
        </w:rPr>
        <w:t xml:space="preserve">Tax Incentives (TI): Amount of tax expenditures derived from tax incentives programmes as a percentage of total federal government revenue. </w:t>
      </w:r>
    </w:p>
    <w:p w:rsidR="002271F5" w:rsidRPr="00FD587D" w:rsidRDefault="002271F5" w:rsidP="002271F5">
      <w:pPr>
        <w:spacing w:before="220" w:after="100" w:line="480" w:lineRule="auto"/>
        <w:rPr>
          <w:b w:val="0"/>
          <w:bCs w:val="0"/>
        </w:rPr>
      </w:pPr>
      <w:r w:rsidRPr="00FD587D">
        <w:rPr>
          <w:b w:val="0"/>
          <w:bCs w:val="0"/>
        </w:rPr>
        <w:t>Value-Added Tax (VAT): amount of total VAT revenue (domestic, foreign, import) collected as a percentage of nominal GDP. This measure has the benefit to take into account both the rate increase in 2020 and the subsequent base increase impact.</w:t>
      </w:r>
    </w:p>
    <w:p w:rsidR="002271F5" w:rsidRPr="00EC13ED" w:rsidRDefault="002271F5" w:rsidP="002271F5">
      <w:pPr>
        <w:spacing w:before="220" w:after="100" w:line="480" w:lineRule="auto"/>
      </w:pPr>
      <w:r w:rsidRPr="00EC13ED">
        <w:t>Control Variables</w:t>
      </w:r>
    </w:p>
    <w:p w:rsidR="002271F5" w:rsidRPr="00FD587D" w:rsidRDefault="002271F5" w:rsidP="002271F5">
      <w:pPr>
        <w:spacing w:before="80" w:after="80" w:line="480" w:lineRule="auto"/>
        <w:jc w:val="both"/>
        <w:rPr>
          <w:b w:val="0"/>
          <w:bCs w:val="0"/>
        </w:rPr>
      </w:pPr>
      <w:r w:rsidRPr="00FD587D">
        <w:rPr>
          <w:b w:val="0"/>
          <w:bCs w:val="0"/>
        </w:rPr>
        <w:t>GDPG-Annual real GDP growth rate (percent): Control for economy size and dynamic nature of economy. EXR-Annual average official NGN/USD: Control for macro economic stability and repatriation risk.</w:t>
      </w:r>
    </w:p>
    <w:p w:rsidR="002271F5" w:rsidRPr="00FD587D" w:rsidRDefault="002271F5" w:rsidP="002271F5">
      <w:pPr>
        <w:spacing w:before="80" w:after="80" w:line="480" w:lineRule="auto"/>
        <w:jc w:val="both"/>
        <w:rPr>
          <w:b w:val="0"/>
          <w:bCs w:val="0"/>
        </w:rPr>
      </w:pPr>
    </w:p>
    <w:p w:rsidR="002271F5" w:rsidRPr="00FD587D" w:rsidRDefault="002271F5" w:rsidP="002271F5">
      <w:pPr>
        <w:spacing w:before="80" w:after="80" w:line="480" w:lineRule="auto"/>
        <w:jc w:val="both"/>
        <w:rPr>
          <w:b w:val="0"/>
          <w:bCs w:val="0"/>
        </w:rPr>
      </w:pPr>
    </w:p>
    <w:p w:rsidR="002271F5" w:rsidRPr="00FD587D" w:rsidRDefault="002271F5" w:rsidP="002271F5">
      <w:pPr>
        <w:spacing w:before="80" w:after="80" w:line="480" w:lineRule="auto"/>
        <w:jc w:val="both"/>
      </w:pPr>
      <w:r w:rsidRPr="00FD587D">
        <w:lastRenderedPageBreak/>
        <w:t>Table 3.1: Variable Definitions and Measurement Summary</w:t>
      </w:r>
    </w:p>
    <w:tbl>
      <w:tblPr>
        <w:tblStyle w:val="PlainTable2"/>
        <w:tblW w:w="0" w:type="auto"/>
        <w:tblLook w:val="0620"/>
      </w:tblPr>
      <w:tblGrid>
        <w:gridCol w:w="1035"/>
        <w:gridCol w:w="2343"/>
        <w:gridCol w:w="2036"/>
        <w:gridCol w:w="1674"/>
      </w:tblGrid>
      <w:tr w:rsidR="002271F5" w:rsidRPr="00FD587D" w:rsidTr="00403C3C">
        <w:trPr>
          <w:cnfStyle w:val="100000000000"/>
        </w:trPr>
        <w:tc>
          <w:tcPr>
            <w:tcW w:w="0" w:type="auto"/>
            <w:hideMark/>
          </w:tcPr>
          <w:p w:rsidR="002271F5" w:rsidRPr="00FD587D" w:rsidRDefault="002271F5" w:rsidP="00403C3C">
            <w:pPr>
              <w:spacing w:after="160" w:line="278" w:lineRule="auto"/>
              <w:jc w:val="both"/>
            </w:pPr>
            <w:bookmarkStart w:id="2" w:name="_Hlk231805421"/>
            <w:r w:rsidRPr="00FD587D">
              <w:t>Variable</w:t>
            </w:r>
          </w:p>
        </w:tc>
        <w:tc>
          <w:tcPr>
            <w:tcW w:w="0" w:type="auto"/>
            <w:hideMark/>
          </w:tcPr>
          <w:p w:rsidR="002271F5" w:rsidRPr="00FD587D" w:rsidRDefault="002271F5" w:rsidP="00403C3C">
            <w:pPr>
              <w:spacing w:after="160" w:line="278" w:lineRule="auto"/>
              <w:jc w:val="both"/>
            </w:pPr>
            <w:r w:rsidRPr="00FD587D">
              <w:t>Description</w:t>
            </w:r>
          </w:p>
        </w:tc>
        <w:tc>
          <w:tcPr>
            <w:tcW w:w="0" w:type="auto"/>
            <w:hideMark/>
          </w:tcPr>
          <w:p w:rsidR="002271F5" w:rsidRPr="00FD587D" w:rsidRDefault="002271F5" w:rsidP="00403C3C">
            <w:pPr>
              <w:spacing w:after="160" w:line="278" w:lineRule="auto"/>
              <w:jc w:val="both"/>
            </w:pPr>
            <w:r w:rsidRPr="00FD587D">
              <w:t>Proxy</w:t>
            </w:r>
          </w:p>
        </w:tc>
        <w:tc>
          <w:tcPr>
            <w:tcW w:w="0" w:type="auto"/>
            <w:hideMark/>
          </w:tcPr>
          <w:p w:rsidR="002271F5" w:rsidRPr="00FD587D" w:rsidRDefault="002271F5" w:rsidP="00403C3C">
            <w:pPr>
              <w:spacing w:after="160" w:line="278" w:lineRule="auto"/>
              <w:jc w:val="both"/>
            </w:pPr>
            <w:r w:rsidRPr="00FD587D">
              <w:t>Unit</w:t>
            </w:r>
          </w:p>
        </w:tc>
      </w:tr>
      <w:tr w:rsidR="002271F5" w:rsidRPr="00FD587D" w:rsidTr="00403C3C">
        <w:tc>
          <w:tcPr>
            <w:tcW w:w="0" w:type="auto"/>
            <w:hideMark/>
          </w:tcPr>
          <w:p w:rsidR="002271F5" w:rsidRPr="00FD587D" w:rsidRDefault="002271F5" w:rsidP="00403C3C">
            <w:pPr>
              <w:spacing w:after="160" w:line="278" w:lineRule="auto"/>
              <w:jc w:val="both"/>
              <w:rPr>
                <w:b w:val="0"/>
                <w:bCs w:val="0"/>
              </w:rPr>
            </w:pPr>
            <w:r w:rsidRPr="00FD587D">
              <w:rPr>
                <w:b w:val="0"/>
                <w:bCs w:val="0"/>
              </w:rPr>
              <w:t>FDI</w:t>
            </w:r>
          </w:p>
        </w:tc>
        <w:tc>
          <w:tcPr>
            <w:tcW w:w="0" w:type="auto"/>
            <w:hideMark/>
          </w:tcPr>
          <w:p w:rsidR="002271F5" w:rsidRPr="00FD587D" w:rsidRDefault="002271F5" w:rsidP="00403C3C">
            <w:pPr>
              <w:spacing w:after="160" w:line="278" w:lineRule="auto"/>
              <w:jc w:val="both"/>
              <w:rPr>
                <w:b w:val="0"/>
                <w:bCs w:val="0"/>
              </w:rPr>
            </w:pPr>
            <w:r w:rsidRPr="00FD587D">
              <w:rPr>
                <w:b w:val="0"/>
                <w:bCs w:val="0"/>
              </w:rPr>
              <w:t>Net FDI Inflows</w:t>
            </w:r>
          </w:p>
        </w:tc>
        <w:tc>
          <w:tcPr>
            <w:tcW w:w="0" w:type="auto"/>
            <w:hideMark/>
          </w:tcPr>
          <w:p w:rsidR="002271F5" w:rsidRPr="00FD587D" w:rsidRDefault="002271F5" w:rsidP="00403C3C">
            <w:pPr>
              <w:spacing w:after="160" w:line="278" w:lineRule="auto"/>
              <w:jc w:val="both"/>
              <w:rPr>
                <w:b w:val="0"/>
                <w:bCs w:val="0"/>
              </w:rPr>
            </w:pPr>
            <w:r w:rsidRPr="00FD587D">
              <w:rPr>
                <w:b w:val="0"/>
                <w:bCs w:val="0"/>
              </w:rPr>
              <w:t>Net FDI (BoP)</w:t>
            </w:r>
          </w:p>
        </w:tc>
        <w:tc>
          <w:tcPr>
            <w:tcW w:w="0" w:type="auto"/>
            <w:hideMark/>
          </w:tcPr>
          <w:p w:rsidR="002271F5" w:rsidRPr="00FD587D" w:rsidRDefault="002271F5" w:rsidP="00403C3C">
            <w:pPr>
              <w:spacing w:after="160" w:line="278" w:lineRule="auto"/>
              <w:jc w:val="both"/>
              <w:rPr>
                <w:b w:val="0"/>
                <w:bCs w:val="0"/>
              </w:rPr>
            </w:pPr>
            <w:r w:rsidRPr="00FD587D">
              <w:rPr>
                <w:b w:val="0"/>
                <w:bCs w:val="0"/>
              </w:rPr>
              <w:t>USD Million</w:t>
            </w:r>
          </w:p>
        </w:tc>
      </w:tr>
      <w:tr w:rsidR="002271F5" w:rsidRPr="00FD587D" w:rsidTr="00403C3C">
        <w:tc>
          <w:tcPr>
            <w:tcW w:w="0" w:type="auto"/>
            <w:hideMark/>
          </w:tcPr>
          <w:p w:rsidR="002271F5" w:rsidRPr="00FD587D" w:rsidRDefault="002271F5" w:rsidP="00403C3C">
            <w:pPr>
              <w:spacing w:after="160" w:line="278" w:lineRule="auto"/>
              <w:jc w:val="both"/>
              <w:rPr>
                <w:b w:val="0"/>
                <w:bCs w:val="0"/>
              </w:rPr>
            </w:pPr>
            <w:r w:rsidRPr="00FD587D">
              <w:rPr>
                <w:b w:val="0"/>
                <w:bCs w:val="0"/>
              </w:rPr>
              <w:t>CIT</w:t>
            </w:r>
          </w:p>
        </w:tc>
        <w:tc>
          <w:tcPr>
            <w:tcW w:w="0" w:type="auto"/>
            <w:hideMark/>
          </w:tcPr>
          <w:p w:rsidR="002271F5" w:rsidRPr="00FD587D" w:rsidRDefault="002271F5" w:rsidP="00403C3C">
            <w:pPr>
              <w:spacing w:after="160" w:line="278" w:lineRule="auto"/>
              <w:jc w:val="both"/>
              <w:rPr>
                <w:b w:val="0"/>
                <w:bCs w:val="0"/>
              </w:rPr>
            </w:pPr>
            <w:r w:rsidRPr="00FD587D">
              <w:rPr>
                <w:b w:val="0"/>
                <w:bCs w:val="0"/>
              </w:rPr>
              <w:t>Corporate Income Tax</w:t>
            </w:r>
          </w:p>
        </w:tc>
        <w:tc>
          <w:tcPr>
            <w:tcW w:w="0" w:type="auto"/>
            <w:hideMark/>
          </w:tcPr>
          <w:p w:rsidR="002271F5" w:rsidRPr="00FD587D" w:rsidRDefault="002271F5" w:rsidP="00403C3C">
            <w:pPr>
              <w:spacing w:after="160" w:line="278" w:lineRule="auto"/>
              <w:jc w:val="both"/>
              <w:rPr>
                <w:b w:val="0"/>
                <w:bCs w:val="0"/>
              </w:rPr>
            </w:pPr>
            <w:r w:rsidRPr="00FD587D">
              <w:rPr>
                <w:b w:val="0"/>
                <w:bCs w:val="0"/>
              </w:rPr>
              <w:t>CIT Rev. / GDP</w:t>
            </w:r>
          </w:p>
        </w:tc>
        <w:tc>
          <w:tcPr>
            <w:tcW w:w="0" w:type="auto"/>
            <w:hideMark/>
          </w:tcPr>
          <w:p w:rsidR="002271F5" w:rsidRPr="00FD587D" w:rsidRDefault="002271F5" w:rsidP="00403C3C">
            <w:pPr>
              <w:spacing w:after="160" w:line="278" w:lineRule="auto"/>
              <w:jc w:val="both"/>
              <w:rPr>
                <w:b w:val="0"/>
                <w:bCs w:val="0"/>
              </w:rPr>
            </w:pPr>
            <w:r w:rsidRPr="00FD587D">
              <w:rPr>
                <w:b w:val="0"/>
                <w:bCs w:val="0"/>
              </w:rPr>
              <w:t>Percentage (%)</w:t>
            </w:r>
          </w:p>
        </w:tc>
      </w:tr>
      <w:tr w:rsidR="002271F5" w:rsidRPr="00FD587D" w:rsidTr="00403C3C">
        <w:tc>
          <w:tcPr>
            <w:tcW w:w="0" w:type="auto"/>
            <w:hideMark/>
          </w:tcPr>
          <w:p w:rsidR="002271F5" w:rsidRPr="00FD587D" w:rsidRDefault="002271F5" w:rsidP="00403C3C">
            <w:pPr>
              <w:spacing w:after="160" w:line="278" w:lineRule="auto"/>
              <w:jc w:val="both"/>
              <w:rPr>
                <w:b w:val="0"/>
                <w:bCs w:val="0"/>
              </w:rPr>
            </w:pPr>
            <w:r w:rsidRPr="00FD587D">
              <w:rPr>
                <w:b w:val="0"/>
                <w:bCs w:val="0"/>
              </w:rPr>
              <w:t>TI</w:t>
            </w:r>
          </w:p>
        </w:tc>
        <w:tc>
          <w:tcPr>
            <w:tcW w:w="0" w:type="auto"/>
            <w:hideMark/>
          </w:tcPr>
          <w:p w:rsidR="002271F5" w:rsidRPr="00FD587D" w:rsidRDefault="002271F5" w:rsidP="00403C3C">
            <w:pPr>
              <w:spacing w:after="160" w:line="278" w:lineRule="auto"/>
              <w:jc w:val="both"/>
              <w:rPr>
                <w:b w:val="0"/>
                <w:bCs w:val="0"/>
              </w:rPr>
            </w:pPr>
            <w:r w:rsidRPr="00FD587D">
              <w:rPr>
                <w:b w:val="0"/>
                <w:bCs w:val="0"/>
              </w:rPr>
              <w:t>Tax Incentives</w:t>
            </w:r>
          </w:p>
        </w:tc>
        <w:tc>
          <w:tcPr>
            <w:tcW w:w="0" w:type="auto"/>
            <w:hideMark/>
          </w:tcPr>
          <w:p w:rsidR="002271F5" w:rsidRPr="00FD587D" w:rsidRDefault="002271F5" w:rsidP="00403C3C">
            <w:pPr>
              <w:spacing w:after="160" w:line="278" w:lineRule="auto"/>
              <w:jc w:val="both"/>
              <w:rPr>
                <w:b w:val="0"/>
                <w:bCs w:val="0"/>
              </w:rPr>
            </w:pPr>
            <w:r w:rsidRPr="00FD587D">
              <w:rPr>
                <w:b w:val="0"/>
                <w:bCs w:val="0"/>
              </w:rPr>
              <w:t>Tax Exp. / Revenue</w:t>
            </w:r>
          </w:p>
        </w:tc>
        <w:tc>
          <w:tcPr>
            <w:tcW w:w="0" w:type="auto"/>
            <w:hideMark/>
          </w:tcPr>
          <w:p w:rsidR="002271F5" w:rsidRPr="00FD587D" w:rsidRDefault="002271F5" w:rsidP="00403C3C">
            <w:pPr>
              <w:spacing w:after="160" w:line="278" w:lineRule="auto"/>
              <w:jc w:val="both"/>
              <w:rPr>
                <w:b w:val="0"/>
                <w:bCs w:val="0"/>
              </w:rPr>
            </w:pPr>
            <w:r w:rsidRPr="00FD587D">
              <w:rPr>
                <w:b w:val="0"/>
                <w:bCs w:val="0"/>
              </w:rPr>
              <w:t>Percentage (%)</w:t>
            </w:r>
          </w:p>
        </w:tc>
      </w:tr>
      <w:tr w:rsidR="002271F5" w:rsidRPr="00FD587D" w:rsidTr="00403C3C">
        <w:tc>
          <w:tcPr>
            <w:tcW w:w="0" w:type="auto"/>
            <w:hideMark/>
          </w:tcPr>
          <w:p w:rsidR="002271F5" w:rsidRPr="00FD587D" w:rsidRDefault="002271F5" w:rsidP="00403C3C">
            <w:pPr>
              <w:spacing w:after="160" w:line="278" w:lineRule="auto"/>
              <w:jc w:val="both"/>
              <w:rPr>
                <w:b w:val="0"/>
                <w:bCs w:val="0"/>
              </w:rPr>
            </w:pPr>
            <w:r w:rsidRPr="00FD587D">
              <w:rPr>
                <w:b w:val="0"/>
                <w:bCs w:val="0"/>
              </w:rPr>
              <w:t>VAT</w:t>
            </w:r>
          </w:p>
        </w:tc>
        <w:tc>
          <w:tcPr>
            <w:tcW w:w="0" w:type="auto"/>
            <w:hideMark/>
          </w:tcPr>
          <w:p w:rsidR="002271F5" w:rsidRPr="00FD587D" w:rsidRDefault="002271F5" w:rsidP="00403C3C">
            <w:pPr>
              <w:spacing w:after="160" w:line="278" w:lineRule="auto"/>
              <w:jc w:val="both"/>
              <w:rPr>
                <w:b w:val="0"/>
                <w:bCs w:val="0"/>
              </w:rPr>
            </w:pPr>
            <w:r w:rsidRPr="00FD587D">
              <w:rPr>
                <w:b w:val="0"/>
                <w:bCs w:val="0"/>
              </w:rPr>
              <w:t>Value-Added Tax</w:t>
            </w:r>
          </w:p>
        </w:tc>
        <w:tc>
          <w:tcPr>
            <w:tcW w:w="0" w:type="auto"/>
            <w:hideMark/>
          </w:tcPr>
          <w:p w:rsidR="002271F5" w:rsidRPr="00FD587D" w:rsidRDefault="002271F5" w:rsidP="00403C3C">
            <w:pPr>
              <w:spacing w:after="160" w:line="278" w:lineRule="auto"/>
              <w:jc w:val="both"/>
              <w:rPr>
                <w:b w:val="0"/>
                <w:bCs w:val="0"/>
              </w:rPr>
            </w:pPr>
            <w:r w:rsidRPr="00FD587D">
              <w:rPr>
                <w:b w:val="0"/>
                <w:bCs w:val="0"/>
              </w:rPr>
              <w:t>VAT Rev. / GDP</w:t>
            </w:r>
          </w:p>
        </w:tc>
        <w:tc>
          <w:tcPr>
            <w:tcW w:w="0" w:type="auto"/>
            <w:hideMark/>
          </w:tcPr>
          <w:p w:rsidR="002271F5" w:rsidRPr="00FD587D" w:rsidRDefault="002271F5" w:rsidP="00403C3C">
            <w:pPr>
              <w:spacing w:after="160" w:line="278" w:lineRule="auto"/>
              <w:jc w:val="both"/>
              <w:rPr>
                <w:b w:val="0"/>
                <w:bCs w:val="0"/>
              </w:rPr>
            </w:pPr>
            <w:r w:rsidRPr="00FD587D">
              <w:rPr>
                <w:b w:val="0"/>
                <w:bCs w:val="0"/>
              </w:rPr>
              <w:t>Percentage (%)</w:t>
            </w:r>
          </w:p>
        </w:tc>
      </w:tr>
      <w:tr w:rsidR="002271F5" w:rsidRPr="00FD587D" w:rsidTr="00403C3C">
        <w:tc>
          <w:tcPr>
            <w:tcW w:w="0" w:type="auto"/>
            <w:hideMark/>
          </w:tcPr>
          <w:p w:rsidR="002271F5" w:rsidRPr="00FD587D" w:rsidRDefault="002271F5" w:rsidP="00403C3C">
            <w:pPr>
              <w:spacing w:after="160" w:line="278" w:lineRule="auto"/>
              <w:jc w:val="both"/>
              <w:rPr>
                <w:b w:val="0"/>
                <w:bCs w:val="0"/>
              </w:rPr>
            </w:pPr>
            <w:r w:rsidRPr="00FD587D">
              <w:rPr>
                <w:b w:val="0"/>
                <w:bCs w:val="0"/>
              </w:rPr>
              <w:t>GDPG</w:t>
            </w:r>
          </w:p>
        </w:tc>
        <w:tc>
          <w:tcPr>
            <w:tcW w:w="0" w:type="auto"/>
            <w:hideMark/>
          </w:tcPr>
          <w:p w:rsidR="002271F5" w:rsidRPr="00FD587D" w:rsidRDefault="002271F5" w:rsidP="00403C3C">
            <w:pPr>
              <w:spacing w:after="160" w:line="278" w:lineRule="auto"/>
              <w:jc w:val="both"/>
              <w:rPr>
                <w:b w:val="0"/>
                <w:bCs w:val="0"/>
              </w:rPr>
            </w:pPr>
            <w:r w:rsidRPr="00FD587D">
              <w:rPr>
                <w:b w:val="0"/>
                <w:bCs w:val="0"/>
              </w:rPr>
              <w:t>GDP Growth Rate</w:t>
            </w:r>
          </w:p>
        </w:tc>
        <w:tc>
          <w:tcPr>
            <w:tcW w:w="0" w:type="auto"/>
            <w:hideMark/>
          </w:tcPr>
          <w:p w:rsidR="002271F5" w:rsidRPr="00FD587D" w:rsidRDefault="002271F5" w:rsidP="00403C3C">
            <w:pPr>
              <w:spacing w:after="160" w:line="278" w:lineRule="auto"/>
              <w:jc w:val="both"/>
              <w:rPr>
                <w:b w:val="0"/>
                <w:bCs w:val="0"/>
              </w:rPr>
            </w:pPr>
            <w:r w:rsidRPr="00FD587D">
              <w:rPr>
                <w:b w:val="0"/>
                <w:bCs w:val="0"/>
              </w:rPr>
              <w:t>Real GDP Growth</w:t>
            </w:r>
          </w:p>
        </w:tc>
        <w:tc>
          <w:tcPr>
            <w:tcW w:w="0" w:type="auto"/>
            <w:hideMark/>
          </w:tcPr>
          <w:p w:rsidR="002271F5" w:rsidRPr="00FD587D" w:rsidRDefault="002271F5" w:rsidP="00403C3C">
            <w:pPr>
              <w:spacing w:after="160" w:line="278" w:lineRule="auto"/>
              <w:jc w:val="both"/>
              <w:rPr>
                <w:b w:val="0"/>
                <w:bCs w:val="0"/>
              </w:rPr>
            </w:pPr>
            <w:r w:rsidRPr="00FD587D">
              <w:rPr>
                <w:b w:val="0"/>
                <w:bCs w:val="0"/>
              </w:rPr>
              <w:t>Percentage (%)</w:t>
            </w:r>
          </w:p>
        </w:tc>
      </w:tr>
      <w:tr w:rsidR="002271F5" w:rsidRPr="00FD587D" w:rsidTr="00403C3C">
        <w:tc>
          <w:tcPr>
            <w:tcW w:w="0" w:type="auto"/>
            <w:hideMark/>
          </w:tcPr>
          <w:p w:rsidR="002271F5" w:rsidRPr="00FD587D" w:rsidRDefault="002271F5" w:rsidP="00403C3C">
            <w:pPr>
              <w:spacing w:after="160" w:line="278" w:lineRule="auto"/>
              <w:jc w:val="both"/>
              <w:rPr>
                <w:b w:val="0"/>
                <w:bCs w:val="0"/>
              </w:rPr>
            </w:pPr>
            <w:r w:rsidRPr="00FD587D">
              <w:rPr>
                <w:b w:val="0"/>
                <w:bCs w:val="0"/>
              </w:rPr>
              <w:t>EXR</w:t>
            </w:r>
          </w:p>
        </w:tc>
        <w:tc>
          <w:tcPr>
            <w:tcW w:w="0" w:type="auto"/>
            <w:hideMark/>
          </w:tcPr>
          <w:p w:rsidR="002271F5" w:rsidRPr="00FD587D" w:rsidRDefault="002271F5" w:rsidP="00403C3C">
            <w:pPr>
              <w:spacing w:after="160" w:line="278" w:lineRule="auto"/>
              <w:jc w:val="both"/>
              <w:rPr>
                <w:b w:val="0"/>
                <w:bCs w:val="0"/>
              </w:rPr>
            </w:pPr>
            <w:r w:rsidRPr="00FD587D">
              <w:rPr>
                <w:b w:val="0"/>
                <w:bCs w:val="0"/>
              </w:rPr>
              <w:t>Exchange Rate</w:t>
            </w:r>
          </w:p>
        </w:tc>
        <w:tc>
          <w:tcPr>
            <w:tcW w:w="0" w:type="auto"/>
            <w:hideMark/>
          </w:tcPr>
          <w:p w:rsidR="002271F5" w:rsidRPr="00FD587D" w:rsidRDefault="002271F5" w:rsidP="00403C3C">
            <w:pPr>
              <w:spacing w:after="160" w:line="278" w:lineRule="auto"/>
              <w:jc w:val="both"/>
              <w:rPr>
                <w:b w:val="0"/>
                <w:bCs w:val="0"/>
              </w:rPr>
            </w:pPr>
            <w:r w:rsidRPr="00FD587D">
              <w:rPr>
                <w:b w:val="0"/>
                <w:bCs w:val="0"/>
              </w:rPr>
              <w:t>NGN/USD Avg.</w:t>
            </w:r>
          </w:p>
        </w:tc>
        <w:tc>
          <w:tcPr>
            <w:tcW w:w="0" w:type="auto"/>
            <w:hideMark/>
          </w:tcPr>
          <w:p w:rsidR="002271F5" w:rsidRPr="00FD587D" w:rsidRDefault="002271F5" w:rsidP="00403C3C">
            <w:pPr>
              <w:spacing w:after="160" w:line="278" w:lineRule="auto"/>
              <w:jc w:val="both"/>
              <w:rPr>
                <w:b w:val="0"/>
                <w:bCs w:val="0"/>
              </w:rPr>
            </w:pPr>
            <w:r w:rsidRPr="00FD587D">
              <w:rPr>
                <w:b w:val="0"/>
                <w:bCs w:val="0"/>
              </w:rPr>
              <w:t>NGN per USD</w:t>
            </w:r>
          </w:p>
        </w:tc>
      </w:tr>
    </w:tbl>
    <w:bookmarkEnd w:id="2"/>
    <w:p w:rsidR="002271F5" w:rsidRDefault="002271F5" w:rsidP="002271F5">
      <w:pPr>
        <w:spacing w:before="80" w:after="80" w:line="480" w:lineRule="auto"/>
        <w:jc w:val="both"/>
      </w:pPr>
      <w:r>
        <w:t>Source: Author’s Compilation (2025)</w:t>
      </w:r>
    </w:p>
    <w:p w:rsidR="002271F5" w:rsidRDefault="002271F5" w:rsidP="002271F5">
      <w:pPr>
        <w:spacing w:before="300" w:after="180" w:line="480" w:lineRule="auto"/>
      </w:pPr>
      <w:r>
        <w:t>3.6 Model Specification</w:t>
      </w:r>
    </w:p>
    <w:p w:rsidR="002271F5" w:rsidRDefault="00AC2C43" w:rsidP="00AC2C43">
      <w:pPr>
        <w:spacing w:before="120" w:after="120" w:line="480" w:lineRule="auto"/>
        <w:jc w:val="both"/>
        <w:rPr>
          <w:b w:val="0"/>
          <w:bCs w:val="0"/>
        </w:rPr>
      </w:pPr>
      <w:r>
        <w:rPr>
          <w:b w:val="0"/>
          <w:bCs w:val="0"/>
        </w:rPr>
        <w:t>The study examines the impact of tax policy on foreign direct investment in Nigeria. The model is developed to capture the relationship between tax policy variables and foreign direct investment inflows.</w:t>
      </w:r>
    </w:p>
    <w:p w:rsidR="00AC2C43" w:rsidRDefault="00AC2C43" w:rsidP="00AC2C43">
      <w:pPr>
        <w:pStyle w:val="ListParagraph"/>
        <w:numPr>
          <w:ilvl w:val="0"/>
          <w:numId w:val="3"/>
        </w:numPr>
        <w:spacing w:before="120" w:after="120" w:line="480" w:lineRule="auto"/>
        <w:jc w:val="both"/>
      </w:pPr>
      <w:r w:rsidRPr="00AC2C43">
        <w:t>Functional (Conceptual) Form</w:t>
      </w:r>
    </w:p>
    <w:p w:rsidR="00AC2C43" w:rsidRDefault="00AC2C43" w:rsidP="00AC2C43">
      <w:pPr>
        <w:spacing w:before="120" w:after="120" w:line="480" w:lineRule="auto"/>
        <w:jc w:val="both"/>
        <w:rPr>
          <w:b w:val="0"/>
          <w:bCs w:val="0"/>
        </w:rPr>
      </w:pPr>
      <w:r>
        <w:rPr>
          <w:b w:val="0"/>
          <w:bCs w:val="0"/>
        </w:rPr>
        <w:t>The relationship between the variables is expressed functionally as:</w:t>
      </w:r>
    </w:p>
    <w:p w:rsidR="00AC2C43" w:rsidRPr="00AC2C43" w:rsidRDefault="00AC2C43" w:rsidP="00AC2C43">
      <w:pPr>
        <w:spacing w:before="120" w:after="120" w:line="480" w:lineRule="auto"/>
        <w:jc w:val="both"/>
        <w:rPr>
          <w:b w:val="0"/>
          <w:bCs w:val="0"/>
        </w:rPr>
      </w:pPr>
      <m:oMathPara>
        <m:oMath>
          <m:r>
            <m:rPr>
              <m:sty m:val="bi"/>
            </m:rPr>
            <w:rPr>
              <w:rFonts w:ascii="Cambria Math" w:hAnsi="Cambria Math"/>
            </w:rPr>
            <m:t>FDI=f</m:t>
          </m:r>
          <m:d>
            <m:dPr>
              <m:ctrlPr>
                <w:rPr>
                  <w:rFonts w:ascii="Cambria Math" w:hAnsi="Cambria Math"/>
                  <w:b w:val="0"/>
                  <w:bCs w:val="0"/>
                  <w:i/>
                </w:rPr>
              </m:ctrlPr>
            </m:dPr>
            <m:e>
              <m:r>
                <m:rPr>
                  <m:sty m:val="bi"/>
                </m:rPr>
                <w:rPr>
                  <w:rFonts w:ascii="Cambria Math" w:hAnsi="Cambria Math"/>
                </w:rPr>
                <m:t>CIT,TI,VAT</m:t>
              </m:r>
            </m:e>
          </m:d>
        </m:oMath>
      </m:oMathPara>
    </w:p>
    <w:p w:rsidR="00AC2C43" w:rsidRDefault="00AC2C43" w:rsidP="00AC2C43">
      <w:pPr>
        <w:spacing w:before="120" w:after="120" w:line="480" w:lineRule="auto"/>
        <w:jc w:val="both"/>
        <w:rPr>
          <w:b w:val="0"/>
          <w:bCs w:val="0"/>
        </w:rPr>
      </w:pPr>
      <w:r>
        <w:rPr>
          <w:b w:val="0"/>
          <w:bCs w:val="0"/>
        </w:rPr>
        <w:t>Where; Foreign Direct Investment (FDI) is a function of Company Income Tax (CIT)</w:t>
      </w:r>
      <w:r w:rsidR="0016510D">
        <w:rPr>
          <w:b w:val="0"/>
          <w:bCs w:val="0"/>
        </w:rPr>
        <w:t>, Tax Incentive (TI) and Value Added Tax (VAT)</w:t>
      </w:r>
    </w:p>
    <w:p w:rsidR="0016510D" w:rsidRDefault="0016510D" w:rsidP="0016510D">
      <w:pPr>
        <w:pStyle w:val="ListParagraph"/>
        <w:numPr>
          <w:ilvl w:val="0"/>
          <w:numId w:val="3"/>
        </w:numPr>
        <w:spacing w:before="120" w:after="120" w:line="480" w:lineRule="auto"/>
        <w:jc w:val="both"/>
      </w:pPr>
      <w:r w:rsidRPr="0016510D">
        <w:t>Mathematical/Econometric Form</w:t>
      </w:r>
    </w:p>
    <w:p w:rsidR="0016510D" w:rsidRDefault="0016510D" w:rsidP="0016510D">
      <w:pPr>
        <w:spacing w:before="120" w:after="120" w:line="480" w:lineRule="auto"/>
        <w:jc w:val="both"/>
        <w:rPr>
          <w:b w:val="0"/>
          <w:bCs w:val="0"/>
        </w:rPr>
      </w:pPr>
      <w:r>
        <w:rPr>
          <w:b w:val="0"/>
          <w:bCs w:val="0"/>
        </w:rPr>
        <w:t>To empirically estimate the relationship the model is specified as:</w:t>
      </w:r>
    </w:p>
    <w:p w:rsidR="0016510D" w:rsidRPr="0016510D" w:rsidRDefault="0016510D" w:rsidP="0016510D">
      <w:pPr>
        <w:jc w:val="both"/>
        <w:rPr>
          <w:b w:val="0"/>
          <w:bCs w:val="0"/>
        </w:rPr>
      </w:pPr>
      <m:oMathPara>
        <m:oMath>
          <m:r>
            <m:rPr>
              <m:sty m:val="bi"/>
            </m:rPr>
            <w:rPr>
              <w:rFonts w:ascii="Cambria Math" w:hAnsi="Cambria Math"/>
            </w:rPr>
            <m:t xml:space="preserve">FDI= </m:t>
          </m:r>
          <m:sSub>
            <m:sSubPr>
              <m:ctrlPr>
                <w:rPr>
                  <w:rFonts w:ascii="Cambria Math" w:hAnsi="Cambria Math"/>
                  <w:i/>
                </w:rPr>
              </m:ctrlPr>
            </m:sSubPr>
            <m:e>
              <m:r>
                <m:rPr>
                  <m:sty m:val="bi"/>
                </m:rPr>
                <w:rPr>
                  <w:rFonts w:ascii="Cambria Math" w:hAnsi="Cambria Math"/>
                </w:rPr>
                <m:t>β</m:t>
              </m:r>
            </m:e>
            <m:sub>
              <m:r>
                <m:rPr>
                  <m:sty m:val="bi"/>
                </m:rPr>
                <w:rPr>
                  <w:rFonts w:ascii="Cambria Math" w:hAnsi="Cambria Math"/>
                </w:rPr>
                <m:t>0</m:t>
              </m:r>
            </m:sub>
          </m:sSub>
          <m:r>
            <m:rPr>
              <m:sty m:val="bi"/>
            </m:rPr>
            <w:rPr>
              <w:rFonts w:ascii="Cambria Math" w:hAnsi="Cambria Math"/>
            </w:rPr>
            <m:t xml:space="preserve">+ </m:t>
          </m:r>
          <m:sSub>
            <m:sSubPr>
              <m:ctrlPr>
                <w:rPr>
                  <w:rFonts w:ascii="Cambria Math" w:hAnsi="Cambria Math"/>
                  <w:i/>
                </w:rPr>
              </m:ctrlPr>
            </m:sSubPr>
            <m:e>
              <m:r>
                <m:rPr>
                  <m:sty m:val="bi"/>
                </m:rPr>
                <w:rPr>
                  <w:rFonts w:ascii="Cambria Math" w:hAnsi="Cambria Math"/>
                </w:rPr>
                <m:t>β</m:t>
              </m:r>
            </m:e>
            <m:sub>
              <m:r>
                <m:rPr>
                  <m:sty m:val="bi"/>
                </m:rPr>
                <w:rPr>
                  <w:rFonts w:ascii="Cambria Math" w:hAnsi="Cambria Math"/>
                </w:rPr>
                <m:t>1</m:t>
              </m:r>
            </m:sub>
          </m:sSub>
          <m:r>
            <m:rPr>
              <m:sty m:val="bi"/>
            </m:rPr>
            <w:rPr>
              <w:rFonts w:ascii="Cambria Math" w:hAnsi="Cambria Math"/>
            </w:rPr>
            <m:t xml:space="preserve">CIT+ </m:t>
          </m:r>
          <m:sSub>
            <m:sSubPr>
              <m:ctrlPr>
                <w:rPr>
                  <w:rFonts w:ascii="Cambria Math" w:hAnsi="Cambria Math"/>
                  <w:i/>
                </w:rPr>
              </m:ctrlPr>
            </m:sSubPr>
            <m:e>
              <m:r>
                <m:rPr>
                  <m:sty m:val="bi"/>
                </m:rPr>
                <w:rPr>
                  <w:rFonts w:ascii="Cambria Math" w:hAnsi="Cambria Math"/>
                </w:rPr>
                <m:t>β</m:t>
              </m:r>
            </m:e>
            <m:sub>
              <m:r>
                <m:rPr>
                  <m:sty m:val="bi"/>
                </m:rPr>
                <w:rPr>
                  <w:rFonts w:ascii="Cambria Math" w:hAnsi="Cambria Math"/>
                </w:rPr>
                <m:t>2</m:t>
              </m:r>
            </m:sub>
          </m:sSub>
          <m:r>
            <m:rPr>
              <m:sty m:val="bi"/>
            </m:rPr>
            <w:rPr>
              <w:rFonts w:ascii="Cambria Math" w:hAnsi="Cambria Math"/>
            </w:rPr>
            <m:t xml:space="preserve">TI+ </m:t>
          </m:r>
          <m:sSub>
            <m:sSubPr>
              <m:ctrlPr>
                <w:rPr>
                  <w:rFonts w:ascii="Cambria Math" w:hAnsi="Cambria Math"/>
                  <w:i/>
                </w:rPr>
              </m:ctrlPr>
            </m:sSubPr>
            <m:e>
              <m:r>
                <m:rPr>
                  <m:sty m:val="bi"/>
                </m:rPr>
                <w:rPr>
                  <w:rFonts w:ascii="Cambria Math" w:hAnsi="Cambria Math"/>
                </w:rPr>
                <m:t>β</m:t>
              </m:r>
            </m:e>
            <m:sub>
              <m:r>
                <m:rPr>
                  <m:sty m:val="bi"/>
                </m:rPr>
                <w:rPr>
                  <w:rFonts w:ascii="Cambria Math" w:hAnsi="Cambria Math"/>
                </w:rPr>
                <m:t>3</m:t>
              </m:r>
            </m:sub>
          </m:sSub>
          <m:r>
            <m:rPr>
              <m:sty m:val="bi"/>
            </m:rPr>
            <w:rPr>
              <w:rFonts w:ascii="Cambria Math" w:hAnsi="Cambria Math"/>
            </w:rPr>
            <m:t>VAT+μ</m:t>
          </m:r>
        </m:oMath>
      </m:oMathPara>
    </w:p>
    <w:p w:rsidR="0016510D" w:rsidRDefault="0016510D" w:rsidP="0016510D">
      <w:pPr>
        <w:jc w:val="both"/>
        <w:rPr>
          <w:b w:val="0"/>
          <w:bCs w:val="0"/>
        </w:rPr>
      </w:pPr>
      <w:r>
        <w:rPr>
          <w:b w:val="0"/>
          <w:bCs w:val="0"/>
        </w:rPr>
        <w:t>Where:</w:t>
      </w:r>
    </w:p>
    <w:p w:rsidR="0016510D" w:rsidRDefault="00C90B88" w:rsidP="0016510D">
      <w:pPr>
        <w:pStyle w:val="ListParagraph"/>
        <w:numPr>
          <w:ilvl w:val="0"/>
          <w:numId w:val="4"/>
        </w:numPr>
        <w:jc w:val="both"/>
        <w:rPr>
          <w:b w:val="0"/>
          <w:bCs w:val="0"/>
        </w:rPr>
      </w:pPr>
      <w:r w:rsidRPr="00C90B88">
        <w:rPr>
          <w:b w:val="0"/>
          <w:bCs w:val="0"/>
        </w:rPr>
        <w:lastRenderedPageBreak/>
        <w:t>FDI</w:t>
      </w:r>
      <w:r>
        <w:rPr>
          <w:b w:val="0"/>
          <w:bCs w:val="0"/>
        </w:rPr>
        <w:t xml:space="preserve"> = Foreign Direct Investment (proxied by FDI income)</w:t>
      </w:r>
    </w:p>
    <w:p w:rsidR="00C90B88" w:rsidRDefault="00C90B88" w:rsidP="0016510D">
      <w:pPr>
        <w:pStyle w:val="ListParagraph"/>
        <w:numPr>
          <w:ilvl w:val="0"/>
          <w:numId w:val="4"/>
        </w:numPr>
        <w:jc w:val="both"/>
        <w:rPr>
          <w:b w:val="0"/>
          <w:bCs w:val="0"/>
        </w:rPr>
      </w:pPr>
      <w:r>
        <w:rPr>
          <w:b w:val="0"/>
          <w:bCs w:val="0"/>
        </w:rPr>
        <w:t>CIT= Company Income Tax</w:t>
      </w:r>
    </w:p>
    <w:p w:rsidR="00C90B88" w:rsidRDefault="00C90B88" w:rsidP="0016510D">
      <w:pPr>
        <w:pStyle w:val="ListParagraph"/>
        <w:numPr>
          <w:ilvl w:val="0"/>
          <w:numId w:val="4"/>
        </w:numPr>
        <w:jc w:val="both"/>
        <w:rPr>
          <w:b w:val="0"/>
          <w:bCs w:val="0"/>
        </w:rPr>
      </w:pPr>
      <w:r>
        <w:rPr>
          <w:b w:val="0"/>
          <w:bCs w:val="0"/>
        </w:rPr>
        <w:t>TI= Tax Incentives</w:t>
      </w:r>
    </w:p>
    <w:p w:rsidR="00C90B88" w:rsidRDefault="00B75E50" w:rsidP="0016510D">
      <w:pPr>
        <w:pStyle w:val="ListParagraph"/>
        <w:numPr>
          <w:ilvl w:val="0"/>
          <w:numId w:val="4"/>
        </w:numPr>
        <w:jc w:val="both"/>
        <w:rPr>
          <w:b w:val="0"/>
          <w:bCs w:val="0"/>
        </w:rPr>
      </w:pPr>
      <m:oMath>
        <m:sSub>
          <m:sSubPr>
            <m:ctrlPr>
              <w:rPr>
                <w:rFonts w:ascii="Cambria Math" w:hAnsi="Cambria Math"/>
                <w:i/>
              </w:rPr>
            </m:ctrlPr>
          </m:sSubPr>
          <m:e>
            <m:r>
              <m:rPr>
                <m:sty m:val="bi"/>
              </m:rPr>
              <w:rPr>
                <w:rFonts w:ascii="Cambria Math" w:hAnsi="Cambria Math"/>
              </w:rPr>
              <m:t>β</m:t>
            </m:r>
          </m:e>
          <m:sub>
            <m:r>
              <m:rPr>
                <m:sty m:val="bi"/>
              </m:rPr>
              <w:rPr>
                <w:rFonts w:ascii="Cambria Math" w:hAnsi="Cambria Math"/>
              </w:rPr>
              <m:t>0</m:t>
            </m:r>
          </m:sub>
        </m:sSub>
      </m:oMath>
      <w:r w:rsidR="00C90B88">
        <w:rPr>
          <w:b w:val="0"/>
          <w:bCs w:val="0"/>
        </w:rPr>
        <w:t>= Constant term (intercept)</w:t>
      </w:r>
    </w:p>
    <w:p w:rsidR="00C90B88" w:rsidRDefault="00B75E50" w:rsidP="0016510D">
      <w:pPr>
        <w:pStyle w:val="ListParagraph"/>
        <w:numPr>
          <w:ilvl w:val="0"/>
          <w:numId w:val="4"/>
        </w:numPr>
        <w:jc w:val="both"/>
        <w:rPr>
          <w:b w:val="0"/>
          <w:bCs w:val="0"/>
        </w:rPr>
      </w:pPr>
      <m:oMath>
        <m:sSub>
          <m:sSubPr>
            <m:ctrlPr>
              <w:rPr>
                <w:rFonts w:ascii="Cambria Math" w:hAnsi="Cambria Math"/>
                <w:i/>
              </w:rPr>
            </m:ctrlPr>
          </m:sSubPr>
          <m:e>
            <m:r>
              <m:rPr>
                <m:sty m:val="bi"/>
              </m:rPr>
              <w:rPr>
                <w:rFonts w:ascii="Cambria Math" w:hAnsi="Cambria Math"/>
              </w:rPr>
              <m:t>β</m:t>
            </m:r>
          </m:e>
          <m:sub>
            <m:r>
              <m:rPr>
                <m:sty m:val="bi"/>
              </m:rPr>
              <w:rPr>
                <w:rFonts w:ascii="Cambria Math" w:hAnsi="Cambria Math"/>
              </w:rPr>
              <m:t>1</m:t>
            </m:r>
          </m:sub>
        </m:sSub>
        <m:r>
          <m:rPr>
            <m:sty m:val="bi"/>
          </m:rPr>
          <w:rPr>
            <w:rFonts w:ascii="Cambria Math" w:hAnsi="Cambria Math"/>
          </w:rPr>
          <m:t>,</m:t>
        </m:r>
        <m:sSub>
          <m:sSubPr>
            <m:ctrlPr>
              <w:rPr>
                <w:rFonts w:ascii="Cambria Math" w:hAnsi="Cambria Math"/>
                <w:i/>
              </w:rPr>
            </m:ctrlPr>
          </m:sSubPr>
          <m:e>
            <m:r>
              <m:rPr>
                <m:sty m:val="bi"/>
              </m:rPr>
              <w:rPr>
                <w:rFonts w:ascii="Cambria Math" w:hAnsi="Cambria Math"/>
              </w:rPr>
              <m:t>β</m:t>
            </m:r>
          </m:e>
          <m:sub>
            <m:r>
              <m:rPr>
                <m:sty m:val="bi"/>
              </m:rPr>
              <w:rPr>
                <w:rFonts w:ascii="Cambria Math" w:hAnsi="Cambria Math"/>
              </w:rPr>
              <m:t>2</m:t>
            </m:r>
          </m:sub>
        </m:sSub>
        <m:r>
          <m:rPr>
            <m:sty m:val="bi"/>
          </m:rPr>
          <w:rPr>
            <w:rFonts w:ascii="Cambria Math" w:hAnsi="Cambria Math"/>
          </w:rPr>
          <m:t>,</m:t>
        </m:r>
        <m:sSub>
          <m:sSubPr>
            <m:ctrlPr>
              <w:rPr>
                <w:rFonts w:ascii="Cambria Math" w:hAnsi="Cambria Math"/>
                <w:i/>
              </w:rPr>
            </m:ctrlPr>
          </m:sSubPr>
          <m:e>
            <m:r>
              <m:rPr>
                <m:sty m:val="bi"/>
              </m:rPr>
              <w:rPr>
                <w:rFonts w:ascii="Cambria Math" w:hAnsi="Cambria Math"/>
              </w:rPr>
              <m:t>β</m:t>
            </m:r>
          </m:e>
          <m:sub>
            <m:r>
              <m:rPr>
                <m:sty m:val="bi"/>
              </m:rPr>
              <w:rPr>
                <w:rFonts w:ascii="Cambria Math" w:hAnsi="Cambria Math"/>
              </w:rPr>
              <m:t>3</m:t>
            </m:r>
          </m:sub>
        </m:sSub>
      </m:oMath>
      <w:r w:rsidR="00C90B88">
        <w:t xml:space="preserve">= </w:t>
      </w:r>
      <w:r w:rsidR="00C90B88" w:rsidRPr="00C90B88">
        <w:rPr>
          <w:b w:val="0"/>
          <w:bCs w:val="0"/>
        </w:rPr>
        <w:t>Coefficients of explanatory</w:t>
      </w:r>
      <w:r w:rsidR="00C90B88">
        <w:rPr>
          <w:b w:val="0"/>
          <w:bCs w:val="0"/>
        </w:rPr>
        <w:t xml:space="preserve"> variables</w:t>
      </w:r>
    </w:p>
    <w:p w:rsidR="00C90B88" w:rsidRDefault="00C90B88" w:rsidP="0016510D">
      <w:pPr>
        <w:pStyle w:val="ListParagraph"/>
        <w:numPr>
          <w:ilvl w:val="0"/>
          <w:numId w:val="4"/>
        </w:numPr>
        <w:jc w:val="both"/>
        <w:rPr>
          <w:b w:val="0"/>
          <w:bCs w:val="0"/>
        </w:rPr>
      </w:pPr>
      <m:oMath>
        <m:r>
          <m:rPr>
            <m:sty m:val="bi"/>
          </m:rPr>
          <w:rPr>
            <w:rFonts w:ascii="Cambria Math" w:hAnsi="Cambria Math"/>
          </w:rPr>
          <m:t>μ</m:t>
        </m:r>
      </m:oMath>
      <w:r>
        <w:rPr>
          <w:b w:val="0"/>
          <w:bCs w:val="0"/>
        </w:rPr>
        <w:t>= Error term ( stochastic distribution term)</w:t>
      </w:r>
    </w:p>
    <w:p w:rsidR="00C90B88" w:rsidRDefault="00C90B88" w:rsidP="00C90B88">
      <w:pPr>
        <w:jc w:val="both"/>
        <w:rPr>
          <w:b w:val="0"/>
          <w:bCs w:val="0"/>
        </w:rPr>
      </w:pPr>
    </w:p>
    <w:p w:rsidR="00C90B88" w:rsidRDefault="00C90B88" w:rsidP="00C90B88">
      <w:pPr>
        <w:pStyle w:val="ListParagraph"/>
        <w:numPr>
          <w:ilvl w:val="0"/>
          <w:numId w:val="3"/>
        </w:numPr>
        <w:jc w:val="both"/>
      </w:pPr>
      <w:r w:rsidRPr="00C90B88">
        <w:t>Apriori Expectation</w:t>
      </w:r>
      <w:r w:rsidR="00EB50B7">
        <w:t xml:space="preserve"> (Theoretical expectation)</w:t>
      </w:r>
    </w:p>
    <w:p w:rsidR="00EB50B7" w:rsidRDefault="00EB50B7" w:rsidP="00EB50B7">
      <w:pPr>
        <w:spacing w:line="480" w:lineRule="auto"/>
        <w:jc w:val="both"/>
        <w:rPr>
          <w:b w:val="0"/>
          <w:bCs w:val="0"/>
        </w:rPr>
      </w:pPr>
      <w:r>
        <w:rPr>
          <w:b w:val="0"/>
          <w:bCs w:val="0"/>
        </w:rPr>
        <w:t xml:space="preserve">Based on econometric theory, the expected relationships are: </w:t>
      </w:r>
    </w:p>
    <w:p w:rsidR="00EB50B7" w:rsidRDefault="00B75E50" w:rsidP="00F347A5">
      <w:pPr>
        <w:spacing w:after="240"/>
        <w:ind w:left="-90" w:firstLine="90"/>
        <w:jc w:val="both"/>
        <w:rPr>
          <w:b w:val="0"/>
          <w:bCs w:val="0"/>
        </w:rPr>
      </w:pPr>
      <m:oMath>
        <m:sSub>
          <m:sSubPr>
            <m:ctrlPr>
              <w:rPr>
                <w:rFonts w:ascii="Cambria Math" w:hAnsi="Cambria Math"/>
                <w:i/>
              </w:rPr>
            </m:ctrlPr>
          </m:sSubPr>
          <m:e>
            <m:r>
              <m:rPr>
                <m:sty m:val="bi"/>
              </m:rPr>
              <w:rPr>
                <w:rFonts w:ascii="Cambria Math" w:hAnsi="Cambria Math"/>
              </w:rPr>
              <m:t>β</m:t>
            </m:r>
          </m:e>
          <m:sub>
            <m:r>
              <m:rPr>
                <m:sty m:val="bi"/>
              </m:rPr>
              <w:rPr>
                <w:rFonts w:ascii="Cambria Math" w:hAnsi="Cambria Math"/>
              </w:rPr>
              <m:t>1</m:t>
            </m:r>
          </m:sub>
        </m:sSub>
        <m:r>
          <m:rPr>
            <m:sty m:val="bi"/>
          </m:rPr>
          <w:rPr>
            <w:rFonts w:ascii="Cambria Math" w:hAnsi="Cambria Math"/>
          </w:rPr>
          <m:t>&lt;0</m:t>
        </m:r>
      </m:oMath>
      <w:r w:rsidR="00EB50B7">
        <w:rPr>
          <w:b w:val="0"/>
          <w:bCs w:val="0"/>
        </w:rPr>
        <w:t xml:space="preserve"> (Company income tax is expected to negatively affect FDI because higher tax reduces investment returns)</w:t>
      </w:r>
    </w:p>
    <w:p w:rsidR="00F347A5" w:rsidRDefault="00B75E50" w:rsidP="00F347A5">
      <w:pPr>
        <w:spacing w:after="240"/>
        <w:ind w:left="-90" w:firstLine="90"/>
        <w:jc w:val="both"/>
        <w:rPr>
          <w:b w:val="0"/>
          <w:bCs w:val="0"/>
        </w:rPr>
      </w:pPr>
      <m:oMath>
        <m:sSub>
          <m:sSubPr>
            <m:ctrlPr>
              <w:rPr>
                <w:rFonts w:ascii="Cambria Math" w:hAnsi="Cambria Math"/>
                <w:i/>
              </w:rPr>
            </m:ctrlPr>
          </m:sSubPr>
          <m:e>
            <m:r>
              <m:rPr>
                <m:sty m:val="bi"/>
              </m:rPr>
              <w:rPr>
                <w:rFonts w:ascii="Cambria Math" w:hAnsi="Cambria Math"/>
              </w:rPr>
              <m:t>β</m:t>
            </m:r>
          </m:e>
          <m:sub>
            <m:r>
              <m:rPr>
                <m:sty m:val="bi"/>
              </m:rPr>
              <w:rPr>
                <w:rFonts w:ascii="Cambria Math" w:hAnsi="Cambria Math"/>
              </w:rPr>
              <m:t>2</m:t>
            </m:r>
          </m:sub>
        </m:sSub>
        <m:r>
          <m:rPr>
            <m:sty m:val="bi"/>
          </m:rPr>
          <w:rPr>
            <w:rFonts w:ascii="Cambria Math" w:hAnsi="Cambria Math"/>
          </w:rPr>
          <m:t>&gt;0</m:t>
        </m:r>
      </m:oMath>
      <w:r w:rsidR="00F347A5">
        <w:rPr>
          <w:b w:val="0"/>
          <w:bCs w:val="0"/>
        </w:rPr>
        <w:t xml:space="preserve"> (Tax incentives are expected to positively influence FDI by attracting foreign investors)</w:t>
      </w:r>
    </w:p>
    <w:p w:rsidR="00F347A5" w:rsidRDefault="00B75E50" w:rsidP="00F347A5">
      <w:pPr>
        <w:spacing w:after="240"/>
        <w:ind w:left="-90" w:firstLine="90"/>
        <w:jc w:val="both"/>
        <w:rPr>
          <w:b w:val="0"/>
          <w:bCs w:val="0"/>
        </w:rPr>
      </w:pPr>
      <m:oMath>
        <m:sSub>
          <m:sSubPr>
            <m:ctrlPr>
              <w:rPr>
                <w:rFonts w:ascii="Cambria Math" w:hAnsi="Cambria Math"/>
                <w:i/>
              </w:rPr>
            </m:ctrlPr>
          </m:sSubPr>
          <m:e>
            <m:r>
              <m:rPr>
                <m:sty m:val="bi"/>
              </m:rPr>
              <w:rPr>
                <w:rFonts w:ascii="Cambria Math" w:hAnsi="Cambria Math"/>
              </w:rPr>
              <m:t>β</m:t>
            </m:r>
          </m:e>
          <m:sub>
            <m:r>
              <m:rPr>
                <m:sty m:val="bi"/>
              </m:rPr>
              <w:rPr>
                <w:rFonts w:ascii="Cambria Math" w:hAnsi="Cambria Math"/>
              </w:rPr>
              <m:t>3</m:t>
            </m:r>
          </m:sub>
        </m:sSub>
        <m:r>
          <m:rPr>
            <m:sty m:val="bi"/>
          </m:rPr>
          <w:rPr>
            <w:rFonts w:ascii="Cambria Math" w:hAnsi="Cambria Math"/>
          </w:rPr>
          <m:t>&lt;0</m:t>
        </m:r>
      </m:oMath>
      <w:r w:rsidR="00F347A5">
        <w:rPr>
          <w:b w:val="0"/>
          <w:bCs w:val="0"/>
        </w:rPr>
        <w:t xml:space="preserve"> (Value Added Tax is expected to negatively affect FDI due to increased cost of production and consumption)</w:t>
      </w:r>
    </w:p>
    <w:p w:rsidR="00F347A5" w:rsidRPr="00EB50B7" w:rsidRDefault="00F347A5" w:rsidP="00F347A5">
      <w:pPr>
        <w:spacing w:after="240"/>
        <w:ind w:left="-90" w:firstLine="90"/>
        <w:jc w:val="both"/>
        <w:rPr>
          <w:b w:val="0"/>
          <w:bCs w:val="0"/>
        </w:rPr>
      </w:pPr>
    </w:p>
    <w:p w:rsidR="002271F5" w:rsidRDefault="002271F5" w:rsidP="002271F5">
      <w:pPr>
        <w:spacing w:before="300" w:after="180" w:line="480" w:lineRule="auto"/>
      </w:pPr>
      <w:r>
        <w:t>3.7 Data Analysis</w:t>
      </w:r>
      <w:r w:rsidR="00F54FC7">
        <w:t xml:space="preserve"> Technique</w:t>
      </w:r>
    </w:p>
    <w:p w:rsidR="002271F5" w:rsidRPr="00F347A5" w:rsidRDefault="002271F5" w:rsidP="002271F5">
      <w:pPr>
        <w:spacing w:before="300" w:after="180" w:line="480" w:lineRule="auto"/>
        <w:rPr>
          <w:b w:val="0"/>
          <w:bCs w:val="0"/>
        </w:rPr>
      </w:pPr>
      <w:r w:rsidRPr="00F347A5">
        <w:rPr>
          <w:b w:val="0"/>
          <w:bCs w:val="0"/>
        </w:rPr>
        <w:t>This study comprises of 6 steps: (i) descriptive statistics, (ii) ADF and PP unit root test, (iii) appropriate lag length selection through AIC, (iv) ARDL F-bounds test for cointegration, (v) long-run and short-run coefficients with ECT, and (vi) post-estimation tests for diagnostic purposes such as, serial correlation using Breusch-Godfrey, heteroscedasticity using Breusch-Pagan-Godfrey, normality of residuals using Jarque-Bera, functional form specification using Ramsey RESET, and parameters stability tests through CUSUM and CUSUM-squares. Eviews 12 has been used for estimation.</w:t>
      </w:r>
    </w:p>
    <w:p w:rsidR="002271F5" w:rsidRDefault="002271F5" w:rsidP="002271F5">
      <w:pPr>
        <w:spacing w:before="300" w:after="180" w:line="480" w:lineRule="auto"/>
      </w:pPr>
    </w:p>
    <w:p w:rsidR="002271F5" w:rsidRDefault="002271F5" w:rsidP="002271F5">
      <w:r>
        <w:br w:type="page"/>
      </w:r>
    </w:p>
    <w:p w:rsidR="002271F5" w:rsidRPr="00BB59FF" w:rsidRDefault="002271F5" w:rsidP="002271F5">
      <w:pPr>
        <w:spacing w:before="360" w:after="240" w:line="480" w:lineRule="auto"/>
        <w:jc w:val="center"/>
      </w:pPr>
      <w:r w:rsidRPr="00BB59FF">
        <w:lastRenderedPageBreak/>
        <w:t>CHAPTER FOUR</w:t>
      </w:r>
    </w:p>
    <w:p w:rsidR="002271F5" w:rsidRPr="00BB59FF" w:rsidRDefault="002271F5" w:rsidP="002271F5">
      <w:pPr>
        <w:spacing w:before="360" w:after="240" w:line="480" w:lineRule="auto"/>
        <w:jc w:val="center"/>
      </w:pPr>
      <w:r w:rsidRPr="00BB59FF">
        <w:t>DATA PRESENTATION, ANALYSIS, AND DISCUSSION OF FINDINGS</w:t>
      </w:r>
    </w:p>
    <w:p w:rsidR="002271F5" w:rsidRDefault="002271F5" w:rsidP="002271F5">
      <w:pPr>
        <w:spacing w:before="300" w:after="180" w:line="480" w:lineRule="auto"/>
      </w:pPr>
      <w:r>
        <w:t>4.1 Data Presentation</w:t>
      </w:r>
    </w:p>
    <w:p w:rsidR="002271F5" w:rsidRPr="00F347A5" w:rsidRDefault="002271F5" w:rsidP="002271F5">
      <w:pPr>
        <w:spacing w:before="80" w:after="80" w:line="480" w:lineRule="auto"/>
        <w:jc w:val="both"/>
        <w:rPr>
          <w:b w:val="0"/>
          <w:bCs w:val="0"/>
        </w:rPr>
      </w:pPr>
      <w:r w:rsidRPr="00F347A5">
        <w:rPr>
          <w:b w:val="0"/>
          <w:bCs w:val="0"/>
        </w:rPr>
        <w:t>Table 4.1 gives real annual data for each variable used in the empirical work, for the period 2010-2024. Each variable has had notable recent developments: peak in FDI 2011, oil crash and FDI outflow 2014-2016, period of finance act reform post 2019, shock from COVID-19, period of multinational divestment from 2022, period of macroeconomic adjustment after the Naira float from post-2023. All data taken from official institutional reports cited. All are the best data available in real terms.</w:t>
      </w:r>
    </w:p>
    <w:p w:rsidR="002271F5" w:rsidRPr="00F347A5" w:rsidRDefault="002271F5" w:rsidP="002271F5">
      <w:pPr>
        <w:spacing w:before="80" w:after="80" w:line="480" w:lineRule="auto"/>
        <w:jc w:val="both"/>
        <w:rPr>
          <w:b w:val="0"/>
          <w:bCs w:val="0"/>
        </w:rPr>
      </w:pPr>
      <w:r w:rsidRPr="00F347A5">
        <w:rPr>
          <w:b w:val="0"/>
          <w:bCs w:val="0"/>
        </w:rPr>
        <w:t>Table 4.1</w:t>
      </w:r>
      <w:bookmarkStart w:id="3" w:name="_Hlk231805149"/>
      <w:r w:rsidRPr="00F347A5">
        <w:rPr>
          <w:b w:val="0"/>
          <w:bCs w:val="0"/>
        </w:rPr>
        <w:t>: Annual Data on FDI, CIT, TI, VAT, GDPG, and EXR — Nigeria (2010–2024)</w:t>
      </w:r>
      <w:bookmarkEnd w:id="3"/>
    </w:p>
    <w:p w:rsidR="002271F5" w:rsidRPr="00F347A5" w:rsidRDefault="002271F5" w:rsidP="002271F5">
      <w:pPr>
        <w:spacing w:before="80" w:after="80" w:line="480" w:lineRule="auto"/>
        <w:jc w:val="both"/>
        <w:rPr>
          <w:b w:val="0"/>
          <w:bCs w:val="0"/>
        </w:rPr>
      </w:pPr>
      <w:r w:rsidRPr="00F347A5">
        <w:rPr>
          <w:b w:val="0"/>
          <w:bCs w:val="0"/>
        </w:rPr>
        <w:t>See Appendix VII</w:t>
      </w:r>
    </w:p>
    <w:p w:rsidR="0011445F" w:rsidRDefault="002271F5" w:rsidP="002271F5">
      <w:pPr>
        <w:spacing w:before="300" w:after="180" w:line="480" w:lineRule="auto"/>
      </w:pPr>
      <w:r>
        <w:t xml:space="preserve">4.2 </w:t>
      </w:r>
      <w:r w:rsidR="0011445F">
        <w:t>Data Analysis</w:t>
      </w:r>
    </w:p>
    <w:p w:rsidR="002271F5" w:rsidRDefault="002271F5" w:rsidP="002271F5">
      <w:pPr>
        <w:spacing w:before="300" w:after="180" w:line="480" w:lineRule="auto"/>
      </w:pPr>
      <w:r>
        <w:t>Descriptive Statistics</w:t>
      </w:r>
    </w:p>
    <w:p w:rsidR="002271F5" w:rsidRPr="00F347A5" w:rsidRDefault="002271F5" w:rsidP="002271F5">
      <w:pPr>
        <w:spacing w:before="80" w:after="80" w:line="480" w:lineRule="auto"/>
        <w:jc w:val="both"/>
        <w:rPr>
          <w:b w:val="0"/>
          <w:bCs w:val="0"/>
        </w:rPr>
      </w:pPr>
      <w:r w:rsidRPr="00F347A5">
        <w:rPr>
          <w:b w:val="0"/>
          <w:bCs w:val="0"/>
        </w:rPr>
        <w:t>Table 4.2 shows the descriptive statistics for all the variables in the study over the 2010-2024 period, describing the mean, spread and distribution shape before formal econometric estimation can take place.</w:t>
      </w:r>
    </w:p>
    <w:p w:rsidR="002271F5" w:rsidRPr="00F347A5" w:rsidRDefault="002271F5" w:rsidP="002271F5">
      <w:pPr>
        <w:spacing w:before="80" w:after="80" w:line="480" w:lineRule="auto"/>
        <w:jc w:val="both"/>
        <w:rPr>
          <w:b w:val="0"/>
          <w:bCs w:val="0"/>
        </w:rPr>
      </w:pPr>
    </w:p>
    <w:p w:rsidR="002271F5" w:rsidRPr="00F347A5" w:rsidRDefault="002271F5" w:rsidP="002271F5">
      <w:pPr>
        <w:spacing w:before="80" w:after="80" w:line="480" w:lineRule="auto"/>
        <w:jc w:val="both"/>
        <w:rPr>
          <w:b w:val="0"/>
          <w:bCs w:val="0"/>
        </w:rPr>
      </w:pPr>
    </w:p>
    <w:p w:rsidR="002271F5" w:rsidRPr="00F347A5" w:rsidRDefault="002271F5" w:rsidP="002271F5">
      <w:pPr>
        <w:spacing w:before="80" w:after="80" w:line="480" w:lineRule="auto"/>
        <w:jc w:val="both"/>
        <w:rPr>
          <w:b w:val="0"/>
          <w:bCs w:val="0"/>
        </w:rPr>
      </w:pPr>
    </w:p>
    <w:p w:rsidR="002271F5" w:rsidRPr="00F347A5" w:rsidRDefault="002271F5" w:rsidP="002271F5">
      <w:pPr>
        <w:spacing w:before="80" w:after="80" w:line="480" w:lineRule="auto"/>
        <w:jc w:val="both"/>
        <w:rPr>
          <w:b w:val="0"/>
          <w:bCs w:val="0"/>
        </w:rPr>
      </w:pPr>
    </w:p>
    <w:p w:rsidR="002271F5" w:rsidRPr="00F347A5" w:rsidRDefault="002271F5" w:rsidP="002271F5">
      <w:pPr>
        <w:spacing w:before="80" w:after="80" w:line="480" w:lineRule="auto"/>
        <w:jc w:val="both"/>
        <w:rPr>
          <w:b w:val="0"/>
          <w:bCs w:val="0"/>
        </w:rPr>
      </w:pPr>
    </w:p>
    <w:p w:rsidR="002271F5" w:rsidRDefault="002271F5" w:rsidP="002271F5">
      <w:pPr>
        <w:spacing w:before="80" w:after="80" w:line="480" w:lineRule="auto"/>
        <w:jc w:val="both"/>
        <w:rPr>
          <w:b w:val="0"/>
          <w:bCs w:val="0"/>
        </w:rPr>
      </w:pPr>
      <w:r>
        <w:t>Table 4.2: Descriptive Statistics of Study Variables (2010–2024, n = 15)</w:t>
      </w:r>
    </w:p>
    <w:tbl>
      <w:tblPr>
        <w:tblStyle w:val="PlainTable2"/>
        <w:tblW w:w="0" w:type="auto"/>
        <w:tblLook w:val="0620"/>
      </w:tblPr>
      <w:tblGrid>
        <w:gridCol w:w="1203"/>
        <w:gridCol w:w="1560"/>
        <w:gridCol w:w="905"/>
        <w:gridCol w:w="778"/>
        <w:gridCol w:w="970"/>
        <w:gridCol w:w="1180"/>
        <w:gridCol w:w="1798"/>
      </w:tblGrid>
      <w:tr w:rsidR="002271F5" w:rsidRPr="001F2452" w:rsidTr="00403C3C">
        <w:trPr>
          <w:cnfStyle w:val="100000000000"/>
        </w:trPr>
        <w:tc>
          <w:tcPr>
            <w:tcW w:w="0" w:type="auto"/>
            <w:hideMark/>
          </w:tcPr>
          <w:p w:rsidR="002271F5" w:rsidRPr="00F347A5" w:rsidRDefault="002271F5" w:rsidP="00403C3C">
            <w:pPr>
              <w:spacing w:after="160" w:line="278" w:lineRule="auto"/>
              <w:jc w:val="both"/>
            </w:pPr>
            <w:r w:rsidRPr="00F347A5">
              <w:t>Statistic</w:t>
            </w:r>
          </w:p>
        </w:tc>
        <w:tc>
          <w:tcPr>
            <w:tcW w:w="0" w:type="auto"/>
            <w:hideMark/>
          </w:tcPr>
          <w:p w:rsidR="002271F5" w:rsidRPr="00F347A5" w:rsidRDefault="002271F5" w:rsidP="00403C3C">
            <w:pPr>
              <w:spacing w:after="160" w:line="278" w:lineRule="auto"/>
              <w:jc w:val="both"/>
            </w:pPr>
            <w:r w:rsidRPr="00F347A5">
              <w:t>FDI (USD Mn)</w:t>
            </w:r>
          </w:p>
        </w:tc>
        <w:tc>
          <w:tcPr>
            <w:tcW w:w="0" w:type="auto"/>
            <w:hideMark/>
          </w:tcPr>
          <w:p w:rsidR="002271F5" w:rsidRPr="00F347A5" w:rsidRDefault="002271F5" w:rsidP="00403C3C">
            <w:pPr>
              <w:spacing w:after="160" w:line="278" w:lineRule="auto"/>
              <w:jc w:val="both"/>
            </w:pPr>
            <w:r w:rsidRPr="00F347A5">
              <w:t>CIT (%)</w:t>
            </w:r>
          </w:p>
        </w:tc>
        <w:tc>
          <w:tcPr>
            <w:tcW w:w="0" w:type="auto"/>
            <w:hideMark/>
          </w:tcPr>
          <w:p w:rsidR="002271F5" w:rsidRPr="00F347A5" w:rsidRDefault="002271F5" w:rsidP="00403C3C">
            <w:pPr>
              <w:spacing w:after="160" w:line="278" w:lineRule="auto"/>
              <w:jc w:val="both"/>
            </w:pPr>
            <w:r w:rsidRPr="00F347A5">
              <w:t>TI (%)</w:t>
            </w:r>
          </w:p>
        </w:tc>
        <w:tc>
          <w:tcPr>
            <w:tcW w:w="0" w:type="auto"/>
          </w:tcPr>
          <w:p w:rsidR="002271F5" w:rsidRPr="00F347A5" w:rsidRDefault="002271F5" w:rsidP="00403C3C">
            <w:pPr>
              <w:jc w:val="both"/>
            </w:pPr>
            <w:r w:rsidRPr="00F347A5">
              <w:t>VAT (%)</w:t>
            </w:r>
          </w:p>
        </w:tc>
        <w:tc>
          <w:tcPr>
            <w:tcW w:w="0" w:type="auto"/>
          </w:tcPr>
          <w:p w:rsidR="002271F5" w:rsidRPr="00F347A5" w:rsidRDefault="002271F5" w:rsidP="00403C3C">
            <w:pPr>
              <w:jc w:val="both"/>
            </w:pPr>
            <w:r w:rsidRPr="00F347A5">
              <w:t>GDPG (%)</w:t>
            </w:r>
          </w:p>
        </w:tc>
        <w:tc>
          <w:tcPr>
            <w:tcW w:w="0" w:type="auto"/>
          </w:tcPr>
          <w:p w:rsidR="002271F5" w:rsidRPr="00F347A5" w:rsidRDefault="002271F5" w:rsidP="00403C3C">
            <w:pPr>
              <w:jc w:val="both"/>
            </w:pPr>
            <w:r w:rsidRPr="00F347A5">
              <w:t>EXR (NGN/USD)</w:t>
            </w:r>
          </w:p>
        </w:tc>
      </w:tr>
      <w:tr w:rsidR="002271F5" w:rsidRPr="001F2452" w:rsidTr="00403C3C">
        <w:tc>
          <w:tcPr>
            <w:tcW w:w="0" w:type="auto"/>
            <w:hideMark/>
          </w:tcPr>
          <w:p w:rsidR="002271F5" w:rsidRPr="00F347A5" w:rsidRDefault="002271F5" w:rsidP="00403C3C">
            <w:pPr>
              <w:spacing w:after="160" w:line="278" w:lineRule="auto"/>
              <w:jc w:val="both"/>
              <w:rPr>
                <w:b w:val="0"/>
                <w:bCs w:val="0"/>
              </w:rPr>
            </w:pPr>
            <w:r w:rsidRPr="00F347A5">
              <w:rPr>
                <w:b w:val="0"/>
                <w:bCs w:val="0"/>
              </w:rPr>
              <w:t>Mean</w:t>
            </w:r>
          </w:p>
        </w:tc>
        <w:tc>
          <w:tcPr>
            <w:tcW w:w="0" w:type="auto"/>
            <w:hideMark/>
          </w:tcPr>
          <w:p w:rsidR="002271F5" w:rsidRPr="00F347A5" w:rsidRDefault="002271F5" w:rsidP="00403C3C">
            <w:pPr>
              <w:spacing w:after="160" w:line="278" w:lineRule="auto"/>
              <w:jc w:val="both"/>
              <w:rPr>
                <w:b w:val="0"/>
                <w:bCs w:val="0"/>
              </w:rPr>
            </w:pPr>
            <w:r w:rsidRPr="00F347A5">
              <w:rPr>
                <w:b w:val="0"/>
                <w:bCs w:val="0"/>
              </w:rPr>
              <w:t>3,830.33</w:t>
            </w:r>
          </w:p>
        </w:tc>
        <w:tc>
          <w:tcPr>
            <w:tcW w:w="0" w:type="auto"/>
            <w:hideMark/>
          </w:tcPr>
          <w:p w:rsidR="002271F5" w:rsidRPr="00F347A5" w:rsidRDefault="002271F5" w:rsidP="00403C3C">
            <w:pPr>
              <w:spacing w:after="160" w:line="278" w:lineRule="auto"/>
              <w:jc w:val="both"/>
              <w:rPr>
                <w:b w:val="0"/>
                <w:bCs w:val="0"/>
              </w:rPr>
            </w:pPr>
            <w:r w:rsidRPr="00F347A5">
              <w:rPr>
                <w:b w:val="0"/>
                <w:bCs w:val="0"/>
              </w:rPr>
              <w:t>2.63</w:t>
            </w:r>
          </w:p>
        </w:tc>
        <w:tc>
          <w:tcPr>
            <w:tcW w:w="0" w:type="auto"/>
            <w:hideMark/>
          </w:tcPr>
          <w:p w:rsidR="002271F5" w:rsidRPr="00F347A5" w:rsidRDefault="002271F5" w:rsidP="00403C3C">
            <w:pPr>
              <w:spacing w:after="160" w:line="278" w:lineRule="auto"/>
              <w:jc w:val="both"/>
              <w:rPr>
                <w:b w:val="0"/>
                <w:bCs w:val="0"/>
              </w:rPr>
            </w:pPr>
            <w:r w:rsidRPr="00F347A5">
              <w:rPr>
                <w:b w:val="0"/>
                <w:bCs w:val="0"/>
              </w:rPr>
              <w:t>13.07</w:t>
            </w:r>
          </w:p>
        </w:tc>
        <w:tc>
          <w:tcPr>
            <w:tcW w:w="0" w:type="auto"/>
          </w:tcPr>
          <w:p w:rsidR="002271F5" w:rsidRPr="00F347A5" w:rsidRDefault="002271F5" w:rsidP="00403C3C">
            <w:pPr>
              <w:jc w:val="both"/>
              <w:rPr>
                <w:b w:val="0"/>
                <w:bCs w:val="0"/>
              </w:rPr>
            </w:pPr>
            <w:r w:rsidRPr="00F347A5">
              <w:rPr>
                <w:b w:val="0"/>
                <w:bCs w:val="0"/>
              </w:rPr>
              <w:t>1.66</w:t>
            </w:r>
          </w:p>
        </w:tc>
        <w:tc>
          <w:tcPr>
            <w:tcW w:w="0" w:type="auto"/>
          </w:tcPr>
          <w:p w:rsidR="002271F5" w:rsidRPr="00F347A5" w:rsidRDefault="002271F5" w:rsidP="00403C3C">
            <w:pPr>
              <w:jc w:val="both"/>
              <w:rPr>
                <w:b w:val="0"/>
                <w:bCs w:val="0"/>
              </w:rPr>
            </w:pPr>
            <w:r w:rsidRPr="00F347A5">
              <w:rPr>
                <w:b w:val="0"/>
                <w:bCs w:val="0"/>
              </w:rPr>
              <w:t>3.12</w:t>
            </w:r>
          </w:p>
        </w:tc>
        <w:tc>
          <w:tcPr>
            <w:tcW w:w="0" w:type="auto"/>
          </w:tcPr>
          <w:p w:rsidR="002271F5" w:rsidRPr="00F347A5" w:rsidRDefault="002271F5" w:rsidP="00403C3C">
            <w:pPr>
              <w:jc w:val="both"/>
              <w:rPr>
                <w:b w:val="0"/>
                <w:bCs w:val="0"/>
              </w:rPr>
            </w:pPr>
            <w:r w:rsidRPr="00F347A5">
              <w:rPr>
                <w:b w:val="0"/>
                <w:bCs w:val="0"/>
              </w:rPr>
              <w:t>394.25</w:t>
            </w:r>
          </w:p>
        </w:tc>
      </w:tr>
      <w:tr w:rsidR="002271F5" w:rsidRPr="001F2452" w:rsidTr="00403C3C">
        <w:tc>
          <w:tcPr>
            <w:tcW w:w="0" w:type="auto"/>
            <w:hideMark/>
          </w:tcPr>
          <w:p w:rsidR="002271F5" w:rsidRPr="00F347A5" w:rsidRDefault="002271F5" w:rsidP="00403C3C">
            <w:pPr>
              <w:spacing w:after="160" w:line="278" w:lineRule="auto"/>
              <w:jc w:val="both"/>
              <w:rPr>
                <w:b w:val="0"/>
                <w:bCs w:val="0"/>
              </w:rPr>
            </w:pPr>
            <w:r w:rsidRPr="00F347A5">
              <w:rPr>
                <w:b w:val="0"/>
                <w:bCs w:val="0"/>
              </w:rPr>
              <w:t>Median</w:t>
            </w:r>
          </w:p>
        </w:tc>
        <w:tc>
          <w:tcPr>
            <w:tcW w:w="0" w:type="auto"/>
            <w:hideMark/>
          </w:tcPr>
          <w:p w:rsidR="002271F5" w:rsidRPr="00F347A5" w:rsidRDefault="002271F5" w:rsidP="00403C3C">
            <w:pPr>
              <w:spacing w:after="160" w:line="278" w:lineRule="auto"/>
              <w:jc w:val="both"/>
              <w:rPr>
                <w:b w:val="0"/>
                <w:bCs w:val="0"/>
              </w:rPr>
            </w:pPr>
            <w:r w:rsidRPr="00F347A5">
              <w:rPr>
                <w:b w:val="0"/>
                <w:bCs w:val="0"/>
              </w:rPr>
              <w:t>3,189.00</w:t>
            </w:r>
          </w:p>
        </w:tc>
        <w:tc>
          <w:tcPr>
            <w:tcW w:w="0" w:type="auto"/>
            <w:hideMark/>
          </w:tcPr>
          <w:p w:rsidR="002271F5" w:rsidRPr="00F347A5" w:rsidRDefault="002271F5" w:rsidP="00403C3C">
            <w:pPr>
              <w:spacing w:after="160" w:line="278" w:lineRule="auto"/>
              <w:jc w:val="both"/>
              <w:rPr>
                <w:b w:val="0"/>
                <w:bCs w:val="0"/>
              </w:rPr>
            </w:pPr>
            <w:r w:rsidRPr="00F347A5">
              <w:rPr>
                <w:b w:val="0"/>
                <w:bCs w:val="0"/>
              </w:rPr>
              <w:t>2.47</w:t>
            </w:r>
          </w:p>
        </w:tc>
        <w:tc>
          <w:tcPr>
            <w:tcW w:w="0" w:type="auto"/>
            <w:hideMark/>
          </w:tcPr>
          <w:p w:rsidR="002271F5" w:rsidRPr="00F347A5" w:rsidRDefault="002271F5" w:rsidP="00403C3C">
            <w:pPr>
              <w:spacing w:after="160" w:line="278" w:lineRule="auto"/>
              <w:jc w:val="both"/>
              <w:rPr>
                <w:b w:val="0"/>
                <w:bCs w:val="0"/>
              </w:rPr>
            </w:pPr>
            <w:r w:rsidRPr="00F347A5">
              <w:rPr>
                <w:b w:val="0"/>
                <w:bCs w:val="0"/>
              </w:rPr>
              <w:t>12.89</w:t>
            </w:r>
          </w:p>
        </w:tc>
        <w:tc>
          <w:tcPr>
            <w:tcW w:w="0" w:type="auto"/>
          </w:tcPr>
          <w:p w:rsidR="002271F5" w:rsidRPr="00F347A5" w:rsidRDefault="002271F5" w:rsidP="00403C3C">
            <w:pPr>
              <w:jc w:val="both"/>
              <w:rPr>
                <w:b w:val="0"/>
                <w:bCs w:val="0"/>
              </w:rPr>
            </w:pPr>
            <w:r w:rsidRPr="00F347A5">
              <w:rPr>
                <w:b w:val="0"/>
                <w:bCs w:val="0"/>
              </w:rPr>
              <w:t>1.51</w:t>
            </w:r>
          </w:p>
        </w:tc>
        <w:tc>
          <w:tcPr>
            <w:tcW w:w="0" w:type="auto"/>
          </w:tcPr>
          <w:p w:rsidR="002271F5" w:rsidRPr="00F347A5" w:rsidRDefault="002271F5" w:rsidP="00403C3C">
            <w:pPr>
              <w:jc w:val="both"/>
              <w:rPr>
                <w:b w:val="0"/>
                <w:bCs w:val="0"/>
              </w:rPr>
            </w:pPr>
            <w:r w:rsidRPr="00F347A5">
              <w:rPr>
                <w:b w:val="0"/>
                <w:bCs w:val="0"/>
              </w:rPr>
              <w:t>3.10</w:t>
            </w:r>
          </w:p>
        </w:tc>
        <w:tc>
          <w:tcPr>
            <w:tcW w:w="0" w:type="auto"/>
          </w:tcPr>
          <w:p w:rsidR="002271F5" w:rsidRPr="00F347A5" w:rsidRDefault="002271F5" w:rsidP="00403C3C">
            <w:pPr>
              <w:jc w:val="both"/>
              <w:rPr>
                <w:b w:val="0"/>
                <w:bCs w:val="0"/>
              </w:rPr>
            </w:pPr>
            <w:r w:rsidRPr="00F347A5">
              <w:rPr>
                <w:b w:val="0"/>
                <w:bCs w:val="0"/>
              </w:rPr>
              <w:t>305.79</w:t>
            </w:r>
          </w:p>
        </w:tc>
      </w:tr>
      <w:tr w:rsidR="002271F5" w:rsidRPr="001F2452" w:rsidTr="00403C3C">
        <w:tc>
          <w:tcPr>
            <w:tcW w:w="0" w:type="auto"/>
            <w:hideMark/>
          </w:tcPr>
          <w:p w:rsidR="002271F5" w:rsidRPr="00F347A5" w:rsidRDefault="002271F5" w:rsidP="00403C3C">
            <w:pPr>
              <w:spacing w:after="160" w:line="278" w:lineRule="auto"/>
              <w:jc w:val="both"/>
              <w:rPr>
                <w:b w:val="0"/>
                <w:bCs w:val="0"/>
              </w:rPr>
            </w:pPr>
            <w:r w:rsidRPr="00F347A5">
              <w:rPr>
                <w:b w:val="0"/>
                <w:bCs w:val="0"/>
              </w:rPr>
              <w:t>Maximum</w:t>
            </w:r>
          </w:p>
        </w:tc>
        <w:tc>
          <w:tcPr>
            <w:tcW w:w="0" w:type="auto"/>
            <w:hideMark/>
          </w:tcPr>
          <w:p w:rsidR="002271F5" w:rsidRPr="00F347A5" w:rsidRDefault="002271F5" w:rsidP="00403C3C">
            <w:pPr>
              <w:spacing w:after="160" w:line="278" w:lineRule="auto"/>
              <w:jc w:val="both"/>
              <w:rPr>
                <w:b w:val="0"/>
                <w:bCs w:val="0"/>
              </w:rPr>
            </w:pPr>
            <w:r w:rsidRPr="00F347A5">
              <w:rPr>
                <w:b w:val="0"/>
                <w:bCs w:val="0"/>
              </w:rPr>
              <w:t>8,841.00</w:t>
            </w:r>
          </w:p>
        </w:tc>
        <w:tc>
          <w:tcPr>
            <w:tcW w:w="0" w:type="auto"/>
            <w:hideMark/>
          </w:tcPr>
          <w:p w:rsidR="002271F5" w:rsidRPr="00F347A5" w:rsidRDefault="002271F5" w:rsidP="00403C3C">
            <w:pPr>
              <w:spacing w:after="160" w:line="278" w:lineRule="auto"/>
              <w:jc w:val="both"/>
              <w:rPr>
                <w:b w:val="0"/>
                <w:bCs w:val="0"/>
              </w:rPr>
            </w:pPr>
            <w:r w:rsidRPr="00F347A5">
              <w:rPr>
                <w:b w:val="0"/>
                <w:bCs w:val="0"/>
              </w:rPr>
              <w:t>3.74</w:t>
            </w:r>
          </w:p>
        </w:tc>
        <w:tc>
          <w:tcPr>
            <w:tcW w:w="0" w:type="auto"/>
            <w:hideMark/>
          </w:tcPr>
          <w:p w:rsidR="002271F5" w:rsidRPr="00F347A5" w:rsidRDefault="002271F5" w:rsidP="00403C3C">
            <w:pPr>
              <w:spacing w:after="160" w:line="278" w:lineRule="auto"/>
              <w:jc w:val="both"/>
              <w:rPr>
                <w:b w:val="0"/>
                <w:bCs w:val="0"/>
              </w:rPr>
            </w:pPr>
            <w:r w:rsidRPr="00F347A5">
              <w:rPr>
                <w:b w:val="0"/>
                <w:bCs w:val="0"/>
              </w:rPr>
              <w:t>15.82</w:t>
            </w:r>
          </w:p>
        </w:tc>
        <w:tc>
          <w:tcPr>
            <w:tcW w:w="0" w:type="auto"/>
          </w:tcPr>
          <w:p w:rsidR="002271F5" w:rsidRPr="00F347A5" w:rsidRDefault="002271F5" w:rsidP="00403C3C">
            <w:pPr>
              <w:jc w:val="both"/>
              <w:rPr>
                <w:b w:val="0"/>
                <w:bCs w:val="0"/>
              </w:rPr>
            </w:pPr>
            <w:r w:rsidRPr="00F347A5">
              <w:rPr>
                <w:b w:val="0"/>
                <w:bCs w:val="0"/>
              </w:rPr>
              <w:t>2.29</w:t>
            </w:r>
          </w:p>
        </w:tc>
        <w:tc>
          <w:tcPr>
            <w:tcW w:w="0" w:type="auto"/>
          </w:tcPr>
          <w:p w:rsidR="002271F5" w:rsidRPr="00F347A5" w:rsidRDefault="002271F5" w:rsidP="00403C3C">
            <w:pPr>
              <w:jc w:val="both"/>
              <w:rPr>
                <w:b w:val="0"/>
                <w:bCs w:val="0"/>
              </w:rPr>
            </w:pPr>
            <w:r w:rsidRPr="00F347A5">
              <w:rPr>
                <w:b w:val="0"/>
                <w:bCs w:val="0"/>
              </w:rPr>
              <w:t>8.01</w:t>
            </w:r>
          </w:p>
        </w:tc>
        <w:tc>
          <w:tcPr>
            <w:tcW w:w="0" w:type="auto"/>
          </w:tcPr>
          <w:p w:rsidR="002271F5" w:rsidRPr="00F347A5" w:rsidRDefault="002271F5" w:rsidP="00403C3C">
            <w:pPr>
              <w:jc w:val="both"/>
              <w:rPr>
                <w:b w:val="0"/>
                <w:bCs w:val="0"/>
              </w:rPr>
            </w:pPr>
            <w:r w:rsidRPr="00F347A5">
              <w:rPr>
                <w:b w:val="0"/>
                <w:bCs w:val="0"/>
              </w:rPr>
              <w:t>1,535.00</w:t>
            </w:r>
          </w:p>
        </w:tc>
      </w:tr>
      <w:tr w:rsidR="002271F5" w:rsidRPr="001F2452" w:rsidTr="00403C3C">
        <w:tc>
          <w:tcPr>
            <w:tcW w:w="0" w:type="auto"/>
            <w:hideMark/>
          </w:tcPr>
          <w:p w:rsidR="002271F5" w:rsidRPr="00F347A5" w:rsidRDefault="002271F5" w:rsidP="00403C3C">
            <w:pPr>
              <w:spacing w:after="160" w:line="278" w:lineRule="auto"/>
              <w:jc w:val="both"/>
              <w:rPr>
                <w:b w:val="0"/>
                <w:bCs w:val="0"/>
              </w:rPr>
            </w:pPr>
            <w:r w:rsidRPr="00F347A5">
              <w:rPr>
                <w:b w:val="0"/>
                <w:bCs w:val="0"/>
              </w:rPr>
              <w:t>Minimum</w:t>
            </w:r>
          </w:p>
        </w:tc>
        <w:tc>
          <w:tcPr>
            <w:tcW w:w="0" w:type="auto"/>
            <w:hideMark/>
          </w:tcPr>
          <w:p w:rsidR="002271F5" w:rsidRPr="00F347A5" w:rsidRDefault="002271F5" w:rsidP="00403C3C">
            <w:pPr>
              <w:spacing w:after="160" w:line="278" w:lineRule="auto"/>
              <w:jc w:val="both"/>
              <w:rPr>
                <w:b w:val="0"/>
                <w:bCs w:val="0"/>
              </w:rPr>
            </w:pPr>
            <w:r w:rsidRPr="00F347A5">
              <w:rPr>
                <w:b w:val="0"/>
                <w:bCs w:val="0"/>
              </w:rPr>
              <w:t>895.00</w:t>
            </w:r>
          </w:p>
        </w:tc>
        <w:tc>
          <w:tcPr>
            <w:tcW w:w="0" w:type="auto"/>
            <w:hideMark/>
          </w:tcPr>
          <w:p w:rsidR="002271F5" w:rsidRPr="00F347A5" w:rsidRDefault="002271F5" w:rsidP="00403C3C">
            <w:pPr>
              <w:spacing w:after="160" w:line="278" w:lineRule="auto"/>
              <w:jc w:val="both"/>
              <w:rPr>
                <w:b w:val="0"/>
                <w:bCs w:val="0"/>
              </w:rPr>
            </w:pPr>
            <w:r w:rsidRPr="00F347A5">
              <w:rPr>
                <w:b w:val="0"/>
                <w:bCs w:val="0"/>
              </w:rPr>
              <w:t>1.82</w:t>
            </w:r>
          </w:p>
        </w:tc>
        <w:tc>
          <w:tcPr>
            <w:tcW w:w="0" w:type="auto"/>
            <w:hideMark/>
          </w:tcPr>
          <w:p w:rsidR="002271F5" w:rsidRPr="00F347A5" w:rsidRDefault="002271F5" w:rsidP="00403C3C">
            <w:pPr>
              <w:spacing w:after="160" w:line="278" w:lineRule="auto"/>
              <w:jc w:val="both"/>
              <w:rPr>
                <w:b w:val="0"/>
                <w:bCs w:val="0"/>
              </w:rPr>
            </w:pPr>
            <w:r w:rsidRPr="00F347A5">
              <w:rPr>
                <w:b w:val="0"/>
                <w:bCs w:val="0"/>
              </w:rPr>
              <w:t>10.41</w:t>
            </w:r>
          </w:p>
        </w:tc>
        <w:tc>
          <w:tcPr>
            <w:tcW w:w="0" w:type="auto"/>
          </w:tcPr>
          <w:p w:rsidR="002271F5" w:rsidRPr="00F347A5" w:rsidRDefault="002271F5" w:rsidP="00403C3C">
            <w:pPr>
              <w:jc w:val="both"/>
              <w:rPr>
                <w:b w:val="0"/>
                <w:bCs w:val="0"/>
              </w:rPr>
            </w:pPr>
            <w:r w:rsidRPr="00F347A5">
              <w:rPr>
                <w:b w:val="0"/>
                <w:bCs w:val="0"/>
              </w:rPr>
              <w:t>1.12</w:t>
            </w:r>
          </w:p>
        </w:tc>
        <w:tc>
          <w:tcPr>
            <w:tcW w:w="0" w:type="auto"/>
          </w:tcPr>
          <w:p w:rsidR="002271F5" w:rsidRPr="00F347A5" w:rsidRDefault="002271F5" w:rsidP="00403C3C">
            <w:pPr>
              <w:jc w:val="both"/>
              <w:rPr>
                <w:b w:val="0"/>
                <w:bCs w:val="0"/>
              </w:rPr>
            </w:pPr>
            <w:r w:rsidRPr="00F347A5">
              <w:rPr>
                <w:b w:val="0"/>
                <w:bCs w:val="0"/>
              </w:rPr>
              <w:t>-1.79</w:t>
            </w:r>
          </w:p>
        </w:tc>
        <w:tc>
          <w:tcPr>
            <w:tcW w:w="0" w:type="auto"/>
          </w:tcPr>
          <w:p w:rsidR="002271F5" w:rsidRPr="00F347A5" w:rsidRDefault="002271F5" w:rsidP="00403C3C">
            <w:pPr>
              <w:jc w:val="both"/>
              <w:rPr>
                <w:b w:val="0"/>
                <w:bCs w:val="0"/>
              </w:rPr>
            </w:pPr>
            <w:r w:rsidRPr="00F347A5">
              <w:rPr>
                <w:b w:val="0"/>
                <w:bCs w:val="0"/>
              </w:rPr>
              <w:t>150.30</w:t>
            </w:r>
          </w:p>
        </w:tc>
      </w:tr>
      <w:tr w:rsidR="002271F5" w:rsidRPr="001F2452" w:rsidTr="00403C3C">
        <w:tc>
          <w:tcPr>
            <w:tcW w:w="0" w:type="auto"/>
            <w:hideMark/>
          </w:tcPr>
          <w:p w:rsidR="002271F5" w:rsidRPr="00F347A5" w:rsidRDefault="002271F5" w:rsidP="00403C3C">
            <w:pPr>
              <w:spacing w:after="160" w:line="278" w:lineRule="auto"/>
              <w:jc w:val="both"/>
              <w:rPr>
                <w:b w:val="0"/>
                <w:bCs w:val="0"/>
              </w:rPr>
            </w:pPr>
            <w:r w:rsidRPr="00F347A5">
              <w:rPr>
                <w:b w:val="0"/>
                <w:bCs w:val="0"/>
              </w:rPr>
              <w:t>Std. Dev.</w:t>
            </w:r>
          </w:p>
        </w:tc>
        <w:tc>
          <w:tcPr>
            <w:tcW w:w="0" w:type="auto"/>
            <w:hideMark/>
          </w:tcPr>
          <w:p w:rsidR="002271F5" w:rsidRPr="00F347A5" w:rsidRDefault="002271F5" w:rsidP="00403C3C">
            <w:pPr>
              <w:spacing w:after="160" w:line="278" w:lineRule="auto"/>
              <w:jc w:val="both"/>
              <w:rPr>
                <w:b w:val="0"/>
                <w:bCs w:val="0"/>
              </w:rPr>
            </w:pPr>
            <w:r w:rsidRPr="00F347A5">
              <w:rPr>
                <w:b w:val="0"/>
                <w:bCs w:val="0"/>
              </w:rPr>
              <w:t>2,162.41</w:t>
            </w:r>
          </w:p>
        </w:tc>
        <w:tc>
          <w:tcPr>
            <w:tcW w:w="0" w:type="auto"/>
            <w:hideMark/>
          </w:tcPr>
          <w:p w:rsidR="002271F5" w:rsidRPr="00F347A5" w:rsidRDefault="002271F5" w:rsidP="00403C3C">
            <w:pPr>
              <w:spacing w:after="160" w:line="278" w:lineRule="auto"/>
              <w:jc w:val="both"/>
              <w:rPr>
                <w:b w:val="0"/>
                <w:bCs w:val="0"/>
              </w:rPr>
            </w:pPr>
            <w:r w:rsidRPr="00F347A5">
              <w:rPr>
                <w:b w:val="0"/>
                <w:bCs w:val="0"/>
              </w:rPr>
              <w:t>0.55</w:t>
            </w:r>
          </w:p>
        </w:tc>
        <w:tc>
          <w:tcPr>
            <w:tcW w:w="0" w:type="auto"/>
            <w:hideMark/>
          </w:tcPr>
          <w:p w:rsidR="002271F5" w:rsidRPr="00F347A5" w:rsidRDefault="002271F5" w:rsidP="00403C3C">
            <w:pPr>
              <w:spacing w:after="160" w:line="278" w:lineRule="auto"/>
              <w:jc w:val="both"/>
              <w:rPr>
                <w:b w:val="0"/>
                <w:bCs w:val="0"/>
              </w:rPr>
            </w:pPr>
            <w:r w:rsidRPr="00F347A5">
              <w:rPr>
                <w:b w:val="0"/>
                <w:bCs w:val="0"/>
              </w:rPr>
              <w:t>1.69</w:t>
            </w:r>
          </w:p>
        </w:tc>
        <w:tc>
          <w:tcPr>
            <w:tcW w:w="0" w:type="auto"/>
          </w:tcPr>
          <w:p w:rsidR="002271F5" w:rsidRPr="00F347A5" w:rsidRDefault="002271F5" w:rsidP="00403C3C">
            <w:pPr>
              <w:jc w:val="both"/>
              <w:rPr>
                <w:b w:val="0"/>
                <w:bCs w:val="0"/>
              </w:rPr>
            </w:pPr>
            <w:r w:rsidRPr="00F347A5">
              <w:rPr>
                <w:b w:val="0"/>
                <w:bCs w:val="0"/>
              </w:rPr>
              <w:t>0.38</w:t>
            </w:r>
          </w:p>
        </w:tc>
        <w:tc>
          <w:tcPr>
            <w:tcW w:w="0" w:type="auto"/>
          </w:tcPr>
          <w:p w:rsidR="002271F5" w:rsidRPr="00F347A5" w:rsidRDefault="002271F5" w:rsidP="00403C3C">
            <w:pPr>
              <w:jc w:val="both"/>
              <w:rPr>
                <w:b w:val="0"/>
                <w:bCs w:val="0"/>
              </w:rPr>
            </w:pPr>
            <w:r w:rsidRPr="00F347A5">
              <w:rPr>
                <w:b w:val="0"/>
                <w:bCs w:val="0"/>
              </w:rPr>
              <w:t>2.48</w:t>
            </w:r>
          </w:p>
        </w:tc>
        <w:tc>
          <w:tcPr>
            <w:tcW w:w="0" w:type="auto"/>
          </w:tcPr>
          <w:p w:rsidR="002271F5" w:rsidRPr="00F347A5" w:rsidRDefault="002271F5" w:rsidP="00403C3C">
            <w:pPr>
              <w:jc w:val="both"/>
              <w:rPr>
                <w:b w:val="0"/>
                <w:bCs w:val="0"/>
              </w:rPr>
            </w:pPr>
            <w:r w:rsidRPr="00F347A5">
              <w:rPr>
                <w:b w:val="0"/>
                <w:bCs w:val="0"/>
              </w:rPr>
              <w:t>366.78</w:t>
            </w:r>
          </w:p>
        </w:tc>
      </w:tr>
      <w:tr w:rsidR="002271F5" w:rsidRPr="001F2452" w:rsidTr="00403C3C">
        <w:tc>
          <w:tcPr>
            <w:tcW w:w="0" w:type="auto"/>
            <w:hideMark/>
          </w:tcPr>
          <w:p w:rsidR="002271F5" w:rsidRPr="00F347A5" w:rsidRDefault="002271F5" w:rsidP="00403C3C">
            <w:pPr>
              <w:spacing w:after="160" w:line="278" w:lineRule="auto"/>
              <w:jc w:val="both"/>
              <w:rPr>
                <w:b w:val="0"/>
                <w:bCs w:val="0"/>
              </w:rPr>
            </w:pPr>
            <w:r w:rsidRPr="00F347A5">
              <w:rPr>
                <w:b w:val="0"/>
                <w:bCs w:val="0"/>
              </w:rPr>
              <w:t>Skewness</w:t>
            </w:r>
          </w:p>
        </w:tc>
        <w:tc>
          <w:tcPr>
            <w:tcW w:w="0" w:type="auto"/>
            <w:hideMark/>
          </w:tcPr>
          <w:p w:rsidR="002271F5" w:rsidRPr="00F347A5" w:rsidRDefault="002271F5" w:rsidP="00403C3C">
            <w:pPr>
              <w:spacing w:after="160" w:line="278" w:lineRule="auto"/>
              <w:jc w:val="both"/>
              <w:rPr>
                <w:b w:val="0"/>
                <w:bCs w:val="0"/>
              </w:rPr>
            </w:pPr>
            <w:r w:rsidRPr="00F347A5">
              <w:rPr>
                <w:b w:val="0"/>
                <w:bCs w:val="0"/>
              </w:rPr>
              <w:t>0.721</w:t>
            </w:r>
          </w:p>
        </w:tc>
        <w:tc>
          <w:tcPr>
            <w:tcW w:w="0" w:type="auto"/>
            <w:hideMark/>
          </w:tcPr>
          <w:p w:rsidR="002271F5" w:rsidRPr="00F347A5" w:rsidRDefault="002271F5" w:rsidP="00403C3C">
            <w:pPr>
              <w:spacing w:after="160" w:line="278" w:lineRule="auto"/>
              <w:jc w:val="both"/>
              <w:rPr>
                <w:b w:val="0"/>
                <w:bCs w:val="0"/>
              </w:rPr>
            </w:pPr>
            <w:r w:rsidRPr="00F347A5">
              <w:rPr>
                <w:b w:val="0"/>
                <w:bCs w:val="0"/>
              </w:rPr>
              <w:t>0.486</w:t>
            </w:r>
          </w:p>
        </w:tc>
        <w:tc>
          <w:tcPr>
            <w:tcW w:w="0" w:type="auto"/>
            <w:hideMark/>
          </w:tcPr>
          <w:p w:rsidR="002271F5" w:rsidRPr="00F347A5" w:rsidRDefault="002271F5" w:rsidP="00403C3C">
            <w:pPr>
              <w:spacing w:after="160" w:line="278" w:lineRule="auto"/>
              <w:jc w:val="both"/>
              <w:rPr>
                <w:b w:val="0"/>
                <w:bCs w:val="0"/>
              </w:rPr>
            </w:pPr>
            <w:r w:rsidRPr="00F347A5">
              <w:rPr>
                <w:b w:val="0"/>
                <w:bCs w:val="0"/>
              </w:rPr>
              <w:t>0.271</w:t>
            </w:r>
          </w:p>
        </w:tc>
        <w:tc>
          <w:tcPr>
            <w:tcW w:w="0" w:type="auto"/>
          </w:tcPr>
          <w:p w:rsidR="002271F5" w:rsidRPr="00F347A5" w:rsidRDefault="002271F5" w:rsidP="00403C3C">
            <w:pPr>
              <w:jc w:val="both"/>
              <w:rPr>
                <w:b w:val="0"/>
                <w:bCs w:val="0"/>
              </w:rPr>
            </w:pPr>
            <w:r w:rsidRPr="00F347A5">
              <w:rPr>
                <w:b w:val="0"/>
                <w:bCs w:val="0"/>
              </w:rPr>
              <w:t>0.317</w:t>
            </w:r>
          </w:p>
        </w:tc>
        <w:tc>
          <w:tcPr>
            <w:tcW w:w="0" w:type="auto"/>
          </w:tcPr>
          <w:p w:rsidR="002271F5" w:rsidRPr="00F347A5" w:rsidRDefault="002271F5" w:rsidP="00403C3C">
            <w:pPr>
              <w:jc w:val="both"/>
              <w:rPr>
                <w:b w:val="0"/>
                <w:bCs w:val="0"/>
              </w:rPr>
            </w:pPr>
            <w:r w:rsidRPr="00F347A5">
              <w:rPr>
                <w:b w:val="0"/>
                <w:bCs w:val="0"/>
              </w:rPr>
              <w:t>-0.442</w:t>
            </w:r>
          </w:p>
        </w:tc>
        <w:tc>
          <w:tcPr>
            <w:tcW w:w="0" w:type="auto"/>
          </w:tcPr>
          <w:p w:rsidR="002271F5" w:rsidRPr="00F347A5" w:rsidRDefault="002271F5" w:rsidP="00403C3C">
            <w:pPr>
              <w:jc w:val="both"/>
              <w:rPr>
                <w:b w:val="0"/>
                <w:bCs w:val="0"/>
              </w:rPr>
            </w:pPr>
            <w:r w:rsidRPr="00F347A5">
              <w:rPr>
                <w:b w:val="0"/>
                <w:bCs w:val="0"/>
              </w:rPr>
              <w:t>1.862</w:t>
            </w:r>
          </w:p>
        </w:tc>
      </w:tr>
      <w:tr w:rsidR="002271F5" w:rsidRPr="001F2452" w:rsidTr="00403C3C">
        <w:tc>
          <w:tcPr>
            <w:tcW w:w="0" w:type="auto"/>
            <w:hideMark/>
          </w:tcPr>
          <w:p w:rsidR="002271F5" w:rsidRPr="00F347A5" w:rsidRDefault="002271F5" w:rsidP="00403C3C">
            <w:pPr>
              <w:spacing w:after="160" w:line="278" w:lineRule="auto"/>
              <w:jc w:val="both"/>
              <w:rPr>
                <w:b w:val="0"/>
                <w:bCs w:val="0"/>
              </w:rPr>
            </w:pPr>
            <w:r w:rsidRPr="00F347A5">
              <w:rPr>
                <w:b w:val="0"/>
                <w:bCs w:val="0"/>
              </w:rPr>
              <w:t>Kurtosis</w:t>
            </w:r>
          </w:p>
        </w:tc>
        <w:tc>
          <w:tcPr>
            <w:tcW w:w="0" w:type="auto"/>
            <w:hideMark/>
          </w:tcPr>
          <w:p w:rsidR="002271F5" w:rsidRPr="00F347A5" w:rsidRDefault="002271F5" w:rsidP="00403C3C">
            <w:pPr>
              <w:spacing w:after="160" w:line="278" w:lineRule="auto"/>
              <w:jc w:val="both"/>
              <w:rPr>
                <w:b w:val="0"/>
                <w:bCs w:val="0"/>
              </w:rPr>
            </w:pPr>
            <w:r w:rsidRPr="00F347A5">
              <w:rPr>
                <w:b w:val="0"/>
                <w:bCs w:val="0"/>
              </w:rPr>
              <w:t>2.384</w:t>
            </w:r>
          </w:p>
        </w:tc>
        <w:tc>
          <w:tcPr>
            <w:tcW w:w="0" w:type="auto"/>
            <w:hideMark/>
          </w:tcPr>
          <w:p w:rsidR="002271F5" w:rsidRPr="00F347A5" w:rsidRDefault="002271F5" w:rsidP="00403C3C">
            <w:pPr>
              <w:spacing w:after="160" w:line="278" w:lineRule="auto"/>
              <w:jc w:val="both"/>
              <w:rPr>
                <w:b w:val="0"/>
                <w:bCs w:val="0"/>
              </w:rPr>
            </w:pPr>
            <w:r w:rsidRPr="00F347A5">
              <w:rPr>
                <w:b w:val="0"/>
                <w:bCs w:val="0"/>
              </w:rPr>
              <w:t>2.071</w:t>
            </w:r>
          </w:p>
        </w:tc>
        <w:tc>
          <w:tcPr>
            <w:tcW w:w="0" w:type="auto"/>
            <w:hideMark/>
          </w:tcPr>
          <w:p w:rsidR="002271F5" w:rsidRPr="00F347A5" w:rsidRDefault="002271F5" w:rsidP="00403C3C">
            <w:pPr>
              <w:spacing w:after="160" w:line="278" w:lineRule="auto"/>
              <w:jc w:val="both"/>
              <w:rPr>
                <w:b w:val="0"/>
                <w:bCs w:val="0"/>
              </w:rPr>
            </w:pPr>
            <w:r w:rsidRPr="00F347A5">
              <w:rPr>
                <w:b w:val="0"/>
                <w:bCs w:val="0"/>
              </w:rPr>
              <w:t>1.943</w:t>
            </w:r>
          </w:p>
        </w:tc>
        <w:tc>
          <w:tcPr>
            <w:tcW w:w="0" w:type="auto"/>
          </w:tcPr>
          <w:p w:rsidR="002271F5" w:rsidRPr="00F347A5" w:rsidRDefault="002271F5" w:rsidP="00403C3C">
            <w:pPr>
              <w:jc w:val="both"/>
              <w:rPr>
                <w:b w:val="0"/>
                <w:bCs w:val="0"/>
              </w:rPr>
            </w:pPr>
            <w:r w:rsidRPr="00F347A5">
              <w:rPr>
                <w:b w:val="0"/>
                <w:bCs w:val="0"/>
              </w:rPr>
              <w:t>2.114</w:t>
            </w:r>
          </w:p>
        </w:tc>
        <w:tc>
          <w:tcPr>
            <w:tcW w:w="0" w:type="auto"/>
          </w:tcPr>
          <w:p w:rsidR="002271F5" w:rsidRPr="00F347A5" w:rsidRDefault="002271F5" w:rsidP="00403C3C">
            <w:pPr>
              <w:jc w:val="both"/>
              <w:rPr>
                <w:b w:val="0"/>
                <w:bCs w:val="0"/>
              </w:rPr>
            </w:pPr>
            <w:r w:rsidRPr="00F347A5">
              <w:rPr>
                <w:b w:val="0"/>
                <w:bCs w:val="0"/>
              </w:rPr>
              <w:t>2.563</w:t>
            </w:r>
          </w:p>
        </w:tc>
        <w:tc>
          <w:tcPr>
            <w:tcW w:w="0" w:type="auto"/>
          </w:tcPr>
          <w:p w:rsidR="002271F5" w:rsidRPr="00F347A5" w:rsidRDefault="002271F5" w:rsidP="00403C3C">
            <w:pPr>
              <w:jc w:val="both"/>
              <w:rPr>
                <w:b w:val="0"/>
                <w:bCs w:val="0"/>
              </w:rPr>
            </w:pPr>
            <w:r w:rsidRPr="00F347A5">
              <w:rPr>
                <w:b w:val="0"/>
                <w:bCs w:val="0"/>
              </w:rPr>
              <w:t>5.147</w:t>
            </w:r>
          </w:p>
        </w:tc>
      </w:tr>
    </w:tbl>
    <w:p w:rsidR="002271F5" w:rsidRPr="00F347A5" w:rsidRDefault="002271F5" w:rsidP="002271F5">
      <w:pPr>
        <w:spacing w:before="300" w:after="180" w:line="480" w:lineRule="auto"/>
        <w:rPr>
          <w:b w:val="0"/>
          <w:bCs w:val="0"/>
        </w:rPr>
      </w:pPr>
      <w:r>
        <w:t xml:space="preserve">Source: </w:t>
      </w:r>
      <w:r w:rsidRPr="00F347A5">
        <w:rPr>
          <w:b w:val="0"/>
          <w:bCs w:val="0"/>
        </w:rPr>
        <w:t>Computed by the author based on data collected (2025)</w:t>
      </w:r>
    </w:p>
    <w:p w:rsidR="002271F5" w:rsidRPr="00F347A5" w:rsidRDefault="002271F5" w:rsidP="002271F5">
      <w:pPr>
        <w:spacing w:before="300" w:after="180" w:line="480" w:lineRule="auto"/>
        <w:rPr>
          <w:b w:val="0"/>
          <w:bCs w:val="0"/>
        </w:rPr>
      </w:pPr>
      <w:r w:rsidRPr="00F347A5">
        <w:rPr>
          <w:b w:val="0"/>
          <w:bCs w:val="0"/>
        </w:rPr>
        <w:t xml:space="preserve">The descriptive statistics highlight various interesting points. FDI flows, although averaging $3,830 million each year, demonstrate extremely high volatility (standard deviation $2,162 million) due to the highly volatile nature of Nigeria's investment inflows. The 2011 peak of $8,841 million corresponds to the oil boom period where investors had high confidence, while the low level of $895 million in 2022 is driven by large multinational withdrawals such as Shell exiting Nigerian onshore (UNCTAD, 2023). The average Effective CIT Burden stood at 2.63 percent of GDP, starting at 1.82% in 2010 to 3.74% in 2024, corresponding with FIRS efforts at increased revenue mobilization, tax base widening under the Finance Acts and reduction of tax leakages through the digitalization process (TaxPro-Max). Tax Incentive intensity escalated from 10.41% to 15.82% of federal revenue reflecting progressive increase in the tax incentive system architecture in Nigeria. VAT Burden averaged 1.66% of GDP, with the steepest increases observed between 2019-2020 following </w:t>
      </w:r>
      <w:r w:rsidRPr="00F347A5">
        <w:rPr>
          <w:b w:val="0"/>
          <w:bCs w:val="0"/>
        </w:rPr>
        <w:lastRenderedPageBreak/>
        <w:t>the increase in VAT from 5% to 7.5% under the Finance Act 2019. The Exchange Rate variable, in terms of NGN/$ demonstrates the most significant change, jumping from 150.30 in 2010 to 1,535.00 in 2024, which was due to long-run secular currency depreciation further propelled by 2023 liberalization. Average Real GDP growth came in at 3.12% annually, with negative growth rates recorded in 2016 and 2020 attributed to a oil price slump and the COVID-19 pandemic respectively.</w:t>
      </w:r>
    </w:p>
    <w:p w:rsidR="002271F5" w:rsidRDefault="002271F5" w:rsidP="00E7418D">
      <w:pPr>
        <w:spacing w:before="300" w:line="360" w:lineRule="auto"/>
      </w:pPr>
      <w:r>
        <w:t>Unit Root Test Results</w:t>
      </w:r>
    </w:p>
    <w:p w:rsidR="002271F5" w:rsidRPr="00F347A5" w:rsidRDefault="002271F5" w:rsidP="00E7418D">
      <w:pPr>
        <w:spacing w:before="80" w:line="360" w:lineRule="auto"/>
        <w:jc w:val="both"/>
        <w:rPr>
          <w:b w:val="0"/>
          <w:bCs w:val="0"/>
        </w:rPr>
      </w:pPr>
      <w:r w:rsidRPr="00F347A5">
        <w:rPr>
          <w:b w:val="0"/>
          <w:bCs w:val="0"/>
        </w:rPr>
        <w:t>Augmented Dickey-Fuller (ADF) and Phillips-Perron (PP) unit root tests were applied to all variables at level and first difference. The null hypothesis is that the series has a unit root (is non-stationary).</w:t>
      </w:r>
    </w:p>
    <w:p w:rsidR="002271F5" w:rsidRDefault="002271F5" w:rsidP="002271F5">
      <w:pPr>
        <w:spacing w:before="80" w:after="80" w:line="480" w:lineRule="auto"/>
        <w:jc w:val="both"/>
      </w:pPr>
      <w:r>
        <w:t>Table 4.3: Unit Root Test Results — ADF and Phillips-Perron Tests</w:t>
      </w:r>
    </w:p>
    <w:tbl>
      <w:tblPr>
        <w:tblStyle w:val="PlainTable2"/>
        <w:tblW w:w="0" w:type="auto"/>
        <w:tblLook w:val="0620"/>
      </w:tblPr>
      <w:tblGrid>
        <w:gridCol w:w="762"/>
        <w:gridCol w:w="1418"/>
        <w:gridCol w:w="1517"/>
        <w:gridCol w:w="1417"/>
        <w:gridCol w:w="1517"/>
        <w:gridCol w:w="1789"/>
        <w:gridCol w:w="796"/>
      </w:tblGrid>
      <w:tr w:rsidR="002271F5" w:rsidRPr="001F2452" w:rsidTr="00403C3C">
        <w:trPr>
          <w:cnfStyle w:val="100000000000"/>
        </w:trPr>
        <w:tc>
          <w:tcPr>
            <w:tcW w:w="0" w:type="auto"/>
            <w:hideMark/>
          </w:tcPr>
          <w:p w:rsidR="002271F5" w:rsidRPr="00F347A5" w:rsidRDefault="002271F5" w:rsidP="00403C3C">
            <w:pPr>
              <w:spacing w:after="160" w:line="278" w:lineRule="auto"/>
              <w:jc w:val="both"/>
            </w:pPr>
            <w:r w:rsidRPr="00F347A5">
              <w:t>Var.</w:t>
            </w:r>
          </w:p>
        </w:tc>
        <w:tc>
          <w:tcPr>
            <w:tcW w:w="0" w:type="auto"/>
            <w:hideMark/>
          </w:tcPr>
          <w:p w:rsidR="002271F5" w:rsidRPr="00F347A5" w:rsidRDefault="002271F5" w:rsidP="00403C3C">
            <w:pPr>
              <w:spacing w:after="160" w:line="278" w:lineRule="auto"/>
              <w:jc w:val="both"/>
            </w:pPr>
            <w:r w:rsidRPr="00F347A5">
              <w:t>ADF Level</w:t>
            </w:r>
          </w:p>
        </w:tc>
        <w:tc>
          <w:tcPr>
            <w:tcW w:w="0" w:type="auto"/>
            <w:hideMark/>
          </w:tcPr>
          <w:p w:rsidR="002271F5" w:rsidRPr="00F347A5" w:rsidRDefault="002271F5" w:rsidP="00403C3C">
            <w:pPr>
              <w:spacing w:after="160" w:line="278" w:lineRule="auto"/>
              <w:jc w:val="both"/>
            </w:pPr>
            <w:r w:rsidRPr="00F347A5">
              <w:t>ADF 1st Diff.</w:t>
            </w:r>
          </w:p>
        </w:tc>
        <w:tc>
          <w:tcPr>
            <w:tcW w:w="0" w:type="auto"/>
            <w:hideMark/>
          </w:tcPr>
          <w:p w:rsidR="002271F5" w:rsidRPr="00F347A5" w:rsidRDefault="002271F5" w:rsidP="00403C3C">
            <w:pPr>
              <w:spacing w:after="160" w:line="278" w:lineRule="auto"/>
              <w:jc w:val="both"/>
            </w:pPr>
            <w:r w:rsidRPr="00F347A5">
              <w:t>PP Level</w:t>
            </w:r>
          </w:p>
        </w:tc>
        <w:tc>
          <w:tcPr>
            <w:tcW w:w="0" w:type="auto"/>
          </w:tcPr>
          <w:p w:rsidR="002271F5" w:rsidRPr="00F347A5" w:rsidRDefault="002271F5" w:rsidP="00403C3C">
            <w:pPr>
              <w:jc w:val="both"/>
            </w:pPr>
            <w:r w:rsidRPr="00F347A5">
              <w:t>PP 1st Diff.</w:t>
            </w:r>
          </w:p>
        </w:tc>
        <w:tc>
          <w:tcPr>
            <w:tcW w:w="0" w:type="auto"/>
          </w:tcPr>
          <w:p w:rsidR="002271F5" w:rsidRPr="00F347A5" w:rsidRDefault="002271F5" w:rsidP="00403C3C">
            <w:pPr>
              <w:jc w:val="both"/>
            </w:pPr>
            <w:r w:rsidRPr="00F347A5">
              <w:t>Decision</w:t>
            </w:r>
          </w:p>
        </w:tc>
        <w:tc>
          <w:tcPr>
            <w:tcW w:w="0" w:type="auto"/>
          </w:tcPr>
          <w:p w:rsidR="002271F5" w:rsidRPr="00F347A5" w:rsidRDefault="002271F5" w:rsidP="00403C3C">
            <w:pPr>
              <w:jc w:val="both"/>
            </w:pPr>
            <w:r w:rsidRPr="00F347A5">
              <w:t>Order</w:t>
            </w:r>
          </w:p>
        </w:tc>
      </w:tr>
      <w:tr w:rsidR="002271F5" w:rsidRPr="00E7418D" w:rsidTr="00403C3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FDI</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-1.874 (0.338)</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-4.127 (0.009)***</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-1.901 (0.321)</w:t>
            </w:r>
          </w:p>
        </w:tc>
        <w:tc>
          <w:tcPr>
            <w:tcW w:w="0" w:type="auto"/>
          </w:tcPr>
          <w:p w:rsidR="002271F5" w:rsidRPr="00E7418D" w:rsidRDefault="002271F5" w:rsidP="00403C3C">
            <w:pPr>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-4.263 (0.007)***</w:t>
            </w:r>
          </w:p>
        </w:tc>
        <w:tc>
          <w:tcPr>
            <w:tcW w:w="0" w:type="auto"/>
          </w:tcPr>
          <w:p w:rsidR="002271F5" w:rsidRPr="00E7418D" w:rsidRDefault="002271F5" w:rsidP="00403C3C">
            <w:pPr>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Non-stationary at level</w:t>
            </w:r>
          </w:p>
        </w:tc>
        <w:tc>
          <w:tcPr>
            <w:tcW w:w="0" w:type="auto"/>
          </w:tcPr>
          <w:p w:rsidR="002271F5" w:rsidRPr="00E7418D" w:rsidRDefault="002271F5" w:rsidP="00403C3C">
            <w:pPr>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I(1)</w:t>
            </w:r>
          </w:p>
        </w:tc>
      </w:tr>
      <w:tr w:rsidR="002271F5" w:rsidRPr="00E7418D" w:rsidTr="00403C3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CIT</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-1.623 (0.448)</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-3.842 (0.017)**</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-1.698 (0.421)</w:t>
            </w:r>
          </w:p>
        </w:tc>
        <w:tc>
          <w:tcPr>
            <w:tcW w:w="0" w:type="auto"/>
          </w:tcPr>
          <w:p w:rsidR="002271F5" w:rsidRPr="00E7418D" w:rsidRDefault="002271F5" w:rsidP="00403C3C">
            <w:pPr>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-3.914 (0.014)**</w:t>
            </w:r>
          </w:p>
        </w:tc>
        <w:tc>
          <w:tcPr>
            <w:tcW w:w="0" w:type="auto"/>
          </w:tcPr>
          <w:p w:rsidR="002271F5" w:rsidRPr="00E7418D" w:rsidRDefault="002271F5" w:rsidP="00403C3C">
            <w:pPr>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Non-stationary at level</w:t>
            </w:r>
          </w:p>
        </w:tc>
        <w:tc>
          <w:tcPr>
            <w:tcW w:w="0" w:type="auto"/>
          </w:tcPr>
          <w:p w:rsidR="002271F5" w:rsidRPr="00E7418D" w:rsidRDefault="002271F5" w:rsidP="00403C3C">
            <w:pPr>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I(1)</w:t>
            </w:r>
          </w:p>
        </w:tc>
      </w:tr>
      <w:tr w:rsidR="002271F5" w:rsidRPr="00E7418D" w:rsidTr="00403C3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TI</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-3.218 (0.039)**</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-3.347 (0.031)**</w:t>
            </w:r>
          </w:p>
        </w:tc>
        <w:tc>
          <w:tcPr>
            <w:tcW w:w="0" w:type="auto"/>
          </w:tcPr>
          <w:p w:rsidR="002271F5" w:rsidRPr="00E7418D" w:rsidRDefault="002271F5" w:rsidP="00403C3C">
            <w:pPr>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w:t>
            </w:r>
          </w:p>
        </w:tc>
        <w:tc>
          <w:tcPr>
            <w:tcW w:w="0" w:type="auto"/>
          </w:tcPr>
          <w:p w:rsidR="002271F5" w:rsidRPr="00E7418D" w:rsidRDefault="002271F5" w:rsidP="00403C3C">
            <w:pPr>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Stationary at level</w:t>
            </w:r>
          </w:p>
        </w:tc>
        <w:tc>
          <w:tcPr>
            <w:tcW w:w="0" w:type="auto"/>
          </w:tcPr>
          <w:p w:rsidR="002271F5" w:rsidRPr="00E7418D" w:rsidRDefault="002271F5" w:rsidP="00403C3C">
            <w:pPr>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I(0)</w:t>
            </w:r>
          </w:p>
        </w:tc>
      </w:tr>
      <w:tr w:rsidR="002271F5" w:rsidRPr="00E7418D" w:rsidTr="00403C3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VAT</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-2.084 (0.248)</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-4.519 (0.004)***</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-2.143 (0.231)</w:t>
            </w:r>
          </w:p>
        </w:tc>
        <w:tc>
          <w:tcPr>
            <w:tcW w:w="0" w:type="auto"/>
          </w:tcPr>
          <w:p w:rsidR="002271F5" w:rsidRPr="00E7418D" w:rsidRDefault="002271F5" w:rsidP="00403C3C">
            <w:pPr>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-4.607 (0.003)***</w:t>
            </w:r>
          </w:p>
        </w:tc>
        <w:tc>
          <w:tcPr>
            <w:tcW w:w="0" w:type="auto"/>
          </w:tcPr>
          <w:p w:rsidR="002271F5" w:rsidRPr="00E7418D" w:rsidRDefault="002271F5" w:rsidP="00403C3C">
            <w:pPr>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Non-stationary at level</w:t>
            </w:r>
          </w:p>
        </w:tc>
        <w:tc>
          <w:tcPr>
            <w:tcW w:w="0" w:type="auto"/>
          </w:tcPr>
          <w:p w:rsidR="002271F5" w:rsidRPr="00E7418D" w:rsidRDefault="002271F5" w:rsidP="00403C3C">
            <w:pPr>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I(1)</w:t>
            </w:r>
          </w:p>
        </w:tc>
      </w:tr>
      <w:tr w:rsidR="002271F5" w:rsidRPr="00E7418D" w:rsidTr="00403C3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GDPG</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-3.574 (0.022)**</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-3.641 (0.019)**</w:t>
            </w:r>
          </w:p>
        </w:tc>
        <w:tc>
          <w:tcPr>
            <w:tcW w:w="0" w:type="auto"/>
          </w:tcPr>
          <w:p w:rsidR="002271F5" w:rsidRPr="00E7418D" w:rsidRDefault="002271F5" w:rsidP="00403C3C">
            <w:pPr>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w:t>
            </w:r>
          </w:p>
        </w:tc>
        <w:tc>
          <w:tcPr>
            <w:tcW w:w="0" w:type="auto"/>
          </w:tcPr>
          <w:p w:rsidR="002271F5" w:rsidRPr="00E7418D" w:rsidRDefault="002271F5" w:rsidP="00403C3C">
            <w:pPr>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Stationary at level</w:t>
            </w:r>
          </w:p>
        </w:tc>
        <w:tc>
          <w:tcPr>
            <w:tcW w:w="0" w:type="auto"/>
          </w:tcPr>
          <w:p w:rsidR="002271F5" w:rsidRPr="00E7418D" w:rsidRDefault="002271F5" w:rsidP="00403C3C">
            <w:pPr>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I(0)</w:t>
            </w:r>
          </w:p>
        </w:tc>
      </w:tr>
      <w:tr w:rsidR="002271F5" w:rsidRPr="00E7418D" w:rsidTr="00403C3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EXR</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-0.984 (0.724)</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-3.971 (0.012)**</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-1.012 (0.712)</w:t>
            </w:r>
          </w:p>
        </w:tc>
        <w:tc>
          <w:tcPr>
            <w:tcW w:w="0" w:type="auto"/>
          </w:tcPr>
          <w:p w:rsidR="002271F5" w:rsidRPr="00E7418D" w:rsidRDefault="002271F5" w:rsidP="00403C3C">
            <w:pPr>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-4.098 (0.010)**</w:t>
            </w:r>
          </w:p>
        </w:tc>
        <w:tc>
          <w:tcPr>
            <w:tcW w:w="0" w:type="auto"/>
          </w:tcPr>
          <w:p w:rsidR="002271F5" w:rsidRPr="00E7418D" w:rsidRDefault="002271F5" w:rsidP="00403C3C">
            <w:pPr>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Non-stationary at level</w:t>
            </w:r>
          </w:p>
        </w:tc>
        <w:tc>
          <w:tcPr>
            <w:tcW w:w="0" w:type="auto"/>
          </w:tcPr>
          <w:p w:rsidR="002271F5" w:rsidRPr="00E7418D" w:rsidRDefault="002271F5" w:rsidP="00403C3C">
            <w:pPr>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I(1)</w:t>
            </w:r>
          </w:p>
        </w:tc>
      </w:tr>
    </w:tbl>
    <w:p w:rsidR="002271F5" w:rsidRPr="00F347A5" w:rsidRDefault="002271F5" w:rsidP="002271F5">
      <w:pPr>
        <w:spacing w:before="300" w:after="180" w:line="480" w:lineRule="auto"/>
        <w:rPr>
          <w:b w:val="0"/>
          <w:bCs w:val="0"/>
        </w:rPr>
      </w:pPr>
      <w:r>
        <w:t xml:space="preserve">Source: </w:t>
      </w:r>
      <w:r w:rsidRPr="00F347A5">
        <w:rPr>
          <w:b w:val="0"/>
          <w:bCs w:val="0"/>
        </w:rPr>
        <w:t>Author's Calculation with EViews 12 (2025). Note: * p&lt;0.01;  p&lt;0.05. P-values in parenthesis. Tests are done with intercept and trend. Critical values: 3.886(1%); 3.107(5%); 2.756(10%).</w:t>
      </w:r>
    </w:p>
    <w:p w:rsidR="002271F5" w:rsidRPr="00F347A5" w:rsidRDefault="002271F5" w:rsidP="002271F5">
      <w:pPr>
        <w:spacing w:before="300" w:after="180" w:line="480" w:lineRule="auto"/>
        <w:rPr>
          <w:b w:val="0"/>
          <w:bCs w:val="0"/>
        </w:rPr>
      </w:pPr>
      <w:r w:rsidRPr="00F347A5">
        <w:rPr>
          <w:b w:val="0"/>
          <w:bCs w:val="0"/>
        </w:rPr>
        <w:lastRenderedPageBreak/>
        <w:t>The unit root tests show the mixed order of integration, where TI and GDPG are stationary at I(0) while FDI, CIT, VAT and EXR is stationary after the first difference I(1). There is no variable integrated of order two I(2) as long as the critical condition to apply ARDL bounds testing is fulfilled (Pesaran, Shin &amp; Smith, 2001).</w:t>
      </w:r>
    </w:p>
    <w:p w:rsidR="002271F5" w:rsidRDefault="002271F5" w:rsidP="002271F5">
      <w:pPr>
        <w:spacing w:before="300" w:after="180" w:line="480" w:lineRule="auto"/>
      </w:pPr>
      <w:r>
        <w:t xml:space="preserve"> ARDL Bounds Test for Cointegration</w:t>
      </w:r>
    </w:p>
    <w:p w:rsidR="002271F5" w:rsidRPr="00F347A5" w:rsidRDefault="002271F5" w:rsidP="002271F5">
      <w:pPr>
        <w:spacing w:before="80" w:after="80" w:line="480" w:lineRule="auto"/>
        <w:jc w:val="both"/>
        <w:rPr>
          <w:b w:val="0"/>
          <w:bCs w:val="0"/>
        </w:rPr>
      </w:pPr>
      <w:r w:rsidRPr="00F347A5">
        <w:rPr>
          <w:b w:val="0"/>
          <w:bCs w:val="0"/>
        </w:rPr>
        <w:t>The ARDL bounds test was performed in order to establish the existence of a long run stable cointegrating relationship between FDI and the tax policy variables. The models were estimated using ARDL (1,1,0,1,0,1) long run order as determined by AIC.</w:t>
      </w:r>
    </w:p>
    <w:p w:rsidR="002271F5" w:rsidRDefault="002271F5" w:rsidP="002271F5">
      <w:pPr>
        <w:spacing w:before="80" w:after="80" w:line="480" w:lineRule="auto"/>
        <w:jc w:val="both"/>
        <w:rPr>
          <w:b w:val="0"/>
          <w:bCs w:val="0"/>
        </w:rPr>
      </w:pPr>
      <w:r>
        <w:t>Table 4.4: ARDL F-Bounds Test for Cointegration</w:t>
      </w:r>
    </w:p>
    <w:tbl>
      <w:tblPr>
        <w:tblStyle w:val="PlainTable2"/>
        <w:tblW w:w="0" w:type="auto"/>
        <w:tblLook w:val="0620"/>
      </w:tblPr>
      <w:tblGrid>
        <w:gridCol w:w="2222"/>
        <w:gridCol w:w="4887"/>
        <w:gridCol w:w="1050"/>
        <w:gridCol w:w="1057"/>
      </w:tblGrid>
      <w:tr w:rsidR="002271F5" w:rsidRPr="001F2452" w:rsidTr="00403C3C">
        <w:trPr>
          <w:cnfStyle w:val="100000000000"/>
        </w:trPr>
        <w:tc>
          <w:tcPr>
            <w:tcW w:w="0" w:type="auto"/>
            <w:hideMark/>
          </w:tcPr>
          <w:p w:rsidR="002271F5" w:rsidRPr="00F347A5" w:rsidRDefault="002271F5" w:rsidP="00403C3C">
            <w:pPr>
              <w:spacing w:after="160" w:line="278" w:lineRule="auto"/>
              <w:jc w:val="both"/>
            </w:pPr>
            <w:r w:rsidRPr="00F347A5">
              <w:t>Test Statistic / Critical Values</w:t>
            </w:r>
          </w:p>
        </w:tc>
        <w:tc>
          <w:tcPr>
            <w:tcW w:w="0" w:type="auto"/>
            <w:hideMark/>
          </w:tcPr>
          <w:p w:rsidR="002271F5" w:rsidRPr="00F347A5" w:rsidRDefault="002271F5" w:rsidP="00403C3C">
            <w:pPr>
              <w:spacing w:after="160" w:line="278" w:lineRule="auto"/>
              <w:jc w:val="both"/>
            </w:pPr>
            <w:r w:rsidRPr="00F347A5">
              <w:t>Value</w:t>
            </w:r>
          </w:p>
        </w:tc>
        <w:tc>
          <w:tcPr>
            <w:tcW w:w="0" w:type="auto"/>
            <w:hideMark/>
          </w:tcPr>
          <w:p w:rsidR="002271F5" w:rsidRPr="00F347A5" w:rsidRDefault="002271F5" w:rsidP="00403C3C">
            <w:pPr>
              <w:spacing w:after="160" w:line="278" w:lineRule="auto"/>
              <w:jc w:val="both"/>
            </w:pPr>
            <w:r w:rsidRPr="00F347A5">
              <w:t>I(0) Lower</w:t>
            </w:r>
          </w:p>
        </w:tc>
        <w:tc>
          <w:tcPr>
            <w:tcW w:w="0" w:type="auto"/>
            <w:hideMark/>
          </w:tcPr>
          <w:p w:rsidR="002271F5" w:rsidRPr="00F347A5" w:rsidRDefault="002271F5" w:rsidP="00403C3C">
            <w:pPr>
              <w:spacing w:after="160" w:line="278" w:lineRule="auto"/>
              <w:jc w:val="both"/>
            </w:pPr>
            <w:r w:rsidRPr="00F347A5">
              <w:t>I(1) Upper</w:t>
            </w:r>
          </w:p>
        </w:tc>
      </w:tr>
      <w:tr w:rsidR="002271F5" w:rsidRPr="001F2452" w:rsidTr="00403C3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Computed F-statistic</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7.319***</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w:t>
            </w:r>
          </w:p>
        </w:tc>
      </w:tr>
      <w:tr w:rsidR="002271F5" w:rsidRPr="001F2452" w:rsidTr="00403C3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Critical Value (1%)</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3.41</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4.68</w:t>
            </w:r>
          </w:p>
        </w:tc>
      </w:tr>
      <w:tr w:rsidR="002271F5" w:rsidRPr="001F2452" w:rsidTr="00403C3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Critical Value (5%)</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2.62</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3.79</w:t>
            </w:r>
          </w:p>
        </w:tc>
      </w:tr>
      <w:tr w:rsidR="002271F5" w:rsidRPr="001F2452" w:rsidTr="00403C3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Critical Value (10%)</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2.26</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3.35</w:t>
            </w:r>
          </w:p>
        </w:tc>
      </w:tr>
      <w:tr w:rsidR="002271F5" w:rsidRPr="001F2452" w:rsidTr="00403C3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Conclusion</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r w:rsidRPr="00E7418D">
              <w:rPr>
                <w:rFonts w:ascii="Times New Roman" w:hAnsi="Times New Roman" w:cs="Times New Roman"/>
                <w:b w:val="0"/>
                <w:bCs w:val="0"/>
                <w:sz w:val="20"/>
                <w:szCs w:val="20"/>
              </w:rPr>
              <w:t>Cointegration confirmed at 1% significance — null of no cointegration is decisively rejected</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0"/>
                <w:szCs w:val="20"/>
              </w:rPr>
            </w:pPr>
          </w:p>
        </w:tc>
      </w:tr>
    </w:tbl>
    <w:p w:rsidR="002271F5" w:rsidRPr="00F347A5" w:rsidRDefault="002271F5" w:rsidP="002271F5">
      <w:pPr>
        <w:spacing w:before="120" w:after="120" w:line="480" w:lineRule="auto"/>
        <w:jc w:val="both"/>
        <w:rPr>
          <w:b w:val="0"/>
          <w:bCs w:val="0"/>
        </w:rPr>
      </w:pPr>
      <w:r>
        <w:t>Source</w:t>
      </w:r>
      <w:r w:rsidRPr="00F347A5">
        <w:rPr>
          <w:b w:val="0"/>
          <w:bCs w:val="0"/>
        </w:rPr>
        <w:t>: Calculated by the author using EViews 12 (2025). * refers to rejection of the null of no cointegration at 1 percent level. Critical values based on Pesaran, Shin and Smith (2001), Table CI (iii) for case iii, k = 5.</w:t>
      </w:r>
    </w:p>
    <w:p w:rsidR="002271F5" w:rsidRPr="00F347A5" w:rsidRDefault="002271F5" w:rsidP="002271F5">
      <w:pPr>
        <w:spacing w:before="120" w:after="120" w:line="480" w:lineRule="auto"/>
        <w:jc w:val="both"/>
        <w:rPr>
          <w:b w:val="0"/>
          <w:bCs w:val="0"/>
        </w:rPr>
      </w:pPr>
      <w:r w:rsidRPr="00F347A5">
        <w:rPr>
          <w:b w:val="0"/>
          <w:bCs w:val="0"/>
        </w:rPr>
        <w:t xml:space="preserve">The F- statistic obtained 7.319 which is higher than the top critical bound of 4.68 for one percent significance level which shows a persistent long-run cointegrating relationship among FDI, CIT, TI, VAT, GDPG and EXR throughout the period. It is evident and conclusive that there is a long-run equilibrium co-movement in FDI and tax policy variables </w:t>
      </w:r>
      <w:r w:rsidRPr="00F347A5">
        <w:rPr>
          <w:b w:val="0"/>
          <w:bCs w:val="0"/>
        </w:rPr>
        <w:lastRenderedPageBreak/>
        <w:t>for Nigeria. The findings are supported by Eze and Nwankwo (2021), and Ogunleye and Sadiq (2022) and confirm the applicability of the ARDL error correction modeling approach for the coefficient estimations.</w:t>
      </w:r>
    </w:p>
    <w:p w:rsidR="002271F5" w:rsidRDefault="002271F5" w:rsidP="002271F5">
      <w:pPr>
        <w:spacing w:before="300" w:after="180" w:line="480" w:lineRule="auto"/>
      </w:pPr>
      <w:r>
        <w:t>Long-Run ARDL Coefficient Estimates</w:t>
      </w:r>
    </w:p>
    <w:p w:rsidR="002271F5" w:rsidRPr="00F347A5" w:rsidRDefault="002271F5" w:rsidP="002271F5">
      <w:pPr>
        <w:spacing w:before="80" w:after="80" w:line="480" w:lineRule="auto"/>
        <w:jc w:val="both"/>
        <w:rPr>
          <w:b w:val="0"/>
          <w:bCs w:val="0"/>
        </w:rPr>
      </w:pPr>
      <w:r w:rsidRPr="00F347A5">
        <w:rPr>
          <w:b w:val="0"/>
          <w:bCs w:val="0"/>
        </w:rPr>
        <w:t>The long-run coefficients estimated from the ARDL model are presented in Table 4.5. These represent the equilibrium relationship between FDI and tax policy and control variables over the sample period.</w:t>
      </w:r>
    </w:p>
    <w:p w:rsidR="002271F5" w:rsidRDefault="002271F5" w:rsidP="002271F5">
      <w:pPr>
        <w:spacing w:before="80" w:after="80" w:line="480" w:lineRule="auto"/>
        <w:jc w:val="both"/>
        <w:rPr>
          <w:b w:val="0"/>
          <w:bCs w:val="0"/>
        </w:rPr>
      </w:pPr>
      <w:r>
        <w:t>Table 4.5: Long-Run ARDL Coefficient Estimates — Dependent Variable: FDI (USD Million)</w:t>
      </w:r>
    </w:p>
    <w:tbl>
      <w:tblPr>
        <w:tblStyle w:val="PlainTable2"/>
        <w:tblW w:w="0" w:type="auto"/>
        <w:tblLook w:val="0620"/>
      </w:tblPr>
      <w:tblGrid>
        <w:gridCol w:w="940"/>
        <w:gridCol w:w="1113"/>
        <w:gridCol w:w="1000"/>
        <w:gridCol w:w="1004"/>
        <w:gridCol w:w="1124"/>
      </w:tblGrid>
      <w:tr w:rsidR="002271F5" w:rsidRPr="00E7418D" w:rsidTr="00403C3C">
        <w:trPr>
          <w:cnfStyle w:val="100000000000"/>
        </w:trPr>
        <w:tc>
          <w:tcPr>
            <w:tcW w:w="0" w:type="auto"/>
            <w:hideMark/>
          </w:tcPr>
          <w:p w:rsidR="002271F5" w:rsidRPr="00E7418D" w:rsidRDefault="002271F5" w:rsidP="00403C3C">
            <w:pPr>
              <w:spacing w:after="160" w:line="278" w:lineRule="auto"/>
              <w:jc w:val="both"/>
              <w:rPr>
                <w:sz w:val="20"/>
                <w:szCs w:val="20"/>
              </w:rPr>
            </w:pPr>
            <w:r w:rsidRPr="00E7418D">
              <w:rPr>
                <w:sz w:val="20"/>
                <w:szCs w:val="20"/>
              </w:rPr>
              <w:t>Variable</w:t>
            </w:r>
          </w:p>
        </w:tc>
        <w:tc>
          <w:tcPr>
            <w:tcW w:w="0" w:type="auto"/>
            <w:hideMark/>
          </w:tcPr>
          <w:p w:rsidR="002271F5" w:rsidRPr="00E7418D" w:rsidRDefault="002271F5" w:rsidP="00403C3C">
            <w:pPr>
              <w:spacing w:after="160" w:line="278" w:lineRule="auto"/>
              <w:jc w:val="both"/>
              <w:rPr>
                <w:sz w:val="20"/>
                <w:szCs w:val="20"/>
              </w:rPr>
            </w:pPr>
            <w:r w:rsidRPr="00E7418D">
              <w:rPr>
                <w:sz w:val="20"/>
                <w:szCs w:val="20"/>
              </w:rPr>
              <w:t>Coefficient</w:t>
            </w:r>
          </w:p>
        </w:tc>
        <w:tc>
          <w:tcPr>
            <w:tcW w:w="0" w:type="auto"/>
            <w:hideMark/>
          </w:tcPr>
          <w:p w:rsidR="002271F5" w:rsidRPr="00E7418D" w:rsidRDefault="002271F5" w:rsidP="00403C3C">
            <w:pPr>
              <w:spacing w:after="160" w:line="278" w:lineRule="auto"/>
              <w:jc w:val="both"/>
              <w:rPr>
                <w:sz w:val="20"/>
                <w:szCs w:val="20"/>
              </w:rPr>
            </w:pPr>
            <w:r w:rsidRPr="00E7418D">
              <w:rPr>
                <w:sz w:val="20"/>
                <w:szCs w:val="20"/>
              </w:rPr>
              <w:t>Std. Error</w:t>
            </w:r>
          </w:p>
        </w:tc>
        <w:tc>
          <w:tcPr>
            <w:tcW w:w="0" w:type="auto"/>
            <w:hideMark/>
          </w:tcPr>
          <w:p w:rsidR="002271F5" w:rsidRPr="00E7418D" w:rsidRDefault="002271F5" w:rsidP="00403C3C">
            <w:pPr>
              <w:spacing w:after="160" w:line="278" w:lineRule="auto"/>
              <w:jc w:val="both"/>
              <w:rPr>
                <w:sz w:val="20"/>
                <w:szCs w:val="20"/>
              </w:rPr>
            </w:pPr>
            <w:r w:rsidRPr="00E7418D">
              <w:rPr>
                <w:sz w:val="20"/>
                <w:szCs w:val="20"/>
              </w:rPr>
              <w:t>t-Statistic</w:t>
            </w:r>
          </w:p>
        </w:tc>
        <w:tc>
          <w:tcPr>
            <w:tcW w:w="0" w:type="auto"/>
          </w:tcPr>
          <w:p w:rsidR="002271F5" w:rsidRPr="00E7418D" w:rsidRDefault="002271F5" w:rsidP="00403C3C">
            <w:pPr>
              <w:jc w:val="both"/>
              <w:rPr>
                <w:sz w:val="20"/>
                <w:szCs w:val="20"/>
              </w:rPr>
            </w:pPr>
            <w:r w:rsidRPr="00E7418D">
              <w:rPr>
                <w:sz w:val="20"/>
                <w:szCs w:val="20"/>
              </w:rPr>
              <w:t>Probability</w:t>
            </w:r>
          </w:p>
        </w:tc>
      </w:tr>
      <w:tr w:rsidR="002271F5" w:rsidRPr="00E7418D" w:rsidTr="00403C3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CIT</w:t>
            </w:r>
          </w:p>
        </w:t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−924.17</w:t>
            </w:r>
          </w:p>
        </w:t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231.84</w:t>
            </w:r>
          </w:p>
        </w:t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−3.986</w:t>
            </w:r>
          </w:p>
        </w:tc>
        <w:tc>
          <w:tcPr>
            <w:tcW w:w="0" w:type="auto"/>
          </w:tcPr>
          <w:p w:rsidR="002271F5" w:rsidRPr="00E7418D" w:rsidRDefault="002271F5" w:rsidP="00403C3C">
            <w:pPr>
              <w:jc w:val="both"/>
              <w:rPr>
                <w:b w:val="0"/>
                <w:bCs w:val="0"/>
                <w:sz w:val="20"/>
                <w:szCs w:val="20"/>
              </w:rPr>
            </w:pPr>
            <w:r w:rsidRPr="00E7418D">
              <w:rPr>
                <w:b w:val="0"/>
                <w:bCs w:val="0"/>
                <w:sz w:val="20"/>
                <w:szCs w:val="20"/>
              </w:rPr>
              <w:t>0.0041***</w:t>
            </w:r>
          </w:p>
        </w:tc>
      </w:tr>
      <w:tr w:rsidR="002271F5" w:rsidRPr="00E7418D" w:rsidTr="00403C3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TI</w:t>
            </w:r>
          </w:p>
        </w:t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+287.63</w:t>
            </w:r>
          </w:p>
        </w:t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97.21</w:t>
            </w:r>
          </w:p>
        </w:t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+2.959</w:t>
            </w:r>
          </w:p>
        </w:tc>
        <w:tc>
          <w:tcPr>
            <w:tcW w:w="0" w:type="auto"/>
          </w:tcPr>
          <w:p w:rsidR="002271F5" w:rsidRPr="00E7418D" w:rsidRDefault="002271F5" w:rsidP="00403C3C">
            <w:pPr>
              <w:jc w:val="both"/>
              <w:rPr>
                <w:b w:val="0"/>
                <w:bCs w:val="0"/>
                <w:sz w:val="20"/>
                <w:szCs w:val="20"/>
              </w:rPr>
            </w:pPr>
            <w:r w:rsidRPr="00E7418D">
              <w:rPr>
                <w:b w:val="0"/>
                <w:bCs w:val="0"/>
                <w:sz w:val="20"/>
                <w:szCs w:val="20"/>
              </w:rPr>
              <w:t>0.0164**</w:t>
            </w:r>
          </w:p>
        </w:tc>
      </w:tr>
      <w:tr w:rsidR="002271F5" w:rsidRPr="00E7418D" w:rsidTr="00403C3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VAT</w:t>
            </w:r>
          </w:p>
        </w:t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−467.89</w:t>
            </w:r>
          </w:p>
        </w:t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182.47</w:t>
            </w:r>
          </w:p>
        </w:t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−2.564</w:t>
            </w:r>
          </w:p>
        </w:tc>
        <w:tc>
          <w:tcPr>
            <w:tcW w:w="0" w:type="auto"/>
          </w:tcPr>
          <w:p w:rsidR="002271F5" w:rsidRPr="00E7418D" w:rsidRDefault="002271F5" w:rsidP="00403C3C">
            <w:pPr>
              <w:jc w:val="both"/>
              <w:rPr>
                <w:b w:val="0"/>
                <w:bCs w:val="0"/>
                <w:sz w:val="20"/>
                <w:szCs w:val="20"/>
              </w:rPr>
            </w:pPr>
            <w:r w:rsidRPr="00E7418D">
              <w:rPr>
                <w:b w:val="0"/>
                <w:bCs w:val="0"/>
                <w:sz w:val="20"/>
                <w:szCs w:val="20"/>
              </w:rPr>
              <w:t>0.0318**</w:t>
            </w:r>
          </w:p>
        </w:tc>
      </w:tr>
      <w:tr w:rsidR="002271F5" w:rsidRPr="00E7418D" w:rsidTr="00403C3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GDPG</w:t>
            </w:r>
          </w:p>
        </w:t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+138.42</w:t>
            </w:r>
          </w:p>
        </w:t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61.73</w:t>
            </w:r>
          </w:p>
        </w:t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+2.243</w:t>
            </w:r>
          </w:p>
        </w:tc>
        <w:tc>
          <w:tcPr>
            <w:tcW w:w="0" w:type="auto"/>
          </w:tcPr>
          <w:p w:rsidR="002271F5" w:rsidRPr="00E7418D" w:rsidRDefault="002271F5" w:rsidP="00403C3C">
            <w:pPr>
              <w:jc w:val="both"/>
              <w:rPr>
                <w:b w:val="0"/>
                <w:bCs w:val="0"/>
                <w:sz w:val="20"/>
                <w:szCs w:val="20"/>
              </w:rPr>
            </w:pPr>
            <w:r w:rsidRPr="00E7418D">
              <w:rPr>
                <w:b w:val="0"/>
                <w:bCs w:val="0"/>
                <w:sz w:val="20"/>
                <w:szCs w:val="20"/>
              </w:rPr>
              <w:t>0.0524*</w:t>
            </w:r>
          </w:p>
        </w:tc>
      </w:tr>
      <w:tr w:rsidR="002271F5" w:rsidRPr="00E7418D" w:rsidTr="00403C3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EXR</w:t>
            </w:r>
          </w:p>
        </w:t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−2.847</w:t>
            </w:r>
          </w:p>
        </w:t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1.193</w:t>
            </w:r>
          </w:p>
        </w:t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−2.386</w:t>
            </w:r>
          </w:p>
        </w:tc>
        <w:tc>
          <w:tcPr>
            <w:tcW w:w="0" w:type="auto"/>
          </w:tcPr>
          <w:p w:rsidR="002271F5" w:rsidRPr="00E7418D" w:rsidRDefault="002271F5" w:rsidP="00403C3C">
            <w:pPr>
              <w:jc w:val="both"/>
              <w:rPr>
                <w:b w:val="0"/>
                <w:bCs w:val="0"/>
                <w:sz w:val="20"/>
                <w:szCs w:val="20"/>
              </w:rPr>
            </w:pPr>
            <w:r w:rsidRPr="00E7418D">
              <w:rPr>
                <w:b w:val="0"/>
                <w:bCs w:val="0"/>
                <w:sz w:val="20"/>
                <w:szCs w:val="20"/>
              </w:rPr>
              <w:t>0.0416**</w:t>
            </w:r>
          </w:p>
        </w:tc>
      </w:tr>
      <w:tr w:rsidR="002271F5" w:rsidRPr="00E7418D" w:rsidTr="00403C3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Constant</w:t>
            </w:r>
          </w:p>
        </w:t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+7,841.36</w:t>
            </w:r>
          </w:p>
        </w:t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1,024.67</w:t>
            </w:r>
          </w:p>
        </w:tc>
        <w:tc>
          <w:tcPr>
            <w:tcW w:w="0" w:type="auto"/>
            <w:hideMark/>
          </w:tcPr>
          <w:p w:rsidR="002271F5" w:rsidRPr="00E7418D" w:rsidRDefault="002271F5" w:rsidP="00403C3C">
            <w:pPr>
              <w:spacing w:after="160" w:line="278" w:lineRule="auto"/>
              <w:jc w:val="both"/>
              <w:rPr>
                <w:b w:val="0"/>
                <w:bCs w:val="0"/>
                <w:sz w:val="20"/>
                <w:szCs w:val="20"/>
              </w:rPr>
            </w:pPr>
            <w:r w:rsidRPr="00E7418D">
              <w:rPr>
                <w:b w:val="0"/>
                <w:bCs w:val="0"/>
                <w:sz w:val="20"/>
                <w:szCs w:val="20"/>
              </w:rPr>
              <w:t>+7.653</w:t>
            </w:r>
          </w:p>
        </w:tc>
        <w:tc>
          <w:tcPr>
            <w:tcW w:w="0" w:type="auto"/>
          </w:tcPr>
          <w:p w:rsidR="002271F5" w:rsidRPr="00E7418D" w:rsidRDefault="002271F5" w:rsidP="00403C3C">
            <w:pPr>
              <w:jc w:val="both"/>
              <w:rPr>
                <w:b w:val="0"/>
                <w:bCs w:val="0"/>
                <w:sz w:val="20"/>
                <w:szCs w:val="20"/>
              </w:rPr>
            </w:pPr>
            <w:r w:rsidRPr="00E7418D">
              <w:rPr>
                <w:b w:val="0"/>
                <w:bCs w:val="0"/>
                <w:sz w:val="20"/>
                <w:szCs w:val="20"/>
              </w:rPr>
              <w:t>0.0001***</w:t>
            </w:r>
          </w:p>
        </w:tc>
      </w:tr>
    </w:tbl>
    <w:p w:rsidR="002271F5" w:rsidRPr="00F347A5" w:rsidRDefault="002271F5" w:rsidP="002271F5">
      <w:pPr>
        <w:spacing w:before="300" w:after="180" w:line="480" w:lineRule="auto"/>
        <w:rPr>
          <w:b w:val="0"/>
          <w:bCs w:val="0"/>
        </w:rPr>
      </w:pPr>
      <w:r>
        <w:t xml:space="preserve">Source: </w:t>
      </w:r>
      <w:r w:rsidRPr="00F347A5">
        <w:rPr>
          <w:b w:val="0"/>
          <w:bCs w:val="0"/>
        </w:rPr>
        <w:t>Author's Computation using EViews 12 (2025). Note:  p&lt;0.01;  p&lt;0.05;  p&lt;0.10.</w:t>
      </w:r>
    </w:p>
    <w:p w:rsidR="002271F5" w:rsidRPr="00F347A5" w:rsidRDefault="002271F5" w:rsidP="002271F5">
      <w:pPr>
        <w:spacing w:before="300" w:after="180" w:line="480" w:lineRule="auto"/>
        <w:rPr>
          <w:b w:val="0"/>
          <w:bCs w:val="0"/>
        </w:rPr>
      </w:pPr>
      <w:r w:rsidRPr="00F347A5">
        <w:rPr>
          <w:b w:val="0"/>
          <w:bCs w:val="0"/>
        </w:rPr>
        <w:t xml:space="preserve">All the three core tax policy variables have significant coefficients in the direction suggested by theory. The coefficient for CIT (924.17, p=0.0041) shows that one percentage point increase in effective CIT burden is associated with approximately USD 924 million decrease in annual FDI in the long run. This is a large effect; average annual FDI was USD 3,830 million, therefore a 1-percentage point increase in effective CIT burden resulted in about 24% decrease in historical average FDI. Based on the actual data in Table 4.1, the effective </w:t>
      </w:r>
      <w:r w:rsidRPr="00F347A5">
        <w:rPr>
          <w:b w:val="0"/>
          <w:bCs w:val="0"/>
        </w:rPr>
        <w:lastRenderedPageBreak/>
        <w:t>CIT ratio rose from 2.35% in 2020 to 3.74% in 2024 - this 1.39 percentage point increase was associated with about USD 1.28 billion long run FDI reduction. It is a developmental significant effect against actual FDI of USD 1.1 billion in 2024. The result is consistent with Neoclassical Theory and agrees with Beer et al. (2020), De Mooij and Ederveen (2020), Onyekachi et al. (2020), and Nwoye and Anichebe (2023).</w:t>
      </w:r>
    </w:p>
    <w:p w:rsidR="002271F5" w:rsidRPr="00F347A5" w:rsidRDefault="002271F5" w:rsidP="002271F5">
      <w:pPr>
        <w:spacing w:before="300" w:after="180" w:line="480" w:lineRule="auto"/>
        <w:rPr>
          <w:b w:val="0"/>
          <w:bCs w:val="0"/>
        </w:rPr>
      </w:pPr>
      <w:r w:rsidRPr="00F347A5">
        <w:rPr>
          <w:b w:val="0"/>
          <w:bCs w:val="0"/>
        </w:rPr>
        <w:t>The TI coefficient (+287.63, p=0.0164) shows that each 1 percentage point increase in tax incentive intensity is associated with USD 288 million additional annual FDI in the long run which is consistent with OLI Paradigm prediction on location advantage and confirms studies of Ogundele and Okafor (2020), Adegbite and Owolabi (2022), and James (2019). This implies however that while a one-percentage point increase inCITburden reduces FDI by approximately USD 924 million, a one-percentage point increase in incentives only attracts USD 288 million worth of FDI. So the net impact on fiscal position from a +0.39 percentage point increase in TI and +1.39 percentage point increase in CIT ratio between 2020 and 2024 was (924  1.39) - (288  0.39) = approximately USD 1,172 million net annual FDI decline in Nigeria.</w:t>
      </w:r>
    </w:p>
    <w:p w:rsidR="002271F5" w:rsidRDefault="002271F5" w:rsidP="002271F5">
      <w:pPr>
        <w:spacing w:before="300" w:after="180" w:line="480" w:lineRule="auto"/>
      </w:pPr>
      <w:r w:rsidRPr="00F347A5">
        <w:rPr>
          <w:b w:val="0"/>
          <w:bCs w:val="0"/>
        </w:rPr>
        <w:t xml:space="preserve">The coefficient for VAT (467.89, p=0.0318) provides the first strong long-run quantitative evidence for a negative VAT-FDI relationship in Nigeria. One percentage point increase in VAT burden is associated with USD 468 million annual FDI reduction in the long run. As the VAT burden increased from 1.57% in 2019 to 2.14% in 2023, a 0.57 percentage point increase was associated with an estimated USD 267 million reduction in long run FDI (468 * 0.57). The effect operates through compliance cost, VAT refund delays, and signaling for investment climate channels, consistent with the World Bank (2022), Abata and </w:t>
      </w:r>
      <w:r w:rsidRPr="00F347A5">
        <w:rPr>
          <w:b w:val="0"/>
          <w:bCs w:val="0"/>
        </w:rPr>
        <w:lastRenderedPageBreak/>
        <w:t>Adegboye(2021), and Nweze and Nweze (2023). Real GDP growth has positive significant effect (+138.42, p=0.0524) consistent with market seeking FDI. Real exchange rate depreciation has significant negative effect (2.847, p=0.0416), consistent with dramatic Naira depreciation from NGN 305 in 2016 to NGN 1535 in 2024 leading to currency risk and investment decline</w:t>
      </w:r>
      <w:r>
        <w:t>.</w:t>
      </w:r>
    </w:p>
    <w:p w:rsidR="002271F5" w:rsidRDefault="002271F5" w:rsidP="002271F5">
      <w:pPr>
        <w:spacing w:before="300" w:after="180" w:line="480" w:lineRule="auto"/>
      </w:pPr>
      <w:r>
        <w:t xml:space="preserve"> Short-Run Dynamics and Error Correction</w:t>
      </w:r>
    </w:p>
    <w:p w:rsidR="002271F5" w:rsidRPr="00E7418D" w:rsidRDefault="002271F5" w:rsidP="002271F5">
      <w:pPr>
        <w:spacing w:before="80" w:after="80" w:line="480" w:lineRule="auto"/>
        <w:jc w:val="both"/>
        <w:rPr>
          <w:b w:val="0"/>
          <w:bCs w:val="0"/>
        </w:rPr>
      </w:pPr>
      <w:r w:rsidRPr="00E7418D">
        <w:rPr>
          <w:b w:val="0"/>
          <w:bCs w:val="0"/>
        </w:rPr>
        <w:t>Short-run ARDL coefficients and the Error Correction Term (ECT), indicating the rate at which disequilibrium is restored in the short-run, is presented in Table 4.6 below.</w:t>
      </w:r>
    </w:p>
    <w:p w:rsidR="002271F5" w:rsidRPr="00CF3B90" w:rsidRDefault="002271F5" w:rsidP="002271F5">
      <w:pPr>
        <w:spacing w:before="80" w:after="80" w:line="480" w:lineRule="auto"/>
        <w:jc w:val="both"/>
      </w:pPr>
      <w:r w:rsidRPr="00CF3B90">
        <w:t>Table 4.6: Short-Run ARDL Coefficients and Error Correction Term</w:t>
      </w:r>
    </w:p>
    <w:tbl>
      <w:tblPr>
        <w:tblStyle w:val="PlainTable2"/>
        <w:tblW w:w="0" w:type="auto"/>
        <w:tblLook w:val="0620"/>
      </w:tblPr>
      <w:tblGrid>
        <w:gridCol w:w="1324"/>
        <w:gridCol w:w="1761"/>
        <w:gridCol w:w="1896"/>
        <w:gridCol w:w="1351"/>
        <w:gridCol w:w="1305"/>
      </w:tblGrid>
      <w:tr w:rsidR="002271F5" w:rsidRPr="00E7418D" w:rsidTr="00403C3C">
        <w:trPr>
          <w:cnfStyle w:val="100000000000"/>
        </w:trPr>
        <w:tc>
          <w:tcPr>
            <w:tcW w:w="0" w:type="auto"/>
            <w:hideMark/>
          </w:tcPr>
          <w:p w:rsidR="002271F5" w:rsidRPr="00E7418D" w:rsidRDefault="002271F5" w:rsidP="00403C3C">
            <w:pPr>
              <w:spacing w:after="160" w:line="278" w:lineRule="auto"/>
              <w:jc w:val="both"/>
            </w:pPr>
            <w:r w:rsidRPr="00E7418D">
              <w:t>Variable</w:t>
            </w:r>
          </w:p>
        </w:tc>
        <w:tc>
          <w:tcPr>
            <w:tcW w:w="0" w:type="auto"/>
            <w:hideMark/>
          </w:tcPr>
          <w:p w:rsidR="002271F5" w:rsidRPr="00E7418D" w:rsidRDefault="002271F5" w:rsidP="00403C3C">
            <w:pPr>
              <w:spacing w:after="160" w:line="278" w:lineRule="auto"/>
              <w:jc w:val="both"/>
            </w:pPr>
            <w:r w:rsidRPr="00E7418D">
              <w:t>Coefficient</w:t>
            </w:r>
          </w:p>
        </w:tc>
        <w:tc>
          <w:tcPr>
            <w:tcW w:w="0" w:type="auto"/>
            <w:hideMark/>
          </w:tcPr>
          <w:p w:rsidR="002271F5" w:rsidRPr="00E7418D" w:rsidRDefault="002271F5" w:rsidP="00403C3C">
            <w:pPr>
              <w:spacing w:after="160" w:line="278" w:lineRule="auto"/>
              <w:jc w:val="both"/>
            </w:pPr>
            <w:r w:rsidRPr="00E7418D">
              <w:t>Std. Error</w:t>
            </w:r>
          </w:p>
        </w:tc>
        <w:tc>
          <w:tcPr>
            <w:tcW w:w="0" w:type="auto"/>
            <w:hideMark/>
          </w:tcPr>
          <w:p w:rsidR="002271F5" w:rsidRPr="00E7418D" w:rsidRDefault="002271F5" w:rsidP="00403C3C">
            <w:pPr>
              <w:spacing w:after="160" w:line="278" w:lineRule="auto"/>
              <w:jc w:val="both"/>
            </w:pPr>
            <w:r w:rsidRPr="00E7418D">
              <w:t>t-Statistic</w:t>
            </w:r>
          </w:p>
        </w:tc>
        <w:tc>
          <w:tcPr>
            <w:tcW w:w="0" w:type="auto"/>
          </w:tcPr>
          <w:p w:rsidR="002271F5" w:rsidRPr="00E7418D" w:rsidRDefault="002271F5" w:rsidP="00403C3C">
            <w:pPr>
              <w:jc w:val="both"/>
            </w:pPr>
            <w:r w:rsidRPr="00E7418D">
              <w:t>Probability</w:t>
            </w:r>
          </w:p>
        </w:tc>
      </w:tr>
      <w:tr w:rsidR="002271F5" w:rsidRPr="00E7418D" w:rsidTr="00403C3C">
        <w:tc>
          <w:tcPr>
            <w:tcW w:w="0" w:type="auto"/>
            <w:hideMark/>
          </w:tcPr>
          <w:p w:rsidR="002271F5" w:rsidRPr="00E7418D" w:rsidRDefault="002271F5" w:rsidP="00403C3C">
            <w:pPr>
              <w:spacing w:after="160" w:line="278" w:lineRule="auto"/>
              <w:jc w:val="both"/>
              <w:rPr>
                <w:b w:val="0"/>
                <w:bCs w:val="0"/>
              </w:rPr>
            </w:pPr>
            <w:r w:rsidRPr="00E7418D">
              <w:rPr>
                <w:b w:val="0"/>
                <w:bCs w:val="0"/>
              </w:rPr>
              <w:t>ΔFDI(−1)</w:t>
            </w:r>
          </w:p>
        </w:tc>
        <w:tc>
          <w:tcPr>
            <w:tcW w:w="0" w:type="auto"/>
            <w:hideMark/>
          </w:tcPr>
          <w:p w:rsidR="002271F5" w:rsidRPr="00E7418D" w:rsidRDefault="002271F5" w:rsidP="00403C3C">
            <w:pPr>
              <w:spacing w:after="160" w:line="278" w:lineRule="auto"/>
              <w:jc w:val="both"/>
              <w:rPr>
                <w:b w:val="0"/>
                <w:bCs w:val="0"/>
              </w:rPr>
            </w:pPr>
            <w:r w:rsidRPr="00E7418D">
              <w:rPr>
                <w:b w:val="0"/>
                <w:bCs w:val="0"/>
              </w:rPr>
              <w:t>+0.274</w:t>
            </w:r>
          </w:p>
        </w:tc>
        <w:tc>
          <w:tcPr>
            <w:tcW w:w="0" w:type="auto"/>
            <w:hideMark/>
          </w:tcPr>
          <w:p w:rsidR="002271F5" w:rsidRPr="00E7418D" w:rsidRDefault="002271F5" w:rsidP="00403C3C">
            <w:pPr>
              <w:spacing w:after="160" w:line="278" w:lineRule="auto"/>
              <w:jc w:val="both"/>
              <w:rPr>
                <w:b w:val="0"/>
                <w:bCs w:val="0"/>
              </w:rPr>
            </w:pPr>
            <w:r w:rsidRPr="00E7418D">
              <w:rPr>
                <w:b w:val="0"/>
                <w:bCs w:val="0"/>
              </w:rPr>
              <w:t>0.139</w:t>
            </w:r>
          </w:p>
        </w:tc>
        <w:tc>
          <w:tcPr>
            <w:tcW w:w="0" w:type="auto"/>
            <w:hideMark/>
          </w:tcPr>
          <w:p w:rsidR="002271F5" w:rsidRPr="00E7418D" w:rsidRDefault="002271F5" w:rsidP="00403C3C">
            <w:pPr>
              <w:spacing w:after="160" w:line="278" w:lineRule="auto"/>
              <w:jc w:val="both"/>
              <w:rPr>
                <w:b w:val="0"/>
                <w:bCs w:val="0"/>
              </w:rPr>
            </w:pPr>
            <w:r w:rsidRPr="00E7418D">
              <w:rPr>
                <w:b w:val="0"/>
                <w:bCs w:val="0"/>
              </w:rPr>
              <w:t>+1.971</w:t>
            </w:r>
          </w:p>
        </w:tc>
        <w:tc>
          <w:tcPr>
            <w:tcW w:w="0" w:type="auto"/>
          </w:tcPr>
          <w:p w:rsidR="002271F5" w:rsidRPr="00E7418D" w:rsidRDefault="002271F5" w:rsidP="00403C3C">
            <w:pPr>
              <w:jc w:val="both"/>
              <w:rPr>
                <w:b w:val="0"/>
                <w:bCs w:val="0"/>
              </w:rPr>
            </w:pPr>
            <w:r w:rsidRPr="00E7418D">
              <w:rPr>
                <w:b w:val="0"/>
                <w:bCs w:val="0"/>
              </w:rPr>
              <w:t>0.0782*</w:t>
            </w:r>
          </w:p>
        </w:tc>
      </w:tr>
      <w:tr w:rsidR="002271F5" w:rsidRPr="00E7418D" w:rsidTr="00403C3C">
        <w:tc>
          <w:tcPr>
            <w:tcW w:w="0" w:type="auto"/>
            <w:hideMark/>
          </w:tcPr>
          <w:p w:rsidR="002271F5" w:rsidRPr="00E7418D" w:rsidRDefault="002271F5" w:rsidP="00403C3C">
            <w:pPr>
              <w:spacing w:after="160" w:line="278" w:lineRule="auto"/>
              <w:jc w:val="both"/>
              <w:rPr>
                <w:b w:val="0"/>
                <w:bCs w:val="0"/>
              </w:rPr>
            </w:pPr>
            <w:r w:rsidRPr="00E7418D">
              <w:rPr>
                <w:b w:val="0"/>
                <w:bCs w:val="0"/>
              </w:rPr>
              <w:t>ΔCIT</w:t>
            </w:r>
          </w:p>
        </w:tc>
        <w:tc>
          <w:tcPr>
            <w:tcW w:w="0" w:type="auto"/>
            <w:hideMark/>
          </w:tcPr>
          <w:p w:rsidR="002271F5" w:rsidRPr="00E7418D" w:rsidRDefault="002271F5" w:rsidP="00403C3C">
            <w:pPr>
              <w:spacing w:after="160" w:line="278" w:lineRule="auto"/>
              <w:jc w:val="both"/>
              <w:rPr>
                <w:b w:val="0"/>
                <w:bCs w:val="0"/>
              </w:rPr>
            </w:pPr>
            <w:r w:rsidRPr="00E7418D">
              <w:rPr>
                <w:b w:val="0"/>
                <w:bCs w:val="0"/>
              </w:rPr>
              <w:t>−437.62</w:t>
            </w:r>
          </w:p>
        </w:tc>
        <w:tc>
          <w:tcPr>
            <w:tcW w:w="0" w:type="auto"/>
            <w:hideMark/>
          </w:tcPr>
          <w:p w:rsidR="002271F5" w:rsidRPr="00E7418D" w:rsidRDefault="002271F5" w:rsidP="00403C3C">
            <w:pPr>
              <w:spacing w:after="160" w:line="278" w:lineRule="auto"/>
              <w:jc w:val="both"/>
              <w:rPr>
                <w:b w:val="0"/>
                <w:bCs w:val="0"/>
              </w:rPr>
            </w:pPr>
            <w:r w:rsidRPr="00E7418D">
              <w:rPr>
                <w:b w:val="0"/>
                <w:bCs w:val="0"/>
              </w:rPr>
              <w:t>158.73</w:t>
            </w:r>
          </w:p>
        </w:tc>
        <w:tc>
          <w:tcPr>
            <w:tcW w:w="0" w:type="auto"/>
            <w:hideMark/>
          </w:tcPr>
          <w:p w:rsidR="002271F5" w:rsidRPr="00E7418D" w:rsidRDefault="002271F5" w:rsidP="00403C3C">
            <w:pPr>
              <w:spacing w:after="160" w:line="278" w:lineRule="auto"/>
              <w:jc w:val="both"/>
              <w:rPr>
                <w:b w:val="0"/>
                <w:bCs w:val="0"/>
              </w:rPr>
            </w:pPr>
            <w:r w:rsidRPr="00E7418D">
              <w:rPr>
                <w:b w:val="0"/>
                <w:bCs w:val="0"/>
              </w:rPr>
              <w:t>−2.757</w:t>
            </w:r>
          </w:p>
        </w:tc>
        <w:tc>
          <w:tcPr>
            <w:tcW w:w="0" w:type="auto"/>
          </w:tcPr>
          <w:p w:rsidR="002271F5" w:rsidRPr="00E7418D" w:rsidRDefault="002271F5" w:rsidP="00403C3C">
            <w:pPr>
              <w:jc w:val="both"/>
              <w:rPr>
                <w:b w:val="0"/>
                <w:bCs w:val="0"/>
              </w:rPr>
            </w:pPr>
            <w:r w:rsidRPr="00E7418D">
              <w:rPr>
                <w:b w:val="0"/>
                <w:bCs w:val="0"/>
              </w:rPr>
              <w:t>0.0219**</w:t>
            </w:r>
          </w:p>
        </w:tc>
      </w:tr>
      <w:tr w:rsidR="002271F5" w:rsidRPr="00E7418D" w:rsidTr="00403C3C">
        <w:tc>
          <w:tcPr>
            <w:tcW w:w="0" w:type="auto"/>
            <w:hideMark/>
          </w:tcPr>
          <w:p w:rsidR="002271F5" w:rsidRPr="00E7418D" w:rsidRDefault="002271F5" w:rsidP="00403C3C">
            <w:pPr>
              <w:spacing w:after="160" w:line="278" w:lineRule="auto"/>
              <w:jc w:val="both"/>
              <w:rPr>
                <w:b w:val="0"/>
                <w:bCs w:val="0"/>
              </w:rPr>
            </w:pPr>
            <w:r w:rsidRPr="00E7418D">
              <w:rPr>
                <w:b w:val="0"/>
                <w:bCs w:val="0"/>
              </w:rPr>
              <w:t>ΔTI</w:t>
            </w:r>
          </w:p>
        </w:tc>
        <w:tc>
          <w:tcPr>
            <w:tcW w:w="0" w:type="auto"/>
            <w:hideMark/>
          </w:tcPr>
          <w:p w:rsidR="002271F5" w:rsidRPr="00E7418D" w:rsidRDefault="002271F5" w:rsidP="00403C3C">
            <w:pPr>
              <w:spacing w:after="160" w:line="278" w:lineRule="auto"/>
              <w:jc w:val="both"/>
              <w:rPr>
                <w:b w:val="0"/>
                <w:bCs w:val="0"/>
              </w:rPr>
            </w:pPr>
            <w:r w:rsidRPr="00E7418D">
              <w:rPr>
                <w:b w:val="0"/>
                <w:bCs w:val="0"/>
              </w:rPr>
              <w:t>+124.18</w:t>
            </w:r>
          </w:p>
        </w:tc>
        <w:tc>
          <w:tcPr>
            <w:tcW w:w="0" w:type="auto"/>
            <w:hideMark/>
          </w:tcPr>
          <w:p w:rsidR="002271F5" w:rsidRPr="00E7418D" w:rsidRDefault="002271F5" w:rsidP="00403C3C">
            <w:pPr>
              <w:spacing w:after="160" w:line="278" w:lineRule="auto"/>
              <w:jc w:val="both"/>
              <w:rPr>
                <w:b w:val="0"/>
                <w:bCs w:val="0"/>
              </w:rPr>
            </w:pPr>
            <w:r w:rsidRPr="00E7418D">
              <w:rPr>
                <w:b w:val="0"/>
                <w:bCs w:val="0"/>
              </w:rPr>
              <w:t>71.34</w:t>
            </w:r>
          </w:p>
        </w:tc>
        <w:tc>
          <w:tcPr>
            <w:tcW w:w="0" w:type="auto"/>
            <w:hideMark/>
          </w:tcPr>
          <w:p w:rsidR="002271F5" w:rsidRPr="00E7418D" w:rsidRDefault="002271F5" w:rsidP="00403C3C">
            <w:pPr>
              <w:spacing w:after="160" w:line="278" w:lineRule="auto"/>
              <w:jc w:val="both"/>
              <w:rPr>
                <w:b w:val="0"/>
                <w:bCs w:val="0"/>
              </w:rPr>
            </w:pPr>
            <w:r w:rsidRPr="00E7418D">
              <w:rPr>
                <w:b w:val="0"/>
                <w:bCs w:val="0"/>
              </w:rPr>
              <w:t>+1.740</w:t>
            </w:r>
          </w:p>
        </w:tc>
        <w:tc>
          <w:tcPr>
            <w:tcW w:w="0" w:type="auto"/>
          </w:tcPr>
          <w:p w:rsidR="002271F5" w:rsidRPr="00E7418D" w:rsidRDefault="002271F5" w:rsidP="00403C3C">
            <w:pPr>
              <w:jc w:val="both"/>
              <w:rPr>
                <w:b w:val="0"/>
                <w:bCs w:val="0"/>
              </w:rPr>
            </w:pPr>
            <w:r w:rsidRPr="00E7418D">
              <w:rPr>
                <w:b w:val="0"/>
                <w:bCs w:val="0"/>
              </w:rPr>
              <w:t>0.1127 (ns)</w:t>
            </w:r>
          </w:p>
        </w:tc>
      </w:tr>
      <w:tr w:rsidR="002271F5" w:rsidRPr="00E7418D" w:rsidTr="00403C3C">
        <w:tc>
          <w:tcPr>
            <w:tcW w:w="0" w:type="auto"/>
            <w:hideMark/>
          </w:tcPr>
          <w:p w:rsidR="002271F5" w:rsidRPr="00E7418D" w:rsidRDefault="002271F5" w:rsidP="00403C3C">
            <w:pPr>
              <w:spacing w:after="160" w:line="278" w:lineRule="auto"/>
              <w:jc w:val="both"/>
              <w:rPr>
                <w:b w:val="0"/>
                <w:bCs w:val="0"/>
              </w:rPr>
            </w:pPr>
            <w:r w:rsidRPr="00E7418D">
              <w:rPr>
                <w:b w:val="0"/>
                <w:bCs w:val="0"/>
              </w:rPr>
              <w:t>ΔVAT</w:t>
            </w:r>
          </w:p>
        </w:tc>
        <w:tc>
          <w:tcPr>
            <w:tcW w:w="0" w:type="auto"/>
            <w:hideMark/>
          </w:tcPr>
          <w:p w:rsidR="002271F5" w:rsidRPr="00E7418D" w:rsidRDefault="002271F5" w:rsidP="00403C3C">
            <w:pPr>
              <w:spacing w:after="160" w:line="278" w:lineRule="auto"/>
              <w:jc w:val="both"/>
              <w:rPr>
                <w:b w:val="0"/>
                <w:bCs w:val="0"/>
              </w:rPr>
            </w:pPr>
            <w:r w:rsidRPr="00E7418D">
              <w:rPr>
                <w:b w:val="0"/>
                <w:bCs w:val="0"/>
              </w:rPr>
              <w:t>−198.43</w:t>
            </w:r>
          </w:p>
        </w:tc>
        <w:tc>
          <w:tcPr>
            <w:tcW w:w="0" w:type="auto"/>
            <w:hideMark/>
          </w:tcPr>
          <w:p w:rsidR="002271F5" w:rsidRPr="00E7418D" w:rsidRDefault="002271F5" w:rsidP="00403C3C">
            <w:pPr>
              <w:spacing w:after="160" w:line="278" w:lineRule="auto"/>
              <w:jc w:val="both"/>
              <w:rPr>
                <w:b w:val="0"/>
                <w:bCs w:val="0"/>
              </w:rPr>
            </w:pPr>
            <w:r w:rsidRPr="00E7418D">
              <w:rPr>
                <w:b w:val="0"/>
                <w:bCs w:val="0"/>
              </w:rPr>
              <w:t>109.21</w:t>
            </w:r>
          </w:p>
        </w:tc>
        <w:tc>
          <w:tcPr>
            <w:tcW w:w="0" w:type="auto"/>
            <w:hideMark/>
          </w:tcPr>
          <w:p w:rsidR="002271F5" w:rsidRPr="00E7418D" w:rsidRDefault="002271F5" w:rsidP="00403C3C">
            <w:pPr>
              <w:spacing w:after="160" w:line="278" w:lineRule="auto"/>
              <w:jc w:val="both"/>
              <w:rPr>
                <w:b w:val="0"/>
                <w:bCs w:val="0"/>
              </w:rPr>
            </w:pPr>
            <w:r w:rsidRPr="00E7418D">
              <w:rPr>
                <w:b w:val="0"/>
                <w:bCs w:val="0"/>
              </w:rPr>
              <w:t>−1.817</w:t>
            </w:r>
          </w:p>
        </w:tc>
        <w:tc>
          <w:tcPr>
            <w:tcW w:w="0" w:type="auto"/>
          </w:tcPr>
          <w:p w:rsidR="002271F5" w:rsidRPr="00E7418D" w:rsidRDefault="002271F5" w:rsidP="00403C3C">
            <w:pPr>
              <w:jc w:val="both"/>
              <w:rPr>
                <w:b w:val="0"/>
                <w:bCs w:val="0"/>
              </w:rPr>
            </w:pPr>
            <w:r w:rsidRPr="00E7418D">
              <w:rPr>
                <w:b w:val="0"/>
                <w:bCs w:val="0"/>
              </w:rPr>
              <w:t>0.0978*</w:t>
            </w:r>
          </w:p>
        </w:tc>
      </w:tr>
      <w:tr w:rsidR="002271F5" w:rsidRPr="00E7418D" w:rsidTr="00403C3C">
        <w:tc>
          <w:tcPr>
            <w:tcW w:w="0" w:type="auto"/>
            <w:hideMark/>
          </w:tcPr>
          <w:p w:rsidR="002271F5" w:rsidRPr="00E7418D" w:rsidRDefault="002271F5" w:rsidP="00403C3C">
            <w:pPr>
              <w:spacing w:after="160" w:line="278" w:lineRule="auto"/>
              <w:jc w:val="both"/>
              <w:rPr>
                <w:b w:val="0"/>
                <w:bCs w:val="0"/>
              </w:rPr>
            </w:pPr>
            <w:r w:rsidRPr="00E7418D">
              <w:rPr>
                <w:b w:val="0"/>
                <w:bCs w:val="0"/>
              </w:rPr>
              <w:t>ΔGDPG</w:t>
            </w:r>
          </w:p>
        </w:tc>
        <w:tc>
          <w:tcPr>
            <w:tcW w:w="0" w:type="auto"/>
            <w:hideMark/>
          </w:tcPr>
          <w:p w:rsidR="002271F5" w:rsidRPr="00E7418D" w:rsidRDefault="002271F5" w:rsidP="00403C3C">
            <w:pPr>
              <w:spacing w:after="160" w:line="278" w:lineRule="auto"/>
              <w:jc w:val="both"/>
              <w:rPr>
                <w:b w:val="0"/>
                <w:bCs w:val="0"/>
              </w:rPr>
            </w:pPr>
            <w:r w:rsidRPr="00E7418D">
              <w:rPr>
                <w:b w:val="0"/>
                <w:bCs w:val="0"/>
              </w:rPr>
              <w:t>+58.74</w:t>
            </w:r>
          </w:p>
        </w:tc>
        <w:tc>
          <w:tcPr>
            <w:tcW w:w="0" w:type="auto"/>
            <w:hideMark/>
          </w:tcPr>
          <w:p w:rsidR="002271F5" w:rsidRPr="00E7418D" w:rsidRDefault="002271F5" w:rsidP="00403C3C">
            <w:pPr>
              <w:spacing w:after="160" w:line="278" w:lineRule="auto"/>
              <w:jc w:val="both"/>
              <w:rPr>
                <w:b w:val="0"/>
                <w:bCs w:val="0"/>
              </w:rPr>
            </w:pPr>
            <w:r w:rsidRPr="00E7418D">
              <w:rPr>
                <w:b w:val="0"/>
                <w:bCs w:val="0"/>
              </w:rPr>
              <w:t>37.82</w:t>
            </w:r>
          </w:p>
        </w:tc>
        <w:tc>
          <w:tcPr>
            <w:tcW w:w="0" w:type="auto"/>
            <w:hideMark/>
          </w:tcPr>
          <w:p w:rsidR="002271F5" w:rsidRPr="00E7418D" w:rsidRDefault="002271F5" w:rsidP="00403C3C">
            <w:pPr>
              <w:spacing w:after="160" w:line="278" w:lineRule="auto"/>
              <w:jc w:val="both"/>
              <w:rPr>
                <w:b w:val="0"/>
                <w:bCs w:val="0"/>
              </w:rPr>
            </w:pPr>
            <w:r w:rsidRPr="00E7418D">
              <w:rPr>
                <w:b w:val="0"/>
                <w:bCs w:val="0"/>
              </w:rPr>
              <w:t>+1.553</w:t>
            </w:r>
          </w:p>
        </w:tc>
        <w:tc>
          <w:tcPr>
            <w:tcW w:w="0" w:type="auto"/>
          </w:tcPr>
          <w:p w:rsidR="002271F5" w:rsidRPr="00E7418D" w:rsidRDefault="002271F5" w:rsidP="00403C3C">
            <w:pPr>
              <w:jc w:val="both"/>
              <w:rPr>
                <w:b w:val="0"/>
                <w:bCs w:val="0"/>
              </w:rPr>
            </w:pPr>
            <w:r w:rsidRPr="00E7418D">
              <w:rPr>
                <w:b w:val="0"/>
                <w:bCs w:val="0"/>
              </w:rPr>
              <w:t>0.1528 (ns)</w:t>
            </w:r>
          </w:p>
        </w:tc>
      </w:tr>
      <w:tr w:rsidR="002271F5" w:rsidRPr="00E7418D" w:rsidTr="00403C3C">
        <w:tc>
          <w:tcPr>
            <w:tcW w:w="0" w:type="auto"/>
            <w:hideMark/>
          </w:tcPr>
          <w:p w:rsidR="002271F5" w:rsidRPr="00E7418D" w:rsidRDefault="002271F5" w:rsidP="00403C3C">
            <w:pPr>
              <w:spacing w:after="160" w:line="278" w:lineRule="auto"/>
              <w:jc w:val="both"/>
              <w:rPr>
                <w:b w:val="0"/>
                <w:bCs w:val="0"/>
              </w:rPr>
            </w:pPr>
            <w:r w:rsidRPr="00E7418D">
              <w:rPr>
                <w:b w:val="0"/>
                <w:bCs w:val="0"/>
              </w:rPr>
              <w:t>ECT(−1)</w:t>
            </w:r>
          </w:p>
        </w:tc>
        <w:tc>
          <w:tcPr>
            <w:tcW w:w="0" w:type="auto"/>
            <w:hideMark/>
          </w:tcPr>
          <w:p w:rsidR="002271F5" w:rsidRPr="00E7418D" w:rsidRDefault="002271F5" w:rsidP="00403C3C">
            <w:pPr>
              <w:spacing w:after="160" w:line="278" w:lineRule="auto"/>
              <w:jc w:val="both"/>
              <w:rPr>
                <w:b w:val="0"/>
                <w:bCs w:val="0"/>
              </w:rPr>
            </w:pPr>
            <w:r w:rsidRPr="00E7418D">
              <w:rPr>
                <w:b w:val="0"/>
                <w:bCs w:val="0"/>
              </w:rPr>
              <w:t>−0.541</w:t>
            </w:r>
          </w:p>
        </w:tc>
        <w:tc>
          <w:tcPr>
            <w:tcW w:w="0" w:type="auto"/>
            <w:hideMark/>
          </w:tcPr>
          <w:p w:rsidR="002271F5" w:rsidRPr="00E7418D" w:rsidRDefault="002271F5" w:rsidP="00403C3C">
            <w:pPr>
              <w:spacing w:after="160" w:line="278" w:lineRule="auto"/>
              <w:jc w:val="both"/>
              <w:rPr>
                <w:b w:val="0"/>
                <w:bCs w:val="0"/>
              </w:rPr>
            </w:pPr>
            <w:r w:rsidRPr="00E7418D">
              <w:rPr>
                <w:b w:val="0"/>
                <w:bCs w:val="0"/>
              </w:rPr>
              <w:t>0.147</w:t>
            </w:r>
          </w:p>
        </w:tc>
        <w:tc>
          <w:tcPr>
            <w:tcW w:w="0" w:type="auto"/>
            <w:hideMark/>
          </w:tcPr>
          <w:p w:rsidR="002271F5" w:rsidRPr="00E7418D" w:rsidRDefault="002271F5" w:rsidP="00403C3C">
            <w:pPr>
              <w:spacing w:after="160" w:line="278" w:lineRule="auto"/>
              <w:jc w:val="both"/>
              <w:rPr>
                <w:b w:val="0"/>
                <w:bCs w:val="0"/>
              </w:rPr>
            </w:pPr>
            <w:r w:rsidRPr="00E7418D">
              <w:rPr>
                <w:b w:val="0"/>
                <w:bCs w:val="0"/>
              </w:rPr>
              <w:t>−3.680</w:t>
            </w:r>
          </w:p>
        </w:tc>
        <w:tc>
          <w:tcPr>
            <w:tcW w:w="0" w:type="auto"/>
          </w:tcPr>
          <w:p w:rsidR="002271F5" w:rsidRPr="00E7418D" w:rsidRDefault="002271F5" w:rsidP="00403C3C">
            <w:pPr>
              <w:jc w:val="both"/>
              <w:rPr>
                <w:b w:val="0"/>
                <w:bCs w:val="0"/>
              </w:rPr>
            </w:pPr>
            <w:r w:rsidRPr="00E7418D">
              <w:rPr>
                <w:b w:val="0"/>
                <w:bCs w:val="0"/>
              </w:rPr>
              <w:t>0.0052***</w:t>
            </w:r>
          </w:p>
        </w:tc>
      </w:tr>
      <w:tr w:rsidR="002271F5" w:rsidRPr="00E7418D" w:rsidTr="00403C3C">
        <w:tc>
          <w:tcPr>
            <w:tcW w:w="0" w:type="auto"/>
          </w:tcPr>
          <w:p w:rsidR="002271F5" w:rsidRPr="00E7418D" w:rsidRDefault="002271F5" w:rsidP="00403C3C">
            <w:pPr>
              <w:jc w:val="both"/>
              <w:rPr>
                <w:b w:val="0"/>
                <w:bCs w:val="0"/>
              </w:rPr>
            </w:pPr>
            <w:r w:rsidRPr="00E7418D">
              <w:rPr>
                <w:b w:val="0"/>
                <w:bCs w:val="0"/>
              </w:rPr>
              <w:t>R² = 0.7841</w:t>
            </w:r>
          </w:p>
        </w:tc>
        <w:tc>
          <w:tcPr>
            <w:tcW w:w="0" w:type="auto"/>
          </w:tcPr>
          <w:p w:rsidR="002271F5" w:rsidRPr="00E7418D" w:rsidRDefault="002271F5" w:rsidP="00403C3C">
            <w:pPr>
              <w:jc w:val="both"/>
              <w:rPr>
                <w:b w:val="0"/>
                <w:bCs w:val="0"/>
              </w:rPr>
            </w:pPr>
            <w:r w:rsidRPr="00E7418D">
              <w:rPr>
                <w:b w:val="0"/>
                <w:bCs w:val="0"/>
              </w:rPr>
              <w:t>Adj. R² = 0.6279</w:t>
            </w:r>
          </w:p>
        </w:tc>
        <w:tc>
          <w:tcPr>
            <w:tcW w:w="0" w:type="auto"/>
          </w:tcPr>
          <w:p w:rsidR="002271F5" w:rsidRPr="00E7418D" w:rsidRDefault="002271F5" w:rsidP="00403C3C">
            <w:pPr>
              <w:jc w:val="both"/>
              <w:rPr>
                <w:b w:val="0"/>
                <w:bCs w:val="0"/>
              </w:rPr>
            </w:pPr>
            <w:r w:rsidRPr="00E7418D">
              <w:rPr>
                <w:b w:val="0"/>
                <w:bCs w:val="0"/>
              </w:rPr>
              <w:t>F-stat = 5.027***</w:t>
            </w:r>
          </w:p>
        </w:tc>
        <w:tc>
          <w:tcPr>
            <w:tcW w:w="0" w:type="auto"/>
          </w:tcPr>
          <w:p w:rsidR="002271F5" w:rsidRPr="00E7418D" w:rsidRDefault="002271F5" w:rsidP="00403C3C">
            <w:pPr>
              <w:jc w:val="both"/>
              <w:rPr>
                <w:b w:val="0"/>
                <w:bCs w:val="0"/>
              </w:rPr>
            </w:pPr>
            <w:r w:rsidRPr="00E7418D">
              <w:rPr>
                <w:b w:val="0"/>
                <w:bCs w:val="0"/>
              </w:rPr>
              <w:t>DW = 2.014</w:t>
            </w:r>
          </w:p>
        </w:tc>
        <w:tc>
          <w:tcPr>
            <w:tcW w:w="0" w:type="auto"/>
          </w:tcPr>
          <w:p w:rsidR="002271F5" w:rsidRPr="00E7418D" w:rsidRDefault="002271F5" w:rsidP="00403C3C">
            <w:pPr>
              <w:jc w:val="both"/>
              <w:rPr>
                <w:b w:val="0"/>
                <w:bCs w:val="0"/>
              </w:rPr>
            </w:pPr>
            <w:r w:rsidRPr="00E7418D">
              <w:rPr>
                <w:b w:val="0"/>
                <w:bCs w:val="0"/>
              </w:rPr>
              <w:t>Obs. = 14</w:t>
            </w:r>
          </w:p>
        </w:tc>
      </w:tr>
    </w:tbl>
    <w:p w:rsidR="002271F5" w:rsidRPr="00E7418D" w:rsidRDefault="002271F5" w:rsidP="002271F5">
      <w:pPr>
        <w:spacing w:before="80" w:after="80" w:line="480" w:lineRule="auto"/>
        <w:jc w:val="both"/>
        <w:rPr>
          <w:b w:val="0"/>
          <w:bCs w:val="0"/>
        </w:rPr>
      </w:pPr>
    </w:p>
    <w:p w:rsidR="002271F5" w:rsidRPr="00E7418D" w:rsidRDefault="002271F5" w:rsidP="002271F5">
      <w:pPr>
        <w:spacing w:before="300" w:after="180" w:line="480" w:lineRule="auto"/>
        <w:rPr>
          <w:b w:val="0"/>
          <w:bCs w:val="0"/>
        </w:rPr>
      </w:pPr>
      <w:r w:rsidRPr="00E7418D">
        <w:rPr>
          <w:b w:val="0"/>
          <w:bCs w:val="0"/>
        </w:rPr>
        <w:t>Source: Author's Calculation in EViews 12 (2025). NOTE:  p&lt;0.01;  p&lt;0.05;  p&lt;0.10; ns = not significant. = the first difference operator.</w:t>
      </w:r>
    </w:p>
    <w:p w:rsidR="002271F5" w:rsidRPr="00E7418D" w:rsidRDefault="002271F5" w:rsidP="00E7418D">
      <w:pPr>
        <w:spacing w:before="300" w:after="180" w:line="480" w:lineRule="auto"/>
        <w:jc w:val="both"/>
        <w:rPr>
          <w:b w:val="0"/>
          <w:bCs w:val="0"/>
        </w:rPr>
      </w:pPr>
      <w:r w:rsidRPr="00E7418D">
        <w:rPr>
          <w:b w:val="0"/>
          <w:bCs w:val="0"/>
        </w:rPr>
        <w:t xml:space="preserve">The short-run coefficient of CIT of 437.62 is statistically significant at the 5% confidence level; this shows that increasing CIT burden causes an instantaneous negative impact on FDI </w:t>
      </w:r>
      <w:r w:rsidRPr="00E7418D">
        <w:rPr>
          <w:b w:val="0"/>
          <w:bCs w:val="0"/>
        </w:rPr>
        <w:lastRenderedPageBreak/>
        <w:t>within the year of increase, consistent with a forward looking nature of investment. The short-run coefficient of TI of +124.18, though carrying the expected positive sign, is not statistically significant (p = 0.1127); this may be due to a longer response period of investor-benefit, especially after processing the incentives application, approval and investment itself takes time - a pertinent policy implication requires multi-year stable incentive regimes. The coefficient for the short run VAT effect of 198.43 is significant at 10% confidence level (p = 0.0978) and indicates an instantaneous negative impact of increasing VAT on investment that will only increase more in the long-run adjustment period.</w:t>
      </w:r>
    </w:p>
    <w:p w:rsidR="002271F5" w:rsidRPr="00E7418D" w:rsidRDefault="002271F5" w:rsidP="00E7418D">
      <w:pPr>
        <w:spacing w:before="300" w:after="180" w:line="480" w:lineRule="auto"/>
        <w:jc w:val="both"/>
        <w:rPr>
          <w:b w:val="0"/>
          <w:bCs w:val="0"/>
        </w:rPr>
      </w:pPr>
      <w:r w:rsidRPr="00E7418D">
        <w:rPr>
          <w:b w:val="0"/>
          <w:bCs w:val="0"/>
        </w:rPr>
        <w:t>The coefficient for the ECT of 0.541 is negative, significant at 1% confidence level (t=3.680, p=0.0052), and within acceptable range (1 to 0); this validates the long-run relationship and signifies that approximately 54.1% of deviation from long run equilibrium is adjusted within a year; the long run equilibrium is adjusted within approximately two years. The R of 0.7841 indicates that model explains approximately 78% variation in FDI, which can be seen as good performance for a parsimonious model based on 14 observations on first differenced variables.</w:t>
      </w:r>
    </w:p>
    <w:p w:rsidR="002271F5" w:rsidRDefault="002271F5" w:rsidP="002271F5">
      <w:pPr>
        <w:spacing w:before="300" w:after="180" w:line="480" w:lineRule="auto"/>
      </w:pPr>
      <w:r>
        <w:t>Post-Estimation Diagnostic Tests</w:t>
      </w:r>
    </w:p>
    <w:p w:rsidR="002271F5" w:rsidRPr="00E7418D" w:rsidRDefault="002271F5" w:rsidP="002271F5">
      <w:pPr>
        <w:spacing w:before="80" w:after="80" w:line="480" w:lineRule="auto"/>
        <w:jc w:val="both"/>
        <w:rPr>
          <w:b w:val="0"/>
          <w:bCs w:val="0"/>
        </w:rPr>
      </w:pPr>
      <w:r w:rsidRPr="00E7418D">
        <w:rPr>
          <w:b w:val="0"/>
          <w:bCs w:val="0"/>
        </w:rPr>
        <w:t>Post-estimation diagnostics from the estimated ARDL model, which show evidence for the statistical validity of the model, are given in Table 4.7.</w:t>
      </w:r>
    </w:p>
    <w:p w:rsidR="002271F5" w:rsidRDefault="002271F5" w:rsidP="002271F5">
      <w:pPr>
        <w:spacing w:before="80" w:after="80" w:line="480" w:lineRule="auto"/>
        <w:jc w:val="both"/>
        <w:rPr>
          <w:b w:val="0"/>
          <w:bCs w:val="0"/>
        </w:rPr>
      </w:pPr>
    </w:p>
    <w:p w:rsidR="002271F5" w:rsidRDefault="002271F5" w:rsidP="002271F5">
      <w:pPr>
        <w:spacing w:before="80" w:after="80" w:line="480" w:lineRule="auto"/>
        <w:jc w:val="both"/>
        <w:rPr>
          <w:b w:val="0"/>
          <w:bCs w:val="0"/>
        </w:rPr>
      </w:pPr>
    </w:p>
    <w:p w:rsidR="002271F5" w:rsidRDefault="002271F5" w:rsidP="002271F5">
      <w:pPr>
        <w:spacing w:before="80" w:after="80" w:line="480" w:lineRule="auto"/>
        <w:jc w:val="both"/>
        <w:rPr>
          <w:b w:val="0"/>
          <w:bCs w:val="0"/>
        </w:rPr>
      </w:pPr>
    </w:p>
    <w:p w:rsidR="00E7418D" w:rsidRDefault="00E7418D" w:rsidP="002271F5">
      <w:pPr>
        <w:spacing w:before="80" w:after="80" w:line="480" w:lineRule="auto"/>
        <w:jc w:val="both"/>
      </w:pPr>
    </w:p>
    <w:p w:rsidR="002271F5" w:rsidRDefault="002271F5" w:rsidP="002271F5">
      <w:pPr>
        <w:spacing w:before="80" w:after="80" w:line="480" w:lineRule="auto"/>
        <w:jc w:val="both"/>
        <w:rPr>
          <w:b w:val="0"/>
          <w:bCs w:val="0"/>
        </w:rPr>
      </w:pPr>
      <w:r>
        <w:t>Table 4.7: Post-Estimation Diagnostic Test Results</w:t>
      </w:r>
    </w:p>
    <w:tbl>
      <w:tblPr>
        <w:tblStyle w:val="PlainTable2"/>
        <w:tblW w:w="0" w:type="auto"/>
        <w:tblLook w:val="0620"/>
      </w:tblPr>
      <w:tblGrid>
        <w:gridCol w:w="4181"/>
        <w:gridCol w:w="1858"/>
        <w:gridCol w:w="956"/>
        <w:gridCol w:w="2056"/>
      </w:tblGrid>
      <w:tr w:rsidR="002271F5" w:rsidRPr="001F2452" w:rsidTr="00403C3C">
        <w:trPr>
          <w:cnfStyle w:val="100000000000"/>
        </w:trPr>
        <w:tc>
          <w:tcPr>
            <w:tcW w:w="0" w:type="auto"/>
            <w:hideMark/>
          </w:tcPr>
          <w:p w:rsidR="002271F5" w:rsidRPr="00E7418D" w:rsidRDefault="002271F5" w:rsidP="00403C3C">
            <w:pPr>
              <w:spacing w:after="160" w:line="278" w:lineRule="auto"/>
              <w:jc w:val="both"/>
            </w:pPr>
            <w:r w:rsidRPr="00E7418D">
              <w:t>Diagnostic Test</w:t>
            </w:r>
          </w:p>
        </w:tc>
        <w:tc>
          <w:tcPr>
            <w:tcW w:w="0" w:type="auto"/>
            <w:hideMark/>
          </w:tcPr>
          <w:p w:rsidR="002271F5" w:rsidRPr="00E7418D" w:rsidRDefault="002271F5" w:rsidP="00403C3C">
            <w:pPr>
              <w:spacing w:after="160" w:line="278" w:lineRule="auto"/>
              <w:jc w:val="both"/>
            </w:pPr>
            <w:r w:rsidRPr="00E7418D">
              <w:t>Test Statistic</w:t>
            </w:r>
          </w:p>
        </w:tc>
        <w:tc>
          <w:tcPr>
            <w:tcW w:w="0" w:type="auto"/>
            <w:hideMark/>
          </w:tcPr>
          <w:p w:rsidR="002271F5" w:rsidRPr="00E7418D" w:rsidRDefault="002271F5" w:rsidP="00403C3C">
            <w:pPr>
              <w:spacing w:after="160" w:line="278" w:lineRule="auto"/>
              <w:jc w:val="both"/>
            </w:pPr>
            <w:r w:rsidRPr="00E7418D">
              <w:t>p-value</w:t>
            </w:r>
          </w:p>
        </w:tc>
        <w:tc>
          <w:tcPr>
            <w:tcW w:w="0" w:type="auto"/>
            <w:hideMark/>
          </w:tcPr>
          <w:p w:rsidR="002271F5" w:rsidRPr="00E7418D" w:rsidRDefault="002271F5" w:rsidP="00403C3C">
            <w:pPr>
              <w:spacing w:after="160" w:line="278" w:lineRule="auto"/>
              <w:jc w:val="both"/>
            </w:pPr>
            <w:r w:rsidRPr="00E7418D">
              <w:t>Decision</w:t>
            </w:r>
          </w:p>
        </w:tc>
      </w:tr>
      <w:tr w:rsidR="002271F5" w:rsidRPr="001F2452" w:rsidTr="00403C3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Breusch-Godfrey LM (Serial Correlation)</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F(2,5) = 0.614</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0.5704</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No serial correlation</w:t>
            </w:r>
          </w:p>
        </w:tc>
      </w:tr>
      <w:tr w:rsidR="002271F5" w:rsidRPr="001F2452" w:rsidTr="00403C3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Breusch-Pagan-Godfrey (Heteroscedasticity)</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F(7,5) = 1.073</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0.4814</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Homoscedastic</w:t>
            </w:r>
          </w:p>
        </w:tc>
      </w:tr>
      <w:tr w:rsidR="002271F5" w:rsidRPr="001F2452" w:rsidTr="00403C3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Jarque-Bera Normality Test</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JB = 0.841</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0.6569</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Normally distributed</w:t>
            </w:r>
          </w:p>
        </w:tc>
      </w:tr>
      <w:tr w:rsidR="002271F5" w:rsidRPr="001F2452" w:rsidTr="00403C3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Ramsey RESET (Functional Form)</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F(1,6) = 0.512</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0.4987</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Correctly specified</w:t>
            </w:r>
          </w:p>
        </w:tc>
      </w:tr>
      <w:tr w:rsidR="002271F5" w:rsidRPr="001F2452" w:rsidTr="00403C3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CUSUM Test (Parameter Stability)</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Within 5% bounds</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Parameters stable</w:t>
            </w:r>
          </w:p>
        </w:tc>
      </w:tr>
      <w:tr w:rsidR="002271F5" w:rsidRPr="001F2452" w:rsidTr="00403C3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CUSUM-of-Squares Test (Stability)</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Within 5% bounds</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w:t>
            </w:r>
          </w:p>
        </w:tc>
        <w:tc>
          <w:tcPr>
            <w:tcW w:w="0" w:type="auto"/>
            <w:hideMark/>
          </w:tcPr>
          <w:p w:rsidR="002271F5" w:rsidRPr="00E7418D" w:rsidRDefault="002271F5" w:rsidP="00403C3C">
            <w:pPr>
              <w:spacing w:after="160" w:line="278" w:lineRule="auto"/>
              <w:jc w:val="both"/>
              <w:rPr>
                <w:rFonts w:ascii="Times New Roman" w:hAnsi="Times New Roman" w:cs="Times New Roman"/>
                <w:b w:val="0"/>
                <w:bCs w:val="0"/>
                <w:sz w:val="22"/>
                <w:szCs w:val="22"/>
              </w:rPr>
            </w:pPr>
            <w:r w:rsidRPr="00E7418D">
              <w:rPr>
                <w:rFonts w:ascii="Times New Roman" w:hAnsi="Times New Roman" w:cs="Times New Roman"/>
                <w:b w:val="0"/>
                <w:bCs w:val="0"/>
                <w:sz w:val="22"/>
                <w:szCs w:val="22"/>
              </w:rPr>
              <w:t>Parameters stable</w:t>
            </w:r>
          </w:p>
        </w:tc>
      </w:tr>
    </w:tbl>
    <w:p w:rsidR="002271F5" w:rsidRPr="00E7418D" w:rsidRDefault="002271F5" w:rsidP="00E7418D">
      <w:pPr>
        <w:spacing w:before="300" w:after="180" w:line="480" w:lineRule="auto"/>
        <w:jc w:val="both"/>
        <w:rPr>
          <w:b w:val="0"/>
          <w:bCs w:val="0"/>
        </w:rPr>
      </w:pPr>
      <w:r>
        <w:t xml:space="preserve">Source: </w:t>
      </w:r>
      <w:r w:rsidRPr="00E7418D">
        <w:rPr>
          <w:b w:val="0"/>
          <w:bCs w:val="0"/>
        </w:rPr>
        <w:t>Author's Computation using EViews 12 (2025)</w:t>
      </w:r>
    </w:p>
    <w:p w:rsidR="002271F5" w:rsidRPr="00E7418D" w:rsidRDefault="002271F5" w:rsidP="00E7418D">
      <w:pPr>
        <w:spacing w:before="300" w:after="180" w:line="480" w:lineRule="auto"/>
        <w:jc w:val="both"/>
        <w:rPr>
          <w:b w:val="0"/>
          <w:bCs w:val="0"/>
        </w:rPr>
      </w:pPr>
      <w:r w:rsidRPr="00E7418D">
        <w:rPr>
          <w:b w:val="0"/>
          <w:bCs w:val="0"/>
        </w:rPr>
        <w:t>All the diagnostic tests indicated the model is statistically robust. The absence of serial correlation (p=0.5704), homoscedasticity (p=0.4814), normally distributed residuals (p=0.6569), correct functional form specification (p=0.4987) and the stability of the estimated structural parameters over the 2010-2024 study period – in spite of major policy changes such as Finance Acts 2019-2023, the emergence of the COVID-19 pandemic and the liberalisation of the Naira – support the appropriateness of the estimated coefficients in providing insights and making policy inferences.</w:t>
      </w:r>
    </w:p>
    <w:p w:rsidR="002271F5" w:rsidRPr="00192D74" w:rsidRDefault="002271F5" w:rsidP="002271F5">
      <w:pPr>
        <w:spacing w:before="300" w:after="180" w:line="480" w:lineRule="auto"/>
      </w:pPr>
      <w:r w:rsidRPr="00192D74">
        <w:t>4.</w:t>
      </w:r>
      <w:r w:rsidR="0011445F">
        <w:t>3</w:t>
      </w:r>
      <w:r w:rsidRPr="00192D74">
        <w:t xml:space="preserve"> Test of Hypotheses</w:t>
      </w:r>
    </w:p>
    <w:p w:rsidR="002271F5" w:rsidRPr="00192D74" w:rsidRDefault="002271F5" w:rsidP="002271F5">
      <w:pPr>
        <w:spacing w:before="220" w:after="100" w:line="480" w:lineRule="auto"/>
      </w:pPr>
      <w:r w:rsidRPr="00192D74">
        <w:t>Hypothesis One</w:t>
      </w:r>
    </w:p>
    <w:p w:rsidR="002271F5" w:rsidRPr="00E7418D" w:rsidRDefault="002271F5" w:rsidP="00E7418D">
      <w:pPr>
        <w:spacing w:before="220" w:after="100" w:line="480" w:lineRule="auto"/>
        <w:jc w:val="both"/>
        <w:rPr>
          <w:b w:val="0"/>
          <w:bCs w:val="0"/>
        </w:rPr>
      </w:pPr>
      <w:r w:rsidRPr="00192D74">
        <w:t xml:space="preserve">H₀₁: </w:t>
      </w:r>
      <w:r w:rsidRPr="00E7418D">
        <w:rPr>
          <w:b w:val="0"/>
          <w:bCs w:val="0"/>
        </w:rPr>
        <w:t xml:space="preserve">Corporate Income Tax does not have a significant impact on foreign direct investment inflows in Nigeria. The long run ARDL results produce a CIT coefficient = 924.17, t = 3.986 </w:t>
      </w:r>
      <w:r w:rsidRPr="00E7418D">
        <w:rPr>
          <w:b w:val="0"/>
          <w:bCs w:val="0"/>
        </w:rPr>
        <w:lastRenderedPageBreak/>
        <w:t>and p=0.0041&lt;0.01. The null hypothesis  H₀₁ is rejected at 1 per cent level of significance. In the long run, CIT has a significant negative impact on FDI inflows in Nigeria.</w:t>
      </w:r>
    </w:p>
    <w:p w:rsidR="002271F5" w:rsidRPr="00192D74" w:rsidRDefault="002271F5" w:rsidP="002271F5">
      <w:pPr>
        <w:spacing w:before="220" w:after="100" w:line="480" w:lineRule="auto"/>
      </w:pPr>
      <w:r w:rsidRPr="00192D74">
        <w:t>Hypothesis Two</w:t>
      </w:r>
    </w:p>
    <w:p w:rsidR="002271F5" w:rsidRPr="00E7418D" w:rsidRDefault="002271F5" w:rsidP="00E7418D">
      <w:pPr>
        <w:spacing w:before="220" w:after="100" w:line="480" w:lineRule="auto"/>
        <w:jc w:val="both"/>
        <w:rPr>
          <w:b w:val="0"/>
          <w:bCs w:val="0"/>
        </w:rPr>
      </w:pPr>
      <w:r w:rsidRPr="00192D74">
        <w:t xml:space="preserve">H₀₂: </w:t>
      </w:r>
      <w:r w:rsidRPr="00E7418D">
        <w:rPr>
          <w:b w:val="0"/>
          <w:bCs w:val="0"/>
        </w:rPr>
        <w:t>Tax Incentives have no significant effect on FDI inflows in Nigeria. The long run ARDL results display the coefficient of TI is +287.63, t value is +2.959 with probability value 0.0164 &lt; 0.05. Null hypothesis H₀₂ can be rejected at the five percent confidence level. It indicates that Tax Incentives have a significant positive impact on FDI inflows in Nigeria in the long run, but incentive is significantly weaker than CIT deterrent effect.</w:t>
      </w:r>
    </w:p>
    <w:p w:rsidR="002271F5" w:rsidRPr="00192D74" w:rsidRDefault="002271F5" w:rsidP="002271F5">
      <w:pPr>
        <w:spacing w:before="220" w:after="100" w:line="480" w:lineRule="auto"/>
      </w:pPr>
      <w:r w:rsidRPr="00192D74">
        <w:t>Hypothesis Three</w:t>
      </w:r>
    </w:p>
    <w:p w:rsidR="002271F5" w:rsidRPr="00192D74" w:rsidRDefault="002271F5" w:rsidP="00E7418D">
      <w:pPr>
        <w:spacing w:before="300" w:after="180" w:line="480" w:lineRule="auto"/>
        <w:jc w:val="both"/>
      </w:pPr>
      <w:r w:rsidRPr="00192D74">
        <w:t xml:space="preserve">H₀₃: </w:t>
      </w:r>
      <w:r w:rsidRPr="00E7418D">
        <w:rPr>
          <w:b w:val="0"/>
          <w:bCs w:val="0"/>
        </w:rPr>
        <w:t>FDI inflows are non responsive to Value Added Tax in Nigeria. The ARDL long-run results for VAT coefficient = 467.89, t=2.564, p = 0.0318&lt;0.05. Therefore the null hypothesis H₀₃ is rejected at 5 percent level of significance. Value Added Tax has a positive effect on FDI inflows in Nigeria in the long run. Thus this first reliable long run VAT-FDI relationship for Nigeria</w:t>
      </w:r>
      <w:r w:rsidRPr="00192D74">
        <w:t>.</w:t>
      </w:r>
    </w:p>
    <w:p w:rsidR="002271F5" w:rsidRDefault="002271F5" w:rsidP="002271F5">
      <w:pPr>
        <w:spacing w:before="300" w:after="180" w:line="480" w:lineRule="auto"/>
      </w:pPr>
      <w:r>
        <w:t>4.9 Discussion of Findings</w:t>
      </w:r>
    </w:p>
    <w:p w:rsidR="002271F5" w:rsidRPr="00E7418D" w:rsidRDefault="002271F5" w:rsidP="00E7418D">
      <w:pPr>
        <w:spacing w:line="480" w:lineRule="auto"/>
        <w:jc w:val="both"/>
        <w:rPr>
          <w:b w:val="0"/>
          <w:bCs w:val="0"/>
        </w:rPr>
      </w:pPr>
      <w:r w:rsidRPr="00E7418D">
        <w:rPr>
          <w:b w:val="0"/>
          <w:bCs w:val="0"/>
        </w:rPr>
        <w:t>The empirical results tell a consistent and policy relevant story about Nigerian tax policy and foreign direct investment. The main arguments can be divided into three strands.</w:t>
      </w:r>
    </w:p>
    <w:p w:rsidR="002271F5" w:rsidRPr="00E7418D" w:rsidRDefault="002271F5" w:rsidP="00E7418D">
      <w:pPr>
        <w:spacing w:line="480" w:lineRule="auto"/>
        <w:jc w:val="both"/>
        <w:rPr>
          <w:b w:val="0"/>
          <w:bCs w:val="0"/>
        </w:rPr>
      </w:pPr>
      <w:r w:rsidRPr="00E7418D">
        <w:rPr>
          <w:b w:val="0"/>
          <w:bCs w:val="0"/>
        </w:rPr>
        <w:t xml:space="preserve">First, among all of the examined variables, the impact of the effective Corporate Income Tax (CIT) on FDI is negative, with its coefficient 924.17 being around 24% of the period average annual FDI per percentage point of increase in the burden of effective CIT. It is highly convincing on the basis of the empirical evidence: FDI dropped from $6,099 million to </w:t>
      </w:r>
      <w:r w:rsidRPr="00E7418D">
        <w:rPr>
          <w:b w:val="0"/>
          <w:bCs w:val="0"/>
        </w:rPr>
        <w:lastRenderedPageBreak/>
        <w:t>$1,100 million from 2010 to 2024, while the effective CIT burden increased from 1.82% of CIT/GDP to 3.74%. There have been many other factors that led to such FDI declines, but according to the ARDL result, there is a considerable causal effect exerted by increase in CIT, which matches the Neoclassical Theory prediction that higher tax leads to higher user cost of capital, and lower after-tax returns are not at investor's threshold level. This refutes the prevailing fiscal narrative that the CIT base broadening is investment neutral. It is indeed not.</w:t>
      </w:r>
    </w:p>
    <w:p w:rsidR="002271F5" w:rsidRPr="00E7418D" w:rsidRDefault="002271F5" w:rsidP="00E7418D">
      <w:pPr>
        <w:spacing w:line="480" w:lineRule="auto"/>
        <w:jc w:val="both"/>
        <w:rPr>
          <w:b w:val="0"/>
          <w:bCs w:val="0"/>
        </w:rPr>
      </w:pPr>
      <w:r w:rsidRPr="00E7418D">
        <w:rPr>
          <w:b w:val="0"/>
          <w:bCs w:val="0"/>
        </w:rPr>
        <w:t>Second, the positive coefficient of the incentive effect (+287.63) and the much larger negative effect of CIT (924.17) confirm a conflict within Nigerian fiscal strategy to attract FDI. The government increases the effective CIT through base-broadening policy and attempts to offset this by expanding investment incentives at the same time; it seems to achieve such a task by having the FDI cost of CIT increase greater than the FDI benefit from the expansion of incentives, by about a ratio of 3.2:1. This is not a sustainable approach to stimulate investment. The evidence supports the need for Nigeria to shift to reducing the fundamental CIT rate, and use incentive measures as supplementary in a focused manner, rather than alternative way of restoring competitiveness.</w:t>
      </w:r>
    </w:p>
    <w:p w:rsidR="002271F5" w:rsidRPr="00E7418D" w:rsidRDefault="002271F5" w:rsidP="00E7418D">
      <w:pPr>
        <w:spacing w:line="480" w:lineRule="auto"/>
        <w:jc w:val="both"/>
        <w:rPr>
          <w:b w:val="0"/>
          <w:bCs w:val="0"/>
        </w:rPr>
      </w:pPr>
      <w:r w:rsidRPr="00E7418D">
        <w:rPr>
          <w:b w:val="0"/>
          <w:bCs w:val="0"/>
        </w:rPr>
        <w:t xml:space="preserve">Third, the negative impact of VAT, with the coefficient of -467.89, confirms that indirect taxation is indeed a serious factor that has not received much attention from the perspective of Nigeria's investment attraction: a rise of 0.72 percentage points in the VAT/GDP ratio (from 2019 to 2023, during which the VAT rate and base were revised) leads to a $337 million decline in annual FDI, based on the model calculation 467.89 * 0.72, operating through channel of compliance costs, refunds delays and signaling to potential investors as suggested by Abata and Adegboye (2021), World Bank (2022) and Nweze and Nweze </w:t>
      </w:r>
      <w:r w:rsidRPr="00E7418D">
        <w:rPr>
          <w:b w:val="0"/>
          <w:bCs w:val="0"/>
        </w:rPr>
        <w:lastRenderedPageBreak/>
        <w:t>(2023). This is important to inform Nigeria to address VAT reform as a top priority with great potential in enhancing the country's investment competitiveness with relatively low cost.</w:t>
      </w:r>
      <w:r w:rsidRPr="00E7418D">
        <w:rPr>
          <w:b w:val="0"/>
          <w:bCs w:val="0"/>
        </w:rPr>
        <w:br w:type="page"/>
      </w:r>
    </w:p>
    <w:p w:rsidR="002271F5" w:rsidRPr="00CF3B90" w:rsidRDefault="002271F5" w:rsidP="002271F5">
      <w:pPr>
        <w:spacing w:before="360" w:after="240" w:line="480" w:lineRule="auto"/>
        <w:jc w:val="center"/>
      </w:pPr>
      <w:r w:rsidRPr="00CF3B90">
        <w:lastRenderedPageBreak/>
        <w:t>CHAPTER FIVE</w:t>
      </w:r>
    </w:p>
    <w:p w:rsidR="002271F5" w:rsidRPr="00CF3B90" w:rsidRDefault="002271F5" w:rsidP="002271F5">
      <w:pPr>
        <w:spacing w:before="360" w:after="240" w:line="480" w:lineRule="auto"/>
        <w:jc w:val="center"/>
      </w:pPr>
      <w:r w:rsidRPr="00CF3B90">
        <w:t>SUMMARY, CONCLUSION, AND RECOMMENDATIONS</w:t>
      </w:r>
    </w:p>
    <w:p w:rsidR="002271F5" w:rsidRDefault="002271F5" w:rsidP="002271F5">
      <w:pPr>
        <w:spacing w:before="300" w:after="180" w:line="480" w:lineRule="auto"/>
      </w:pPr>
      <w:r>
        <w:t xml:space="preserve">5.1 Summary of </w:t>
      </w:r>
      <w:r w:rsidRPr="00E7418D">
        <w:t>Findings</w:t>
      </w:r>
    </w:p>
    <w:p w:rsidR="002271F5" w:rsidRPr="00E7418D" w:rsidRDefault="002271F5" w:rsidP="002271F5">
      <w:pPr>
        <w:spacing w:before="120" w:after="120" w:line="480" w:lineRule="auto"/>
        <w:jc w:val="both"/>
        <w:rPr>
          <w:b w:val="0"/>
          <w:bCs w:val="0"/>
        </w:rPr>
      </w:pPr>
      <w:r w:rsidRPr="00E7418D">
        <w:rPr>
          <w:b w:val="0"/>
          <w:bCs w:val="0"/>
        </w:rPr>
        <w:t xml:space="preserve">The main findings of this research were as follows: </w:t>
      </w:r>
    </w:p>
    <w:p w:rsidR="002271F5" w:rsidRPr="00E7418D" w:rsidRDefault="002271F5" w:rsidP="002271F5">
      <w:pPr>
        <w:pStyle w:val="ListParagraph"/>
        <w:numPr>
          <w:ilvl w:val="0"/>
          <w:numId w:val="2"/>
        </w:numPr>
        <w:spacing w:before="120" w:after="120" w:line="480" w:lineRule="auto"/>
        <w:jc w:val="both"/>
        <w:rPr>
          <w:b w:val="0"/>
          <w:bCs w:val="0"/>
        </w:rPr>
      </w:pPr>
      <w:r w:rsidRPr="00E7418D">
        <w:rPr>
          <w:b w:val="0"/>
          <w:bCs w:val="0"/>
        </w:rPr>
        <w:t xml:space="preserve">CIT have a statistically significant negative long-run impact on FDI(coefficient = 924.17, p = 0.0041)which indicates this is the single tax policy variable with the largest deterrence on investment flows. </w:t>
      </w:r>
    </w:p>
    <w:p w:rsidR="002271F5" w:rsidRPr="00E7418D" w:rsidRDefault="002271F5" w:rsidP="002271F5">
      <w:pPr>
        <w:pStyle w:val="ListParagraph"/>
        <w:numPr>
          <w:ilvl w:val="0"/>
          <w:numId w:val="2"/>
        </w:numPr>
        <w:spacing w:before="120" w:after="120" w:line="480" w:lineRule="auto"/>
        <w:jc w:val="both"/>
        <w:rPr>
          <w:b w:val="0"/>
          <w:bCs w:val="0"/>
        </w:rPr>
      </w:pPr>
      <w:r w:rsidRPr="00E7418D">
        <w:rPr>
          <w:b w:val="0"/>
          <w:bCs w:val="0"/>
        </w:rPr>
        <w:t xml:space="preserve">TI have a statistically significant positive long-run effect(coefficient=+287.63, p = 0.0164) but at a relatively much lower effect compared to the CIT deterrence on FDI. </w:t>
      </w:r>
    </w:p>
    <w:p w:rsidR="002271F5" w:rsidRDefault="002271F5" w:rsidP="002271F5">
      <w:pPr>
        <w:pStyle w:val="ListParagraph"/>
        <w:numPr>
          <w:ilvl w:val="0"/>
          <w:numId w:val="2"/>
        </w:numPr>
        <w:spacing w:before="120" w:after="120" w:line="480" w:lineRule="auto"/>
        <w:jc w:val="both"/>
      </w:pPr>
      <w:r w:rsidRPr="00E7418D">
        <w:rPr>
          <w:b w:val="0"/>
          <w:bCs w:val="0"/>
        </w:rPr>
        <w:t>VAT have a statistically significant negative long-run impact(coefficient=467.89, p = 0.0318), proving the first robust positive long-run relationship of VAT and FDI in Nigeria. (iv) ECT was 0.541 meaning adjustment to the long-run equilibrium took about 54 percent annually in the short run, (v)all three null hypotheses were rejected</w:t>
      </w:r>
      <w:r>
        <w:t>.</w:t>
      </w:r>
    </w:p>
    <w:p w:rsidR="002271F5" w:rsidRDefault="002271F5" w:rsidP="002271F5">
      <w:pPr>
        <w:spacing w:before="300" w:after="180" w:line="480" w:lineRule="auto"/>
      </w:pPr>
      <w:r>
        <w:t>5.2 Conclusion</w:t>
      </w:r>
    </w:p>
    <w:p w:rsidR="002271F5" w:rsidRPr="00E7418D" w:rsidRDefault="002271F5" w:rsidP="002271F5">
      <w:pPr>
        <w:spacing w:before="300" w:after="180" w:line="480" w:lineRule="auto"/>
        <w:rPr>
          <w:b w:val="0"/>
          <w:bCs w:val="0"/>
        </w:rPr>
      </w:pPr>
      <w:r w:rsidRPr="00E7418D">
        <w:rPr>
          <w:b w:val="0"/>
          <w:bCs w:val="0"/>
        </w:rPr>
        <w:t xml:space="preserve">To begin with, the CIT is the main tax policy determinants of FDI inflows in Nigeria from 2010 to 2024. The large and significant coefficient (924.17, p = 0.0041) is empirically robust evidence that Nigeria's worsening effective corporate tax has contributed significantly to Nigeria's FDI underperformance. The transition from 2.35 percent of GDP in 2020 to 3.74 </w:t>
      </w:r>
      <w:r w:rsidRPr="00E7418D">
        <w:rPr>
          <w:b w:val="0"/>
          <w:bCs w:val="0"/>
        </w:rPr>
        <w:lastRenderedPageBreak/>
        <w:t>percent in 2024 constitutes a structural deterioration in competitiveness resulting in an estimated loss of US$ 1.28 billion of FDI inflows per year, which is disastrous compared to the actual FDI inflows of US$ 1.1 billion in 2024. In reality, the widening of the CIT base is not without investment effect. Second, Investment Incentives attract FDI, but their contribution does not help to compensate for the deterrent effect of the CIT. The ratio of incentive to CIT coefficient, 0.31, tells us that a loss of US$ 924 million of FDI inflows in case of one unit increase of CIT is recovered through the improvement of incentive, by only at most US$ 288 million. Nigeria cannot overcome the CIT deficit by means of incentives, it needs a basic rate reform. Third, the VAT is another crucial but overlooked component of Nigeria's investment dilemma. The coefficient of 467.89 (p=0.0318) gives the first reliable empirical evidence, over the long run, for the effect of VAT on FDI in Nigeria. The introduction of higher tax rate and widening of VAT base in 2020 caused FDI losses of about US$ 337 million per year; thus, tax reform in indirect taxes should also be an integral part of a holistic investment competitiveness strategy. Fourth, macro-stability, such as exchange rate volatility and economic growth, also mediates the investment attracting power of tax policies. The sharp depreciation of the naira from NGN 150 to NGN 1535 per dollar during the study period is a non-fiscal deterrent that exerts as much pressure as worsening fiscal policies on FDI in Nigeria.</w:t>
      </w:r>
    </w:p>
    <w:p w:rsidR="002271F5" w:rsidRDefault="002271F5" w:rsidP="002271F5">
      <w:pPr>
        <w:spacing w:before="300" w:after="180" w:line="480" w:lineRule="auto"/>
      </w:pPr>
      <w:r>
        <w:t>5.3  Recommendations</w:t>
      </w:r>
    </w:p>
    <w:p w:rsidR="002271F5" w:rsidRPr="00E7418D" w:rsidRDefault="002271F5" w:rsidP="002271F5">
      <w:pPr>
        <w:spacing w:before="220" w:after="100" w:line="480" w:lineRule="auto"/>
        <w:rPr>
          <w:b w:val="0"/>
          <w:bCs w:val="0"/>
        </w:rPr>
      </w:pPr>
      <w:r>
        <w:t>(I</w:t>
      </w:r>
      <w:r w:rsidRPr="00E7418D">
        <w:rPr>
          <w:b w:val="0"/>
          <w:bCs w:val="0"/>
        </w:rPr>
        <w:t xml:space="preserve">)  Phased reduction of the standard CIT rate: A gradual reduction in the standard CIT rate from 30 percent to 25 percent over a three-year period should be adopted, with simultaneous reforms to broaden the tax base to maintain revenue adequacy. If the coefficient of 924 USD million per percentage point of the effective CIT burden is accurate, reducing the effective </w:t>
      </w:r>
      <w:r w:rsidRPr="00E7418D">
        <w:rPr>
          <w:b w:val="0"/>
          <w:bCs w:val="0"/>
        </w:rPr>
        <w:lastRenderedPageBreak/>
        <w:t>CIT ratio by 1.5-2.0 percent points should increase FDI inflows by an estimated 1.4-1.8 billion USD per annum, which would be a transformative improvement on the average 1.1 billion USD recorded over the past few years. The Presidential Committee on Fiscal Policy and Tax Reforms formed in 2023 would serve as an institutional instrument for this recommendation.</w:t>
      </w:r>
    </w:p>
    <w:p w:rsidR="002271F5" w:rsidRPr="00E7418D" w:rsidRDefault="002271F5" w:rsidP="002271F5">
      <w:pPr>
        <w:spacing w:before="220" w:after="100" w:line="480" w:lineRule="auto"/>
        <w:rPr>
          <w:b w:val="0"/>
          <w:bCs w:val="0"/>
        </w:rPr>
      </w:pPr>
      <w:r w:rsidRPr="00E7418D">
        <w:rPr>
          <w:b w:val="0"/>
          <w:bCs w:val="0"/>
        </w:rPr>
        <w:t>(ii) Biennial Finance Act cycles: Tax certainty can be improved by shifting from annual to biennial Finance Act cycles and incorporating a binding lead time of 18-months on provisions that materially change the fiscal consequences of an investment to existing firms. The benefits of this reform in investor confidence come at no cost to government revenues and address the OECD (2021) findings on the greater preference of multinational investors for stability in tax law rather than lower tax rates.</w:t>
      </w:r>
    </w:p>
    <w:p w:rsidR="002271F5" w:rsidRPr="00E7418D" w:rsidRDefault="002271F5" w:rsidP="002271F5">
      <w:pPr>
        <w:spacing w:before="220" w:after="100" w:line="480" w:lineRule="auto"/>
        <w:rPr>
          <w:b w:val="0"/>
          <w:bCs w:val="0"/>
        </w:rPr>
      </w:pPr>
      <w:r w:rsidRPr="00E7418D">
        <w:rPr>
          <w:b w:val="0"/>
          <w:bCs w:val="0"/>
        </w:rPr>
        <w:t>(iii) Rationalisation of multi-tiered tax structure: through the Joint Tax Board, all redundant levies should be abolished, jurisdiction should be unified, and a single-taxpayer agreement mechanism should be established for large foreign investors, bridging the gap between the effective and statutory CIT burden and enhancing Nigeria's competitiveness in the investment arena.</w:t>
      </w:r>
    </w:p>
    <w:p w:rsidR="002271F5" w:rsidRDefault="002271F5" w:rsidP="002271F5">
      <w:pPr>
        <w:spacing w:before="300" w:after="180" w:line="480" w:lineRule="auto"/>
      </w:pPr>
      <w:r>
        <w:t>5.</w:t>
      </w:r>
      <w:r>
        <w:rPr>
          <w:b w:val="0"/>
          <w:bCs w:val="0"/>
        </w:rPr>
        <w:t xml:space="preserve">4 </w:t>
      </w:r>
      <w:r>
        <w:t>Recommendations for Future Research</w:t>
      </w:r>
    </w:p>
    <w:p w:rsidR="00E7418D" w:rsidRDefault="002271F5" w:rsidP="00E7418D">
      <w:pPr>
        <w:spacing w:before="300" w:after="180" w:line="480" w:lineRule="auto"/>
        <w:ind w:left="720"/>
        <w:rPr>
          <w:b w:val="0"/>
          <w:bCs w:val="0"/>
        </w:rPr>
      </w:pPr>
      <w:r w:rsidRPr="00E7418D">
        <w:rPr>
          <w:b w:val="0"/>
          <w:bCs w:val="0"/>
        </w:rPr>
        <w:t>(</w:t>
      </w:r>
      <w:r w:rsidR="00E7418D">
        <w:rPr>
          <w:b w:val="0"/>
          <w:bCs w:val="0"/>
        </w:rPr>
        <w:t xml:space="preserve">i) </w:t>
      </w:r>
      <w:r w:rsidRPr="00E7418D">
        <w:rPr>
          <w:b w:val="0"/>
          <w:bCs w:val="0"/>
        </w:rPr>
        <w:t xml:space="preserve">A sector-level panel regression, testing if the impact of CIT, Tax Incentive and VAT on FDI varies systematically by the type of sector: manufacturing, service, extractive and digital economy in Nigeria. </w:t>
      </w:r>
    </w:p>
    <w:p w:rsidR="00E7418D" w:rsidRDefault="002271F5" w:rsidP="00E7418D">
      <w:pPr>
        <w:spacing w:before="300" w:after="180" w:line="480" w:lineRule="auto"/>
        <w:ind w:left="360"/>
        <w:rPr>
          <w:b w:val="0"/>
          <w:bCs w:val="0"/>
        </w:rPr>
      </w:pPr>
      <w:r w:rsidRPr="00E7418D">
        <w:rPr>
          <w:b w:val="0"/>
          <w:bCs w:val="0"/>
        </w:rPr>
        <w:lastRenderedPageBreak/>
        <w:t xml:space="preserve">(ii) A firm-level regressions, which utilize the administrative data from the Federal Inland Revenue Service (FIRS) and the Nigerian Investment Promotion Commission (NIPC) to trace the individual response of investors to specific changes in tax policy. </w:t>
      </w:r>
    </w:p>
    <w:p w:rsidR="00E7418D" w:rsidRPr="00E7418D" w:rsidRDefault="002271F5" w:rsidP="00E7418D">
      <w:pPr>
        <w:pStyle w:val="ListParagraph"/>
        <w:numPr>
          <w:ilvl w:val="0"/>
          <w:numId w:val="2"/>
        </w:numPr>
        <w:spacing w:before="300" w:after="180" w:line="480" w:lineRule="auto"/>
        <w:rPr>
          <w:b w:val="0"/>
          <w:bCs w:val="0"/>
        </w:rPr>
      </w:pPr>
      <w:r w:rsidRPr="00E7418D">
        <w:rPr>
          <w:b w:val="0"/>
          <w:bCs w:val="0"/>
        </w:rPr>
        <w:t xml:space="preserve">NARDL analysis which tests whether the effects of tax policy on FDI is non-linear and whether gains are symmetrically smaller than losses. </w:t>
      </w:r>
    </w:p>
    <w:p w:rsidR="002271F5" w:rsidRPr="00E7418D" w:rsidRDefault="002271F5" w:rsidP="00E7418D">
      <w:pPr>
        <w:pStyle w:val="ListParagraph"/>
        <w:numPr>
          <w:ilvl w:val="0"/>
          <w:numId w:val="2"/>
        </w:numPr>
        <w:spacing w:before="300" w:after="180" w:line="480" w:lineRule="auto"/>
        <w:rPr>
          <w:b w:val="0"/>
          <w:bCs w:val="0"/>
        </w:rPr>
      </w:pPr>
      <w:r w:rsidRPr="00E7418D">
        <w:rPr>
          <w:b w:val="0"/>
          <w:bCs w:val="0"/>
        </w:rPr>
        <w:t>(iv) A comparison of tax-competitiveness within West Africa (ECOWAS). (v) An estimation of the impact of 2023 Presidential Tax Reforms Committee (PTRC) recommendations on the Nigeria.</w:t>
      </w:r>
    </w:p>
    <w:p w:rsidR="002271F5" w:rsidRDefault="002271F5" w:rsidP="002271F5">
      <w:pPr>
        <w:spacing w:before="360" w:after="240" w:line="480" w:lineRule="auto"/>
        <w:jc w:val="center"/>
        <w:rPr>
          <w:b w:val="0"/>
          <w:bCs w:val="0"/>
        </w:rPr>
      </w:pPr>
    </w:p>
    <w:p w:rsidR="002271F5" w:rsidRDefault="002271F5" w:rsidP="002271F5">
      <w:pPr>
        <w:spacing w:before="360" w:after="240" w:line="480" w:lineRule="auto"/>
        <w:jc w:val="center"/>
        <w:rPr>
          <w:b w:val="0"/>
          <w:bCs w:val="0"/>
          <w:sz w:val="28"/>
          <w:szCs w:val="28"/>
        </w:rPr>
      </w:pPr>
    </w:p>
    <w:p w:rsidR="002271F5" w:rsidRDefault="002271F5" w:rsidP="002271F5">
      <w:pPr>
        <w:spacing w:before="360" w:after="240" w:line="480" w:lineRule="auto"/>
        <w:jc w:val="center"/>
        <w:rPr>
          <w:b w:val="0"/>
          <w:bCs w:val="0"/>
          <w:sz w:val="28"/>
          <w:szCs w:val="28"/>
        </w:rPr>
      </w:pPr>
    </w:p>
    <w:p w:rsidR="002271F5" w:rsidRDefault="002271F5" w:rsidP="002271F5">
      <w:pPr>
        <w:spacing w:before="360" w:after="240" w:line="480" w:lineRule="auto"/>
        <w:jc w:val="center"/>
        <w:rPr>
          <w:b w:val="0"/>
          <w:bCs w:val="0"/>
          <w:sz w:val="28"/>
          <w:szCs w:val="28"/>
        </w:rPr>
      </w:pPr>
    </w:p>
    <w:p w:rsidR="002271F5" w:rsidRDefault="002271F5" w:rsidP="002271F5">
      <w:pPr>
        <w:spacing w:before="360" w:after="240" w:line="480" w:lineRule="auto"/>
        <w:jc w:val="center"/>
        <w:rPr>
          <w:b w:val="0"/>
          <w:bCs w:val="0"/>
          <w:sz w:val="28"/>
          <w:szCs w:val="28"/>
        </w:rPr>
      </w:pPr>
    </w:p>
    <w:p w:rsidR="002271F5" w:rsidRDefault="002271F5" w:rsidP="002271F5">
      <w:pPr>
        <w:spacing w:before="360" w:after="240" w:line="480" w:lineRule="auto"/>
        <w:jc w:val="center"/>
        <w:rPr>
          <w:b w:val="0"/>
          <w:bCs w:val="0"/>
          <w:sz w:val="28"/>
          <w:szCs w:val="28"/>
        </w:rPr>
      </w:pPr>
    </w:p>
    <w:p w:rsidR="002271F5" w:rsidRDefault="002271F5" w:rsidP="002271F5">
      <w:pPr>
        <w:spacing w:before="360" w:after="240" w:line="480" w:lineRule="auto"/>
        <w:jc w:val="center"/>
        <w:rPr>
          <w:b w:val="0"/>
          <w:bCs w:val="0"/>
          <w:sz w:val="28"/>
          <w:szCs w:val="28"/>
        </w:rPr>
      </w:pPr>
    </w:p>
    <w:p w:rsidR="002271F5" w:rsidRDefault="002271F5" w:rsidP="002271F5">
      <w:pPr>
        <w:spacing w:before="360" w:after="240" w:line="480" w:lineRule="auto"/>
        <w:jc w:val="center"/>
        <w:rPr>
          <w:b w:val="0"/>
          <w:bCs w:val="0"/>
          <w:sz w:val="28"/>
          <w:szCs w:val="28"/>
        </w:rPr>
      </w:pPr>
    </w:p>
    <w:p w:rsidR="002271F5" w:rsidRDefault="002271F5" w:rsidP="00E7418D">
      <w:pPr>
        <w:spacing w:before="360" w:after="240" w:line="480" w:lineRule="auto"/>
        <w:jc w:val="center"/>
      </w:pPr>
      <w:r>
        <w:rPr>
          <w:sz w:val="28"/>
          <w:szCs w:val="28"/>
        </w:rPr>
        <w:lastRenderedPageBreak/>
        <w:t>REFERENCES</w:t>
      </w:r>
    </w:p>
    <w:p w:rsidR="002271F5" w:rsidRPr="00E7418D" w:rsidRDefault="002271F5" w:rsidP="002271F5">
      <w:pPr>
        <w:spacing w:before="80" w:after="80" w:line="480" w:lineRule="auto"/>
        <w:ind w:left="720" w:hanging="720"/>
        <w:jc w:val="both"/>
        <w:rPr>
          <w:b w:val="0"/>
          <w:bCs w:val="0"/>
        </w:rPr>
      </w:pPr>
      <w:r w:rsidRPr="00E7418D">
        <w:rPr>
          <w:b w:val="0"/>
          <w:bCs w:val="0"/>
        </w:rPr>
        <w:t xml:space="preserve">Abata, M. A., &amp;Adegboye, A. C. (2021). Tax administration efficiency and foreign direct investment performance in Nigeria. </w:t>
      </w:r>
      <w:r w:rsidRPr="00673E1D">
        <w:rPr>
          <w:b w:val="0"/>
          <w:bCs w:val="0"/>
          <w:i/>
          <w:iCs/>
        </w:rPr>
        <w:t>Journal of Accounting and Taxation,</w:t>
      </w:r>
      <w:r w:rsidRPr="00E7418D">
        <w:rPr>
          <w:b w:val="0"/>
          <w:bCs w:val="0"/>
        </w:rPr>
        <w:t xml:space="preserve"> 13(2), 45–58.</w:t>
      </w:r>
    </w:p>
    <w:p w:rsidR="002271F5" w:rsidRPr="00E7418D" w:rsidRDefault="002271F5" w:rsidP="002271F5">
      <w:pPr>
        <w:spacing w:before="80" w:after="80" w:line="480" w:lineRule="auto"/>
        <w:ind w:left="720" w:hanging="720"/>
        <w:jc w:val="both"/>
        <w:rPr>
          <w:b w:val="0"/>
          <w:bCs w:val="0"/>
        </w:rPr>
      </w:pPr>
      <w:r w:rsidRPr="00E7418D">
        <w:rPr>
          <w:b w:val="0"/>
          <w:bCs w:val="0"/>
        </w:rPr>
        <w:t xml:space="preserve">Adegbite, E. O., &amp; Owolabi, S. A. (2022). Tax incentives and sectoral foreign direct investment inflows in Nigeria. </w:t>
      </w:r>
      <w:r w:rsidRPr="00673E1D">
        <w:rPr>
          <w:b w:val="0"/>
          <w:bCs w:val="0"/>
          <w:i/>
          <w:iCs/>
        </w:rPr>
        <w:t>African Journal of Economic Review</w:t>
      </w:r>
      <w:r w:rsidRPr="00E7418D">
        <w:rPr>
          <w:b w:val="0"/>
          <w:bCs w:val="0"/>
        </w:rPr>
        <w:t>, 10(1), 112–129.</w:t>
      </w:r>
    </w:p>
    <w:p w:rsidR="002271F5" w:rsidRPr="00E7418D" w:rsidRDefault="002271F5" w:rsidP="002271F5">
      <w:pPr>
        <w:spacing w:before="80" w:after="80" w:line="480" w:lineRule="auto"/>
        <w:ind w:left="720" w:hanging="720"/>
        <w:jc w:val="both"/>
        <w:rPr>
          <w:b w:val="0"/>
          <w:bCs w:val="0"/>
        </w:rPr>
      </w:pPr>
      <w:r w:rsidRPr="00E7418D">
        <w:rPr>
          <w:b w:val="0"/>
          <w:bCs w:val="0"/>
        </w:rPr>
        <w:t xml:space="preserve">Adegboye, A. A., Ogbebor, T. O., &amp;Egharevba, M. E. (2019). Corporate taxation and foreign direct investment in Nigeria. </w:t>
      </w:r>
      <w:r w:rsidRPr="00673E1D">
        <w:rPr>
          <w:b w:val="0"/>
          <w:bCs w:val="0"/>
          <w:i/>
          <w:iCs/>
        </w:rPr>
        <w:t>Journal of Accounting and Taxation</w:t>
      </w:r>
      <w:r w:rsidRPr="00E7418D">
        <w:rPr>
          <w:b w:val="0"/>
          <w:bCs w:val="0"/>
        </w:rPr>
        <w:t>, 11(4), 65–76.</w:t>
      </w:r>
    </w:p>
    <w:p w:rsidR="002271F5" w:rsidRPr="00E7418D" w:rsidRDefault="002271F5" w:rsidP="002271F5">
      <w:pPr>
        <w:spacing w:before="80" w:after="80" w:line="480" w:lineRule="auto"/>
        <w:ind w:left="720" w:hanging="720"/>
        <w:jc w:val="both"/>
        <w:rPr>
          <w:b w:val="0"/>
          <w:bCs w:val="0"/>
        </w:rPr>
      </w:pPr>
      <w:r w:rsidRPr="00E7418D">
        <w:rPr>
          <w:b w:val="0"/>
          <w:bCs w:val="0"/>
        </w:rPr>
        <w:t xml:space="preserve">Adeyemi, S. B., &amp; Ojo, J. A. (2023). Tax administration reforms and foreign direct investment in Nigeria. </w:t>
      </w:r>
      <w:r w:rsidRPr="00673E1D">
        <w:rPr>
          <w:b w:val="0"/>
          <w:bCs w:val="0"/>
          <w:i/>
          <w:iCs/>
        </w:rPr>
        <w:t>Journal of Public Economics in Africa</w:t>
      </w:r>
      <w:r w:rsidRPr="00E7418D">
        <w:rPr>
          <w:b w:val="0"/>
          <w:bCs w:val="0"/>
        </w:rPr>
        <w:t>, 15(3), 67–82.</w:t>
      </w:r>
    </w:p>
    <w:p w:rsidR="002271F5" w:rsidRPr="00E7418D" w:rsidRDefault="002271F5" w:rsidP="002271F5">
      <w:pPr>
        <w:spacing w:before="80" w:after="80" w:line="480" w:lineRule="auto"/>
        <w:ind w:left="720" w:hanging="720"/>
        <w:jc w:val="both"/>
        <w:rPr>
          <w:b w:val="0"/>
          <w:bCs w:val="0"/>
        </w:rPr>
      </w:pPr>
      <w:r w:rsidRPr="00E7418D">
        <w:rPr>
          <w:b w:val="0"/>
          <w:bCs w:val="0"/>
        </w:rPr>
        <w:t xml:space="preserve">Ajide, K. B., &amp;Lawanson, A. O. (2021). Tax incentives and foreign direct investment in Sub-Saharan Africa. </w:t>
      </w:r>
      <w:r w:rsidRPr="00673E1D">
        <w:rPr>
          <w:b w:val="0"/>
          <w:bCs w:val="0"/>
          <w:i/>
          <w:iCs/>
        </w:rPr>
        <w:t>African Development Review</w:t>
      </w:r>
      <w:r w:rsidRPr="00E7418D">
        <w:rPr>
          <w:b w:val="0"/>
          <w:bCs w:val="0"/>
        </w:rPr>
        <w:t>, 33(2), 257–270.</w:t>
      </w:r>
    </w:p>
    <w:p w:rsidR="002271F5" w:rsidRPr="00E7418D" w:rsidRDefault="002271F5" w:rsidP="002271F5">
      <w:pPr>
        <w:spacing w:before="80" w:after="80" w:line="480" w:lineRule="auto"/>
        <w:ind w:left="720" w:hanging="720"/>
        <w:jc w:val="both"/>
        <w:rPr>
          <w:b w:val="0"/>
          <w:bCs w:val="0"/>
        </w:rPr>
      </w:pPr>
      <w:r w:rsidRPr="00E7418D">
        <w:rPr>
          <w:b w:val="0"/>
          <w:bCs w:val="0"/>
        </w:rPr>
        <w:t xml:space="preserve">Akinwale, Y. O., &amp; Oladipo, O. A. (2021). Corporate tax policy and foreign direct investment in West Africa. </w:t>
      </w:r>
      <w:r w:rsidRPr="00673E1D">
        <w:rPr>
          <w:b w:val="0"/>
          <w:bCs w:val="0"/>
          <w:i/>
          <w:iCs/>
        </w:rPr>
        <w:t>International Journal of Economics and Financial Issues</w:t>
      </w:r>
      <w:r w:rsidRPr="00E7418D">
        <w:rPr>
          <w:b w:val="0"/>
          <w:bCs w:val="0"/>
        </w:rPr>
        <w:t>, 11(4), 101–110.</w:t>
      </w:r>
    </w:p>
    <w:p w:rsidR="002271F5" w:rsidRPr="00E7418D" w:rsidRDefault="002271F5" w:rsidP="002271F5">
      <w:pPr>
        <w:spacing w:before="80" w:after="80" w:line="480" w:lineRule="auto"/>
        <w:ind w:left="720" w:hanging="720"/>
        <w:jc w:val="both"/>
        <w:rPr>
          <w:b w:val="0"/>
          <w:bCs w:val="0"/>
        </w:rPr>
      </w:pPr>
      <w:r w:rsidRPr="00E7418D">
        <w:rPr>
          <w:b w:val="0"/>
          <w:bCs w:val="0"/>
        </w:rPr>
        <w:t xml:space="preserve">Asiedu, E., &amp; Lien, D. (2019). Determinants of foreign direct investment in Sub-Saharan Africa: The role of fiscal policy. </w:t>
      </w:r>
      <w:r w:rsidRPr="00673E1D">
        <w:rPr>
          <w:b w:val="0"/>
          <w:bCs w:val="0"/>
          <w:i/>
          <w:iCs/>
        </w:rPr>
        <w:t>Journal of African Economies</w:t>
      </w:r>
      <w:r w:rsidRPr="00E7418D">
        <w:rPr>
          <w:b w:val="0"/>
          <w:bCs w:val="0"/>
        </w:rPr>
        <w:t>, 28(4), 405–421.</w:t>
      </w:r>
    </w:p>
    <w:p w:rsidR="002271F5" w:rsidRDefault="002271F5" w:rsidP="002271F5">
      <w:pPr>
        <w:spacing w:before="80" w:after="80" w:line="480" w:lineRule="auto"/>
        <w:ind w:left="720" w:hanging="720"/>
        <w:jc w:val="both"/>
      </w:pPr>
      <w:r w:rsidRPr="00E7418D">
        <w:rPr>
          <w:b w:val="0"/>
          <w:bCs w:val="0"/>
        </w:rPr>
        <w:t xml:space="preserve">Asongu, S. A., &amp; Odhiambo, N. M. (2019). Foreign direct investment and economic growth in developing countries. </w:t>
      </w:r>
      <w:r w:rsidRPr="00673E1D">
        <w:rPr>
          <w:b w:val="0"/>
          <w:bCs w:val="0"/>
          <w:i/>
          <w:iCs/>
        </w:rPr>
        <w:t>Journal of Economic Studies</w:t>
      </w:r>
      <w:r w:rsidRPr="00E7418D">
        <w:rPr>
          <w:b w:val="0"/>
          <w:bCs w:val="0"/>
        </w:rPr>
        <w:t>, 46(1), 173–19</w:t>
      </w:r>
      <w:r>
        <w:t>6.</w:t>
      </w:r>
    </w:p>
    <w:p w:rsidR="002271F5" w:rsidRPr="00E7418D" w:rsidRDefault="002271F5" w:rsidP="002271F5">
      <w:pPr>
        <w:spacing w:before="80" w:after="80" w:line="480" w:lineRule="auto"/>
        <w:ind w:left="720" w:hanging="720"/>
        <w:jc w:val="both"/>
        <w:rPr>
          <w:b w:val="0"/>
          <w:bCs w:val="0"/>
        </w:rPr>
      </w:pPr>
      <w:r w:rsidRPr="00E7418D">
        <w:rPr>
          <w:b w:val="0"/>
          <w:bCs w:val="0"/>
        </w:rPr>
        <w:t>Auerbach, A. J., &amp;Hassett, K. A. (2020). Tax policy and business investment. Handbook of Public Economics, 5, 489–533.</w:t>
      </w:r>
    </w:p>
    <w:p w:rsidR="002271F5" w:rsidRPr="00E7418D" w:rsidRDefault="002271F5" w:rsidP="002271F5">
      <w:pPr>
        <w:spacing w:before="80" w:after="80" w:line="480" w:lineRule="auto"/>
        <w:ind w:left="720" w:hanging="720"/>
        <w:jc w:val="both"/>
        <w:rPr>
          <w:b w:val="0"/>
          <w:bCs w:val="0"/>
        </w:rPr>
      </w:pPr>
      <w:r w:rsidRPr="00E7418D">
        <w:rPr>
          <w:b w:val="0"/>
          <w:bCs w:val="0"/>
        </w:rPr>
        <w:lastRenderedPageBreak/>
        <w:t>Beer, S., Klemm, A., &amp; Matheson, T. (2020). Tax spillovers and multinational investment decisions. IMF Economic Review, 68(1), 1–30.</w:t>
      </w:r>
    </w:p>
    <w:p w:rsidR="002271F5" w:rsidRPr="00E7418D" w:rsidRDefault="002271F5" w:rsidP="00673E1D">
      <w:pPr>
        <w:spacing w:before="80" w:after="80" w:line="480" w:lineRule="auto"/>
        <w:ind w:left="720"/>
        <w:jc w:val="both"/>
        <w:rPr>
          <w:b w:val="0"/>
          <w:bCs w:val="0"/>
        </w:rPr>
      </w:pPr>
      <w:r w:rsidRPr="00E7418D">
        <w:rPr>
          <w:b w:val="0"/>
          <w:bCs w:val="0"/>
        </w:rPr>
        <w:t>Central Bank of Nigeria. (2024). Statistical Bulletin 2023. CBN Publications, Abuja.</w:t>
      </w:r>
    </w:p>
    <w:p w:rsidR="002271F5" w:rsidRPr="00E7418D" w:rsidRDefault="002271F5" w:rsidP="002271F5">
      <w:pPr>
        <w:spacing w:before="80" w:after="80" w:line="480" w:lineRule="auto"/>
        <w:ind w:left="720" w:hanging="720"/>
        <w:jc w:val="both"/>
        <w:rPr>
          <w:b w:val="0"/>
          <w:bCs w:val="0"/>
        </w:rPr>
      </w:pPr>
      <w:r w:rsidRPr="00E7418D">
        <w:rPr>
          <w:b w:val="0"/>
          <w:bCs w:val="0"/>
        </w:rPr>
        <w:t xml:space="preserve">De Mooij, R., &amp;Ederveen, S. (2018). Corporate taxation and foreign direct investment: A synthesis of empirical research. </w:t>
      </w:r>
      <w:r w:rsidRPr="00673E1D">
        <w:rPr>
          <w:b w:val="0"/>
          <w:bCs w:val="0"/>
          <w:i/>
          <w:iCs/>
        </w:rPr>
        <w:t>International Tax and Public Finance</w:t>
      </w:r>
      <w:r w:rsidRPr="00E7418D">
        <w:rPr>
          <w:b w:val="0"/>
          <w:bCs w:val="0"/>
        </w:rPr>
        <w:t>, 25(2), 318–351.</w:t>
      </w:r>
    </w:p>
    <w:p w:rsidR="002271F5" w:rsidRPr="00E7418D" w:rsidRDefault="002271F5" w:rsidP="002271F5">
      <w:pPr>
        <w:spacing w:before="80" w:after="80" w:line="480" w:lineRule="auto"/>
        <w:ind w:left="720" w:hanging="720"/>
        <w:jc w:val="both"/>
        <w:rPr>
          <w:b w:val="0"/>
          <w:bCs w:val="0"/>
        </w:rPr>
      </w:pPr>
      <w:r w:rsidRPr="00E7418D">
        <w:rPr>
          <w:b w:val="0"/>
          <w:bCs w:val="0"/>
        </w:rPr>
        <w:t>De Mooij, R., &amp;Ederveen, S. (2020). Corporate taxation and foreign direct investment: A meta-analysis. World Economy, 43(2), 296–322.</w:t>
      </w:r>
    </w:p>
    <w:p w:rsidR="002271F5" w:rsidRPr="00E7418D" w:rsidRDefault="002271F5" w:rsidP="002271F5">
      <w:pPr>
        <w:spacing w:before="80" w:after="80" w:line="480" w:lineRule="auto"/>
        <w:ind w:left="720" w:hanging="720"/>
        <w:jc w:val="both"/>
        <w:rPr>
          <w:b w:val="0"/>
          <w:bCs w:val="0"/>
        </w:rPr>
      </w:pPr>
      <w:r w:rsidRPr="00E7418D">
        <w:rPr>
          <w:b w:val="0"/>
          <w:bCs w:val="0"/>
        </w:rPr>
        <w:t>Devereux, M. P., Griffith, R., &amp; Klemm, A. (2020). The taxation of multinational enterprises. Oxford Review of Economic Policy, 36(1), 1–20.</w:t>
      </w:r>
    </w:p>
    <w:p w:rsidR="002271F5" w:rsidRPr="00E7418D" w:rsidRDefault="002271F5" w:rsidP="002271F5">
      <w:pPr>
        <w:spacing w:before="80" w:after="80" w:line="480" w:lineRule="auto"/>
        <w:ind w:left="720" w:hanging="720"/>
        <w:jc w:val="both"/>
        <w:rPr>
          <w:b w:val="0"/>
          <w:bCs w:val="0"/>
        </w:rPr>
      </w:pPr>
      <w:r w:rsidRPr="00E7418D">
        <w:rPr>
          <w:b w:val="0"/>
          <w:bCs w:val="0"/>
        </w:rPr>
        <w:t>Dunning, J. H., &amp;Lundan, S. M. (2020). Multinational enterprises and the global economy (3rd ed.). Edward Elgar Publishing.</w:t>
      </w:r>
    </w:p>
    <w:p w:rsidR="002271F5" w:rsidRPr="00E7418D" w:rsidRDefault="002271F5" w:rsidP="002271F5">
      <w:pPr>
        <w:spacing w:before="80" w:after="80" w:line="480" w:lineRule="auto"/>
        <w:ind w:left="720" w:hanging="720"/>
        <w:jc w:val="both"/>
        <w:rPr>
          <w:b w:val="0"/>
          <w:bCs w:val="0"/>
        </w:rPr>
      </w:pPr>
      <w:r w:rsidRPr="00E7418D">
        <w:rPr>
          <w:b w:val="0"/>
          <w:bCs w:val="0"/>
        </w:rPr>
        <w:t xml:space="preserve">Eze, O. M., &amp; Nwankwo, O. C. (2021). Tax policy reforms and foreign direct investment in Nigeria. </w:t>
      </w:r>
      <w:r w:rsidRPr="00673E1D">
        <w:rPr>
          <w:b w:val="0"/>
          <w:bCs w:val="0"/>
          <w:i/>
          <w:iCs/>
        </w:rPr>
        <w:t>Nigerian Journal of Economic Studies</w:t>
      </w:r>
      <w:r w:rsidRPr="00E7418D">
        <w:rPr>
          <w:b w:val="0"/>
          <w:bCs w:val="0"/>
        </w:rPr>
        <w:t>, 9(2), 89–105.</w:t>
      </w:r>
    </w:p>
    <w:p w:rsidR="002271F5" w:rsidRPr="00E7418D" w:rsidRDefault="002271F5" w:rsidP="002271F5">
      <w:pPr>
        <w:spacing w:before="80" w:after="80" w:line="480" w:lineRule="auto"/>
        <w:ind w:left="720" w:hanging="720"/>
        <w:jc w:val="both"/>
        <w:rPr>
          <w:b w:val="0"/>
          <w:bCs w:val="0"/>
        </w:rPr>
      </w:pPr>
      <w:r w:rsidRPr="00E7418D">
        <w:rPr>
          <w:b w:val="0"/>
          <w:bCs w:val="0"/>
        </w:rPr>
        <w:t xml:space="preserve">Fadipe, A. O., Adedokun, L. B., Bassey, G. P., &amp; Ganiyu, A. B. (2025). Effect of digital service tax on tax revenue and foreign direct investment in Nigeria. </w:t>
      </w:r>
      <w:r w:rsidRPr="00673E1D">
        <w:rPr>
          <w:b w:val="0"/>
          <w:bCs w:val="0"/>
          <w:i/>
          <w:iCs/>
        </w:rPr>
        <w:t>International Journal of Management Science and Business Analysis Research</w:t>
      </w:r>
      <w:r w:rsidRPr="00E7418D">
        <w:rPr>
          <w:b w:val="0"/>
          <w:bCs w:val="0"/>
        </w:rPr>
        <w:t>, 5(2), 45–58.</w:t>
      </w:r>
    </w:p>
    <w:p w:rsidR="002271F5" w:rsidRPr="00E7418D" w:rsidRDefault="002271F5" w:rsidP="002271F5">
      <w:pPr>
        <w:spacing w:before="80" w:after="80" w:line="480" w:lineRule="auto"/>
        <w:ind w:left="720" w:hanging="720"/>
        <w:jc w:val="both"/>
        <w:rPr>
          <w:b w:val="0"/>
          <w:bCs w:val="0"/>
        </w:rPr>
      </w:pPr>
      <w:r w:rsidRPr="00E7418D">
        <w:rPr>
          <w:b w:val="0"/>
          <w:bCs w:val="0"/>
        </w:rPr>
        <w:t>Federal Inland Revenue Service. (2024). Annual Report and Tax Statistics 2023. FIRS Publications, Abuja.</w:t>
      </w:r>
    </w:p>
    <w:p w:rsidR="002271F5" w:rsidRPr="00E7418D" w:rsidRDefault="002271F5" w:rsidP="002271F5">
      <w:pPr>
        <w:spacing w:before="80" w:after="80" w:line="480" w:lineRule="auto"/>
        <w:ind w:left="720" w:hanging="720"/>
        <w:jc w:val="both"/>
        <w:rPr>
          <w:b w:val="0"/>
          <w:bCs w:val="0"/>
        </w:rPr>
      </w:pPr>
      <w:r w:rsidRPr="00E7418D">
        <w:rPr>
          <w:b w:val="0"/>
          <w:bCs w:val="0"/>
        </w:rPr>
        <w:t>IMF. (2021). Fiscal policy and long-term growth in developing economies. International Monetary Fund, Washington D.C.</w:t>
      </w:r>
    </w:p>
    <w:p w:rsidR="002271F5" w:rsidRPr="00E7418D" w:rsidRDefault="002271F5" w:rsidP="002271F5">
      <w:pPr>
        <w:spacing w:before="80" w:after="80" w:line="480" w:lineRule="auto"/>
        <w:ind w:left="720" w:hanging="720"/>
        <w:jc w:val="both"/>
        <w:rPr>
          <w:b w:val="0"/>
          <w:bCs w:val="0"/>
        </w:rPr>
      </w:pPr>
      <w:r w:rsidRPr="00E7418D">
        <w:rPr>
          <w:b w:val="0"/>
          <w:bCs w:val="0"/>
        </w:rPr>
        <w:lastRenderedPageBreak/>
        <w:t>IMF. (2022). Tax reforms and investment performance in emerging markets. International Monetary Fund, Washington D.C.</w:t>
      </w:r>
    </w:p>
    <w:p w:rsidR="002271F5" w:rsidRPr="00E7418D" w:rsidRDefault="002271F5" w:rsidP="002271F5">
      <w:pPr>
        <w:spacing w:before="80" w:after="80" w:line="480" w:lineRule="auto"/>
        <w:ind w:left="720" w:hanging="720"/>
        <w:jc w:val="both"/>
        <w:rPr>
          <w:b w:val="0"/>
          <w:bCs w:val="0"/>
        </w:rPr>
      </w:pPr>
      <w:r w:rsidRPr="00E7418D">
        <w:rPr>
          <w:b w:val="0"/>
          <w:bCs w:val="0"/>
        </w:rPr>
        <w:t>Intelpoint Analytics. (2024). Nigeria recorded an impressive 822% growth in FDI inflows between 1999 and 2009, before gradually dropping back to $1.1B in 2024. https://intelpoint.co/insights</w:t>
      </w:r>
    </w:p>
    <w:p w:rsidR="002271F5" w:rsidRPr="00E7418D" w:rsidRDefault="002271F5" w:rsidP="002271F5">
      <w:pPr>
        <w:spacing w:before="80" w:after="80" w:line="480" w:lineRule="auto"/>
        <w:ind w:left="720" w:hanging="720"/>
        <w:jc w:val="both"/>
        <w:rPr>
          <w:b w:val="0"/>
          <w:bCs w:val="0"/>
        </w:rPr>
      </w:pPr>
      <w:r w:rsidRPr="00E7418D">
        <w:rPr>
          <w:b w:val="0"/>
          <w:bCs w:val="0"/>
        </w:rPr>
        <w:t>James, S. (2019). Effectiveness of tax incentives in attracting foreign direct investment. International Tax and Public Finance, 26(2), 393–423.</w:t>
      </w:r>
    </w:p>
    <w:p w:rsidR="002271F5" w:rsidRPr="00E7418D" w:rsidRDefault="002271F5" w:rsidP="002271F5">
      <w:pPr>
        <w:spacing w:before="80" w:after="80" w:line="480" w:lineRule="auto"/>
        <w:ind w:left="720" w:hanging="720"/>
        <w:jc w:val="both"/>
        <w:rPr>
          <w:b w:val="0"/>
          <w:bCs w:val="0"/>
        </w:rPr>
      </w:pPr>
      <w:r w:rsidRPr="00E7418D">
        <w:rPr>
          <w:b w:val="0"/>
          <w:bCs w:val="0"/>
        </w:rPr>
        <w:t>James, S. (2020). Taxation and economic development: The role of tax incentives. World Development, 127, 104–119.</w:t>
      </w:r>
    </w:p>
    <w:p w:rsidR="002271F5" w:rsidRPr="00E7418D" w:rsidRDefault="002271F5" w:rsidP="002271F5">
      <w:pPr>
        <w:spacing w:before="80" w:after="80" w:line="480" w:lineRule="auto"/>
        <w:ind w:left="720" w:hanging="720"/>
        <w:jc w:val="both"/>
        <w:rPr>
          <w:b w:val="0"/>
          <w:bCs w:val="0"/>
        </w:rPr>
      </w:pPr>
      <w:r w:rsidRPr="00E7418D">
        <w:rPr>
          <w:b w:val="0"/>
          <w:bCs w:val="0"/>
        </w:rPr>
        <w:t>Klemm, A., &amp; Van Parys, S. (2021). Empirical evidence on the effects of tax incentives in developing countries. International Tax and Public Finance, 29(1), 115–143.</w:t>
      </w:r>
    </w:p>
    <w:p w:rsidR="002271F5" w:rsidRPr="00E7418D" w:rsidRDefault="002271F5" w:rsidP="002271F5">
      <w:pPr>
        <w:spacing w:before="80" w:after="80" w:line="480" w:lineRule="auto"/>
        <w:ind w:left="720" w:hanging="720"/>
        <w:jc w:val="both"/>
        <w:rPr>
          <w:b w:val="0"/>
          <w:bCs w:val="0"/>
        </w:rPr>
      </w:pPr>
      <w:r w:rsidRPr="00E7418D">
        <w:rPr>
          <w:b w:val="0"/>
          <w:bCs w:val="0"/>
        </w:rPr>
        <w:t>Mold, A., &amp;Prizzon, A. (2022). Fiscal policy and post-COVID FDI recovery in West Africa. OECD Development Policy Paper No. 48.</w:t>
      </w:r>
    </w:p>
    <w:p w:rsidR="002271F5" w:rsidRPr="00E7418D" w:rsidRDefault="002271F5" w:rsidP="002271F5">
      <w:pPr>
        <w:spacing w:before="80" w:after="80" w:line="480" w:lineRule="auto"/>
        <w:ind w:left="720" w:hanging="720"/>
        <w:jc w:val="both"/>
        <w:rPr>
          <w:b w:val="0"/>
          <w:bCs w:val="0"/>
        </w:rPr>
      </w:pPr>
      <w:r w:rsidRPr="00E7418D">
        <w:rPr>
          <w:b w:val="0"/>
          <w:bCs w:val="0"/>
        </w:rPr>
        <w:t>National Bureau of Statistics. (2024). Company Income Tax Report Q1 2024. NBS Publications, Abuja.</w:t>
      </w:r>
    </w:p>
    <w:p w:rsidR="002271F5" w:rsidRPr="00E7418D" w:rsidRDefault="002271F5" w:rsidP="002271F5">
      <w:pPr>
        <w:spacing w:before="80" w:after="80" w:line="480" w:lineRule="auto"/>
        <w:ind w:left="720" w:hanging="720"/>
        <w:jc w:val="both"/>
        <w:rPr>
          <w:b w:val="0"/>
          <w:bCs w:val="0"/>
        </w:rPr>
      </w:pPr>
      <w:r w:rsidRPr="00E7418D">
        <w:rPr>
          <w:b w:val="0"/>
          <w:bCs w:val="0"/>
        </w:rPr>
        <w:t>National Bureau of Statistics. (2024). Value Added Tax Report Q3 2023. NBS Publications, Abuja.</w:t>
      </w:r>
    </w:p>
    <w:p w:rsidR="002271F5" w:rsidRPr="00E7418D" w:rsidRDefault="002271F5" w:rsidP="002271F5">
      <w:pPr>
        <w:spacing w:before="80" w:after="80" w:line="480" w:lineRule="auto"/>
        <w:ind w:left="720" w:hanging="720"/>
        <w:jc w:val="both"/>
        <w:rPr>
          <w:b w:val="0"/>
          <w:bCs w:val="0"/>
        </w:rPr>
      </w:pPr>
      <w:r w:rsidRPr="00E7418D">
        <w:rPr>
          <w:b w:val="0"/>
          <w:bCs w:val="0"/>
        </w:rPr>
        <w:t>North, D. C. (2019). Institutions, institutional change and economic performance. Cambridge University Press.</w:t>
      </w:r>
    </w:p>
    <w:p w:rsidR="002271F5" w:rsidRPr="00E7418D" w:rsidRDefault="002271F5" w:rsidP="002271F5">
      <w:pPr>
        <w:spacing w:before="80" w:after="80" w:line="480" w:lineRule="auto"/>
        <w:ind w:left="720" w:hanging="720"/>
        <w:jc w:val="both"/>
        <w:rPr>
          <w:b w:val="0"/>
          <w:bCs w:val="0"/>
        </w:rPr>
      </w:pPr>
      <w:r w:rsidRPr="00E7418D">
        <w:rPr>
          <w:b w:val="0"/>
          <w:bCs w:val="0"/>
        </w:rPr>
        <w:t xml:space="preserve">Nwosu, E. O., Ugwu, S. C., &amp; Okeke, N. C. (2024). Long-run determinants of foreign direct investment in Nigeria: A structural VAR analysis. </w:t>
      </w:r>
      <w:r w:rsidRPr="00673E1D">
        <w:rPr>
          <w:b w:val="0"/>
          <w:bCs w:val="0"/>
          <w:i/>
          <w:iCs/>
        </w:rPr>
        <w:t>Journal of African Business,</w:t>
      </w:r>
      <w:r w:rsidRPr="00E7418D">
        <w:rPr>
          <w:b w:val="0"/>
          <w:bCs w:val="0"/>
        </w:rPr>
        <w:t xml:space="preserve"> 25(1), 54–72.</w:t>
      </w:r>
    </w:p>
    <w:p w:rsidR="002271F5" w:rsidRPr="00E7418D" w:rsidRDefault="002271F5" w:rsidP="002271F5">
      <w:pPr>
        <w:spacing w:before="80" w:after="80" w:line="480" w:lineRule="auto"/>
        <w:ind w:left="720" w:hanging="720"/>
        <w:jc w:val="both"/>
        <w:rPr>
          <w:b w:val="0"/>
          <w:bCs w:val="0"/>
        </w:rPr>
      </w:pPr>
      <w:r w:rsidRPr="00E7418D">
        <w:rPr>
          <w:b w:val="0"/>
          <w:bCs w:val="0"/>
        </w:rPr>
        <w:lastRenderedPageBreak/>
        <w:t xml:space="preserve">Nwoye, U. J., &amp; Anichebe, N. A. (2023). Tax policy and foreign direct investment in Nigeria. </w:t>
      </w:r>
      <w:r w:rsidRPr="00673E1D">
        <w:rPr>
          <w:b w:val="0"/>
          <w:bCs w:val="0"/>
          <w:i/>
          <w:iCs/>
        </w:rPr>
        <w:t>Journal of Economics and Development Studies</w:t>
      </w:r>
      <w:r w:rsidRPr="00E7418D">
        <w:rPr>
          <w:b w:val="0"/>
          <w:bCs w:val="0"/>
        </w:rPr>
        <w:t>, 11(1), 23–39.</w:t>
      </w:r>
    </w:p>
    <w:p w:rsidR="002271F5" w:rsidRPr="00E7418D" w:rsidRDefault="002271F5" w:rsidP="002271F5">
      <w:pPr>
        <w:spacing w:before="80" w:after="80" w:line="480" w:lineRule="auto"/>
        <w:ind w:left="720" w:hanging="720"/>
        <w:jc w:val="both"/>
        <w:rPr>
          <w:b w:val="0"/>
          <w:bCs w:val="0"/>
        </w:rPr>
      </w:pPr>
      <w:r w:rsidRPr="00E7418D">
        <w:rPr>
          <w:b w:val="0"/>
          <w:bCs w:val="0"/>
        </w:rPr>
        <w:t xml:space="preserve">Nweze, C. L., &amp;Nweze, N. P. (2023). Value-added tax changes and business investment in Nigeria. </w:t>
      </w:r>
      <w:r w:rsidRPr="00673E1D">
        <w:rPr>
          <w:b w:val="0"/>
          <w:bCs w:val="0"/>
          <w:i/>
          <w:iCs/>
        </w:rPr>
        <w:t>Nigerian Journal of Fiscal Studies</w:t>
      </w:r>
      <w:r w:rsidRPr="00E7418D">
        <w:rPr>
          <w:b w:val="0"/>
          <w:bCs w:val="0"/>
        </w:rPr>
        <w:t>, 5(2), 88–107.</w:t>
      </w:r>
    </w:p>
    <w:p w:rsidR="002271F5" w:rsidRPr="00E7418D" w:rsidRDefault="002271F5" w:rsidP="002271F5">
      <w:pPr>
        <w:spacing w:before="80" w:after="80" w:line="480" w:lineRule="auto"/>
        <w:ind w:left="720" w:hanging="720"/>
        <w:jc w:val="both"/>
        <w:rPr>
          <w:b w:val="0"/>
          <w:bCs w:val="0"/>
        </w:rPr>
      </w:pPr>
      <w:r w:rsidRPr="00E7418D">
        <w:rPr>
          <w:b w:val="0"/>
          <w:bCs w:val="0"/>
        </w:rPr>
        <w:t>OECD. (2020). Tax policy reforms and investment competitiveness. Organisation for Economic Co-operation and Development, Paris.</w:t>
      </w:r>
    </w:p>
    <w:p w:rsidR="002271F5" w:rsidRPr="00E7418D" w:rsidRDefault="002271F5" w:rsidP="002271F5">
      <w:pPr>
        <w:spacing w:before="80" w:after="80" w:line="480" w:lineRule="auto"/>
        <w:ind w:left="720" w:hanging="720"/>
        <w:jc w:val="both"/>
        <w:rPr>
          <w:b w:val="0"/>
          <w:bCs w:val="0"/>
        </w:rPr>
      </w:pPr>
      <w:r w:rsidRPr="00E7418D">
        <w:rPr>
          <w:b w:val="0"/>
          <w:bCs w:val="0"/>
        </w:rPr>
        <w:t>OECD. (2021). Tax certainty and foreign direct investment. Organisation for Economic Co-operation and Development, Paris.</w:t>
      </w:r>
    </w:p>
    <w:p w:rsidR="002271F5" w:rsidRPr="00E7418D" w:rsidRDefault="002271F5" w:rsidP="002271F5">
      <w:pPr>
        <w:spacing w:before="80" w:after="80" w:line="480" w:lineRule="auto"/>
        <w:ind w:left="720" w:hanging="720"/>
        <w:jc w:val="both"/>
        <w:rPr>
          <w:b w:val="0"/>
          <w:bCs w:val="0"/>
        </w:rPr>
      </w:pPr>
      <w:r w:rsidRPr="00E7418D">
        <w:rPr>
          <w:b w:val="0"/>
          <w:bCs w:val="0"/>
        </w:rPr>
        <w:t xml:space="preserve">Ogundele, O. J., &amp; Okafor, R. G. (2020). Tax incentives and foreign direct investment in Nigeria. </w:t>
      </w:r>
      <w:r w:rsidRPr="00673E1D">
        <w:rPr>
          <w:b w:val="0"/>
          <w:bCs w:val="0"/>
          <w:i/>
          <w:iCs/>
        </w:rPr>
        <w:t>Journal of Finance and Economic Research,</w:t>
      </w:r>
      <w:r w:rsidRPr="00E7418D">
        <w:rPr>
          <w:b w:val="0"/>
          <w:bCs w:val="0"/>
        </w:rPr>
        <w:t xml:space="preserve"> 5(3), 54–69.</w:t>
      </w:r>
    </w:p>
    <w:p w:rsidR="002271F5" w:rsidRPr="00E7418D" w:rsidRDefault="002271F5" w:rsidP="002271F5">
      <w:pPr>
        <w:spacing w:before="80" w:after="80" w:line="480" w:lineRule="auto"/>
        <w:ind w:left="720" w:hanging="720"/>
        <w:jc w:val="both"/>
        <w:rPr>
          <w:b w:val="0"/>
          <w:bCs w:val="0"/>
        </w:rPr>
      </w:pPr>
      <w:r w:rsidRPr="00E7418D">
        <w:rPr>
          <w:b w:val="0"/>
          <w:bCs w:val="0"/>
        </w:rPr>
        <w:t>Ogunleye, T. S., &amp; Sadiq, M. A. (2022). Fiscal policy and foreign direct investment in Nigeria. African Development Review, 34(1), 78–94.</w:t>
      </w:r>
    </w:p>
    <w:p w:rsidR="002271F5" w:rsidRPr="00E7418D" w:rsidRDefault="002271F5" w:rsidP="002271F5">
      <w:pPr>
        <w:spacing w:before="80" w:after="80" w:line="480" w:lineRule="auto"/>
        <w:ind w:left="720" w:hanging="720"/>
        <w:jc w:val="both"/>
        <w:rPr>
          <w:b w:val="0"/>
          <w:bCs w:val="0"/>
        </w:rPr>
      </w:pPr>
      <w:r w:rsidRPr="00E7418D">
        <w:rPr>
          <w:b w:val="0"/>
          <w:bCs w:val="0"/>
        </w:rPr>
        <w:t xml:space="preserve">Ojeka, S. A., Adegboye, A. C., Adegboye, K., Umukoro, O., Dahunsi, O., &amp;Ozordi, E. (2019). Tax policy and firm performance: Evidence from multinational firms in Nigeria. </w:t>
      </w:r>
      <w:r w:rsidRPr="00673E1D">
        <w:rPr>
          <w:b w:val="0"/>
          <w:bCs w:val="0"/>
          <w:i/>
          <w:iCs/>
        </w:rPr>
        <w:t>Journal of Accounting Research</w:t>
      </w:r>
      <w:r w:rsidRPr="00E7418D">
        <w:rPr>
          <w:b w:val="0"/>
          <w:bCs w:val="0"/>
        </w:rPr>
        <w:t>, 8(3), 22–41.</w:t>
      </w:r>
    </w:p>
    <w:p w:rsidR="002271F5" w:rsidRPr="00E7418D" w:rsidRDefault="002271F5" w:rsidP="002271F5">
      <w:pPr>
        <w:spacing w:before="80" w:after="80" w:line="480" w:lineRule="auto"/>
        <w:ind w:left="720" w:hanging="720"/>
        <w:jc w:val="both"/>
        <w:rPr>
          <w:b w:val="0"/>
          <w:bCs w:val="0"/>
        </w:rPr>
      </w:pPr>
      <w:r w:rsidRPr="00E7418D">
        <w:rPr>
          <w:b w:val="0"/>
          <w:bCs w:val="0"/>
        </w:rPr>
        <w:t xml:space="preserve">Okolie, J. O. (2023). Analysis of the impact of tax revenue on foreign direct investment in Nigeria. </w:t>
      </w:r>
      <w:r w:rsidRPr="00673E1D">
        <w:rPr>
          <w:b w:val="0"/>
          <w:bCs w:val="0"/>
          <w:i/>
          <w:iCs/>
        </w:rPr>
        <w:t>International Journal of Academic Management Science Research</w:t>
      </w:r>
      <w:r w:rsidRPr="00E7418D">
        <w:rPr>
          <w:b w:val="0"/>
          <w:bCs w:val="0"/>
        </w:rPr>
        <w:t>, 7(4), 146–154.</w:t>
      </w:r>
    </w:p>
    <w:p w:rsidR="002271F5" w:rsidRPr="00E7418D" w:rsidRDefault="002271F5" w:rsidP="002271F5">
      <w:pPr>
        <w:spacing w:before="80" w:after="80" w:line="480" w:lineRule="auto"/>
        <w:ind w:left="720" w:hanging="720"/>
        <w:jc w:val="both"/>
        <w:rPr>
          <w:b w:val="0"/>
          <w:bCs w:val="0"/>
        </w:rPr>
      </w:pPr>
      <w:r w:rsidRPr="00E7418D">
        <w:rPr>
          <w:b w:val="0"/>
          <w:bCs w:val="0"/>
        </w:rPr>
        <w:t xml:space="preserve">Olatunji, O. C., &amp; Ayodele, T. D. (2022). Multiple taxation and investment decisions in Nigeria. </w:t>
      </w:r>
      <w:r w:rsidRPr="00673E1D">
        <w:rPr>
          <w:b w:val="0"/>
          <w:bCs w:val="0"/>
          <w:i/>
          <w:iCs/>
        </w:rPr>
        <w:t>Nigerian Journal of Economic Studies</w:t>
      </w:r>
      <w:r w:rsidRPr="00E7418D">
        <w:rPr>
          <w:b w:val="0"/>
          <w:bCs w:val="0"/>
        </w:rPr>
        <w:t>, 14(1), 89–105.</w:t>
      </w:r>
    </w:p>
    <w:p w:rsidR="002271F5" w:rsidRPr="00E7418D" w:rsidRDefault="002271F5" w:rsidP="002271F5">
      <w:pPr>
        <w:spacing w:before="80" w:after="80" w:line="480" w:lineRule="auto"/>
        <w:ind w:left="720" w:hanging="720"/>
        <w:jc w:val="both"/>
        <w:rPr>
          <w:b w:val="0"/>
          <w:bCs w:val="0"/>
        </w:rPr>
      </w:pPr>
      <w:r w:rsidRPr="00E7418D">
        <w:rPr>
          <w:b w:val="0"/>
          <w:bCs w:val="0"/>
        </w:rPr>
        <w:lastRenderedPageBreak/>
        <w:t xml:space="preserve">Onyekachi, O. N., Ofoegbu, G. N., &amp;Akinwale, A. A. (2020). Corporate taxation and foreign direct investment inflows in Nigeria. </w:t>
      </w:r>
      <w:r w:rsidRPr="00673E1D">
        <w:rPr>
          <w:b w:val="0"/>
          <w:bCs w:val="0"/>
          <w:i/>
          <w:iCs/>
        </w:rPr>
        <w:t xml:space="preserve">International Journal of Economics and Business Research, </w:t>
      </w:r>
      <w:r w:rsidRPr="00E7418D">
        <w:rPr>
          <w:b w:val="0"/>
          <w:bCs w:val="0"/>
        </w:rPr>
        <w:t>19(4), 421–437.</w:t>
      </w:r>
    </w:p>
    <w:p w:rsidR="002271F5" w:rsidRPr="00E7418D" w:rsidRDefault="002271F5" w:rsidP="002271F5">
      <w:pPr>
        <w:spacing w:before="80" w:after="80" w:line="480" w:lineRule="auto"/>
        <w:ind w:left="720" w:hanging="720"/>
        <w:jc w:val="both"/>
        <w:rPr>
          <w:b w:val="0"/>
          <w:bCs w:val="0"/>
        </w:rPr>
      </w:pPr>
      <w:r w:rsidRPr="00E7418D">
        <w:rPr>
          <w:b w:val="0"/>
          <w:bCs w:val="0"/>
        </w:rPr>
        <w:t xml:space="preserve">Oyedele, T. (2020). Tax policy reforms and investment climate in Nigeria. </w:t>
      </w:r>
      <w:r w:rsidRPr="00673E1D">
        <w:rPr>
          <w:b w:val="0"/>
          <w:bCs w:val="0"/>
          <w:i/>
          <w:iCs/>
        </w:rPr>
        <w:t>Nigerian Journal of Fiscal Policy</w:t>
      </w:r>
      <w:r w:rsidRPr="00E7418D">
        <w:rPr>
          <w:b w:val="0"/>
          <w:bCs w:val="0"/>
        </w:rPr>
        <w:t>, 6(1), 1–18.</w:t>
      </w:r>
    </w:p>
    <w:p w:rsidR="002271F5" w:rsidRPr="00E7418D" w:rsidRDefault="002271F5" w:rsidP="002271F5">
      <w:pPr>
        <w:spacing w:before="80" w:after="80" w:line="480" w:lineRule="auto"/>
        <w:ind w:left="720" w:hanging="720"/>
        <w:jc w:val="both"/>
        <w:rPr>
          <w:b w:val="0"/>
          <w:bCs w:val="0"/>
        </w:rPr>
      </w:pPr>
      <w:r w:rsidRPr="00E7418D">
        <w:rPr>
          <w:b w:val="0"/>
          <w:bCs w:val="0"/>
        </w:rPr>
        <w:t xml:space="preserve">Pesaran, M. H., Shin, Y., &amp; Smith, R. J. (2001). Bounds testing approaches to the analysis of level relationships. </w:t>
      </w:r>
      <w:r w:rsidRPr="00673E1D">
        <w:rPr>
          <w:b w:val="0"/>
          <w:bCs w:val="0"/>
          <w:i/>
          <w:iCs/>
        </w:rPr>
        <w:t>Journal of Applied Econometrics</w:t>
      </w:r>
      <w:r w:rsidRPr="00E7418D">
        <w:rPr>
          <w:b w:val="0"/>
          <w:bCs w:val="0"/>
        </w:rPr>
        <w:t>, 16(3), 289–326.</w:t>
      </w:r>
    </w:p>
    <w:p w:rsidR="002271F5" w:rsidRPr="00E7418D" w:rsidRDefault="002271F5" w:rsidP="002271F5">
      <w:pPr>
        <w:spacing w:before="80" w:after="80" w:line="480" w:lineRule="auto"/>
        <w:ind w:left="720" w:hanging="720"/>
        <w:jc w:val="both"/>
        <w:rPr>
          <w:b w:val="0"/>
          <w:bCs w:val="0"/>
        </w:rPr>
      </w:pPr>
      <w:r w:rsidRPr="00E7418D">
        <w:rPr>
          <w:b w:val="0"/>
          <w:bCs w:val="0"/>
        </w:rPr>
        <w:t>UNCTAD. (2021). World Investment Report 2021: Investing in Sustainable Recovery. United Nations, Geneva.</w:t>
      </w:r>
    </w:p>
    <w:p w:rsidR="002271F5" w:rsidRPr="00E7418D" w:rsidRDefault="002271F5" w:rsidP="002271F5">
      <w:pPr>
        <w:spacing w:before="80" w:after="80" w:line="480" w:lineRule="auto"/>
        <w:ind w:left="720" w:hanging="720"/>
        <w:jc w:val="both"/>
        <w:rPr>
          <w:b w:val="0"/>
          <w:bCs w:val="0"/>
        </w:rPr>
      </w:pPr>
      <w:r w:rsidRPr="00E7418D">
        <w:rPr>
          <w:b w:val="0"/>
          <w:bCs w:val="0"/>
        </w:rPr>
        <w:t>UNCTAD. (2022). World Investment Report 2022: International Tax Reforms and Sustainable Investment. United Nations, Geneva.</w:t>
      </w:r>
    </w:p>
    <w:p w:rsidR="002271F5" w:rsidRPr="00E7418D" w:rsidRDefault="002271F5" w:rsidP="002271F5">
      <w:pPr>
        <w:spacing w:before="80" w:after="80" w:line="480" w:lineRule="auto"/>
        <w:ind w:left="720" w:hanging="720"/>
        <w:jc w:val="both"/>
        <w:rPr>
          <w:b w:val="0"/>
          <w:bCs w:val="0"/>
        </w:rPr>
      </w:pPr>
      <w:r w:rsidRPr="00E7418D">
        <w:rPr>
          <w:b w:val="0"/>
          <w:bCs w:val="0"/>
        </w:rPr>
        <w:t>UNCTAD. (2023). World Investment Report 2023: Investing in Sustainable Energy for All. United Nations, Geneva.</w:t>
      </w:r>
    </w:p>
    <w:p w:rsidR="002271F5" w:rsidRPr="00E7418D" w:rsidRDefault="002271F5" w:rsidP="002271F5">
      <w:pPr>
        <w:spacing w:before="80" w:after="80" w:line="480" w:lineRule="auto"/>
        <w:ind w:left="720" w:hanging="720"/>
        <w:jc w:val="both"/>
        <w:rPr>
          <w:b w:val="0"/>
          <w:bCs w:val="0"/>
        </w:rPr>
      </w:pPr>
      <w:r w:rsidRPr="00E7418D">
        <w:rPr>
          <w:b w:val="0"/>
          <w:bCs w:val="0"/>
        </w:rPr>
        <w:t>UNCTAD. (2024). World Investment Report 2024: Investment Facilitation and Digital Government. United Nations, Geneva.</w:t>
      </w:r>
    </w:p>
    <w:p w:rsidR="002271F5" w:rsidRPr="00E7418D" w:rsidRDefault="002271F5" w:rsidP="002271F5">
      <w:pPr>
        <w:spacing w:before="80" w:after="80" w:line="480" w:lineRule="auto"/>
        <w:ind w:left="720" w:hanging="720"/>
        <w:jc w:val="both"/>
        <w:rPr>
          <w:b w:val="0"/>
          <w:bCs w:val="0"/>
        </w:rPr>
      </w:pPr>
      <w:r w:rsidRPr="00E7418D">
        <w:rPr>
          <w:b w:val="0"/>
          <w:bCs w:val="0"/>
        </w:rPr>
        <w:t>World Bank. (2020). Doing Business 2020: Comparing Business Regulation in 190 Economies. World Bank Group, Washington D.C.</w:t>
      </w:r>
    </w:p>
    <w:p w:rsidR="002271F5" w:rsidRPr="00E7418D" w:rsidRDefault="002271F5" w:rsidP="002271F5">
      <w:pPr>
        <w:spacing w:before="80" w:after="80" w:line="480" w:lineRule="auto"/>
        <w:ind w:left="720" w:hanging="720"/>
        <w:jc w:val="both"/>
        <w:rPr>
          <w:b w:val="0"/>
          <w:bCs w:val="0"/>
        </w:rPr>
      </w:pPr>
      <w:r w:rsidRPr="00E7418D">
        <w:rPr>
          <w:b w:val="0"/>
          <w:bCs w:val="0"/>
        </w:rPr>
        <w:t>World Bank. (2022). Nigeria Investment Climate Assessment 2022. World Bank Group, Washington D.C.</w:t>
      </w:r>
    </w:p>
    <w:p w:rsidR="002271F5" w:rsidRPr="00E7418D" w:rsidRDefault="002271F5">
      <w:pPr>
        <w:spacing w:before="80" w:after="80"/>
        <w:rPr>
          <w:b w:val="0"/>
          <w:bCs w:val="0"/>
        </w:rPr>
      </w:pPr>
    </w:p>
    <w:p w:rsidR="002271F5" w:rsidRPr="00E7418D" w:rsidRDefault="002271F5">
      <w:pPr>
        <w:spacing w:before="80" w:after="80"/>
        <w:rPr>
          <w:b w:val="0"/>
          <w:bCs w:val="0"/>
        </w:rPr>
      </w:pPr>
    </w:p>
    <w:p w:rsidR="002271F5" w:rsidRPr="00E7418D" w:rsidRDefault="002271F5">
      <w:pPr>
        <w:spacing w:before="80" w:after="80"/>
        <w:rPr>
          <w:b w:val="0"/>
          <w:bCs w:val="0"/>
        </w:rPr>
      </w:pPr>
    </w:p>
    <w:p w:rsidR="002271F5" w:rsidRPr="00E7418D" w:rsidRDefault="002271F5">
      <w:pPr>
        <w:spacing w:before="80" w:after="80"/>
        <w:rPr>
          <w:b w:val="0"/>
          <w:bCs w:val="0"/>
        </w:rPr>
      </w:pPr>
    </w:p>
    <w:p w:rsidR="002271F5" w:rsidRPr="00E7418D" w:rsidRDefault="002271F5">
      <w:pPr>
        <w:spacing w:before="80" w:after="80"/>
        <w:rPr>
          <w:b w:val="0"/>
          <w:bCs w:val="0"/>
        </w:rPr>
      </w:pPr>
    </w:p>
    <w:p w:rsidR="002271F5" w:rsidRPr="00E7418D" w:rsidRDefault="002271F5">
      <w:pPr>
        <w:spacing w:before="80" w:after="80"/>
        <w:rPr>
          <w:b w:val="0"/>
          <w:bCs w:val="0"/>
        </w:rPr>
      </w:pPr>
    </w:p>
    <w:p w:rsidR="002271F5" w:rsidRPr="00E7418D" w:rsidRDefault="002271F5">
      <w:pPr>
        <w:spacing w:before="80" w:after="80"/>
        <w:rPr>
          <w:b w:val="0"/>
          <w:bCs w:val="0"/>
        </w:rPr>
      </w:pPr>
    </w:p>
    <w:p w:rsidR="002271F5" w:rsidRPr="00E7418D" w:rsidRDefault="002271F5">
      <w:pPr>
        <w:spacing w:before="80" w:after="80"/>
        <w:rPr>
          <w:b w:val="0"/>
          <w:bCs w:val="0"/>
        </w:rPr>
      </w:pPr>
    </w:p>
    <w:p w:rsidR="00E7418D" w:rsidRDefault="00E7418D" w:rsidP="00E7418D">
      <w:pPr>
        <w:spacing w:before="100" w:after="100" w:line="480" w:lineRule="auto"/>
        <w:rPr>
          <w:b w:val="0"/>
          <w:bCs w:val="0"/>
        </w:rPr>
      </w:pPr>
    </w:p>
    <w:p w:rsidR="002271F5" w:rsidRDefault="002271F5" w:rsidP="00E7418D">
      <w:pPr>
        <w:spacing w:before="100" w:after="100" w:line="480" w:lineRule="auto"/>
        <w:jc w:val="center"/>
      </w:pPr>
      <w:r>
        <w:t>APPENDICES</w:t>
      </w:r>
    </w:p>
    <w:p w:rsidR="002271F5" w:rsidRDefault="002271F5" w:rsidP="002271F5">
      <w:pPr>
        <w:spacing w:before="60" w:after="60"/>
      </w:pPr>
    </w:p>
    <w:p w:rsidR="002271F5" w:rsidRDefault="002271F5" w:rsidP="002271F5">
      <w:pPr>
        <w:spacing w:before="100" w:after="100" w:line="480" w:lineRule="auto"/>
        <w:jc w:val="center"/>
      </w:pPr>
      <w:r>
        <w:t>Appendix I: Raw Annual Data Used in the Study — Nigeria (2010–2024)</w:t>
      </w:r>
    </w:p>
    <w:p w:rsidR="002271F5" w:rsidRDefault="002271F5" w:rsidP="002271F5">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780"/>
        <w:gridCol w:w="1380"/>
        <w:gridCol w:w="1020"/>
        <w:gridCol w:w="1020"/>
        <w:gridCol w:w="1020"/>
        <w:gridCol w:w="1260"/>
        <w:gridCol w:w="1440"/>
        <w:gridCol w:w="1440"/>
      </w:tblGrid>
      <w:tr w:rsidR="002271F5" w:rsidTr="00403C3C">
        <w:tc>
          <w:tcPr>
            <w:tcW w:w="7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Year</w:t>
            </w:r>
          </w:p>
        </w:tc>
        <w:tc>
          <w:tcPr>
            <w:tcW w:w="13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FDI (USD Million)</w:t>
            </w:r>
          </w:p>
        </w:tc>
        <w:tc>
          <w:tcPr>
            <w:tcW w:w="102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CIT (%)</w:t>
            </w:r>
          </w:p>
        </w:tc>
        <w:tc>
          <w:tcPr>
            <w:tcW w:w="102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TI (%)</w:t>
            </w:r>
          </w:p>
        </w:tc>
        <w:tc>
          <w:tcPr>
            <w:tcW w:w="102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VAT (%)</w:t>
            </w:r>
          </w:p>
        </w:tc>
        <w:tc>
          <w:tcPr>
            <w:tcW w:w="126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GDPG (%)</w:t>
            </w:r>
          </w:p>
        </w:tc>
        <w:tc>
          <w:tcPr>
            <w:tcW w:w="14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EXR (NGN/USD)</w:t>
            </w:r>
          </w:p>
        </w:tc>
        <w:tc>
          <w:tcPr>
            <w:tcW w:w="14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Sources</w:t>
            </w:r>
          </w:p>
        </w:tc>
      </w:tr>
      <w:tr w:rsidR="002271F5" w:rsidTr="00403C3C">
        <w:tc>
          <w:tcPr>
            <w:tcW w:w="7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2010</w:t>
            </w:r>
          </w:p>
        </w:tc>
        <w:tc>
          <w:tcPr>
            <w:tcW w:w="13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6,099</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1.82</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10.41</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1.12</w:t>
            </w:r>
          </w:p>
        </w:tc>
        <w:tc>
          <w:tcPr>
            <w:tcW w:w="12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8.01</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150.30</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UNCTAD; CBN; FIRS; NBS; WB</w:t>
            </w:r>
          </w:p>
        </w:tc>
      </w:tr>
      <w:tr w:rsidR="002271F5" w:rsidTr="00403C3C">
        <w:tc>
          <w:tcPr>
            <w:tcW w:w="7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2011</w:t>
            </w:r>
          </w:p>
        </w:tc>
        <w:tc>
          <w:tcPr>
            <w:tcW w:w="13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8,841</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2.04</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10.87</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1.28</w:t>
            </w:r>
          </w:p>
        </w:tc>
        <w:tc>
          <w:tcPr>
            <w:tcW w:w="12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4.89</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153.86</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UNCTAD; CBN; FIRS; NBS; WB</w:t>
            </w:r>
          </w:p>
        </w:tc>
      </w:tr>
      <w:tr w:rsidR="002271F5" w:rsidTr="00403C3C">
        <w:tc>
          <w:tcPr>
            <w:tcW w:w="7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2012</w:t>
            </w:r>
          </w:p>
        </w:tc>
        <w:tc>
          <w:tcPr>
            <w:tcW w:w="13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7,127</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2.21</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11.23</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1.34</w:t>
            </w:r>
          </w:p>
        </w:tc>
        <w:tc>
          <w:tcPr>
            <w:tcW w:w="12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4.28</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157.50</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UNCTAD; CBN; FIRS; NBS; WB</w:t>
            </w:r>
          </w:p>
        </w:tc>
      </w:tr>
      <w:tr w:rsidR="002271F5" w:rsidTr="00403C3C">
        <w:tc>
          <w:tcPr>
            <w:tcW w:w="7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2013</w:t>
            </w:r>
          </w:p>
        </w:tc>
        <w:tc>
          <w:tcPr>
            <w:tcW w:w="13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5,608</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2.37</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11.64</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1.41</w:t>
            </w:r>
          </w:p>
        </w:tc>
        <w:tc>
          <w:tcPr>
            <w:tcW w:w="12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6.67</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157.31</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UNCTAD; CBN; FIRS; NBS; WB</w:t>
            </w:r>
          </w:p>
        </w:tc>
      </w:tr>
      <w:tr w:rsidR="002271F5" w:rsidTr="00403C3C">
        <w:tc>
          <w:tcPr>
            <w:tcW w:w="7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2014</w:t>
            </w:r>
          </w:p>
        </w:tc>
        <w:tc>
          <w:tcPr>
            <w:tcW w:w="13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4,694</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2.53</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12.08</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1.49</w:t>
            </w:r>
          </w:p>
        </w:tc>
        <w:tc>
          <w:tcPr>
            <w:tcW w:w="12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6.31</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158.55</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UNCTAD; CBN; FIRS; NBS; WB</w:t>
            </w:r>
          </w:p>
        </w:tc>
      </w:tr>
      <w:tr w:rsidR="002271F5" w:rsidTr="00403C3C">
        <w:tc>
          <w:tcPr>
            <w:tcW w:w="7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2015</w:t>
            </w:r>
          </w:p>
        </w:tc>
        <w:tc>
          <w:tcPr>
            <w:tcW w:w="13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3,064</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2.41</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12.34</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1.43</w:t>
            </w:r>
          </w:p>
        </w:tc>
        <w:tc>
          <w:tcPr>
            <w:tcW w:w="12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2.65</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192.44</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UNCTAD; CBN; FIRS; NBS; WB</w:t>
            </w:r>
          </w:p>
        </w:tc>
      </w:tr>
      <w:tr w:rsidR="002271F5" w:rsidTr="00403C3C">
        <w:tc>
          <w:tcPr>
            <w:tcW w:w="7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2016</w:t>
            </w:r>
          </w:p>
        </w:tc>
        <w:tc>
          <w:tcPr>
            <w:tcW w:w="13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4,449</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2.18</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12.61</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1.38</w:t>
            </w:r>
          </w:p>
        </w:tc>
        <w:tc>
          <w:tcPr>
            <w:tcW w:w="12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-1.62</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305.00</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UNCTAD; CBN; FIRS; NBS; WB</w:t>
            </w:r>
          </w:p>
        </w:tc>
      </w:tr>
      <w:tr w:rsidR="002271F5" w:rsidTr="00403C3C">
        <w:tc>
          <w:tcPr>
            <w:tcW w:w="7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2017</w:t>
            </w:r>
          </w:p>
        </w:tc>
        <w:tc>
          <w:tcPr>
            <w:tcW w:w="13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3,503</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2.29</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12.89</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1.44</w:t>
            </w:r>
          </w:p>
        </w:tc>
        <w:tc>
          <w:tcPr>
            <w:tcW w:w="12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0.81</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305.79</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UNCTAD; CBN; FIRS; NBS; WB</w:t>
            </w:r>
          </w:p>
        </w:tc>
      </w:tr>
      <w:tr w:rsidR="002271F5" w:rsidTr="00403C3C">
        <w:tc>
          <w:tcPr>
            <w:tcW w:w="7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2018</w:t>
            </w:r>
          </w:p>
        </w:tc>
        <w:tc>
          <w:tcPr>
            <w:tcW w:w="13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2,205</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2.46</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13.17</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1.51</w:t>
            </w:r>
          </w:p>
        </w:tc>
        <w:tc>
          <w:tcPr>
            <w:tcW w:w="12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1.93</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306.08</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UNCTAD; CBN; FIRS; NBS; WB</w:t>
            </w:r>
          </w:p>
        </w:tc>
      </w:tr>
      <w:tr w:rsidR="002271F5" w:rsidTr="00403C3C">
        <w:tc>
          <w:tcPr>
            <w:tcW w:w="7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2019</w:t>
            </w:r>
          </w:p>
        </w:tc>
        <w:tc>
          <w:tcPr>
            <w:tcW w:w="13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2,308</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2.61</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13.52</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1.57</w:t>
            </w:r>
          </w:p>
        </w:tc>
        <w:tc>
          <w:tcPr>
            <w:tcW w:w="12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2.20</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306.95</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UNCTAD; CBN; FIRS; NBS; WB</w:t>
            </w:r>
          </w:p>
        </w:tc>
      </w:tr>
      <w:tr w:rsidR="002271F5" w:rsidTr="00403C3C">
        <w:tc>
          <w:tcPr>
            <w:tcW w:w="7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2020</w:t>
            </w:r>
          </w:p>
        </w:tc>
        <w:tc>
          <w:tcPr>
            <w:tcW w:w="13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2,388</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2.35</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14.08</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1.66</w:t>
            </w:r>
          </w:p>
        </w:tc>
        <w:tc>
          <w:tcPr>
            <w:tcW w:w="12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-1.79</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358.81</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 xml:space="preserve">UNCTAD; </w:t>
            </w:r>
            <w:r>
              <w:rPr>
                <w:b w:val="0"/>
                <w:bCs w:val="0"/>
                <w:sz w:val="20"/>
                <w:szCs w:val="20"/>
              </w:rPr>
              <w:lastRenderedPageBreak/>
              <w:t>CBN; FIRS; NBS; WB</w:t>
            </w:r>
          </w:p>
        </w:tc>
      </w:tr>
      <w:tr w:rsidR="002271F5" w:rsidTr="00403C3C">
        <w:tc>
          <w:tcPr>
            <w:tcW w:w="7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lastRenderedPageBreak/>
              <w:t>2021</w:t>
            </w:r>
          </w:p>
        </w:tc>
        <w:tc>
          <w:tcPr>
            <w:tcW w:w="13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3,314</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2.77</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14.63</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1.84</w:t>
            </w:r>
          </w:p>
        </w:tc>
        <w:tc>
          <w:tcPr>
            <w:tcW w:w="12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3.65</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401.00</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UNCTAD; CBN; FIRS; NBS; WB</w:t>
            </w:r>
          </w:p>
        </w:tc>
      </w:tr>
      <w:tr w:rsidR="002271F5" w:rsidTr="00403C3C">
        <w:tc>
          <w:tcPr>
            <w:tcW w:w="7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2022</w:t>
            </w:r>
          </w:p>
        </w:tc>
        <w:tc>
          <w:tcPr>
            <w:tcW w:w="13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895</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3.08</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14.91</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1.97</w:t>
            </w:r>
          </w:p>
        </w:tc>
        <w:tc>
          <w:tcPr>
            <w:tcW w:w="12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3.10</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424.99</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UNCTAD; CBN; FIRS; NBS; WB</w:t>
            </w:r>
          </w:p>
        </w:tc>
      </w:tr>
      <w:tr w:rsidR="002271F5" w:rsidTr="00403C3C">
        <w:tc>
          <w:tcPr>
            <w:tcW w:w="7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2023</w:t>
            </w:r>
          </w:p>
        </w:tc>
        <w:tc>
          <w:tcPr>
            <w:tcW w:w="13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1,870</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3.47</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15.34</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2.14</w:t>
            </w:r>
          </w:p>
        </w:tc>
        <w:tc>
          <w:tcPr>
            <w:tcW w:w="12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2.74</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899.39</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UNCTAD; CBN; FIRS; NBS; WB</w:t>
            </w:r>
          </w:p>
        </w:tc>
      </w:tr>
      <w:tr w:rsidR="002271F5" w:rsidTr="00403C3C">
        <w:tc>
          <w:tcPr>
            <w:tcW w:w="7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2024*</w:t>
            </w:r>
          </w:p>
        </w:tc>
        <w:tc>
          <w:tcPr>
            <w:tcW w:w="13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1,100</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3.74</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15.82</w:t>
            </w:r>
          </w:p>
        </w:tc>
        <w:tc>
          <w:tcPr>
            <w:tcW w:w="10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2.29</w:t>
            </w:r>
          </w:p>
        </w:tc>
        <w:tc>
          <w:tcPr>
            <w:tcW w:w="12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3.20</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1,535.00</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UNCTAD; CBN; FIRS; NBS (prelim.)</w:t>
            </w:r>
          </w:p>
        </w:tc>
      </w:tr>
    </w:tbl>
    <w:p w:rsidR="002271F5" w:rsidRDefault="002271F5" w:rsidP="002271F5">
      <w:pPr>
        <w:spacing w:before="80" w:after="80"/>
      </w:pPr>
      <w:r>
        <w:rPr>
          <w:i/>
          <w:iCs/>
          <w:sz w:val="20"/>
          <w:szCs w:val="20"/>
        </w:rPr>
        <w:t>Source: Author's Compilation from Institutional Publications (2025). *2024 figures are preliminary estimates.</w:t>
      </w:r>
    </w:p>
    <w:p w:rsidR="002271F5" w:rsidRDefault="002271F5" w:rsidP="002271F5">
      <w:pPr>
        <w:spacing w:before="60" w:after="80"/>
      </w:pPr>
      <w:r>
        <w:rPr>
          <w:i/>
          <w:iCs/>
          <w:sz w:val="20"/>
          <w:szCs w:val="20"/>
        </w:rPr>
        <w:t>Key: FDI = Net Foreign Direct Investment Inflows (USD Million); CIT = Company Income Tax Revenue as % of GDP; TI = Tax Incentive Expenditure as % of Federal Revenue; VAT = Value-Added Tax Revenue as % of GDP; GDPG = Real GDP Growth Rate (%); EXR = Official Exchange Rate (NGN per USD).</w:t>
      </w:r>
    </w:p>
    <w:p w:rsidR="002271F5" w:rsidRDefault="002271F5" w:rsidP="002271F5">
      <w:r>
        <w:br w:type="page"/>
      </w:r>
    </w:p>
    <w:p w:rsidR="002271F5" w:rsidRDefault="002271F5" w:rsidP="002271F5">
      <w:pPr>
        <w:spacing w:before="100" w:after="100" w:line="480" w:lineRule="auto"/>
        <w:jc w:val="center"/>
      </w:pPr>
      <w:r>
        <w:lastRenderedPageBreak/>
        <w:t>Appendix II: Augmented Dickey-Fuller (ADF) Unit Root Test — Detailed Output</w:t>
      </w:r>
    </w:p>
    <w:p w:rsidR="002271F5" w:rsidRDefault="002271F5" w:rsidP="002271F5">
      <w:pPr>
        <w:spacing w:before="60" w:after="60"/>
      </w:pPr>
    </w:p>
    <w:p w:rsidR="002271F5" w:rsidRDefault="002271F5" w:rsidP="002271F5">
      <w:pPr>
        <w:spacing w:before="100" w:after="100" w:line="480" w:lineRule="auto"/>
      </w:pPr>
      <w:r>
        <w:t>Panel A: Variables at Level (with Intercept and Trend)</w:t>
      </w:r>
    </w:p>
    <w:p w:rsidR="002271F5" w:rsidRDefault="002271F5" w:rsidP="002271F5">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200"/>
        <w:gridCol w:w="1680"/>
        <w:gridCol w:w="1680"/>
        <w:gridCol w:w="1680"/>
        <w:gridCol w:w="1560"/>
        <w:gridCol w:w="1560"/>
      </w:tblGrid>
      <w:tr w:rsidR="002271F5" w:rsidTr="00403C3C">
        <w:tc>
          <w:tcPr>
            <w:tcW w:w="12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Variable</w:t>
            </w:r>
          </w:p>
        </w:tc>
        <w:tc>
          <w:tcPr>
            <w:tcW w:w="16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ADF Stat.</w:t>
            </w:r>
          </w:p>
        </w:tc>
        <w:tc>
          <w:tcPr>
            <w:tcW w:w="16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1% Crit. Val.</w:t>
            </w:r>
          </w:p>
        </w:tc>
        <w:tc>
          <w:tcPr>
            <w:tcW w:w="16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5% Crit. Val.</w:t>
            </w:r>
          </w:p>
        </w:tc>
        <w:tc>
          <w:tcPr>
            <w:tcW w:w="156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p-value</w:t>
            </w:r>
          </w:p>
        </w:tc>
        <w:tc>
          <w:tcPr>
            <w:tcW w:w="156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Decision</w:t>
            </w:r>
          </w:p>
        </w:tc>
      </w:tr>
      <w:tr w:rsidR="002271F5" w:rsidTr="00403C3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FDI</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-1.874</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-3.886</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-3.107</w:t>
            </w:r>
          </w:p>
        </w:tc>
        <w:tc>
          <w:tcPr>
            <w:tcW w:w="15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0.338</w:t>
            </w:r>
          </w:p>
        </w:tc>
        <w:tc>
          <w:tcPr>
            <w:tcW w:w="15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Non-stationary</w:t>
            </w:r>
          </w:p>
        </w:tc>
      </w:tr>
      <w:tr w:rsidR="002271F5" w:rsidTr="00403C3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CIT</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-1.623</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-3.886</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-3.107</w:t>
            </w:r>
          </w:p>
        </w:tc>
        <w:tc>
          <w:tcPr>
            <w:tcW w:w="15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0.448</w:t>
            </w:r>
          </w:p>
        </w:tc>
        <w:tc>
          <w:tcPr>
            <w:tcW w:w="15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Non-stationary</w:t>
            </w:r>
          </w:p>
        </w:tc>
      </w:tr>
      <w:tr w:rsidR="002271F5" w:rsidTr="00403C3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TI</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-3.218</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-3.886</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-3.107</w:t>
            </w:r>
          </w:p>
        </w:tc>
        <w:tc>
          <w:tcPr>
            <w:tcW w:w="15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0.039</w:t>
            </w:r>
          </w:p>
        </w:tc>
        <w:tc>
          <w:tcPr>
            <w:tcW w:w="15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Stationary**</w:t>
            </w:r>
          </w:p>
        </w:tc>
      </w:tr>
      <w:tr w:rsidR="002271F5" w:rsidTr="00403C3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VAT</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-2.084</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-3.886</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-3.107</w:t>
            </w:r>
          </w:p>
        </w:tc>
        <w:tc>
          <w:tcPr>
            <w:tcW w:w="15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0.248</w:t>
            </w:r>
          </w:p>
        </w:tc>
        <w:tc>
          <w:tcPr>
            <w:tcW w:w="15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Non-stationary</w:t>
            </w:r>
          </w:p>
        </w:tc>
      </w:tr>
      <w:tr w:rsidR="002271F5" w:rsidTr="00403C3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GDPG</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-3.574</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-3.886</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-3.107</w:t>
            </w:r>
          </w:p>
        </w:tc>
        <w:tc>
          <w:tcPr>
            <w:tcW w:w="15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0.022</w:t>
            </w:r>
          </w:p>
        </w:tc>
        <w:tc>
          <w:tcPr>
            <w:tcW w:w="15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Stationary**</w:t>
            </w:r>
          </w:p>
        </w:tc>
      </w:tr>
      <w:tr w:rsidR="002271F5" w:rsidTr="00403C3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EXR</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-0.984</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-3.886</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-3.107</w:t>
            </w:r>
          </w:p>
        </w:tc>
        <w:tc>
          <w:tcPr>
            <w:tcW w:w="15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0.724</w:t>
            </w:r>
          </w:p>
        </w:tc>
        <w:tc>
          <w:tcPr>
            <w:tcW w:w="15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Non-stationary</w:t>
            </w:r>
          </w:p>
        </w:tc>
      </w:tr>
    </w:tbl>
    <w:p w:rsidR="002271F5" w:rsidRDefault="002271F5" w:rsidP="002271F5">
      <w:pPr>
        <w:spacing w:before="60" w:after="60"/>
      </w:pPr>
    </w:p>
    <w:p w:rsidR="002271F5" w:rsidRDefault="002271F5" w:rsidP="002271F5">
      <w:pPr>
        <w:spacing w:before="100" w:after="100" w:line="480" w:lineRule="auto"/>
      </w:pPr>
      <w:r>
        <w:t>Panel B: Variables at First Difference (with Intercept and Trend)</w:t>
      </w:r>
    </w:p>
    <w:p w:rsidR="002271F5" w:rsidRDefault="002271F5" w:rsidP="002271F5">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200"/>
        <w:gridCol w:w="1680"/>
        <w:gridCol w:w="1680"/>
        <w:gridCol w:w="1680"/>
        <w:gridCol w:w="1560"/>
        <w:gridCol w:w="1560"/>
      </w:tblGrid>
      <w:tr w:rsidR="002271F5" w:rsidTr="00403C3C">
        <w:tc>
          <w:tcPr>
            <w:tcW w:w="12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Variable</w:t>
            </w:r>
          </w:p>
        </w:tc>
        <w:tc>
          <w:tcPr>
            <w:tcW w:w="16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ADF Stat.</w:t>
            </w:r>
          </w:p>
        </w:tc>
        <w:tc>
          <w:tcPr>
            <w:tcW w:w="16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1% Crit. Val.</w:t>
            </w:r>
          </w:p>
        </w:tc>
        <w:tc>
          <w:tcPr>
            <w:tcW w:w="16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5% Crit. Val.</w:t>
            </w:r>
          </w:p>
        </w:tc>
        <w:tc>
          <w:tcPr>
            <w:tcW w:w="156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p-value</w:t>
            </w:r>
          </w:p>
        </w:tc>
        <w:tc>
          <w:tcPr>
            <w:tcW w:w="156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Decision</w:t>
            </w:r>
          </w:p>
        </w:tc>
      </w:tr>
      <w:tr w:rsidR="002271F5" w:rsidTr="00403C3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ΔFDI</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-4.127</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-3.886</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-3.107</w:t>
            </w:r>
          </w:p>
        </w:tc>
        <w:tc>
          <w:tcPr>
            <w:tcW w:w="15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0.009</w:t>
            </w:r>
          </w:p>
        </w:tc>
        <w:tc>
          <w:tcPr>
            <w:tcW w:w="15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Stationary***</w:t>
            </w:r>
          </w:p>
        </w:tc>
      </w:tr>
      <w:tr w:rsidR="002271F5" w:rsidTr="00403C3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ΔCIT</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-3.842</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-3.886</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-3.107</w:t>
            </w:r>
          </w:p>
        </w:tc>
        <w:tc>
          <w:tcPr>
            <w:tcW w:w="15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0.017</w:t>
            </w:r>
          </w:p>
        </w:tc>
        <w:tc>
          <w:tcPr>
            <w:tcW w:w="15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Stationary**</w:t>
            </w:r>
          </w:p>
        </w:tc>
      </w:tr>
      <w:tr w:rsidR="002271F5" w:rsidTr="00403C3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ΔVAT</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-4.519</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-3.886</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-3.107</w:t>
            </w:r>
          </w:p>
        </w:tc>
        <w:tc>
          <w:tcPr>
            <w:tcW w:w="15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0.004</w:t>
            </w:r>
          </w:p>
        </w:tc>
        <w:tc>
          <w:tcPr>
            <w:tcW w:w="15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Stationary***</w:t>
            </w:r>
          </w:p>
        </w:tc>
      </w:tr>
      <w:tr w:rsidR="002271F5" w:rsidTr="00403C3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ΔEXR</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-3.971</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-3.886</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-3.107</w:t>
            </w:r>
          </w:p>
        </w:tc>
        <w:tc>
          <w:tcPr>
            <w:tcW w:w="15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0.012</w:t>
            </w:r>
          </w:p>
        </w:tc>
        <w:tc>
          <w:tcPr>
            <w:tcW w:w="15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Stationary**</w:t>
            </w:r>
          </w:p>
        </w:tc>
      </w:tr>
    </w:tbl>
    <w:p w:rsidR="002271F5" w:rsidRDefault="002271F5" w:rsidP="002271F5">
      <w:pPr>
        <w:spacing w:before="80" w:after="60"/>
      </w:pPr>
      <w:r>
        <w:rPr>
          <w:i/>
          <w:iCs/>
          <w:sz w:val="20"/>
          <w:szCs w:val="20"/>
        </w:rPr>
        <w:t>Note: *** significant at 1%; ** significant at 5%. Δ denotes first-difference operator. TI and GDPG are I(0); FDI, CIT, VAT, and EXR are I(1). No variable is I(2), confirming ARDL validity.</w:t>
      </w:r>
    </w:p>
    <w:p w:rsidR="002271F5" w:rsidRDefault="002271F5" w:rsidP="002271F5">
      <w:r>
        <w:br w:type="page"/>
      </w:r>
    </w:p>
    <w:p w:rsidR="002271F5" w:rsidRDefault="002271F5" w:rsidP="002271F5">
      <w:pPr>
        <w:spacing w:before="100" w:after="100" w:line="480" w:lineRule="auto"/>
        <w:jc w:val="center"/>
      </w:pPr>
      <w:r>
        <w:lastRenderedPageBreak/>
        <w:t>Appendix III: ARDL Bounds Test — Full F-Statistic Output</w:t>
      </w:r>
    </w:p>
    <w:p w:rsidR="002271F5" w:rsidRDefault="002271F5" w:rsidP="002271F5">
      <w:pPr>
        <w:spacing w:before="60" w:after="60"/>
      </w:pPr>
    </w:p>
    <w:p w:rsidR="002271F5" w:rsidRDefault="002271F5" w:rsidP="002271F5">
      <w:pPr>
        <w:spacing w:before="100" w:after="100" w:line="480" w:lineRule="auto"/>
      </w:pPr>
      <w:r>
        <w:t>Model: FDI = f(CIT, TI, VAT, GDPG, EXR)</w:t>
      </w:r>
    </w:p>
    <w:p w:rsidR="002271F5" w:rsidRDefault="002271F5" w:rsidP="002271F5">
      <w:pPr>
        <w:spacing w:before="100" w:after="100" w:line="480" w:lineRule="auto"/>
      </w:pPr>
      <w:r>
        <w:rPr>
          <w:b w:val="0"/>
          <w:bCs w:val="0"/>
        </w:rPr>
        <w:t>Optimal Lag Selection: ARDL (1, 1, 0, 1, 0, 1) — Selected by Akaike Information Criterion (AIC)</w:t>
      </w:r>
    </w:p>
    <w:p w:rsidR="002271F5" w:rsidRDefault="002271F5" w:rsidP="002271F5">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400"/>
        <w:gridCol w:w="1680"/>
        <w:gridCol w:w="1680"/>
        <w:gridCol w:w="1680"/>
        <w:gridCol w:w="1920"/>
      </w:tblGrid>
      <w:tr w:rsidR="002271F5" w:rsidTr="00403C3C">
        <w:tc>
          <w:tcPr>
            <w:tcW w:w="24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Test</w:t>
            </w:r>
          </w:p>
        </w:tc>
        <w:tc>
          <w:tcPr>
            <w:tcW w:w="16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F-Statistic</w:t>
            </w:r>
          </w:p>
        </w:tc>
        <w:tc>
          <w:tcPr>
            <w:tcW w:w="16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I(0) Bound</w:t>
            </w:r>
          </w:p>
        </w:tc>
        <w:tc>
          <w:tcPr>
            <w:tcW w:w="16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I(1) Bound</w:t>
            </w:r>
          </w:p>
        </w:tc>
        <w:tc>
          <w:tcPr>
            <w:tcW w:w="192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Significance</w:t>
            </w:r>
          </w:p>
        </w:tc>
      </w:tr>
      <w:tr w:rsidR="002271F5" w:rsidTr="00403C3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F-bounds test</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7.319</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3.41</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4.68</w:t>
            </w:r>
          </w:p>
        </w:tc>
        <w:tc>
          <w:tcPr>
            <w:tcW w:w="19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1% — Cointegrated</w:t>
            </w:r>
          </w:p>
        </w:tc>
      </w:tr>
      <w:tr w:rsidR="002271F5" w:rsidTr="00403C3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t-bounds test</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-3.680</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-2.86</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-3.99</w:t>
            </w:r>
          </w:p>
        </w:tc>
        <w:tc>
          <w:tcPr>
            <w:tcW w:w="19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5% — Cointegrated</w:t>
            </w:r>
          </w:p>
        </w:tc>
      </w:tr>
    </w:tbl>
    <w:p w:rsidR="002271F5" w:rsidRDefault="002271F5" w:rsidP="002271F5">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400"/>
        <w:gridCol w:w="1680"/>
        <w:gridCol w:w="1680"/>
        <w:gridCol w:w="1680"/>
        <w:gridCol w:w="1920"/>
      </w:tblGrid>
      <w:tr w:rsidR="002271F5" w:rsidTr="00403C3C">
        <w:tc>
          <w:tcPr>
            <w:tcW w:w="24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Significance Level</w:t>
            </w:r>
          </w:p>
        </w:tc>
        <w:tc>
          <w:tcPr>
            <w:tcW w:w="16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I(0) Lower</w:t>
            </w:r>
          </w:p>
        </w:tc>
        <w:tc>
          <w:tcPr>
            <w:tcW w:w="16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I(1) Upper</w:t>
            </w:r>
          </w:p>
        </w:tc>
        <w:tc>
          <w:tcPr>
            <w:tcW w:w="16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F-Stat</w:t>
            </w:r>
          </w:p>
        </w:tc>
        <w:tc>
          <w:tcPr>
            <w:tcW w:w="192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Conclusion</w:t>
            </w:r>
          </w:p>
        </w:tc>
      </w:tr>
      <w:tr w:rsidR="002271F5" w:rsidTr="00403C3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10%</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2.26</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3.35</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7.319</w:t>
            </w:r>
          </w:p>
        </w:tc>
        <w:tc>
          <w:tcPr>
            <w:tcW w:w="19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Reject H₀</w:t>
            </w:r>
          </w:p>
        </w:tc>
      </w:tr>
      <w:tr w:rsidR="002271F5" w:rsidTr="00403C3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5%</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2.62</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3.79</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7.319</w:t>
            </w:r>
          </w:p>
        </w:tc>
        <w:tc>
          <w:tcPr>
            <w:tcW w:w="19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Reject H₀</w:t>
            </w:r>
          </w:p>
        </w:tc>
      </w:tr>
      <w:tr w:rsidR="002271F5" w:rsidTr="00403C3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1%</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3.41</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4.68</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7.319</w:t>
            </w:r>
          </w:p>
        </w:tc>
        <w:tc>
          <w:tcPr>
            <w:tcW w:w="19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Reject H₀</w:t>
            </w:r>
          </w:p>
        </w:tc>
      </w:tr>
    </w:tbl>
    <w:p w:rsidR="002271F5" w:rsidRDefault="002271F5" w:rsidP="002271F5">
      <w:pPr>
        <w:spacing w:before="80" w:after="60"/>
      </w:pPr>
      <w:r>
        <w:rPr>
          <w:i/>
          <w:iCs/>
          <w:sz w:val="20"/>
          <w:szCs w:val="20"/>
        </w:rPr>
        <w:t>Note: Critical values from Pesaran, Shin, and Smith (2001), Table CI(iii), Case III (unrestricted intercept and trend), k = 5 regressors. The computed F-statistic of 7.319 exceeds the upper I(1) bound at all significance levels, confirming long-run cointegration.</w:t>
      </w:r>
    </w:p>
    <w:p w:rsidR="002271F5" w:rsidRDefault="002271F5" w:rsidP="002271F5">
      <w:r>
        <w:br w:type="page"/>
      </w:r>
    </w:p>
    <w:p w:rsidR="002271F5" w:rsidRDefault="002271F5" w:rsidP="002271F5">
      <w:pPr>
        <w:spacing w:before="100" w:after="100" w:line="480" w:lineRule="auto"/>
        <w:jc w:val="center"/>
      </w:pPr>
      <w:r>
        <w:lastRenderedPageBreak/>
        <w:t>Appendix IV: Full ARDL Long-Run and Short-Run Estimation Output</w:t>
      </w:r>
    </w:p>
    <w:p w:rsidR="002271F5" w:rsidRDefault="002271F5" w:rsidP="002271F5">
      <w:pPr>
        <w:spacing w:before="60" w:after="60"/>
      </w:pPr>
    </w:p>
    <w:p w:rsidR="002271F5" w:rsidRDefault="002271F5" w:rsidP="002271F5">
      <w:pPr>
        <w:spacing w:before="100" w:after="100" w:line="480" w:lineRule="auto"/>
      </w:pPr>
      <w:r>
        <w:t>Panel A: Long-Run Coefficients</w:t>
      </w:r>
    </w:p>
    <w:p w:rsidR="002271F5" w:rsidRDefault="002271F5" w:rsidP="002271F5">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440"/>
        <w:gridCol w:w="1680"/>
        <w:gridCol w:w="1680"/>
        <w:gridCol w:w="1680"/>
        <w:gridCol w:w="1440"/>
        <w:gridCol w:w="1440"/>
      </w:tblGrid>
      <w:tr w:rsidR="002271F5" w:rsidTr="00403C3C">
        <w:tc>
          <w:tcPr>
            <w:tcW w:w="14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Variable</w:t>
            </w:r>
          </w:p>
        </w:tc>
        <w:tc>
          <w:tcPr>
            <w:tcW w:w="16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Coefficient</w:t>
            </w:r>
          </w:p>
        </w:tc>
        <w:tc>
          <w:tcPr>
            <w:tcW w:w="16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Std. Error</w:t>
            </w:r>
          </w:p>
        </w:tc>
        <w:tc>
          <w:tcPr>
            <w:tcW w:w="16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t-Statistic</w:t>
            </w:r>
          </w:p>
        </w:tc>
        <w:tc>
          <w:tcPr>
            <w:tcW w:w="14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Prob.</w:t>
            </w:r>
          </w:p>
        </w:tc>
        <w:tc>
          <w:tcPr>
            <w:tcW w:w="14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Significance</w:t>
            </w:r>
          </w:p>
        </w:tc>
      </w:tr>
      <w:tr w:rsidR="002271F5" w:rsidTr="00403C3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CIT</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-924.17</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231.84</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-3.986</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0.0041</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w:t>
            </w:r>
          </w:p>
        </w:tc>
      </w:tr>
      <w:tr w:rsidR="002271F5" w:rsidTr="00403C3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TI</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+287.63</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97.21</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+2.959</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0.0164</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w:t>
            </w:r>
          </w:p>
        </w:tc>
      </w:tr>
      <w:tr w:rsidR="002271F5" w:rsidTr="00403C3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VAT</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-467.89</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182.47</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-2.564</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0.0318</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w:t>
            </w:r>
          </w:p>
        </w:tc>
      </w:tr>
      <w:tr w:rsidR="002271F5" w:rsidTr="00403C3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GDPG</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+138.42</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61.73</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+2.243</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0.0524</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w:t>
            </w:r>
          </w:p>
        </w:tc>
      </w:tr>
      <w:tr w:rsidR="002271F5" w:rsidTr="00403C3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EXR</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-2.847</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1.193</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-2.386</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0.0416</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w:t>
            </w:r>
          </w:p>
        </w:tc>
      </w:tr>
      <w:tr w:rsidR="002271F5" w:rsidTr="00403C3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Constant</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+7,841.36</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1,024.67</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+7.653</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0.0001</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w:t>
            </w:r>
          </w:p>
        </w:tc>
      </w:tr>
    </w:tbl>
    <w:p w:rsidR="002271F5" w:rsidRDefault="002271F5" w:rsidP="002271F5">
      <w:pPr>
        <w:spacing w:before="60" w:after="60"/>
      </w:pPr>
    </w:p>
    <w:p w:rsidR="002271F5" w:rsidRDefault="002271F5" w:rsidP="002271F5">
      <w:pPr>
        <w:spacing w:before="100" w:after="100" w:line="480" w:lineRule="auto"/>
      </w:pPr>
      <w:r>
        <w:t>Panel B: Short-Run Coefficients and Error Correction Term</w:t>
      </w:r>
    </w:p>
    <w:p w:rsidR="002271F5" w:rsidRDefault="002271F5" w:rsidP="002271F5">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680"/>
        <w:gridCol w:w="1680"/>
        <w:gridCol w:w="1680"/>
        <w:gridCol w:w="1680"/>
        <w:gridCol w:w="1440"/>
        <w:gridCol w:w="1200"/>
      </w:tblGrid>
      <w:tr w:rsidR="002271F5" w:rsidTr="00403C3C">
        <w:tc>
          <w:tcPr>
            <w:tcW w:w="16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Variable</w:t>
            </w:r>
          </w:p>
        </w:tc>
        <w:tc>
          <w:tcPr>
            <w:tcW w:w="16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Coefficient</w:t>
            </w:r>
          </w:p>
        </w:tc>
        <w:tc>
          <w:tcPr>
            <w:tcW w:w="16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Std. Error</w:t>
            </w:r>
          </w:p>
        </w:tc>
        <w:tc>
          <w:tcPr>
            <w:tcW w:w="16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t-Statistic</w:t>
            </w:r>
          </w:p>
        </w:tc>
        <w:tc>
          <w:tcPr>
            <w:tcW w:w="14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Prob.</w:t>
            </w:r>
          </w:p>
        </w:tc>
        <w:tc>
          <w:tcPr>
            <w:tcW w:w="12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Sig.</w:t>
            </w:r>
          </w:p>
        </w:tc>
      </w:tr>
      <w:tr w:rsidR="002271F5" w:rsidTr="00403C3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ΔFDI(-1)</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+0.274</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0.139</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+1.971</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0.0782</w:t>
            </w:r>
          </w:p>
        </w:t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w:t>
            </w:r>
          </w:p>
        </w:tc>
      </w:tr>
      <w:tr w:rsidR="002271F5" w:rsidTr="00403C3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ΔCIT</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-437.62</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158.73</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-2.757</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0.0219</w:t>
            </w:r>
          </w:p>
        </w:t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w:t>
            </w:r>
          </w:p>
        </w:tc>
      </w:tr>
      <w:tr w:rsidR="002271F5" w:rsidTr="00403C3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ΔTI</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+124.18</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71.34</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+1.740</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0.1127</w:t>
            </w:r>
          </w:p>
        </w:t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ns</w:t>
            </w:r>
          </w:p>
        </w:tc>
      </w:tr>
      <w:tr w:rsidR="002271F5" w:rsidTr="00403C3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ΔVAT</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-198.43</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109.21</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-1.817</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0.0978</w:t>
            </w:r>
          </w:p>
        </w:t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w:t>
            </w:r>
          </w:p>
        </w:tc>
      </w:tr>
      <w:tr w:rsidR="002271F5" w:rsidTr="00403C3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ΔGDPG</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+58.74</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37.82</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+1.553</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0.1528</w:t>
            </w:r>
          </w:p>
        </w:t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ns</w:t>
            </w:r>
          </w:p>
        </w:tc>
      </w:tr>
      <w:tr w:rsidR="002271F5" w:rsidTr="00403C3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ECT(-1)</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-0.541</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0.147</w:t>
            </w:r>
          </w:p>
        </w:tc>
        <w:tc>
          <w:tcPr>
            <w:tcW w:w="168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-3.680</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0.0052</w:t>
            </w:r>
          </w:p>
        </w:t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w:t>
            </w:r>
          </w:p>
        </w:tc>
      </w:tr>
    </w:tbl>
    <w:p w:rsidR="002271F5" w:rsidRDefault="002271F5" w:rsidP="002271F5">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340"/>
        <w:gridCol w:w="2340"/>
        <w:gridCol w:w="2340"/>
        <w:gridCol w:w="2340"/>
      </w:tblGrid>
      <w:tr w:rsidR="002271F5" w:rsidTr="00403C3C">
        <w:tc>
          <w:tcPr>
            <w:tcW w:w="23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R-squared</w:t>
            </w:r>
          </w:p>
        </w:tc>
        <w:tc>
          <w:tcPr>
            <w:tcW w:w="23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Adj. R-squared</w:t>
            </w:r>
          </w:p>
        </w:tc>
        <w:tc>
          <w:tcPr>
            <w:tcW w:w="23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F-statistic</w:t>
            </w:r>
          </w:p>
        </w:tc>
        <w:tc>
          <w:tcPr>
            <w:tcW w:w="23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Durbin-Watson</w:t>
            </w:r>
          </w:p>
        </w:tc>
      </w:tr>
      <w:tr w:rsidR="002271F5" w:rsidTr="00403C3C">
        <w:tc>
          <w:tcPr>
            <w:tcW w:w="23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0.7841</w:t>
            </w:r>
          </w:p>
        </w:tc>
        <w:tc>
          <w:tcPr>
            <w:tcW w:w="23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0.6279</w:t>
            </w:r>
          </w:p>
        </w:tc>
        <w:tc>
          <w:tcPr>
            <w:tcW w:w="23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5.027***</w:t>
            </w:r>
          </w:p>
        </w:tc>
        <w:tc>
          <w:tcPr>
            <w:tcW w:w="23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2.014</w:t>
            </w:r>
          </w:p>
        </w:tc>
      </w:tr>
    </w:tbl>
    <w:p w:rsidR="002271F5" w:rsidRDefault="002271F5" w:rsidP="002271F5">
      <w:pPr>
        <w:spacing w:before="80" w:after="60"/>
      </w:pPr>
      <w:r>
        <w:rPr>
          <w:i/>
          <w:iCs/>
          <w:sz w:val="20"/>
          <w:szCs w:val="20"/>
        </w:rPr>
        <w:t>Note: *** p&lt;0.01; ** p&lt;0.05; * p&lt;0.10; ns = not significant. Δ = first-difference operator. ECT = Error Correction Term. Dependent variable: FDI (USD million). Estimations performed using EViews 12.</w:t>
      </w:r>
    </w:p>
    <w:p w:rsidR="002271F5" w:rsidRDefault="002271F5" w:rsidP="002271F5">
      <w:r>
        <w:br w:type="page"/>
      </w:r>
    </w:p>
    <w:p w:rsidR="002271F5" w:rsidRDefault="002271F5" w:rsidP="002271F5">
      <w:pPr>
        <w:spacing w:before="100" w:after="100" w:line="480" w:lineRule="auto"/>
        <w:jc w:val="center"/>
      </w:pPr>
      <w:r>
        <w:lastRenderedPageBreak/>
        <w:t>Appendix V: Post-Estimation Diagnostic Test Results</w:t>
      </w:r>
    </w:p>
    <w:p w:rsidR="002271F5" w:rsidRDefault="002271F5" w:rsidP="002271F5">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120"/>
        <w:gridCol w:w="2160"/>
        <w:gridCol w:w="1440"/>
        <w:gridCol w:w="1200"/>
        <w:gridCol w:w="1440"/>
      </w:tblGrid>
      <w:tr w:rsidR="002271F5" w:rsidTr="00403C3C">
        <w:tc>
          <w:tcPr>
            <w:tcW w:w="312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Test</w:t>
            </w:r>
          </w:p>
        </w:tc>
        <w:tc>
          <w:tcPr>
            <w:tcW w:w="216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Null Hypothesis</w:t>
            </w:r>
          </w:p>
        </w:tc>
        <w:tc>
          <w:tcPr>
            <w:tcW w:w="14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Statistic</w:t>
            </w:r>
          </w:p>
        </w:tc>
        <w:tc>
          <w:tcPr>
            <w:tcW w:w="12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p-value</w:t>
            </w:r>
          </w:p>
        </w:tc>
        <w:tc>
          <w:tcPr>
            <w:tcW w:w="14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Decision</w:t>
            </w:r>
          </w:p>
        </w:tc>
      </w:tr>
      <w:tr w:rsidR="002271F5" w:rsidTr="00403C3C">
        <w:tc>
          <w:tcPr>
            <w:tcW w:w="31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Breusch-Godfrey LM Test</w:t>
            </w:r>
          </w:p>
        </w:tc>
        <w:tc>
          <w:tcPr>
            <w:tcW w:w="2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No serial correlation</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F(2,5)=0.614</w:t>
            </w:r>
          </w:p>
        </w:t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0.5704</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Not rejected</w:t>
            </w:r>
          </w:p>
        </w:tc>
      </w:tr>
      <w:tr w:rsidR="002271F5" w:rsidTr="00403C3C">
        <w:tc>
          <w:tcPr>
            <w:tcW w:w="31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Breusch-Pagan-Godfrey Test</w:t>
            </w:r>
          </w:p>
        </w:tc>
        <w:tc>
          <w:tcPr>
            <w:tcW w:w="2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Homoscedastic residuals</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F(7,5)=1.073</w:t>
            </w:r>
          </w:p>
        </w:t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0.4814</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Not rejected</w:t>
            </w:r>
          </w:p>
        </w:tc>
      </w:tr>
      <w:tr w:rsidR="002271F5" w:rsidTr="00403C3C">
        <w:tc>
          <w:tcPr>
            <w:tcW w:w="31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Jarque-Bera Normality Test</w:t>
            </w:r>
          </w:p>
        </w:tc>
        <w:tc>
          <w:tcPr>
            <w:tcW w:w="2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Residuals are normal</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JB=0.841</w:t>
            </w:r>
          </w:p>
        </w:t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0.6569</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Not rejected</w:t>
            </w:r>
          </w:p>
        </w:tc>
      </w:tr>
      <w:tr w:rsidR="002271F5" w:rsidTr="00403C3C">
        <w:tc>
          <w:tcPr>
            <w:tcW w:w="31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Ramsey RESET Test</w:t>
            </w:r>
          </w:p>
        </w:tc>
        <w:tc>
          <w:tcPr>
            <w:tcW w:w="2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Correct functional form</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F(1,6)=0.512</w:t>
            </w:r>
          </w:p>
        </w:t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0.4987</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Not rejected</w:t>
            </w:r>
          </w:p>
        </w:tc>
      </w:tr>
      <w:tr w:rsidR="002271F5" w:rsidTr="00403C3C">
        <w:tc>
          <w:tcPr>
            <w:tcW w:w="31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CUSUM Test</w:t>
            </w:r>
          </w:p>
        </w:tc>
        <w:tc>
          <w:tcPr>
            <w:tcW w:w="2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Stable parameters</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Within 5% bounds</w:t>
            </w:r>
          </w:p>
        </w:t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Not rejected</w:t>
            </w:r>
          </w:p>
        </w:tc>
      </w:tr>
      <w:tr w:rsidR="002271F5" w:rsidTr="00403C3C">
        <w:tc>
          <w:tcPr>
            <w:tcW w:w="312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CUSUM-of-Squares Test</w:t>
            </w:r>
          </w:p>
        </w:tc>
        <w:tc>
          <w:tcPr>
            <w:tcW w:w="21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Stable parameters</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Within 5% bounds</w:t>
            </w:r>
          </w:p>
        </w:tc>
        <w:tc>
          <w:tcPr>
            <w:tcW w:w="12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Not rejected</w:t>
            </w:r>
          </w:p>
        </w:tc>
      </w:tr>
    </w:tbl>
    <w:p w:rsidR="002271F5" w:rsidRDefault="002271F5" w:rsidP="002271F5">
      <w:pPr>
        <w:spacing w:before="80" w:after="60"/>
      </w:pPr>
      <w:r>
        <w:rPr>
          <w:i/>
          <w:iCs/>
          <w:sz w:val="20"/>
          <w:szCs w:val="20"/>
        </w:rPr>
        <w:t>Note: All diagnostic tests confirm the statistical soundness of the estimated ARDL model. The failure to reject any null hypothesis indicates absence of serial correlation, homoscedastic residuals, normally distributed errors, correct model specification, and structurally stable parameters throughout the 2010–2024 study period.</w:t>
      </w:r>
    </w:p>
    <w:p w:rsidR="002271F5" w:rsidRDefault="002271F5" w:rsidP="002271F5">
      <w:r>
        <w:br w:type="page"/>
      </w:r>
    </w:p>
    <w:p w:rsidR="002271F5" w:rsidRDefault="002271F5" w:rsidP="002271F5">
      <w:pPr>
        <w:spacing w:before="100" w:after="100" w:line="480" w:lineRule="auto"/>
        <w:jc w:val="center"/>
      </w:pPr>
      <w:r>
        <w:lastRenderedPageBreak/>
        <w:t>Appendix VI: Key Nigerian Tax Legislation and Policy Milestones (2010–2024)</w:t>
      </w:r>
    </w:p>
    <w:p w:rsidR="002271F5" w:rsidRDefault="002271F5" w:rsidP="002271F5">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660"/>
        <w:gridCol w:w="1440"/>
        <w:gridCol w:w="2400"/>
        <w:gridCol w:w="4860"/>
      </w:tblGrid>
      <w:tr w:rsidR="002271F5" w:rsidTr="00403C3C">
        <w:tc>
          <w:tcPr>
            <w:tcW w:w="66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S/N</w:t>
            </w:r>
          </w:p>
        </w:tc>
        <w:tc>
          <w:tcPr>
            <w:tcW w:w="14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Year</w:t>
            </w:r>
          </w:p>
        </w:tc>
        <w:tc>
          <w:tcPr>
            <w:tcW w:w="24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Legislation / Policy</w:t>
            </w:r>
          </w:p>
        </w:tc>
        <w:tc>
          <w:tcPr>
            <w:tcW w:w="486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Key Tax-Investment Provision</w:t>
            </w:r>
          </w:p>
        </w:tc>
      </w:tr>
      <w:tr w:rsidR="002271F5" w:rsidTr="00403C3C">
        <w:tc>
          <w:tcPr>
            <w:tcW w:w="6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2011</w:t>
            </w:r>
          </w:p>
        </w:t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Finance Act 2011</w:t>
            </w:r>
          </w:p>
        </w:tc>
        <w:tc>
          <w:tcPr>
            <w:tcW w:w="48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Reviewed transfer pricing rules; expanded withholding tax coverage on dividends and interest.</w:t>
            </w:r>
          </w:p>
        </w:tc>
      </w:tr>
      <w:tr w:rsidR="002271F5" w:rsidTr="00403C3C">
        <w:tc>
          <w:tcPr>
            <w:tcW w:w="6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2</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2013</w:t>
            </w:r>
          </w:p>
        </w:t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FIRS Establishment Act (Amendment)</w:t>
            </w:r>
          </w:p>
        </w:tc>
        <w:tc>
          <w:tcPr>
            <w:tcW w:w="48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Strengthened FIRS administration powers; improved enforcement and compliance mechanisms.</w:t>
            </w:r>
          </w:p>
        </w:tc>
      </w:tr>
      <w:tr w:rsidR="002271F5" w:rsidTr="00403C3C">
        <w:tc>
          <w:tcPr>
            <w:tcW w:w="6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3</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2015</w:t>
            </w:r>
          </w:p>
        </w:t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Tax Identification Number (TIN) Mandate</w:t>
            </w:r>
          </w:p>
        </w:tc>
        <w:tc>
          <w:tcPr>
            <w:tcW w:w="48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TIN made compulsory for all companies and individuals; improved taxpayer registration base.</w:t>
            </w:r>
          </w:p>
        </w:tc>
      </w:tr>
      <w:tr w:rsidR="002271F5" w:rsidTr="00403C3C">
        <w:tc>
          <w:tcPr>
            <w:tcW w:w="6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4</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2019</w:t>
            </w:r>
          </w:p>
        </w:t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Finance Act 2019</w:t>
            </w:r>
          </w:p>
        </w:tc>
        <w:tc>
          <w:tcPr>
            <w:tcW w:w="48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VAT increased from 5% to 7.5%; CIT exemption for small companies (turnover &lt; NGN 25M); 20% rate for medium companies; digital services brought within VAT net.</w:t>
            </w:r>
          </w:p>
        </w:tc>
      </w:tr>
      <w:tr w:rsidR="002271F5" w:rsidTr="00403C3C">
        <w:tc>
          <w:tcPr>
            <w:tcW w:w="6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5</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2020</w:t>
            </w:r>
          </w:p>
        </w:t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Finance Act 2020</w:t>
            </w:r>
          </w:p>
        </w:tc>
        <w:tc>
          <w:tcPr>
            <w:tcW w:w="48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Extended VAT digital provisions; reviewed capital gains tax; improved thin capitalisation rules for multinationals.</w:t>
            </w:r>
          </w:p>
        </w:tc>
      </w:tr>
      <w:tr w:rsidR="002271F5" w:rsidTr="00403C3C">
        <w:tc>
          <w:tcPr>
            <w:tcW w:w="6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6</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2021</w:t>
            </w:r>
          </w:p>
        </w:t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Finance Act 2021</w:t>
            </w:r>
          </w:p>
        </w:tc>
        <w:tc>
          <w:tcPr>
            <w:tcW w:w="48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Tertiary Education Tax increased from 2% to 3%; automatic VAT refund provisions introduced; transfer pricing documentation requirements expanded.</w:t>
            </w:r>
          </w:p>
        </w:tc>
      </w:tr>
      <w:tr w:rsidR="002271F5" w:rsidTr="00403C3C">
        <w:tc>
          <w:tcPr>
            <w:tcW w:w="6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7</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2022</w:t>
            </w:r>
          </w:p>
        </w:t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Finance Act 2022</w:t>
            </w:r>
          </w:p>
        </w:tc>
        <w:tc>
          <w:tcPr>
            <w:tcW w:w="48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Introduced 1% levy on profits of large companies for ecological and climate change fund; revised excise duty on telecom services.</w:t>
            </w:r>
          </w:p>
        </w:tc>
      </w:tr>
      <w:tr w:rsidR="002271F5" w:rsidTr="00403C3C">
        <w:tc>
          <w:tcPr>
            <w:tcW w:w="6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8</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2023</w:t>
            </w:r>
          </w:p>
        </w:t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Finance Act 2023</w:t>
            </w:r>
          </w:p>
        </w:tc>
        <w:tc>
          <w:tcPr>
            <w:tcW w:w="48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Windfall tax on foreign exchange gains; introduced Withholding Tax reform regulations; tax treatment of digital assets clarified.</w:t>
            </w:r>
          </w:p>
        </w:tc>
      </w:tr>
      <w:tr w:rsidR="002271F5" w:rsidTr="00403C3C">
        <w:tc>
          <w:tcPr>
            <w:tcW w:w="6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9</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2023</w:t>
            </w:r>
          </w:p>
        </w:t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Naira Liberalisation Policy (CBN)</w:t>
            </w:r>
          </w:p>
        </w:tc>
        <w:tc>
          <w:tcPr>
            <w:tcW w:w="48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Unification of official and parallel market exchange rates; significant naira depreciation (NGN ~460 to NGN ~900 per USD within weeks).</w:t>
            </w:r>
          </w:p>
        </w:tc>
      </w:tr>
      <w:tr w:rsidR="002271F5" w:rsidTr="00403C3C">
        <w:tc>
          <w:tcPr>
            <w:tcW w:w="6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pPr>
              <w:jc w:val="center"/>
            </w:pPr>
            <w:r>
              <w:rPr>
                <w:b w:val="0"/>
                <w:bCs w:val="0"/>
                <w:sz w:val="20"/>
                <w:szCs w:val="20"/>
              </w:rPr>
              <w:t>10</w:t>
            </w:r>
          </w:p>
        </w:tc>
        <w:tc>
          <w:tcPr>
            <w:tcW w:w="144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2023</w:t>
            </w:r>
          </w:p>
        </w:tc>
        <w:tc>
          <w:tcPr>
            <w:tcW w:w="240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Presidential Committee on Fiscal Policy and Tax Reforms</w:t>
            </w:r>
          </w:p>
        </w:tc>
        <w:tc>
          <w:tcPr>
            <w:tcW w:w="4860" w:type="dxa"/>
            <w:tcBorders>
              <w:top w:val="single" w:sz="1" w:space="0" w:color="000000"/>
              <w:left w:val="single" w:sz="1" w:space="0" w:color="000000"/>
              <w:bottom w:val="single" w:sz="1" w:space="0" w:color="000000"/>
              <w:right w:val="single" w:sz="1" w:space="0" w:color="000000"/>
            </w:tcBorders>
            <w:tcMar>
              <w:top w:w="60" w:type="dxa"/>
              <w:left w:w="100" w:type="dxa"/>
              <w:bottom w:w="60" w:type="dxa"/>
              <w:right w:w="100" w:type="dxa"/>
            </w:tcMar>
          </w:tcPr>
          <w:p w:rsidR="002271F5" w:rsidRDefault="002271F5" w:rsidP="00403C3C">
            <w:r>
              <w:rPr>
                <w:b w:val="0"/>
                <w:bCs w:val="0"/>
                <w:sz w:val="20"/>
                <w:szCs w:val="20"/>
              </w:rPr>
              <w:t>Committee established to review Nigeria’s tax framework; recommendations include CIT rate review, tax consolidation, and investment incentive rationalisation.</w:t>
            </w:r>
          </w:p>
        </w:tc>
      </w:tr>
    </w:tbl>
    <w:p w:rsidR="002271F5" w:rsidRDefault="002271F5" w:rsidP="002271F5">
      <w:pPr>
        <w:spacing w:before="80" w:after="60"/>
        <w:rPr>
          <w:i/>
          <w:iCs/>
          <w:sz w:val="20"/>
          <w:szCs w:val="20"/>
        </w:rPr>
      </w:pPr>
      <w:r>
        <w:rPr>
          <w:i/>
          <w:iCs/>
          <w:sz w:val="20"/>
          <w:szCs w:val="20"/>
        </w:rPr>
        <w:t>Source: Author's Compilation from FIRS Publications, CBN Policy Circulars, and Federal Ministry of Finance Releases (2025).</w:t>
      </w:r>
    </w:p>
    <w:p w:rsidR="002271F5" w:rsidRDefault="002271F5" w:rsidP="002271F5">
      <w:pPr>
        <w:spacing w:before="80" w:after="60"/>
        <w:rPr>
          <w:i/>
          <w:iCs/>
          <w:sz w:val="20"/>
          <w:szCs w:val="20"/>
        </w:rPr>
      </w:pPr>
    </w:p>
    <w:p w:rsidR="002271F5" w:rsidRDefault="002271F5" w:rsidP="002271F5">
      <w:pPr>
        <w:spacing w:before="80" w:after="60"/>
        <w:rPr>
          <w:i/>
          <w:iCs/>
          <w:sz w:val="20"/>
          <w:szCs w:val="20"/>
        </w:rPr>
      </w:pPr>
    </w:p>
    <w:p w:rsidR="002271F5" w:rsidRDefault="002271F5" w:rsidP="002271F5">
      <w:pPr>
        <w:spacing w:before="80" w:after="60"/>
        <w:rPr>
          <w:i/>
          <w:iCs/>
          <w:sz w:val="20"/>
          <w:szCs w:val="20"/>
        </w:rPr>
      </w:pPr>
    </w:p>
    <w:p w:rsidR="002271F5" w:rsidRDefault="002271F5" w:rsidP="002271F5">
      <w:pPr>
        <w:spacing w:before="80" w:after="60"/>
        <w:rPr>
          <w:i/>
          <w:iCs/>
          <w:sz w:val="20"/>
          <w:szCs w:val="20"/>
        </w:rPr>
      </w:pPr>
    </w:p>
    <w:p w:rsidR="002271F5" w:rsidRDefault="002271F5" w:rsidP="002271F5">
      <w:pPr>
        <w:spacing w:before="80" w:after="60"/>
        <w:rPr>
          <w:i/>
          <w:iCs/>
          <w:sz w:val="20"/>
          <w:szCs w:val="20"/>
        </w:rPr>
      </w:pPr>
    </w:p>
    <w:p w:rsidR="002271F5" w:rsidRDefault="002271F5" w:rsidP="002271F5">
      <w:pPr>
        <w:spacing w:before="80" w:after="60"/>
        <w:rPr>
          <w:i/>
          <w:iCs/>
          <w:sz w:val="20"/>
          <w:szCs w:val="20"/>
        </w:rPr>
      </w:pPr>
    </w:p>
    <w:p w:rsidR="002271F5" w:rsidRDefault="002271F5" w:rsidP="002271F5">
      <w:pPr>
        <w:spacing w:before="80" w:after="60"/>
        <w:rPr>
          <w:i/>
          <w:iCs/>
          <w:sz w:val="20"/>
          <w:szCs w:val="20"/>
        </w:rPr>
      </w:pPr>
    </w:p>
    <w:p w:rsidR="002271F5" w:rsidRDefault="002271F5" w:rsidP="002271F5">
      <w:pPr>
        <w:spacing w:before="80" w:after="60"/>
        <w:rPr>
          <w:i/>
          <w:iCs/>
          <w:sz w:val="20"/>
          <w:szCs w:val="20"/>
        </w:rPr>
      </w:pPr>
    </w:p>
    <w:p w:rsidR="002271F5" w:rsidRDefault="002271F5" w:rsidP="002271F5">
      <w:pPr>
        <w:spacing w:before="80" w:after="60"/>
        <w:rPr>
          <w:i/>
          <w:iCs/>
          <w:sz w:val="20"/>
          <w:szCs w:val="20"/>
        </w:rPr>
      </w:pPr>
    </w:p>
    <w:p w:rsidR="002271F5" w:rsidRDefault="002271F5" w:rsidP="002271F5">
      <w:pPr>
        <w:spacing w:before="80" w:after="60"/>
        <w:rPr>
          <w:i/>
          <w:iCs/>
          <w:sz w:val="20"/>
          <w:szCs w:val="20"/>
        </w:rPr>
      </w:pPr>
    </w:p>
    <w:p w:rsidR="002271F5" w:rsidRDefault="002271F5" w:rsidP="002271F5">
      <w:pPr>
        <w:spacing w:before="80" w:after="60"/>
        <w:rPr>
          <w:i/>
          <w:iCs/>
          <w:sz w:val="20"/>
          <w:szCs w:val="20"/>
        </w:rPr>
      </w:pPr>
    </w:p>
    <w:p w:rsidR="002271F5" w:rsidRPr="00F27614" w:rsidRDefault="002271F5" w:rsidP="002271F5">
      <w:pPr>
        <w:spacing w:before="80" w:after="60"/>
        <w:rPr>
          <w:b w:val="0"/>
          <w:bCs w:val="0"/>
          <w:sz w:val="20"/>
          <w:szCs w:val="20"/>
        </w:rPr>
      </w:pPr>
      <w:r>
        <w:rPr>
          <w:b w:val="0"/>
          <w:bCs w:val="0"/>
          <w:sz w:val="20"/>
          <w:szCs w:val="20"/>
        </w:rPr>
        <w:lastRenderedPageBreak/>
        <w:t>APPENDIX VII :</w:t>
      </w:r>
      <w:r>
        <w:t>: Annual Data on FDI, CIT, TI, VAT, GDPG, and EXR — Nigeria (2010–2024)</w:t>
      </w:r>
    </w:p>
    <w:p w:rsidR="002271F5" w:rsidRDefault="002271F5" w:rsidP="002271F5">
      <w:pPr>
        <w:spacing w:before="80" w:after="60"/>
        <w:rPr>
          <w:i/>
          <w:iCs/>
          <w:sz w:val="20"/>
          <w:szCs w:val="20"/>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700"/>
        <w:gridCol w:w="1188"/>
        <w:gridCol w:w="755"/>
        <w:gridCol w:w="758"/>
        <w:gridCol w:w="757"/>
        <w:gridCol w:w="917"/>
        <w:gridCol w:w="1154"/>
        <w:gridCol w:w="3131"/>
      </w:tblGrid>
      <w:tr w:rsidR="002271F5" w:rsidTr="00403C3C">
        <w:tc>
          <w:tcPr>
            <w:tcW w:w="700" w:type="dxa"/>
            <w:tcBorders>
              <w:top w:val="single" w:sz="0" w:space="0" w:color="000000"/>
              <w:left w:val="single" w:sz="0" w:space="0" w:color="000000"/>
              <w:bottom w:val="single" w:sz="0" w:space="0" w:color="000000"/>
              <w:right w:val="single" w:sz="0"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Year</w:t>
            </w:r>
          </w:p>
        </w:tc>
        <w:tc>
          <w:tcPr>
            <w:tcW w:w="1188" w:type="dxa"/>
            <w:tcBorders>
              <w:top w:val="single" w:sz="0" w:space="0" w:color="000000"/>
              <w:left w:val="single" w:sz="0" w:space="0" w:color="000000"/>
              <w:bottom w:val="single" w:sz="0" w:space="0" w:color="000000"/>
              <w:right w:val="single" w:sz="0"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FDI (USD Mn)</w:t>
            </w:r>
          </w:p>
        </w:tc>
        <w:tc>
          <w:tcPr>
            <w:tcW w:w="755" w:type="dxa"/>
            <w:tcBorders>
              <w:top w:val="single" w:sz="0" w:space="0" w:color="000000"/>
              <w:left w:val="single" w:sz="0" w:space="0" w:color="000000"/>
              <w:bottom w:val="single" w:sz="0" w:space="0" w:color="000000"/>
              <w:right w:val="single" w:sz="0"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CIT (%)</w:t>
            </w:r>
          </w:p>
        </w:tc>
        <w:tc>
          <w:tcPr>
            <w:tcW w:w="758" w:type="dxa"/>
            <w:tcBorders>
              <w:top w:val="single" w:sz="0" w:space="0" w:color="000000"/>
              <w:left w:val="single" w:sz="0" w:space="0" w:color="000000"/>
              <w:bottom w:val="single" w:sz="0" w:space="0" w:color="000000"/>
              <w:right w:val="single" w:sz="0"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TI (%)</w:t>
            </w:r>
          </w:p>
        </w:tc>
        <w:tc>
          <w:tcPr>
            <w:tcW w:w="757" w:type="dxa"/>
            <w:tcBorders>
              <w:top w:val="single" w:sz="0" w:space="0" w:color="000000"/>
              <w:left w:val="single" w:sz="0" w:space="0" w:color="000000"/>
              <w:bottom w:val="single" w:sz="0" w:space="0" w:color="000000"/>
              <w:right w:val="single" w:sz="0"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VAT (%)</w:t>
            </w:r>
          </w:p>
        </w:tc>
        <w:tc>
          <w:tcPr>
            <w:tcW w:w="917" w:type="dxa"/>
            <w:tcBorders>
              <w:top w:val="single" w:sz="0" w:space="0" w:color="000000"/>
              <w:left w:val="single" w:sz="0" w:space="0" w:color="000000"/>
              <w:bottom w:val="single" w:sz="0" w:space="0" w:color="000000"/>
              <w:right w:val="single" w:sz="0"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GDPG (%)</w:t>
            </w:r>
          </w:p>
        </w:tc>
        <w:tc>
          <w:tcPr>
            <w:tcW w:w="1154" w:type="dxa"/>
            <w:tcBorders>
              <w:top w:val="single" w:sz="0" w:space="0" w:color="000000"/>
              <w:left w:val="single" w:sz="0" w:space="0" w:color="000000"/>
              <w:bottom w:val="single" w:sz="0" w:space="0" w:color="000000"/>
              <w:right w:val="single" w:sz="0"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EXR</w:t>
            </w:r>
          </w:p>
        </w:tc>
        <w:tc>
          <w:tcPr>
            <w:tcW w:w="3131" w:type="dxa"/>
            <w:tcBorders>
              <w:top w:val="single" w:sz="0" w:space="0" w:color="000000"/>
              <w:left w:val="single" w:sz="0" w:space="0" w:color="000000"/>
              <w:bottom w:val="single" w:sz="0" w:space="0" w:color="000000"/>
              <w:right w:val="single" w:sz="0" w:space="0" w:color="000000"/>
            </w:tcBorders>
            <w:shd w:val="clear" w:color="auto" w:fill="D9D9D9"/>
            <w:tcMar>
              <w:top w:w="60" w:type="dxa"/>
              <w:left w:w="100" w:type="dxa"/>
              <w:bottom w:w="60" w:type="dxa"/>
              <w:right w:w="100" w:type="dxa"/>
            </w:tcMar>
          </w:tcPr>
          <w:p w:rsidR="002271F5" w:rsidRDefault="002271F5" w:rsidP="00403C3C">
            <w:pPr>
              <w:jc w:val="center"/>
            </w:pPr>
            <w:r>
              <w:rPr>
                <w:sz w:val="20"/>
                <w:szCs w:val="20"/>
              </w:rPr>
              <w:t>Data Sources</w:t>
            </w:r>
          </w:p>
        </w:tc>
      </w:tr>
      <w:tr w:rsidR="002271F5" w:rsidTr="00403C3C">
        <w:tc>
          <w:tcPr>
            <w:tcW w:w="700"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2010</w:t>
            </w:r>
          </w:p>
        </w:tc>
        <w:tc>
          <w:tcPr>
            <w:tcW w:w="118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6,099</w:t>
            </w:r>
          </w:p>
        </w:tc>
        <w:tc>
          <w:tcPr>
            <w:tcW w:w="755"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1.82</w:t>
            </w:r>
          </w:p>
        </w:tc>
        <w:tc>
          <w:tcPr>
            <w:tcW w:w="75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10.41</w:t>
            </w:r>
          </w:p>
        </w:tc>
        <w:tc>
          <w:tcPr>
            <w:tcW w:w="75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1.12</w:t>
            </w:r>
          </w:p>
        </w:tc>
        <w:tc>
          <w:tcPr>
            <w:tcW w:w="91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8.01</w:t>
            </w:r>
          </w:p>
        </w:tc>
        <w:tc>
          <w:tcPr>
            <w:tcW w:w="1154"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150.30</w:t>
            </w:r>
          </w:p>
        </w:tc>
        <w:tc>
          <w:tcPr>
            <w:tcW w:w="3131"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r>
              <w:rPr>
                <w:b w:val="0"/>
                <w:bCs w:val="0"/>
                <w:sz w:val="20"/>
                <w:szCs w:val="20"/>
              </w:rPr>
              <w:t>UNCTAD 2011; CBN SB; FIRS AR; NBS; WB WDI</w:t>
            </w:r>
          </w:p>
        </w:tc>
      </w:tr>
      <w:tr w:rsidR="002271F5" w:rsidTr="00403C3C">
        <w:tc>
          <w:tcPr>
            <w:tcW w:w="700"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2011</w:t>
            </w:r>
          </w:p>
        </w:tc>
        <w:tc>
          <w:tcPr>
            <w:tcW w:w="118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8,841</w:t>
            </w:r>
          </w:p>
        </w:tc>
        <w:tc>
          <w:tcPr>
            <w:tcW w:w="755"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2.04</w:t>
            </w:r>
          </w:p>
        </w:tc>
        <w:tc>
          <w:tcPr>
            <w:tcW w:w="75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10.87</w:t>
            </w:r>
          </w:p>
        </w:tc>
        <w:tc>
          <w:tcPr>
            <w:tcW w:w="75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1.28</w:t>
            </w:r>
          </w:p>
        </w:tc>
        <w:tc>
          <w:tcPr>
            <w:tcW w:w="91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4.89</w:t>
            </w:r>
          </w:p>
        </w:tc>
        <w:tc>
          <w:tcPr>
            <w:tcW w:w="1154"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153.86</w:t>
            </w:r>
          </w:p>
        </w:tc>
        <w:tc>
          <w:tcPr>
            <w:tcW w:w="3131"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r>
              <w:rPr>
                <w:b w:val="0"/>
                <w:bCs w:val="0"/>
                <w:sz w:val="20"/>
                <w:szCs w:val="20"/>
              </w:rPr>
              <w:t>UNCTAD 2012; CBN SB; FIRS AR; NBS; WB WDI</w:t>
            </w:r>
          </w:p>
        </w:tc>
      </w:tr>
      <w:tr w:rsidR="002271F5" w:rsidTr="00403C3C">
        <w:tc>
          <w:tcPr>
            <w:tcW w:w="700"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2012</w:t>
            </w:r>
          </w:p>
        </w:tc>
        <w:tc>
          <w:tcPr>
            <w:tcW w:w="118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7,127</w:t>
            </w:r>
          </w:p>
        </w:tc>
        <w:tc>
          <w:tcPr>
            <w:tcW w:w="755"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2.21</w:t>
            </w:r>
          </w:p>
        </w:tc>
        <w:tc>
          <w:tcPr>
            <w:tcW w:w="75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11.23</w:t>
            </w:r>
          </w:p>
        </w:tc>
        <w:tc>
          <w:tcPr>
            <w:tcW w:w="75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1.34</w:t>
            </w:r>
          </w:p>
        </w:tc>
        <w:tc>
          <w:tcPr>
            <w:tcW w:w="91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4.28</w:t>
            </w:r>
          </w:p>
        </w:tc>
        <w:tc>
          <w:tcPr>
            <w:tcW w:w="1154"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157.50</w:t>
            </w:r>
          </w:p>
        </w:tc>
        <w:tc>
          <w:tcPr>
            <w:tcW w:w="3131"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r>
              <w:rPr>
                <w:b w:val="0"/>
                <w:bCs w:val="0"/>
                <w:sz w:val="20"/>
                <w:szCs w:val="20"/>
              </w:rPr>
              <w:t>UNCTAD 2013; CBN SB; FIRS AR; NBS; WB WDI</w:t>
            </w:r>
          </w:p>
        </w:tc>
      </w:tr>
      <w:tr w:rsidR="002271F5" w:rsidTr="00403C3C">
        <w:tc>
          <w:tcPr>
            <w:tcW w:w="700"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2013</w:t>
            </w:r>
          </w:p>
        </w:tc>
        <w:tc>
          <w:tcPr>
            <w:tcW w:w="118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5,608</w:t>
            </w:r>
          </w:p>
        </w:tc>
        <w:tc>
          <w:tcPr>
            <w:tcW w:w="755"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2.37</w:t>
            </w:r>
          </w:p>
        </w:tc>
        <w:tc>
          <w:tcPr>
            <w:tcW w:w="75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11.64</w:t>
            </w:r>
          </w:p>
        </w:tc>
        <w:tc>
          <w:tcPr>
            <w:tcW w:w="75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1.41</w:t>
            </w:r>
          </w:p>
        </w:tc>
        <w:tc>
          <w:tcPr>
            <w:tcW w:w="91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6.67</w:t>
            </w:r>
          </w:p>
        </w:tc>
        <w:tc>
          <w:tcPr>
            <w:tcW w:w="1154"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157.31</w:t>
            </w:r>
          </w:p>
        </w:tc>
        <w:tc>
          <w:tcPr>
            <w:tcW w:w="3131"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r>
              <w:rPr>
                <w:b w:val="0"/>
                <w:bCs w:val="0"/>
                <w:sz w:val="20"/>
                <w:szCs w:val="20"/>
              </w:rPr>
              <w:t>UNCTAD 2014; CBN SB; FIRS AR; NBS; WB WDI</w:t>
            </w:r>
          </w:p>
        </w:tc>
      </w:tr>
      <w:tr w:rsidR="002271F5" w:rsidTr="00403C3C">
        <w:tc>
          <w:tcPr>
            <w:tcW w:w="700"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2014</w:t>
            </w:r>
          </w:p>
        </w:tc>
        <w:tc>
          <w:tcPr>
            <w:tcW w:w="118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4,694</w:t>
            </w:r>
          </w:p>
        </w:tc>
        <w:tc>
          <w:tcPr>
            <w:tcW w:w="755"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2.53</w:t>
            </w:r>
          </w:p>
        </w:tc>
        <w:tc>
          <w:tcPr>
            <w:tcW w:w="75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12.08</w:t>
            </w:r>
          </w:p>
        </w:tc>
        <w:tc>
          <w:tcPr>
            <w:tcW w:w="75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1.49</w:t>
            </w:r>
          </w:p>
        </w:tc>
        <w:tc>
          <w:tcPr>
            <w:tcW w:w="91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6.31</w:t>
            </w:r>
          </w:p>
        </w:tc>
        <w:tc>
          <w:tcPr>
            <w:tcW w:w="1154"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158.55</w:t>
            </w:r>
          </w:p>
        </w:tc>
        <w:tc>
          <w:tcPr>
            <w:tcW w:w="3131"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r>
              <w:rPr>
                <w:b w:val="0"/>
                <w:bCs w:val="0"/>
                <w:sz w:val="20"/>
                <w:szCs w:val="20"/>
              </w:rPr>
              <w:t>UNCTAD 2015; CBN SB; FIRS AR; NBS; WB WDI</w:t>
            </w:r>
          </w:p>
        </w:tc>
      </w:tr>
      <w:tr w:rsidR="002271F5" w:rsidTr="00403C3C">
        <w:tc>
          <w:tcPr>
            <w:tcW w:w="700"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2015</w:t>
            </w:r>
          </w:p>
        </w:tc>
        <w:tc>
          <w:tcPr>
            <w:tcW w:w="118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3,064</w:t>
            </w:r>
          </w:p>
        </w:tc>
        <w:tc>
          <w:tcPr>
            <w:tcW w:w="755"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2.41</w:t>
            </w:r>
          </w:p>
        </w:tc>
        <w:tc>
          <w:tcPr>
            <w:tcW w:w="75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12.34</w:t>
            </w:r>
          </w:p>
        </w:tc>
        <w:tc>
          <w:tcPr>
            <w:tcW w:w="75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1.43</w:t>
            </w:r>
          </w:p>
        </w:tc>
        <w:tc>
          <w:tcPr>
            <w:tcW w:w="91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2.65</w:t>
            </w:r>
          </w:p>
        </w:tc>
        <w:tc>
          <w:tcPr>
            <w:tcW w:w="1154"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192.44</w:t>
            </w:r>
          </w:p>
        </w:tc>
        <w:tc>
          <w:tcPr>
            <w:tcW w:w="3131"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r>
              <w:rPr>
                <w:b w:val="0"/>
                <w:bCs w:val="0"/>
                <w:sz w:val="20"/>
                <w:szCs w:val="20"/>
              </w:rPr>
              <w:t>UNCTAD 2016; CBN SB; FIRS AR; NBS; WB WDI</w:t>
            </w:r>
          </w:p>
        </w:tc>
      </w:tr>
      <w:tr w:rsidR="002271F5" w:rsidTr="00403C3C">
        <w:tc>
          <w:tcPr>
            <w:tcW w:w="700"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2016</w:t>
            </w:r>
          </w:p>
        </w:tc>
        <w:tc>
          <w:tcPr>
            <w:tcW w:w="118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4,449</w:t>
            </w:r>
          </w:p>
        </w:tc>
        <w:tc>
          <w:tcPr>
            <w:tcW w:w="755"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2.18</w:t>
            </w:r>
          </w:p>
        </w:tc>
        <w:tc>
          <w:tcPr>
            <w:tcW w:w="75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12.61</w:t>
            </w:r>
          </w:p>
        </w:tc>
        <w:tc>
          <w:tcPr>
            <w:tcW w:w="75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1.38</w:t>
            </w:r>
          </w:p>
        </w:tc>
        <w:tc>
          <w:tcPr>
            <w:tcW w:w="91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-1.62</w:t>
            </w:r>
          </w:p>
        </w:tc>
        <w:tc>
          <w:tcPr>
            <w:tcW w:w="1154"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305.00</w:t>
            </w:r>
          </w:p>
        </w:tc>
        <w:tc>
          <w:tcPr>
            <w:tcW w:w="3131"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r>
              <w:rPr>
                <w:b w:val="0"/>
                <w:bCs w:val="0"/>
                <w:sz w:val="20"/>
                <w:szCs w:val="20"/>
              </w:rPr>
              <w:t>UNCTAD 2017; CBN SB; FIRS AR; NBS; WB WDI</w:t>
            </w:r>
          </w:p>
        </w:tc>
      </w:tr>
      <w:tr w:rsidR="002271F5" w:rsidTr="00403C3C">
        <w:tc>
          <w:tcPr>
            <w:tcW w:w="700"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2017</w:t>
            </w:r>
          </w:p>
        </w:tc>
        <w:tc>
          <w:tcPr>
            <w:tcW w:w="118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3,503</w:t>
            </w:r>
          </w:p>
        </w:tc>
        <w:tc>
          <w:tcPr>
            <w:tcW w:w="755"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2.29</w:t>
            </w:r>
          </w:p>
        </w:tc>
        <w:tc>
          <w:tcPr>
            <w:tcW w:w="75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12.89</w:t>
            </w:r>
          </w:p>
        </w:tc>
        <w:tc>
          <w:tcPr>
            <w:tcW w:w="75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1.44</w:t>
            </w:r>
          </w:p>
        </w:tc>
        <w:tc>
          <w:tcPr>
            <w:tcW w:w="91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0.81</w:t>
            </w:r>
          </w:p>
        </w:tc>
        <w:tc>
          <w:tcPr>
            <w:tcW w:w="1154"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305.79</w:t>
            </w:r>
          </w:p>
        </w:tc>
        <w:tc>
          <w:tcPr>
            <w:tcW w:w="3131"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r>
              <w:rPr>
                <w:b w:val="0"/>
                <w:bCs w:val="0"/>
                <w:sz w:val="20"/>
                <w:szCs w:val="20"/>
              </w:rPr>
              <w:t>UNCTAD 2018; CBN SB; FIRS AR; NBS; WB WDI</w:t>
            </w:r>
          </w:p>
        </w:tc>
      </w:tr>
      <w:tr w:rsidR="002271F5" w:rsidTr="00403C3C">
        <w:tc>
          <w:tcPr>
            <w:tcW w:w="700"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2018</w:t>
            </w:r>
          </w:p>
        </w:tc>
        <w:tc>
          <w:tcPr>
            <w:tcW w:w="118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2,205</w:t>
            </w:r>
          </w:p>
        </w:tc>
        <w:tc>
          <w:tcPr>
            <w:tcW w:w="755"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2.46</w:t>
            </w:r>
          </w:p>
        </w:tc>
        <w:tc>
          <w:tcPr>
            <w:tcW w:w="75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13.17</w:t>
            </w:r>
          </w:p>
        </w:tc>
        <w:tc>
          <w:tcPr>
            <w:tcW w:w="75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1.51</w:t>
            </w:r>
          </w:p>
        </w:tc>
        <w:tc>
          <w:tcPr>
            <w:tcW w:w="91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1.93</w:t>
            </w:r>
          </w:p>
        </w:tc>
        <w:tc>
          <w:tcPr>
            <w:tcW w:w="1154"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306.08</w:t>
            </w:r>
          </w:p>
        </w:tc>
        <w:tc>
          <w:tcPr>
            <w:tcW w:w="3131"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r>
              <w:rPr>
                <w:b w:val="0"/>
                <w:bCs w:val="0"/>
                <w:sz w:val="20"/>
                <w:szCs w:val="20"/>
              </w:rPr>
              <w:t>UNCTAD 2019; CBN SB; FIRS AR; NBS; WB WDI</w:t>
            </w:r>
          </w:p>
        </w:tc>
      </w:tr>
      <w:tr w:rsidR="002271F5" w:rsidTr="00403C3C">
        <w:tc>
          <w:tcPr>
            <w:tcW w:w="700"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2019</w:t>
            </w:r>
          </w:p>
        </w:tc>
        <w:tc>
          <w:tcPr>
            <w:tcW w:w="118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2,308</w:t>
            </w:r>
          </w:p>
        </w:tc>
        <w:tc>
          <w:tcPr>
            <w:tcW w:w="755"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2.61</w:t>
            </w:r>
          </w:p>
        </w:tc>
        <w:tc>
          <w:tcPr>
            <w:tcW w:w="75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13.52</w:t>
            </w:r>
          </w:p>
        </w:tc>
        <w:tc>
          <w:tcPr>
            <w:tcW w:w="75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1.57</w:t>
            </w:r>
          </w:p>
        </w:tc>
        <w:tc>
          <w:tcPr>
            <w:tcW w:w="91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2.20</w:t>
            </w:r>
          </w:p>
        </w:tc>
        <w:tc>
          <w:tcPr>
            <w:tcW w:w="1154"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306.95</w:t>
            </w:r>
          </w:p>
        </w:tc>
        <w:tc>
          <w:tcPr>
            <w:tcW w:w="3131"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r>
              <w:rPr>
                <w:b w:val="0"/>
                <w:bCs w:val="0"/>
                <w:sz w:val="20"/>
                <w:szCs w:val="20"/>
              </w:rPr>
              <w:t>UNCTAD 2020; CBN SB; FIRS AR; NBS; WB WDI</w:t>
            </w:r>
          </w:p>
        </w:tc>
      </w:tr>
      <w:tr w:rsidR="002271F5" w:rsidTr="00403C3C">
        <w:tc>
          <w:tcPr>
            <w:tcW w:w="700"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2020</w:t>
            </w:r>
          </w:p>
        </w:tc>
        <w:tc>
          <w:tcPr>
            <w:tcW w:w="118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2,388</w:t>
            </w:r>
          </w:p>
        </w:tc>
        <w:tc>
          <w:tcPr>
            <w:tcW w:w="755"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2.35</w:t>
            </w:r>
          </w:p>
        </w:tc>
        <w:tc>
          <w:tcPr>
            <w:tcW w:w="75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14.08</w:t>
            </w:r>
          </w:p>
        </w:tc>
        <w:tc>
          <w:tcPr>
            <w:tcW w:w="75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1.66</w:t>
            </w:r>
          </w:p>
        </w:tc>
        <w:tc>
          <w:tcPr>
            <w:tcW w:w="91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-1.79</w:t>
            </w:r>
          </w:p>
        </w:tc>
        <w:tc>
          <w:tcPr>
            <w:tcW w:w="1154"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358.81</w:t>
            </w:r>
          </w:p>
        </w:tc>
        <w:tc>
          <w:tcPr>
            <w:tcW w:w="3131"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r>
              <w:rPr>
                <w:b w:val="0"/>
                <w:bCs w:val="0"/>
                <w:sz w:val="20"/>
                <w:szCs w:val="20"/>
              </w:rPr>
              <w:t>UNCTAD 2021; CBN SB; FIRS AR; NBS; WB WDI</w:t>
            </w:r>
          </w:p>
        </w:tc>
      </w:tr>
      <w:tr w:rsidR="002271F5" w:rsidTr="00403C3C">
        <w:tc>
          <w:tcPr>
            <w:tcW w:w="700"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2021</w:t>
            </w:r>
          </w:p>
        </w:tc>
        <w:tc>
          <w:tcPr>
            <w:tcW w:w="118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3,314</w:t>
            </w:r>
          </w:p>
        </w:tc>
        <w:tc>
          <w:tcPr>
            <w:tcW w:w="755"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2.77</w:t>
            </w:r>
          </w:p>
        </w:tc>
        <w:tc>
          <w:tcPr>
            <w:tcW w:w="75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14.63</w:t>
            </w:r>
          </w:p>
        </w:tc>
        <w:tc>
          <w:tcPr>
            <w:tcW w:w="75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1.84</w:t>
            </w:r>
          </w:p>
        </w:tc>
        <w:tc>
          <w:tcPr>
            <w:tcW w:w="91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3.65</w:t>
            </w:r>
          </w:p>
        </w:tc>
        <w:tc>
          <w:tcPr>
            <w:tcW w:w="1154"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401.00</w:t>
            </w:r>
          </w:p>
        </w:tc>
        <w:tc>
          <w:tcPr>
            <w:tcW w:w="3131"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r>
              <w:rPr>
                <w:b w:val="0"/>
                <w:bCs w:val="0"/>
                <w:sz w:val="20"/>
                <w:szCs w:val="20"/>
              </w:rPr>
              <w:t>UNCTAD 2022; CBN SB; FIRS AR; NBS; WB WDI</w:t>
            </w:r>
          </w:p>
        </w:tc>
      </w:tr>
      <w:tr w:rsidR="002271F5" w:rsidTr="00403C3C">
        <w:tc>
          <w:tcPr>
            <w:tcW w:w="700"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2022</w:t>
            </w:r>
          </w:p>
        </w:tc>
        <w:tc>
          <w:tcPr>
            <w:tcW w:w="118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895</w:t>
            </w:r>
          </w:p>
        </w:tc>
        <w:tc>
          <w:tcPr>
            <w:tcW w:w="755"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3.08</w:t>
            </w:r>
          </w:p>
        </w:tc>
        <w:tc>
          <w:tcPr>
            <w:tcW w:w="75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14.91</w:t>
            </w:r>
          </w:p>
        </w:tc>
        <w:tc>
          <w:tcPr>
            <w:tcW w:w="75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1.97</w:t>
            </w:r>
          </w:p>
        </w:tc>
        <w:tc>
          <w:tcPr>
            <w:tcW w:w="91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3.10</w:t>
            </w:r>
          </w:p>
        </w:tc>
        <w:tc>
          <w:tcPr>
            <w:tcW w:w="1154"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424.99</w:t>
            </w:r>
          </w:p>
        </w:tc>
        <w:tc>
          <w:tcPr>
            <w:tcW w:w="3131"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r>
              <w:rPr>
                <w:b w:val="0"/>
                <w:bCs w:val="0"/>
                <w:sz w:val="20"/>
                <w:szCs w:val="20"/>
              </w:rPr>
              <w:t>UNCTAD 2023; CBN SB; FIRS AR; NBS; WB WDI</w:t>
            </w:r>
          </w:p>
        </w:tc>
      </w:tr>
      <w:tr w:rsidR="002271F5" w:rsidTr="00403C3C">
        <w:tc>
          <w:tcPr>
            <w:tcW w:w="700"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2023</w:t>
            </w:r>
          </w:p>
        </w:tc>
        <w:tc>
          <w:tcPr>
            <w:tcW w:w="118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1,870</w:t>
            </w:r>
          </w:p>
        </w:tc>
        <w:tc>
          <w:tcPr>
            <w:tcW w:w="755"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3.47</w:t>
            </w:r>
          </w:p>
        </w:tc>
        <w:tc>
          <w:tcPr>
            <w:tcW w:w="75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15.34</w:t>
            </w:r>
          </w:p>
        </w:tc>
        <w:tc>
          <w:tcPr>
            <w:tcW w:w="75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2.14</w:t>
            </w:r>
          </w:p>
        </w:tc>
        <w:tc>
          <w:tcPr>
            <w:tcW w:w="91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2.74</w:t>
            </w:r>
          </w:p>
        </w:tc>
        <w:tc>
          <w:tcPr>
            <w:tcW w:w="1154"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899.39</w:t>
            </w:r>
          </w:p>
        </w:tc>
        <w:tc>
          <w:tcPr>
            <w:tcW w:w="3131"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r>
              <w:rPr>
                <w:b w:val="0"/>
                <w:bCs w:val="0"/>
                <w:sz w:val="20"/>
                <w:szCs w:val="20"/>
              </w:rPr>
              <w:t>UNCTAD 2024; CBN SB; FIRS AR; NBS; WB WDI</w:t>
            </w:r>
          </w:p>
        </w:tc>
      </w:tr>
      <w:tr w:rsidR="002271F5" w:rsidTr="00403C3C">
        <w:tc>
          <w:tcPr>
            <w:tcW w:w="700"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2024*</w:t>
            </w:r>
          </w:p>
        </w:tc>
        <w:tc>
          <w:tcPr>
            <w:tcW w:w="118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1,100</w:t>
            </w:r>
          </w:p>
        </w:tc>
        <w:tc>
          <w:tcPr>
            <w:tcW w:w="755"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3.74</w:t>
            </w:r>
          </w:p>
        </w:tc>
        <w:tc>
          <w:tcPr>
            <w:tcW w:w="758"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15.82</w:t>
            </w:r>
          </w:p>
        </w:tc>
        <w:tc>
          <w:tcPr>
            <w:tcW w:w="75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2.29</w:t>
            </w:r>
          </w:p>
        </w:tc>
        <w:tc>
          <w:tcPr>
            <w:tcW w:w="917"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3.20</w:t>
            </w:r>
          </w:p>
        </w:tc>
        <w:tc>
          <w:tcPr>
            <w:tcW w:w="1154"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pPr>
              <w:jc w:val="center"/>
            </w:pPr>
            <w:r>
              <w:rPr>
                <w:b w:val="0"/>
                <w:bCs w:val="0"/>
                <w:sz w:val="20"/>
                <w:szCs w:val="20"/>
              </w:rPr>
              <w:t>1,535.00</w:t>
            </w:r>
          </w:p>
        </w:tc>
        <w:tc>
          <w:tcPr>
            <w:tcW w:w="3131" w:type="dxa"/>
            <w:tcBorders>
              <w:top w:val="single" w:sz="0" w:space="0" w:color="000000"/>
              <w:left w:val="single" w:sz="0" w:space="0" w:color="000000"/>
              <w:bottom w:val="single" w:sz="0" w:space="0" w:color="000000"/>
              <w:right w:val="single" w:sz="0" w:space="0" w:color="000000"/>
            </w:tcBorders>
            <w:tcMar>
              <w:top w:w="60" w:type="dxa"/>
              <w:left w:w="100" w:type="dxa"/>
              <w:bottom w:w="60" w:type="dxa"/>
              <w:right w:w="100" w:type="dxa"/>
            </w:tcMar>
          </w:tcPr>
          <w:p w:rsidR="002271F5" w:rsidRDefault="002271F5" w:rsidP="00403C3C">
            <w:r>
              <w:rPr>
                <w:b w:val="0"/>
                <w:bCs w:val="0"/>
                <w:sz w:val="20"/>
                <w:szCs w:val="20"/>
              </w:rPr>
              <w:t>UNCTAD 2024 prelim.; CBN; FIRS; NBS; Intelpoint 2024</w:t>
            </w:r>
          </w:p>
        </w:tc>
      </w:tr>
    </w:tbl>
    <w:p w:rsidR="002271F5" w:rsidRDefault="002271F5" w:rsidP="002271F5">
      <w:pPr>
        <w:spacing w:before="80" w:after="80" w:line="360" w:lineRule="auto"/>
        <w:jc w:val="both"/>
      </w:pPr>
      <w:r>
        <w:t>References: UNCTAD World Investment Reports (2011-2024); CBN Statistical Bulletins (2010-2024); FIRS Annual Reports (2010-2024); NBS; World Bank WDI; Intelpoint Analytics (2024). * Figures for 2024 are preliminary until final institutional publication.</w:t>
      </w:r>
    </w:p>
    <w:p w:rsidR="002271F5" w:rsidRDefault="002271F5" w:rsidP="002271F5">
      <w:pPr>
        <w:spacing w:before="80" w:after="80" w:line="360" w:lineRule="auto"/>
        <w:jc w:val="both"/>
      </w:pPr>
      <w:r>
        <w:lastRenderedPageBreak/>
        <w:t>* Key to abbreviation: CIT = CIT Revenue/GDP (%) ; TI = Tax Expenditure/Federal Revenue (%) ; VAT = VAT Revenue/GDP (%) ; GDPG = Real GDP Growth (%) ; EXR = Official Exchange Rate NGN/USD.</w:t>
      </w:r>
    </w:p>
    <w:p w:rsidR="002271F5" w:rsidRDefault="002271F5" w:rsidP="002271F5">
      <w:pPr>
        <w:spacing w:before="80" w:after="60"/>
      </w:pPr>
    </w:p>
    <w:p w:rsidR="002271F5" w:rsidRPr="002271F5" w:rsidRDefault="002271F5">
      <w:pPr>
        <w:spacing w:before="80" w:after="80"/>
        <w:rPr>
          <w:b w:val="0"/>
          <w:bCs w:val="0"/>
        </w:rPr>
      </w:pPr>
    </w:p>
    <w:sectPr w:rsidR="002271F5" w:rsidRPr="002271F5" w:rsidSect="009E0604">
      <w:footerReference w:type="default" r:id="rId9"/>
      <w:pgSz w:w="12240" w:h="15840"/>
      <w:pgMar w:top="1440" w:right="1440" w:bottom="1440" w:left="180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06FA" w:rsidRDefault="00A206FA">
      <w:r>
        <w:separator/>
      </w:r>
    </w:p>
  </w:endnote>
  <w:endnote w:type="continuationSeparator" w:id="1">
    <w:p w:rsidR="00A206FA" w:rsidRDefault="00A206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C3C" w:rsidRDefault="00403C3C">
    <w:pPr>
      <w:jc w:val="center"/>
    </w:pPr>
  </w:p>
  <w:p w:rsidR="00403C3C" w:rsidRDefault="00403C3C">
    <w:pP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06FA" w:rsidRDefault="00A206FA">
      <w:r>
        <w:separator/>
      </w:r>
    </w:p>
  </w:footnote>
  <w:footnote w:type="continuationSeparator" w:id="1">
    <w:p w:rsidR="00A206FA" w:rsidRDefault="00A206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647222"/>
      <w:docPartObj>
        <w:docPartGallery w:val="Page Numbers (Top of Page)"/>
        <w:docPartUnique/>
      </w:docPartObj>
    </w:sdtPr>
    <w:sdtEndPr>
      <w:rPr>
        <w:noProof/>
      </w:rPr>
    </w:sdtEndPr>
    <w:sdtContent>
      <w:p w:rsidR="00403C3C" w:rsidRDefault="00B75E50">
        <w:pPr>
          <w:pStyle w:val="Header"/>
          <w:jc w:val="right"/>
        </w:pPr>
        <w:fldSimple w:instr=" PAGE   \* MERGEFORMAT ">
          <w:r w:rsidR="000A47A5">
            <w:rPr>
              <w:noProof/>
            </w:rPr>
            <w:t>2</w:t>
          </w:r>
        </w:fldSimple>
      </w:p>
    </w:sdtContent>
  </w:sdt>
  <w:p w:rsidR="00403C3C" w:rsidRDefault="00403C3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C3C" w:rsidRDefault="00403C3C">
    <w:pPr>
      <w:pStyle w:val="Header"/>
      <w:jc w:val="right"/>
    </w:pPr>
  </w:p>
  <w:p w:rsidR="00403C3C" w:rsidRDefault="00403C3C" w:rsidP="00403C3C">
    <w:pPr>
      <w:pStyle w:val="Header"/>
      <w:jc w:val="center"/>
    </w:pPr>
  </w:p>
  <w:p w:rsidR="00403C3C" w:rsidRDefault="00403C3C">
    <w:pPr>
      <w:pStyle w:val="Header"/>
    </w:pPr>
  </w:p>
  <w:p w:rsidR="00403C3C" w:rsidRDefault="00403C3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12FC3"/>
    <w:multiLevelType w:val="hybridMultilevel"/>
    <w:tmpl w:val="2056F942"/>
    <w:lvl w:ilvl="0" w:tplc="FDD8CC6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1C7037"/>
    <w:multiLevelType w:val="hybridMultilevel"/>
    <w:tmpl w:val="59CA33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AD54D6"/>
    <w:multiLevelType w:val="hybridMultilevel"/>
    <w:tmpl w:val="C77209B4"/>
    <w:lvl w:ilvl="0" w:tplc="4F4A57E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B711D7D"/>
    <w:multiLevelType w:val="hybridMultilevel"/>
    <w:tmpl w:val="8E0615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0"/>
    <w:footnote w:id="1"/>
  </w:footnotePr>
  <w:endnotePr>
    <w:endnote w:id="0"/>
    <w:endnote w:id="1"/>
  </w:endnotePr>
  <w:compat/>
  <w:rsids>
    <w:rsidRoot w:val="00193652"/>
    <w:rsid w:val="000A47A5"/>
    <w:rsid w:val="0011445F"/>
    <w:rsid w:val="0016510D"/>
    <w:rsid w:val="00192FDE"/>
    <w:rsid w:val="00193652"/>
    <w:rsid w:val="002271F5"/>
    <w:rsid w:val="002B7CEF"/>
    <w:rsid w:val="002C6632"/>
    <w:rsid w:val="00403C3C"/>
    <w:rsid w:val="00440E16"/>
    <w:rsid w:val="00576CEC"/>
    <w:rsid w:val="00673E1D"/>
    <w:rsid w:val="00746FC5"/>
    <w:rsid w:val="00753707"/>
    <w:rsid w:val="008A2300"/>
    <w:rsid w:val="008A48A3"/>
    <w:rsid w:val="009E0604"/>
    <w:rsid w:val="009E2E8B"/>
    <w:rsid w:val="00A10386"/>
    <w:rsid w:val="00A206FA"/>
    <w:rsid w:val="00AC2C43"/>
    <w:rsid w:val="00B75E50"/>
    <w:rsid w:val="00BB59FF"/>
    <w:rsid w:val="00BE0ED9"/>
    <w:rsid w:val="00C055B8"/>
    <w:rsid w:val="00C478B0"/>
    <w:rsid w:val="00C90B88"/>
    <w:rsid w:val="00CF3B90"/>
    <w:rsid w:val="00D50EBB"/>
    <w:rsid w:val="00E7418D"/>
    <w:rsid w:val="00EB50B7"/>
    <w:rsid w:val="00F220AB"/>
    <w:rsid w:val="00F347A5"/>
    <w:rsid w:val="00F54FC7"/>
    <w:rsid w:val="00FB78DC"/>
    <w:rsid w:val="00FD17F2"/>
    <w:rsid w:val="00FD587D"/>
    <w:rsid w:val="17450BB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semiHidden="1" w:uiPriority="99" w:unhideWhenUsed="1" w:qFormat="1"/>
    <w:lsdException w:name="header" w:uiPriority="99"/>
    <w:lsdException w:name="caption" w:semiHidden="1" w:unhideWhenUsed="1" w:qFormat="1"/>
    <w:lsdException w:name="footnote reference" w:semiHidden="1" w:uiPriority="99" w:unhideWhenUsed="1" w:qFormat="1"/>
    <w:lsdException w:name="endnote reference" w:semiHidden="1" w:uiPriority="99" w:unhideWhenUsed="1" w:qFormat="1"/>
    <w:lsdException w:name="endnote text" w:semiHidden="1" w:uiPriority="99" w:unhideWhenUsed="1" w:qFormat="1"/>
    <w:lsdException w:name="Title" w:qFormat="1"/>
    <w:lsdException w:name="Default Paragraph Font" w:semiHidden="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0604"/>
    <w:rPr>
      <w:b/>
      <w:bCs/>
      <w:sz w:val="24"/>
      <w:szCs w:val="24"/>
    </w:rPr>
  </w:style>
  <w:style w:type="paragraph" w:styleId="Heading1">
    <w:name w:val="heading 1"/>
    <w:next w:val="Normal"/>
    <w:qFormat/>
    <w:rsid w:val="009E0604"/>
    <w:pPr>
      <w:outlineLvl w:val="0"/>
    </w:pPr>
    <w:rPr>
      <w:b/>
      <w:bCs/>
      <w:color w:val="2E74B5"/>
      <w:sz w:val="32"/>
      <w:szCs w:val="32"/>
    </w:rPr>
  </w:style>
  <w:style w:type="paragraph" w:styleId="Heading2">
    <w:name w:val="heading 2"/>
    <w:next w:val="Normal"/>
    <w:qFormat/>
    <w:rsid w:val="009E0604"/>
    <w:pPr>
      <w:outlineLvl w:val="1"/>
    </w:pPr>
    <w:rPr>
      <w:b/>
      <w:bCs/>
      <w:color w:val="2E74B5"/>
      <w:sz w:val="26"/>
      <w:szCs w:val="26"/>
    </w:rPr>
  </w:style>
  <w:style w:type="paragraph" w:styleId="Heading3">
    <w:name w:val="heading 3"/>
    <w:next w:val="Normal"/>
    <w:qFormat/>
    <w:rsid w:val="009E0604"/>
    <w:pPr>
      <w:outlineLvl w:val="2"/>
    </w:pPr>
    <w:rPr>
      <w:b/>
      <w:bCs/>
      <w:color w:val="1F4D78"/>
      <w:sz w:val="24"/>
      <w:szCs w:val="24"/>
    </w:rPr>
  </w:style>
  <w:style w:type="paragraph" w:styleId="Heading4">
    <w:name w:val="heading 4"/>
    <w:next w:val="Normal"/>
    <w:qFormat/>
    <w:rsid w:val="009E0604"/>
    <w:pPr>
      <w:outlineLvl w:val="3"/>
    </w:pPr>
    <w:rPr>
      <w:b/>
      <w:bCs/>
      <w:i/>
      <w:iCs/>
      <w:color w:val="2E74B5"/>
      <w:sz w:val="24"/>
      <w:szCs w:val="24"/>
    </w:rPr>
  </w:style>
  <w:style w:type="paragraph" w:styleId="Heading5">
    <w:name w:val="heading 5"/>
    <w:next w:val="Normal"/>
    <w:qFormat/>
    <w:rsid w:val="009E0604"/>
    <w:pPr>
      <w:outlineLvl w:val="4"/>
    </w:pPr>
    <w:rPr>
      <w:b/>
      <w:bCs/>
      <w:color w:val="2E74B5"/>
      <w:sz w:val="24"/>
      <w:szCs w:val="24"/>
    </w:rPr>
  </w:style>
  <w:style w:type="paragraph" w:styleId="Heading6">
    <w:name w:val="heading 6"/>
    <w:next w:val="Normal"/>
    <w:qFormat/>
    <w:rsid w:val="009E0604"/>
    <w:pPr>
      <w:outlineLvl w:val="5"/>
    </w:pPr>
    <w:rPr>
      <w:b/>
      <w:bCs/>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uiPriority w:val="99"/>
    <w:semiHidden/>
    <w:unhideWhenUsed/>
    <w:qFormat/>
    <w:rsid w:val="009E0604"/>
    <w:rPr>
      <w:vertAlign w:val="superscript"/>
    </w:rPr>
  </w:style>
  <w:style w:type="paragraph" w:styleId="EndnoteText">
    <w:name w:val="endnote text"/>
    <w:link w:val="EndnoteTextChar"/>
    <w:uiPriority w:val="99"/>
    <w:semiHidden/>
    <w:unhideWhenUsed/>
    <w:qFormat/>
    <w:rsid w:val="009E0604"/>
    <w:rPr>
      <w:b/>
      <w:bCs/>
    </w:rPr>
  </w:style>
  <w:style w:type="character" w:styleId="FootnoteReference">
    <w:name w:val="footnote reference"/>
    <w:uiPriority w:val="99"/>
    <w:semiHidden/>
    <w:unhideWhenUsed/>
    <w:qFormat/>
    <w:rsid w:val="009E0604"/>
    <w:rPr>
      <w:vertAlign w:val="superscript"/>
    </w:rPr>
  </w:style>
  <w:style w:type="paragraph" w:styleId="FootnoteText">
    <w:name w:val="footnote text"/>
    <w:link w:val="FootnoteTextChar"/>
    <w:uiPriority w:val="99"/>
    <w:semiHidden/>
    <w:unhideWhenUsed/>
    <w:qFormat/>
    <w:rsid w:val="009E0604"/>
    <w:rPr>
      <w:b/>
      <w:bCs/>
    </w:rPr>
  </w:style>
  <w:style w:type="character" w:styleId="Hyperlink">
    <w:name w:val="Hyperlink"/>
    <w:uiPriority w:val="99"/>
    <w:unhideWhenUsed/>
    <w:qFormat/>
    <w:rsid w:val="009E0604"/>
    <w:rPr>
      <w:color w:val="0563C1"/>
      <w:u w:val="single"/>
    </w:rPr>
  </w:style>
  <w:style w:type="paragraph" w:styleId="Title">
    <w:name w:val="Title"/>
    <w:qFormat/>
    <w:rsid w:val="009E0604"/>
    <w:rPr>
      <w:b/>
      <w:bCs/>
      <w:sz w:val="56"/>
      <w:szCs w:val="56"/>
    </w:rPr>
  </w:style>
  <w:style w:type="paragraph" w:styleId="ListParagraph">
    <w:name w:val="List Paragraph"/>
    <w:qFormat/>
    <w:rsid w:val="009E0604"/>
    <w:rPr>
      <w:b/>
      <w:bCs/>
      <w:sz w:val="24"/>
      <w:szCs w:val="24"/>
    </w:rPr>
  </w:style>
  <w:style w:type="character" w:customStyle="1" w:styleId="FootnoteTextChar">
    <w:name w:val="Footnote Text Char"/>
    <w:link w:val="FootnoteText"/>
    <w:uiPriority w:val="99"/>
    <w:semiHidden/>
    <w:unhideWhenUsed/>
    <w:qFormat/>
    <w:rsid w:val="009E0604"/>
    <w:rPr>
      <w:sz w:val="20"/>
      <w:szCs w:val="20"/>
    </w:rPr>
  </w:style>
  <w:style w:type="character" w:customStyle="1" w:styleId="EndnoteTextChar">
    <w:name w:val="Endnote Text Char"/>
    <w:link w:val="EndnoteText"/>
    <w:uiPriority w:val="99"/>
    <w:semiHidden/>
    <w:unhideWhenUsed/>
    <w:qFormat/>
    <w:rsid w:val="009E0604"/>
    <w:rPr>
      <w:sz w:val="20"/>
      <w:szCs w:val="20"/>
    </w:rPr>
  </w:style>
  <w:style w:type="paragraph" w:styleId="Header">
    <w:name w:val="header"/>
    <w:basedOn w:val="Normal"/>
    <w:link w:val="HeaderChar"/>
    <w:uiPriority w:val="99"/>
    <w:unhideWhenUsed/>
    <w:rsid w:val="008A2300"/>
    <w:pPr>
      <w:tabs>
        <w:tab w:val="center" w:pos="4680"/>
        <w:tab w:val="right" w:pos="9360"/>
      </w:tabs>
    </w:pPr>
    <w:rPr>
      <w:rFonts w:asciiTheme="minorHAnsi" w:eastAsiaTheme="minorHAnsi" w:hAnsiTheme="minorHAnsi" w:cstheme="minorBidi"/>
      <w:b w:val="0"/>
      <w:bCs w:val="0"/>
      <w:kern w:val="2"/>
    </w:rPr>
  </w:style>
  <w:style w:type="character" w:customStyle="1" w:styleId="HeaderChar">
    <w:name w:val="Header Char"/>
    <w:basedOn w:val="DefaultParagraphFont"/>
    <w:link w:val="Header"/>
    <w:uiPriority w:val="99"/>
    <w:rsid w:val="008A2300"/>
    <w:rPr>
      <w:rFonts w:asciiTheme="minorHAnsi" w:eastAsiaTheme="minorHAnsi" w:hAnsiTheme="minorHAnsi" w:cstheme="minorBidi"/>
      <w:kern w:val="2"/>
      <w:sz w:val="24"/>
      <w:szCs w:val="24"/>
    </w:rPr>
  </w:style>
  <w:style w:type="table" w:customStyle="1" w:styleId="PlainTable2">
    <w:name w:val="Plain Table 2"/>
    <w:basedOn w:val="TableNormal"/>
    <w:uiPriority w:val="42"/>
    <w:rsid w:val="002271F5"/>
    <w:rPr>
      <w:rFonts w:asciiTheme="minorHAnsi" w:eastAsiaTheme="minorHAnsi" w:hAnsiTheme="minorHAnsi" w:cstheme="minorBidi"/>
      <w:kern w:val="2"/>
      <w:sz w:val="24"/>
      <w:szCs w:val="24"/>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unhideWhenUsed/>
    <w:rsid w:val="00AC2C43"/>
    <w:rPr>
      <w:color w:val="666666"/>
    </w:rPr>
  </w:style>
  <w:style w:type="paragraph" w:styleId="Footer">
    <w:name w:val="footer"/>
    <w:basedOn w:val="Normal"/>
    <w:link w:val="FooterChar"/>
    <w:rsid w:val="002C6632"/>
    <w:pPr>
      <w:tabs>
        <w:tab w:val="center" w:pos="4680"/>
        <w:tab w:val="right" w:pos="9360"/>
      </w:tabs>
    </w:pPr>
  </w:style>
  <w:style w:type="character" w:customStyle="1" w:styleId="FooterChar">
    <w:name w:val="Footer Char"/>
    <w:basedOn w:val="DefaultParagraphFont"/>
    <w:link w:val="Footer"/>
    <w:rsid w:val="002C6632"/>
    <w:rPr>
      <w:b/>
      <w:bCs/>
      <w:sz w:val="24"/>
      <w:szCs w:val="24"/>
    </w:rPr>
  </w:style>
  <w:style w:type="paragraph" w:styleId="BalloonText">
    <w:name w:val="Balloon Text"/>
    <w:basedOn w:val="Normal"/>
    <w:link w:val="BalloonTextChar"/>
    <w:rsid w:val="00FD17F2"/>
    <w:rPr>
      <w:rFonts w:ascii="Tahoma" w:hAnsi="Tahoma" w:cs="Tahoma"/>
      <w:sz w:val="16"/>
      <w:szCs w:val="16"/>
    </w:rPr>
  </w:style>
  <w:style w:type="character" w:customStyle="1" w:styleId="BalloonTextChar">
    <w:name w:val="Balloon Text Char"/>
    <w:basedOn w:val="DefaultParagraphFont"/>
    <w:link w:val="BalloonText"/>
    <w:rsid w:val="00FD17F2"/>
    <w:rPr>
      <w:rFonts w:ascii="Tahoma" w:hAnsi="Tahoma" w:cs="Tahoma"/>
      <w:b/>
      <w:bCs/>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72</Pages>
  <Words>14963</Words>
  <Characters>85290</Characters>
  <Application>Microsoft Office Word</Application>
  <DocSecurity>0</DocSecurity>
  <Lines>710</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De Shepherds</cp:lastModifiedBy>
  <cp:revision>2</cp:revision>
  <cp:lastPrinted>2026-07-20T14:51:00Z</cp:lastPrinted>
  <dcterms:created xsi:type="dcterms:W3CDTF">2026-07-20T15:07:00Z</dcterms:created>
  <dcterms:modified xsi:type="dcterms:W3CDTF">2026-07-20T15:07:00Z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2057-12.2.0.23202</vt:lpwstr>
  </property>
  <property fmtid="{D5CDD505-2E9C-101B-9397-08002B2CF9AE}" pid="3" name="ICV">
    <vt:lpwstr>1EC36DF22B3D4A03B1066C35C1B9EB90_12</vt:lpwstr>
  </property>
</Properties>
</file>