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35956" w14:textId="77777777" w:rsidR="00C42D88" w:rsidRPr="001C5B16" w:rsidRDefault="00123B0E">
      <w:pPr>
        <w:spacing w:after="600"/>
        <w:jc w:val="center"/>
        <w:rPr>
          <w:rFonts w:ascii="Times New Roman" w:hAnsi="Times New Roman"/>
          <w:sz w:val="24"/>
          <w:szCs w:val="24"/>
        </w:rPr>
      </w:pPr>
      <w:r w:rsidRPr="001C5B16">
        <w:rPr>
          <w:rFonts w:ascii="Times New Roman" w:hAnsi="Times New Roman"/>
          <w:b/>
          <w:sz w:val="24"/>
          <w:szCs w:val="24"/>
        </w:rPr>
        <w:t>ENVIRONMENTAL ACCOUNTING REPORTING AND PROFITABILITY OF QUOTED OIL AND GAS FIRMS IN NIGERIA (2014 – 2025)</w:t>
      </w:r>
    </w:p>
    <w:p w14:paraId="48F7117B" w14:textId="77777777" w:rsidR="00C42D88" w:rsidRPr="001C5B16" w:rsidRDefault="00123B0E">
      <w:pPr>
        <w:spacing w:after="600"/>
        <w:jc w:val="center"/>
        <w:rPr>
          <w:rFonts w:ascii="Times New Roman" w:hAnsi="Times New Roman"/>
          <w:b/>
          <w:sz w:val="24"/>
          <w:szCs w:val="24"/>
        </w:rPr>
      </w:pPr>
      <w:r w:rsidRPr="001C5B16">
        <w:rPr>
          <w:rFonts w:ascii="Times New Roman" w:hAnsi="Times New Roman"/>
          <w:b/>
          <w:sz w:val="24"/>
          <w:szCs w:val="24"/>
        </w:rPr>
        <w:t>BY</w:t>
      </w:r>
    </w:p>
    <w:p w14:paraId="70784645" w14:textId="77777777" w:rsidR="005140D9" w:rsidRDefault="005140D9" w:rsidP="005140D9">
      <w:pPr>
        <w:spacing w:after="800"/>
        <w:jc w:val="center"/>
        <w:rPr>
          <w:rFonts w:ascii="Times New Roman" w:hAnsi="Times New Roman"/>
          <w:b/>
          <w:sz w:val="24"/>
          <w:szCs w:val="24"/>
        </w:rPr>
      </w:pPr>
    </w:p>
    <w:p w14:paraId="7CA2F13C" w14:textId="553F2ACF" w:rsidR="00C42D88" w:rsidRPr="001C5B16" w:rsidRDefault="00123B0E" w:rsidP="005140D9">
      <w:pPr>
        <w:spacing w:after="800"/>
        <w:jc w:val="center"/>
        <w:rPr>
          <w:rFonts w:ascii="Times New Roman" w:hAnsi="Times New Roman"/>
          <w:b/>
          <w:sz w:val="24"/>
          <w:szCs w:val="24"/>
        </w:rPr>
      </w:pPr>
      <w:r w:rsidRPr="001C5B16">
        <w:rPr>
          <w:rFonts w:ascii="Times New Roman" w:hAnsi="Times New Roman"/>
          <w:b/>
          <w:sz w:val="24"/>
          <w:szCs w:val="24"/>
        </w:rPr>
        <w:t>EZEANYA</w:t>
      </w:r>
      <w:r w:rsidR="005140D9">
        <w:rPr>
          <w:rFonts w:ascii="Times New Roman" w:hAnsi="Times New Roman"/>
          <w:b/>
          <w:sz w:val="24"/>
          <w:szCs w:val="24"/>
        </w:rPr>
        <w:t>, CRESCENT OKWUCHUKWU</w:t>
      </w:r>
      <w:r w:rsidRPr="001C5B16">
        <w:rPr>
          <w:rFonts w:ascii="Times New Roman" w:hAnsi="Times New Roman"/>
          <w:b/>
          <w:sz w:val="24"/>
          <w:szCs w:val="24"/>
        </w:rPr>
        <w:br/>
        <w:t>GOU/U22/ACC/405</w:t>
      </w:r>
    </w:p>
    <w:p w14:paraId="120D7C64" w14:textId="77777777" w:rsidR="00C42D88" w:rsidRPr="001C5B16" w:rsidRDefault="00C42D88">
      <w:pPr>
        <w:spacing w:after="800"/>
        <w:jc w:val="center"/>
        <w:rPr>
          <w:rFonts w:ascii="Times New Roman" w:hAnsi="Times New Roman"/>
          <w:b/>
          <w:sz w:val="24"/>
          <w:szCs w:val="24"/>
        </w:rPr>
      </w:pPr>
    </w:p>
    <w:p w14:paraId="2A69C9E4" w14:textId="77777777" w:rsidR="00C42D88" w:rsidRPr="001C5B16" w:rsidRDefault="00123B0E">
      <w:pPr>
        <w:spacing w:after="800"/>
        <w:jc w:val="center"/>
        <w:rPr>
          <w:rFonts w:ascii="Times New Roman" w:hAnsi="Times New Roman"/>
          <w:sz w:val="24"/>
          <w:szCs w:val="24"/>
        </w:rPr>
      </w:pPr>
      <w:r w:rsidRPr="001C5B16">
        <w:rPr>
          <w:rFonts w:ascii="Times New Roman" w:hAnsi="Times New Roman"/>
          <w:b/>
          <w:sz w:val="24"/>
          <w:szCs w:val="24"/>
        </w:rPr>
        <w:t>PROJECT SUBMITTED TO DEPARTMENT OF ACCOUNTING AND FINANCE</w:t>
      </w:r>
      <w:r w:rsidRPr="001C5B16">
        <w:rPr>
          <w:rFonts w:ascii="Times New Roman" w:hAnsi="Times New Roman"/>
          <w:b/>
          <w:sz w:val="24"/>
          <w:szCs w:val="24"/>
        </w:rPr>
        <w:br/>
        <w:t>FACULTY OF MANAGEMENT AND SOCIAL SCIENCES</w:t>
      </w:r>
      <w:r w:rsidRPr="001C5B16">
        <w:rPr>
          <w:rFonts w:ascii="Times New Roman" w:hAnsi="Times New Roman"/>
          <w:b/>
          <w:sz w:val="24"/>
          <w:szCs w:val="24"/>
        </w:rPr>
        <w:br/>
        <w:t>GODFREY OKOYE UNIVERSITY, UGWUOMU-NIKE, ENUGU</w:t>
      </w:r>
    </w:p>
    <w:p w14:paraId="37730732" w14:textId="77777777" w:rsidR="00C42D88" w:rsidRPr="001C5B16" w:rsidRDefault="00123B0E">
      <w:pPr>
        <w:spacing w:after="800"/>
        <w:jc w:val="center"/>
        <w:rPr>
          <w:rFonts w:ascii="Times New Roman" w:hAnsi="Times New Roman"/>
          <w:sz w:val="24"/>
          <w:szCs w:val="24"/>
        </w:rPr>
      </w:pPr>
      <w:r w:rsidRPr="001C5B16">
        <w:rPr>
          <w:rFonts w:ascii="Times New Roman" w:hAnsi="Times New Roman"/>
          <w:b/>
          <w:sz w:val="24"/>
          <w:szCs w:val="24"/>
        </w:rPr>
        <w:t>IN PARTIAL FULFILMENT OF THE REQUIREMENTS FOR THE AWARD OF BACHELOR OF SCIENCE (</w:t>
      </w:r>
      <w:proofErr w:type="gramStart"/>
      <w:r w:rsidRPr="001C5B16">
        <w:rPr>
          <w:rFonts w:ascii="Times New Roman" w:hAnsi="Times New Roman"/>
          <w:b/>
          <w:sz w:val="24"/>
          <w:szCs w:val="24"/>
        </w:rPr>
        <w:t>B.Sc</w:t>
      </w:r>
      <w:proofErr w:type="gramEnd"/>
      <w:r w:rsidRPr="001C5B16">
        <w:rPr>
          <w:rFonts w:ascii="Times New Roman" w:hAnsi="Times New Roman"/>
          <w:b/>
          <w:sz w:val="24"/>
          <w:szCs w:val="24"/>
        </w:rPr>
        <w:t>) DEGREE IN ACCOUNTING</w:t>
      </w:r>
    </w:p>
    <w:p w14:paraId="52E7DB0F" w14:textId="77777777" w:rsidR="00C42D88" w:rsidRPr="001C5B16" w:rsidRDefault="00123B0E">
      <w:pPr>
        <w:spacing w:after="800"/>
        <w:jc w:val="center"/>
        <w:rPr>
          <w:rFonts w:ascii="Times New Roman" w:hAnsi="Times New Roman"/>
          <w:b/>
          <w:sz w:val="24"/>
          <w:szCs w:val="24"/>
        </w:rPr>
      </w:pPr>
      <w:r w:rsidRPr="001C5B16">
        <w:rPr>
          <w:rFonts w:ascii="Times New Roman" w:hAnsi="Times New Roman"/>
          <w:b/>
          <w:sz w:val="24"/>
          <w:szCs w:val="24"/>
        </w:rPr>
        <w:t>SUPERVISOR: PROF. ELIAS I. AGBO</w:t>
      </w:r>
    </w:p>
    <w:p w14:paraId="23CBBCBF" w14:textId="77777777" w:rsidR="00C42D88" w:rsidRPr="001C5B16" w:rsidRDefault="00C42D88">
      <w:pPr>
        <w:spacing w:after="800"/>
        <w:jc w:val="center"/>
        <w:rPr>
          <w:rFonts w:ascii="Times New Roman" w:hAnsi="Times New Roman"/>
          <w:b/>
          <w:sz w:val="24"/>
          <w:szCs w:val="24"/>
        </w:rPr>
      </w:pPr>
    </w:p>
    <w:p w14:paraId="5A14AD3F" w14:textId="24EC7258" w:rsidR="00C42D88" w:rsidRPr="001C5B16" w:rsidRDefault="00414876">
      <w:pPr>
        <w:spacing w:after="0"/>
        <w:jc w:val="center"/>
        <w:rPr>
          <w:rFonts w:ascii="Times New Roman" w:hAnsi="Times New Roman"/>
          <w:sz w:val="24"/>
          <w:szCs w:val="24"/>
        </w:rPr>
      </w:pPr>
      <w:r>
        <w:rPr>
          <w:rFonts w:ascii="Times New Roman" w:hAnsi="Times New Roman"/>
          <w:b/>
          <w:sz w:val="24"/>
          <w:szCs w:val="24"/>
        </w:rPr>
        <w:t>JULY</w:t>
      </w:r>
      <w:r w:rsidR="00123B0E" w:rsidRPr="001C5B16">
        <w:rPr>
          <w:rFonts w:ascii="Times New Roman" w:hAnsi="Times New Roman"/>
          <w:b/>
          <w:sz w:val="24"/>
          <w:szCs w:val="24"/>
        </w:rPr>
        <w:t>, 2026</w:t>
      </w:r>
    </w:p>
    <w:p w14:paraId="66473D20"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5600DC66" w14:textId="77777777" w:rsidR="00C42D88" w:rsidRPr="001C5B16" w:rsidRDefault="00123B0E">
      <w:pPr>
        <w:spacing w:after="240"/>
        <w:jc w:val="center"/>
        <w:rPr>
          <w:rFonts w:ascii="Times New Roman" w:hAnsi="Times New Roman"/>
          <w:sz w:val="24"/>
          <w:szCs w:val="24"/>
        </w:rPr>
      </w:pPr>
      <w:r w:rsidRPr="001C5B16">
        <w:rPr>
          <w:rFonts w:ascii="Times New Roman" w:hAnsi="Times New Roman"/>
          <w:b/>
          <w:sz w:val="24"/>
          <w:szCs w:val="24"/>
        </w:rPr>
        <w:lastRenderedPageBreak/>
        <w:t>DECLARATION</w:t>
      </w:r>
    </w:p>
    <w:p w14:paraId="7A1424D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I, Crescent Ezeanya, am a bona fide student in the Department of Accounting and Finance under the Faculty of Management and Social Sciences in Godfrey Okoye University. I hereby declare that the work entitled "Environmental Accounting Reporting and Profitability of Quoted Oil and Gas Firms in Nigeria (2014 – 2025)" submitted by me in partial fulfilment of the requirements for the award of Bachelor of Science (B.Sc) degree in Accounting is my original work and has not been submitted either in part or full for any other degree or diploma either in this or any other tertiary institution.</w:t>
      </w:r>
    </w:p>
    <w:p w14:paraId="71D672F8" w14:textId="77777777" w:rsidR="00C42D88" w:rsidRPr="001C5B16" w:rsidRDefault="00123B0E" w:rsidP="00EC2CDE">
      <w:pPr>
        <w:spacing w:after="0"/>
        <w:rPr>
          <w:rFonts w:ascii="Times New Roman" w:hAnsi="Times New Roman"/>
          <w:sz w:val="24"/>
          <w:szCs w:val="24"/>
        </w:rPr>
      </w:pPr>
      <w:r w:rsidRPr="001C5B16">
        <w:rPr>
          <w:rFonts w:ascii="Times New Roman" w:hAnsi="Times New Roman"/>
          <w:sz w:val="24"/>
          <w:szCs w:val="24"/>
        </w:rPr>
        <w:br/>
      </w:r>
      <w:r w:rsidRPr="001C5B16">
        <w:rPr>
          <w:rFonts w:ascii="Times New Roman" w:hAnsi="Times New Roman"/>
          <w:sz w:val="24"/>
          <w:szCs w:val="24"/>
        </w:rPr>
        <w:br/>
        <w:t>Signature: ...............................</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Date: ...............................</w:t>
      </w:r>
    </w:p>
    <w:p w14:paraId="4B0581B7" w14:textId="552C2DBF" w:rsidR="00C42D88" w:rsidRPr="001C5B16" w:rsidRDefault="000E26BA" w:rsidP="00EC2CDE">
      <w:pPr>
        <w:spacing w:after="0"/>
        <w:rPr>
          <w:rFonts w:ascii="Times New Roman" w:hAnsi="Times New Roman"/>
          <w:b/>
          <w:bCs/>
          <w:sz w:val="24"/>
          <w:szCs w:val="24"/>
        </w:rPr>
      </w:pPr>
      <w:proofErr w:type="spellStart"/>
      <w:r w:rsidRPr="001C5B16">
        <w:rPr>
          <w:rFonts w:ascii="Times New Roman" w:hAnsi="Times New Roman"/>
          <w:b/>
          <w:bCs/>
          <w:sz w:val="24"/>
          <w:szCs w:val="24"/>
        </w:rPr>
        <w:t>Ezeanya</w:t>
      </w:r>
      <w:proofErr w:type="spellEnd"/>
      <w:r w:rsidRPr="001C5B16">
        <w:rPr>
          <w:rFonts w:ascii="Times New Roman" w:hAnsi="Times New Roman"/>
          <w:b/>
          <w:bCs/>
          <w:sz w:val="24"/>
          <w:szCs w:val="24"/>
        </w:rPr>
        <w:t xml:space="preserve"> Crescent </w:t>
      </w:r>
      <w:proofErr w:type="spellStart"/>
      <w:r w:rsidRPr="001C5B16">
        <w:rPr>
          <w:rFonts w:ascii="Times New Roman" w:hAnsi="Times New Roman"/>
          <w:b/>
          <w:bCs/>
          <w:sz w:val="24"/>
          <w:szCs w:val="24"/>
        </w:rPr>
        <w:t>Okwuchukwu</w:t>
      </w:r>
      <w:proofErr w:type="spellEnd"/>
    </w:p>
    <w:p w14:paraId="2D4E196E" w14:textId="77777777" w:rsidR="000E26BA" w:rsidRPr="001C5B16" w:rsidRDefault="000E26BA" w:rsidP="00EC2CDE">
      <w:pPr>
        <w:spacing w:after="0"/>
        <w:rPr>
          <w:rFonts w:ascii="Times New Roman" w:hAnsi="Times New Roman"/>
          <w:sz w:val="24"/>
          <w:szCs w:val="24"/>
        </w:rPr>
      </w:pPr>
      <w:r w:rsidRPr="001C5B16">
        <w:rPr>
          <w:rFonts w:ascii="Times New Roman" w:hAnsi="Times New Roman"/>
          <w:sz w:val="24"/>
          <w:szCs w:val="24"/>
        </w:rPr>
        <w:t>GOU/U22/ACC/405</w:t>
      </w:r>
    </w:p>
    <w:p w14:paraId="28326389"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302138B1" w14:textId="77777777" w:rsidR="00C42D88" w:rsidRPr="001C5B16" w:rsidRDefault="00123B0E">
      <w:pPr>
        <w:spacing w:after="240"/>
        <w:jc w:val="center"/>
        <w:rPr>
          <w:rFonts w:ascii="Times New Roman" w:hAnsi="Times New Roman"/>
          <w:sz w:val="24"/>
          <w:szCs w:val="24"/>
        </w:rPr>
      </w:pPr>
      <w:r w:rsidRPr="001C5B16">
        <w:rPr>
          <w:rFonts w:ascii="Times New Roman" w:hAnsi="Times New Roman"/>
          <w:b/>
          <w:sz w:val="24"/>
          <w:szCs w:val="24"/>
        </w:rPr>
        <w:lastRenderedPageBreak/>
        <w:t>CERTIFICATION</w:t>
      </w:r>
    </w:p>
    <w:p w14:paraId="0588A171"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This is to certify that this research entitled "Environmental Accounting Reporting and Profitability of Quoted Oil and Gas Firms in Nigeria (2014 – 2025)" written by Crescent Ezeanya with Registration Number [Insert Reg. Number] presented to the Department of Accounting and Finance of Godfrey Okoye University, Enugu has been assessed and approved for oral examination/defense by the Department of Accounting and Finance, Godfrey Okoye University, Enugu.</w:t>
      </w:r>
    </w:p>
    <w:p w14:paraId="65A615EF"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r>
      <w:r w:rsidRPr="001C5B16">
        <w:rPr>
          <w:rFonts w:ascii="Times New Roman" w:hAnsi="Times New Roman"/>
          <w:sz w:val="24"/>
          <w:szCs w:val="24"/>
        </w:rPr>
        <w:br/>
        <w:t xml:space="preserve">_______________ </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___________________</w:t>
      </w:r>
      <w:r w:rsidRPr="001C5B16">
        <w:rPr>
          <w:rFonts w:ascii="Times New Roman" w:hAnsi="Times New Roman"/>
          <w:sz w:val="24"/>
          <w:szCs w:val="24"/>
        </w:rPr>
        <w:br/>
        <w:t>Prof. Elias I. Agbo</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Date</w:t>
      </w:r>
      <w:r w:rsidRPr="001C5B16">
        <w:rPr>
          <w:rFonts w:ascii="Times New Roman" w:hAnsi="Times New Roman"/>
          <w:sz w:val="24"/>
          <w:szCs w:val="24"/>
        </w:rPr>
        <w:br/>
        <w:t>Project Supervisor</w:t>
      </w:r>
    </w:p>
    <w:p w14:paraId="2FA46045"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 xml:space="preserve">_______________ </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___________________</w:t>
      </w:r>
      <w:r w:rsidRPr="001C5B16">
        <w:rPr>
          <w:rFonts w:ascii="Times New Roman" w:hAnsi="Times New Roman"/>
          <w:sz w:val="24"/>
          <w:szCs w:val="24"/>
        </w:rPr>
        <w:br/>
        <w:t>Prof. John Odo</w:t>
      </w:r>
      <w:r w:rsidRPr="001C5B16">
        <w:rPr>
          <w:rFonts w:ascii="Times New Roman" w:hAnsi="Times New Roman"/>
          <w:sz w:val="24"/>
          <w:szCs w:val="24"/>
        </w:rPr>
        <w:tab/>
      </w:r>
      <w:r w:rsidRPr="001C5B16">
        <w:rPr>
          <w:rFonts w:ascii="Times New Roman" w:hAnsi="Times New Roman"/>
          <w:sz w:val="24"/>
          <w:szCs w:val="24"/>
        </w:rPr>
        <w:tab/>
      </w:r>
      <w:proofErr w:type="gramStart"/>
      <w:r w:rsidRPr="001C5B16">
        <w:rPr>
          <w:rFonts w:ascii="Times New Roman" w:hAnsi="Times New Roman"/>
          <w:sz w:val="24"/>
          <w:szCs w:val="24"/>
        </w:rPr>
        <w:tab/>
        <w:t xml:space="preserve">  </w:t>
      </w:r>
      <w:r w:rsidRPr="001C5B16">
        <w:rPr>
          <w:rFonts w:ascii="Times New Roman" w:hAnsi="Times New Roman"/>
          <w:sz w:val="24"/>
          <w:szCs w:val="24"/>
        </w:rPr>
        <w:tab/>
      </w:r>
      <w:proofErr w:type="gramEnd"/>
      <w:r w:rsidRPr="001C5B16">
        <w:rPr>
          <w:rFonts w:ascii="Times New Roman" w:hAnsi="Times New Roman"/>
          <w:sz w:val="24"/>
          <w:szCs w:val="24"/>
        </w:rPr>
        <w:t xml:space="preserve">            Date</w:t>
      </w:r>
      <w:r w:rsidRPr="001C5B16">
        <w:rPr>
          <w:rFonts w:ascii="Times New Roman" w:hAnsi="Times New Roman"/>
          <w:sz w:val="24"/>
          <w:szCs w:val="24"/>
        </w:rPr>
        <w:br/>
        <w:t>Head of Department</w:t>
      </w:r>
    </w:p>
    <w:p w14:paraId="500E06DD"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 xml:space="preserve">_______________ </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___________________</w:t>
      </w:r>
      <w:r w:rsidRPr="001C5B16">
        <w:rPr>
          <w:rFonts w:ascii="Times New Roman" w:hAnsi="Times New Roman"/>
          <w:sz w:val="24"/>
          <w:szCs w:val="24"/>
        </w:rPr>
        <w:br/>
        <w:t>Prof. John Odo</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 xml:space="preserve">            Date</w:t>
      </w:r>
      <w:r w:rsidRPr="001C5B16">
        <w:rPr>
          <w:rFonts w:ascii="Times New Roman" w:hAnsi="Times New Roman"/>
          <w:sz w:val="24"/>
          <w:szCs w:val="24"/>
        </w:rPr>
        <w:br/>
        <w:t>Dean, FMSS</w:t>
      </w:r>
    </w:p>
    <w:p w14:paraId="452A3748"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 xml:space="preserve">_______________ </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___________________</w:t>
      </w:r>
      <w:r w:rsidRPr="001C5B16">
        <w:rPr>
          <w:rFonts w:ascii="Times New Roman" w:hAnsi="Times New Roman"/>
          <w:sz w:val="24"/>
          <w:szCs w:val="24"/>
        </w:rPr>
        <w:br/>
        <w:t>External Examiner</w:t>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r>
      <w:r w:rsidRPr="001C5B16">
        <w:rPr>
          <w:rFonts w:ascii="Times New Roman" w:hAnsi="Times New Roman"/>
          <w:sz w:val="24"/>
          <w:szCs w:val="24"/>
        </w:rPr>
        <w:tab/>
        <w:t>Date</w:t>
      </w:r>
    </w:p>
    <w:p w14:paraId="7F97ADAD"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78EED4F5" w14:textId="77777777" w:rsidR="00C42D88" w:rsidRPr="001C5B16" w:rsidRDefault="00123B0E">
      <w:pPr>
        <w:spacing w:after="240"/>
        <w:jc w:val="center"/>
        <w:rPr>
          <w:rFonts w:ascii="Times New Roman" w:hAnsi="Times New Roman"/>
          <w:sz w:val="24"/>
          <w:szCs w:val="24"/>
        </w:rPr>
      </w:pPr>
      <w:r w:rsidRPr="001C5B16">
        <w:rPr>
          <w:rFonts w:ascii="Times New Roman" w:hAnsi="Times New Roman"/>
          <w:b/>
          <w:sz w:val="24"/>
          <w:szCs w:val="24"/>
        </w:rPr>
        <w:lastRenderedPageBreak/>
        <w:t>DEDICATION</w:t>
      </w:r>
    </w:p>
    <w:p w14:paraId="7D6CB8CE" w14:textId="77777777" w:rsidR="00C42D88" w:rsidRPr="001C5B16" w:rsidRDefault="00123B0E">
      <w:pPr>
        <w:spacing w:line="480" w:lineRule="auto"/>
        <w:rPr>
          <w:rFonts w:ascii="Times New Roman" w:hAnsi="Times New Roman"/>
          <w:sz w:val="24"/>
          <w:szCs w:val="24"/>
        </w:rPr>
      </w:pPr>
      <w:r w:rsidRPr="001C5B16">
        <w:rPr>
          <w:rFonts w:ascii="Times New Roman" w:hAnsi="Times New Roman"/>
          <w:sz w:val="24"/>
          <w:szCs w:val="24"/>
        </w:rPr>
        <w:t>This research project is dedicated to Almighty God for His grace, wisdom, and protection throughout my academic journey.</w:t>
      </w:r>
    </w:p>
    <w:p w14:paraId="4EFAB623"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032A4DEF" w14:textId="77777777" w:rsidR="00C42D88" w:rsidRPr="001C5B16" w:rsidRDefault="00123B0E" w:rsidP="0098655E">
      <w:pPr>
        <w:spacing w:after="240" w:line="480" w:lineRule="auto"/>
        <w:jc w:val="center"/>
        <w:rPr>
          <w:rFonts w:ascii="Times New Roman" w:hAnsi="Times New Roman"/>
          <w:sz w:val="24"/>
          <w:szCs w:val="24"/>
        </w:rPr>
      </w:pPr>
      <w:r w:rsidRPr="001C5B16">
        <w:rPr>
          <w:rFonts w:ascii="Times New Roman" w:hAnsi="Times New Roman"/>
          <w:b/>
          <w:sz w:val="24"/>
          <w:szCs w:val="24"/>
        </w:rPr>
        <w:lastRenderedPageBreak/>
        <w:t>ACKNOWLEDGEMENTS</w:t>
      </w:r>
    </w:p>
    <w:p w14:paraId="34C88415"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First and foremost, I give thanks to Almighty God for His guidance, strength, wisdom, and grace throughout the course of this research work. Without His faithfulness, this journey would not have been possible.</w:t>
      </w:r>
    </w:p>
    <w:p w14:paraId="0B7FFBCA"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I express my sincere and profound gratitude to my supervisor, Prof. Elias I. Agbo, whose guidance, patience, encouragement, and constructive criticisms were invaluable to the successful completion of this project. He took the time to review my work carefully at every stage, challenged me to think more rigorously, and was always willing to explain concepts I struggled with. His support and mentorship have been a great source of inspiration, and I am deeply grateful to have been supervised by him.</w:t>
      </w:r>
    </w:p>
    <w:p w14:paraId="47EB25E9"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 xml:space="preserve">I also wish to express my sincere appreciation to the Head of Department, Prof. John Odo, for his exceptional leadership, support, and encouragement throughout the course of my academic journey. I am grateful for the opportunities and guidance he provided, which contributed significantly to the successful completion of this work. My appreciation also goes to the Vice Chancellor of Godfrey Okoye University, Rev. Fr. Prof. C. </w:t>
      </w:r>
      <w:proofErr w:type="spellStart"/>
      <w:r w:rsidRPr="00532516">
        <w:rPr>
          <w:rFonts w:ascii="Times New Roman" w:hAnsi="Times New Roman"/>
        </w:rPr>
        <w:t>Ameke</w:t>
      </w:r>
      <w:proofErr w:type="spellEnd"/>
      <w:r w:rsidRPr="00532516">
        <w:rPr>
          <w:rFonts w:ascii="Times New Roman" w:hAnsi="Times New Roman"/>
        </w:rPr>
        <w:t>, for providing a conducive academic environment and for his visionary leadership throughout my course of study.</w:t>
      </w:r>
    </w:p>
    <w:p w14:paraId="231A37F5"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 xml:space="preserve">I would like to extend my sincere appreciation to all my lecturers in the Department of Accounting and Finance, who each contributed in their own way to my academic growth over the course of this </w:t>
      </w:r>
      <w:proofErr w:type="spellStart"/>
      <w:r w:rsidRPr="00532516">
        <w:rPr>
          <w:rFonts w:ascii="Times New Roman" w:hAnsi="Times New Roman"/>
        </w:rPr>
        <w:t>programme</w:t>
      </w:r>
      <w:proofErr w:type="spellEnd"/>
      <w:r w:rsidRPr="00532516">
        <w:rPr>
          <w:rFonts w:ascii="Times New Roman" w:hAnsi="Times New Roman"/>
        </w:rPr>
        <w:t xml:space="preserve">: Prof. S. N. Udeh, Prof. O. </w:t>
      </w:r>
      <w:proofErr w:type="spellStart"/>
      <w:r w:rsidRPr="00532516">
        <w:rPr>
          <w:rFonts w:ascii="Times New Roman" w:hAnsi="Times New Roman"/>
        </w:rPr>
        <w:t>Inyiama</w:t>
      </w:r>
      <w:proofErr w:type="spellEnd"/>
      <w:r w:rsidRPr="00532516">
        <w:rPr>
          <w:rFonts w:ascii="Times New Roman" w:hAnsi="Times New Roman"/>
        </w:rPr>
        <w:t xml:space="preserve">, Prof. Lucy Onyekwelu, Mrs. V. I. Okoro, Dr. J. Ugwu, Dr. S. N. P. Nwankwo, Dr. E. Bassey, Prof. M. Egiyi, Rev. Fr. W. Agu, Dr. Anthony Ude, Dr. Basilia, Dr. Stephen Agu, and Mrs. </w:t>
      </w:r>
      <w:proofErr w:type="spellStart"/>
      <w:r w:rsidRPr="00532516">
        <w:rPr>
          <w:rFonts w:ascii="Times New Roman" w:hAnsi="Times New Roman"/>
        </w:rPr>
        <w:t>Onyibor</w:t>
      </w:r>
      <w:proofErr w:type="spellEnd"/>
      <w:r w:rsidRPr="00532516">
        <w:rPr>
          <w:rFonts w:ascii="Times New Roman" w:hAnsi="Times New Roman"/>
        </w:rPr>
        <w:t xml:space="preserve"> </w:t>
      </w:r>
      <w:proofErr w:type="spellStart"/>
      <w:r w:rsidRPr="00532516">
        <w:rPr>
          <w:rFonts w:ascii="Times New Roman" w:hAnsi="Times New Roman"/>
        </w:rPr>
        <w:t>Chiazor</w:t>
      </w:r>
      <w:proofErr w:type="spellEnd"/>
      <w:r w:rsidRPr="00532516">
        <w:rPr>
          <w:rFonts w:ascii="Times New Roman" w:hAnsi="Times New Roman"/>
        </w:rPr>
        <w:t xml:space="preserve"> Cynthia. I am also grateful to the entire non-academic staff of the department for their support throughout my studies. Thank you all for the knowledge, discipline, and solid academic foundation you gave me — it has shaped not just this project but the way I think as a young researcher.</w:t>
      </w:r>
    </w:p>
    <w:p w14:paraId="3FE18374"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 xml:space="preserve">I am deeply and profoundly grateful to my beloved mother, </w:t>
      </w:r>
      <w:proofErr w:type="spellStart"/>
      <w:r w:rsidRPr="00532516">
        <w:rPr>
          <w:rFonts w:ascii="Times New Roman" w:hAnsi="Times New Roman"/>
        </w:rPr>
        <w:t>Ezeanya</w:t>
      </w:r>
      <w:proofErr w:type="spellEnd"/>
      <w:r w:rsidRPr="00532516">
        <w:rPr>
          <w:rFonts w:ascii="Times New Roman" w:hAnsi="Times New Roman"/>
        </w:rPr>
        <w:t xml:space="preserve"> Stella Ngozi, for her unwavering love, prayers, sacrifices, and support throughout this journey and my entire academic life. She believed in me </w:t>
      </w:r>
      <w:r w:rsidRPr="00532516">
        <w:rPr>
          <w:rFonts w:ascii="Times New Roman" w:hAnsi="Times New Roman"/>
        </w:rPr>
        <w:lastRenderedPageBreak/>
        <w:t>even in moments when I doubted myself, and her strength has been the quiet engine behind everything I have accomplished. Words truly cannot fully express how much her presence has meant to me. Thank you, Mummy, for being my greatest pillar.</w:t>
      </w:r>
    </w:p>
    <w:p w14:paraId="497CBDA0"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 xml:space="preserve">I am equally grateful to my dear uncles, </w:t>
      </w:r>
      <w:proofErr w:type="spellStart"/>
      <w:r w:rsidRPr="00532516">
        <w:rPr>
          <w:rFonts w:ascii="Times New Roman" w:hAnsi="Times New Roman"/>
        </w:rPr>
        <w:t>Ezeanya</w:t>
      </w:r>
      <w:proofErr w:type="spellEnd"/>
      <w:r w:rsidRPr="00532516">
        <w:rPr>
          <w:rFonts w:ascii="Times New Roman" w:hAnsi="Times New Roman"/>
        </w:rPr>
        <w:t xml:space="preserve"> Sunday and </w:t>
      </w:r>
      <w:proofErr w:type="spellStart"/>
      <w:r w:rsidRPr="00532516">
        <w:rPr>
          <w:rFonts w:ascii="Times New Roman" w:hAnsi="Times New Roman"/>
        </w:rPr>
        <w:t>Ezeanya</w:t>
      </w:r>
      <w:proofErr w:type="spellEnd"/>
      <w:r w:rsidRPr="00532516">
        <w:rPr>
          <w:rFonts w:ascii="Times New Roman" w:hAnsi="Times New Roman"/>
        </w:rPr>
        <w:t xml:space="preserve"> Afam, for their willingness to invest in my education and stand by me during challenging times. Their kindness, belief in my potential, and unwavering support have meant more than words can express, and I will forever be thankful for the sacrifices they made on my behalf.</w:t>
      </w:r>
    </w:p>
    <w:p w14:paraId="51837DB6"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 xml:space="preserve">To my family members, most especially my sibling, </w:t>
      </w:r>
      <w:proofErr w:type="spellStart"/>
      <w:r w:rsidRPr="00532516">
        <w:rPr>
          <w:rFonts w:ascii="Times New Roman" w:hAnsi="Times New Roman"/>
        </w:rPr>
        <w:t>Ezeanya</w:t>
      </w:r>
      <w:proofErr w:type="spellEnd"/>
      <w:r w:rsidRPr="00532516">
        <w:rPr>
          <w:rFonts w:ascii="Times New Roman" w:hAnsi="Times New Roman"/>
        </w:rPr>
        <w:t xml:space="preserve"> Ogechukwu Bridget </w:t>
      </w:r>
      <w:r>
        <w:rPr>
          <w:rFonts w:ascii="Times New Roman" w:hAnsi="Times New Roman"/>
        </w:rPr>
        <w:t>-</w:t>
      </w:r>
      <w:r w:rsidRPr="00532516">
        <w:rPr>
          <w:rFonts w:ascii="Times New Roman" w:hAnsi="Times New Roman"/>
        </w:rPr>
        <w:t xml:space="preserve"> thank you for your prayers, your words of encouragement, and the little ways you showed up for me. Your support carried me more than you probably realize.</w:t>
      </w:r>
    </w:p>
    <w:p w14:paraId="3C7AA01C"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I would also like to specially acknowledge Onyeka Maryn Ekene. Thank you for always believing in me, for your patience, and for your words of encouragement and advice, even when things got tough. I am truly blessed to have had you by my side through this journey, and I am grateful for your willingness to entertain my endless questions and late-night worries about this project without ever growing tired of me.</w:t>
      </w:r>
    </w:p>
    <w:p w14:paraId="475D28B7" w14:textId="77777777" w:rsidR="0098655E" w:rsidRPr="00532516" w:rsidRDefault="0098655E" w:rsidP="0098655E">
      <w:pPr>
        <w:spacing w:line="480" w:lineRule="auto"/>
        <w:jc w:val="both"/>
        <w:rPr>
          <w:rFonts w:ascii="Times New Roman" w:hAnsi="Times New Roman"/>
        </w:rPr>
      </w:pPr>
      <w:r w:rsidRPr="00532516">
        <w:rPr>
          <w:rFonts w:ascii="Times New Roman" w:hAnsi="Times New Roman"/>
        </w:rPr>
        <w:t>Finally, to everyone friends, classmates, and well-wishers who contributed in one way or another to the successful completion of this project, I say a heartfelt thank you. May God bless and reward each and every one of you abundantly.</w:t>
      </w:r>
    </w:p>
    <w:p w14:paraId="4C367118"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5F9D8C25" w14:textId="77777777" w:rsidR="00C42D88" w:rsidRPr="001C5B16" w:rsidRDefault="00123B0E">
      <w:pPr>
        <w:spacing w:after="240"/>
        <w:jc w:val="center"/>
        <w:rPr>
          <w:rFonts w:ascii="Times New Roman" w:hAnsi="Times New Roman"/>
          <w:sz w:val="24"/>
          <w:szCs w:val="24"/>
        </w:rPr>
      </w:pPr>
      <w:r w:rsidRPr="001C5B16">
        <w:rPr>
          <w:rFonts w:ascii="Times New Roman" w:hAnsi="Times New Roman"/>
          <w:b/>
          <w:sz w:val="24"/>
          <w:szCs w:val="24"/>
        </w:rPr>
        <w:lastRenderedPageBreak/>
        <w:t>TABLE OF CONTENTS</w:t>
      </w:r>
    </w:p>
    <w:p w14:paraId="3A164CE5" w14:textId="345F75AC"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Title Page</w:t>
      </w:r>
      <w:r w:rsidRPr="001C5B16">
        <w:rPr>
          <w:rFonts w:ascii="Times New Roman" w:hAnsi="Times New Roman"/>
          <w:sz w:val="24"/>
          <w:szCs w:val="24"/>
        </w:rPr>
        <w:tab/>
      </w:r>
      <w:r w:rsidR="00EC2CDE" w:rsidRPr="001C5B16">
        <w:rPr>
          <w:rFonts w:ascii="Times New Roman" w:hAnsi="Times New Roman"/>
          <w:sz w:val="24"/>
          <w:szCs w:val="24"/>
        </w:rPr>
        <w:t>1</w:t>
      </w:r>
    </w:p>
    <w:p w14:paraId="0490C4C9" w14:textId="14470095"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Declaration</w:t>
      </w:r>
      <w:r w:rsidRPr="001C5B16">
        <w:rPr>
          <w:rFonts w:ascii="Times New Roman" w:hAnsi="Times New Roman"/>
          <w:sz w:val="24"/>
          <w:szCs w:val="24"/>
        </w:rPr>
        <w:tab/>
      </w:r>
      <w:r w:rsidR="00EC2CDE" w:rsidRPr="001C5B16">
        <w:rPr>
          <w:rFonts w:ascii="Times New Roman" w:hAnsi="Times New Roman"/>
          <w:sz w:val="24"/>
          <w:szCs w:val="24"/>
        </w:rPr>
        <w:t>2</w:t>
      </w:r>
    </w:p>
    <w:p w14:paraId="40DA1375" w14:textId="00CBF54E"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Certification</w:t>
      </w:r>
      <w:r w:rsidRPr="001C5B16">
        <w:rPr>
          <w:rFonts w:ascii="Times New Roman" w:hAnsi="Times New Roman"/>
          <w:sz w:val="24"/>
          <w:szCs w:val="24"/>
        </w:rPr>
        <w:tab/>
      </w:r>
      <w:r w:rsidR="00EC2CDE" w:rsidRPr="001C5B16">
        <w:rPr>
          <w:rFonts w:ascii="Times New Roman" w:hAnsi="Times New Roman"/>
          <w:sz w:val="24"/>
          <w:szCs w:val="24"/>
        </w:rPr>
        <w:t>3</w:t>
      </w:r>
    </w:p>
    <w:p w14:paraId="09295170" w14:textId="0E65A344"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Dedication</w:t>
      </w:r>
      <w:r w:rsidRPr="001C5B16">
        <w:rPr>
          <w:rFonts w:ascii="Times New Roman" w:hAnsi="Times New Roman"/>
          <w:sz w:val="24"/>
          <w:szCs w:val="24"/>
        </w:rPr>
        <w:tab/>
      </w:r>
      <w:r w:rsidR="00EC2CDE" w:rsidRPr="001C5B16">
        <w:rPr>
          <w:rFonts w:ascii="Times New Roman" w:hAnsi="Times New Roman"/>
          <w:sz w:val="24"/>
          <w:szCs w:val="24"/>
        </w:rPr>
        <w:t>4</w:t>
      </w:r>
    </w:p>
    <w:p w14:paraId="1125F8AD" w14:textId="4AAD08FA"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Acknowledgements</w:t>
      </w:r>
      <w:r w:rsidRPr="001C5B16">
        <w:rPr>
          <w:rFonts w:ascii="Times New Roman" w:hAnsi="Times New Roman"/>
          <w:sz w:val="24"/>
          <w:szCs w:val="24"/>
        </w:rPr>
        <w:tab/>
      </w:r>
      <w:r w:rsidR="00EC2CDE" w:rsidRPr="001C5B16">
        <w:rPr>
          <w:rFonts w:ascii="Times New Roman" w:hAnsi="Times New Roman"/>
          <w:sz w:val="24"/>
          <w:szCs w:val="24"/>
        </w:rPr>
        <w:t>5</w:t>
      </w:r>
    </w:p>
    <w:p w14:paraId="78C1C728" w14:textId="4BB78C96"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Abstract</w:t>
      </w:r>
      <w:r w:rsidRPr="001C5B16">
        <w:rPr>
          <w:rFonts w:ascii="Times New Roman" w:hAnsi="Times New Roman"/>
          <w:sz w:val="24"/>
          <w:szCs w:val="24"/>
        </w:rPr>
        <w:tab/>
      </w:r>
      <w:r w:rsidR="00EC2CDE" w:rsidRPr="001C5B16">
        <w:rPr>
          <w:rFonts w:ascii="Times New Roman" w:hAnsi="Times New Roman"/>
          <w:sz w:val="24"/>
          <w:szCs w:val="24"/>
        </w:rPr>
        <w:t>6</w:t>
      </w:r>
    </w:p>
    <w:p w14:paraId="3D024038" w14:textId="1E338650" w:rsidR="00C42D88" w:rsidRPr="001C5B16" w:rsidRDefault="00123B0E" w:rsidP="00EC2CDE">
      <w:pPr>
        <w:tabs>
          <w:tab w:val="left" w:pos="8640"/>
        </w:tabs>
        <w:spacing w:after="0" w:line="360" w:lineRule="auto"/>
        <w:jc w:val="both"/>
        <w:rPr>
          <w:rFonts w:ascii="Times New Roman" w:hAnsi="Times New Roman"/>
          <w:sz w:val="24"/>
          <w:szCs w:val="24"/>
        </w:rPr>
      </w:pPr>
      <w:r w:rsidRPr="001C5B16">
        <w:rPr>
          <w:rFonts w:ascii="Times New Roman" w:hAnsi="Times New Roman"/>
          <w:sz w:val="24"/>
          <w:szCs w:val="24"/>
        </w:rPr>
        <w:t>List of Tables</w:t>
      </w:r>
      <w:r w:rsidRPr="001C5B16">
        <w:rPr>
          <w:rFonts w:ascii="Times New Roman" w:hAnsi="Times New Roman"/>
          <w:sz w:val="24"/>
          <w:szCs w:val="24"/>
        </w:rPr>
        <w:tab/>
      </w:r>
      <w:r w:rsidR="00EC2CDE" w:rsidRPr="001C5B16">
        <w:rPr>
          <w:rFonts w:ascii="Times New Roman" w:hAnsi="Times New Roman"/>
          <w:sz w:val="24"/>
          <w:szCs w:val="24"/>
        </w:rPr>
        <w:t>9</w:t>
      </w:r>
    </w:p>
    <w:p w14:paraId="6765B55E" w14:textId="77777777" w:rsidR="00C42D88" w:rsidRPr="001C5B16" w:rsidRDefault="00C42D88" w:rsidP="00EC2CDE">
      <w:pPr>
        <w:tabs>
          <w:tab w:val="left" w:pos="8640"/>
        </w:tabs>
        <w:spacing w:after="80" w:line="240" w:lineRule="auto"/>
        <w:rPr>
          <w:rFonts w:ascii="Times New Roman" w:hAnsi="Times New Roman"/>
          <w:sz w:val="24"/>
          <w:szCs w:val="24"/>
        </w:rPr>
      </w:pPr>
    </w:p>
    <w:p w14:paraId="43EBC285" w14:textId="59D0AAF9" w:rsidR="00C42D88" w:rsidRPr="001C5B16" w:rsidRDefault="00123B0E" w:rsidP="00EC2CDE">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CHAPTER ONE: INTRODUCTION</w:t>
      </w:r>
      <w:r w:rsidRPr="001C5B16">
        <w:rPr>
          <w:rFonts w:ascii="Times New Roman" w:hAnsi="Times New Roman"/>
          <w:b/>
          <w:bCs/>
          <w:sz w:val="24"/>
          <w:szCs w:val="24"/>
        </w:rPr>
        <w:tab/>
        <w:t>1</w:t>
      </w:r>
      <w:r w:rsidR="00EC2CDE" w:rsidRPr="001C5B16">
        <w:rPr>
          <w:rFonts w:ascii="Times New Roman" w:hAnsi="Times New Roman"/>
          <w:b/>
          <w:bCs/>
          <w:sz w:val="24"/>
          <w:szCs w:val="24"/>
        </w:rPr>
        <w:t>2</w:t>
      </w:r>
    </w:p>
    <w:p w14:paraId="46924D52" w14:textId="353BFD4E"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1.1 Background to the Study</w:t>
      </w:r>
      <w:r w:rsidRPr="001C5B16">
        <w:rPr>
          <w:rFonts w:ascii="Times New Roman" w:hAnsi="Times New Roman"/>
          <w:sz w:val="24"/>
          <w:szCs w:val="24"/>
        </w:rPr>
        <w:tab/>
        <w:t>1</w:t>
      </w:r>
      <w:r w:rsidR="00EC2CDE" w:rsidRPr="001C5B16">
        <w:rPr>
          <w:rFonts w:ascii="Times New Roman" w:hAnsi="Times New Roman"/>
          <w:sz w:val="24"/>
          <w:szCs w:val="24"/>
        </w:rPr>
        <w:t>2</w:t>
      </w:r>
    </w:p>
    <w:p w14:paraId="75AD16EE" w14:textId="7043571C"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1.2 Statement of the Problem</w:t>
      </w:r>
      <w:r w:rsidRPr="001C5B16">
        <w:rPr>
          <w:rFonts w:ascii="Times New Roman" w:hAnsi="Times New Roman"/>
          <w:sz w:val="24"/>
          <w:szCs w:val="24"/>
        </w:rPr>
        <w:tab/>
      </w:r>
      <w:r w:rsidR="00EC2CDE" w:rsidRPr="001C5B16">
        <w:rPr>
          <w:rFonts w:ascii="Times New Roman" w:hAnsi="Times New Roman"/>
          <w:sz w:val="24"/>
          <w:szCs w:val="24"/>
        </w:rPr>
        <w:t>14</w:t>
      </w:r>
    </w:p>
    <w:p w14:paraId="0C55A7FE" w14:textId="7241165E"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1.3 Objectives of the Study</w:t>
      </w:r>
      <w:r w:rsidRPr="001C5B16">
        <w:rPr>
          <w:rFonts w:ascii="Times New Roman" w:hAnsi="Times New Roman"/>
          <w:sz w:val="24"/>
          <w:szCs w:val="24"/>
        </w:rPr>
        <w:tab/>
      </w:r>
      <w:r w:rsidR="00F82CAB" w:rsidRPr="001C5B16">
        <w:rPr>
          <w:rFonts w:ascii="Times New Roman" w:hAnsi="Times New Roman"/>
          <w:sz w:val="24"/>
          <w:szCs w:val="24"/>
        </w:rPr>
        <w:t>15</w:t>
      </w:r>
    </w:p>
    <w:p w14:paraId="4D1A74BE" w14:textId="068EA3F0"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1.4 Research Questions</w:t>
      </w:r>
      <w:r w:rsidRPr="001C5B16">
        <w:rPr>
          <w:rFonts w:ascii="Times New Roman" w:hAnsi="Times New Roman"/>
          <w:sz w:val="24"/>
          <w:szCs w:val="24"/>
        </w:rPr>
        <w:tab/>
      </w:r>
      <w:r w:rsidR="00F82CAB" w:rsidRPr="001C5B16">
        <w:rPr>
          <w:rFonts w:ascii="Times New Roman" w:hAnsi="Times New Roman"/>
          <w:sz w:val="24"/>
          <w:szCs w:val="24"/>
        </w:rPr>
        <w:t>16</w:t>
      </w:r>
    </w:p>
    <w:p w14:paraId="0AFD8314" w14:textId="2197E4F8"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1.5 Research Hypotheses</w:t>
      </w:r>
      <w:r w:rsidRPr="001C5B16">
        <w:rPr>
          <w:rFonts w:ascii="Times New Roman" w:hAnsi="Times New Roman"/>
          <w:sz w:val="24"/>
          <w:szCs w:val="24"/>
        </w:rPr>
        <w:tab/>
      </w:r>
      <w:r w:rsidR="00F82CAB" w:rsidRPr="001C5B16">
        <w:rPr>
          <w:rFonts w:ascii="Times New Roman" w:hAnsi="Times New Roman"/>
          <w:sz w:val="24"/>
          <w:szCs w:val="24"/>
        </w:rPr>
        <w:t>16</w:t>
      </w:r>
    </w:p>
    <w:p w14:paraId="3A9A58E1" w14:textId="11604399"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1.6 Significance of the Study</w:t>
      </w:r>
      <w:r w:rsidRPr="001C5B16">
        <w:rPr>
          <w:rFonts w:ascii="Times New Roman" w:hAnsi="Times New Roman"/>
          <w:sz w:val="24"/>
          <w:szCs w:val="24"/>
        </w:rPr>
        <w:tab/>
      </w:r>
      <w:r w:rsidR="00F82CAB" w:rsidRPr="001C5B16">
        <w:rPr>
          <w:rFonts w:ascii="Times New Roman" w:hAnsi="Times New Roman"/>
          <w:sz w:val="24"/>
          <w:szCs w:val="24"/>
        </w:rPr>
        <w:t>17</w:t>
      </w:r>
    </w:p>
    <w:p w14:paraId="4E507592" w14:textId="19CB3C03"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1.7 Scope of the Study</w:t>
      </w:r>
      <w:r w:rsidRPr="001C5B16">
        <w:rPr>
          <w:rFonts w:ascii="Times New Roman" w:hAnsi="Times New Roman"/>
          <w:sz w:val="24"/>
          <w:szCs w:val="24"/>
        </w:rPr>
        <w:tab/>
      </w:r>
      <w:r w:rsidR="00F82CAB" w:rsidRPr="001C5B16">
        <w:rPr>
          <w:rFonts w:ascii="Times New Roman" w:hAnsi="Times New Roman"/>
          <w:sz w:val="24"/>
          <w:szCs w:val="24"/>
        </w:rPr>
        <w:t>18</w:t>
      </w:r>
    </w:p>
    <w:p w14:paraId="7FBB46F7" w14:textId="47273C48"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1.8 Operational Definition of Terms</w:t>
      </w:r>
      <w:r w:rsidRPr="001C5B16">
        <w:rPr>
          <w:rFonts w:ascii="Times New Roman" w:hAnsi="Times New Roman"/>
          <w:sz w:val="24"/>
          <w:szCs w:val="24"/>
        </w:rPr>
        <w:tab/>
      </w:r>
      <w:r w:rsidR="00F82CAB" w:rsidRPr="001C5B16">
        <w:rPr>
          <w:rFonts w:ascii="Times New Roman" w:hAnsi="Times New Roman"/>
          <w:sz w:val="24"/>
          <w:szCs w:val="24"/>
        </w:rPr>
        <w:t>19</w:t>
      </w:r>
    </w:p>
    <w:p w14:paraId="4E9E6545" w14:textId="77777777" w:rsidR="00C42D88" w:rsidRPr="001C5B16" w:rsidRDefault="00C42D88" w:rsidP="00EC2CDE">
      <w:pPr>
        <w:tabs>
          <w:tab w:val="left" w:pos="8640"/>
        </w:tabs>
        <w:spacing w:after="80" w:line="240" w:lineRule="auto"/>
        <w:rPr>
          <w:rFonts w:ascii="Times New Roman" w:hAnsi="Times New Roman"/>
          <w:sz w:val="24"/>
          <w:szCs w:val="24"/>
        </w:rPr>
      </w:pPr>
    </w:p>
    <w:p w14:paraId="2D9FE581" w14:textId="6050BCBF" w:rsidR="00C42D88" w:rsidRPr="001C5B16" w:rsidRDefault="00123B0E" w:rsidP="00EC2CDE">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CHAPTER TWO: REVIEW OF RELATED LITERATURE</w:t>
      </w:r>
      <w:r w:rsidRPr="001C5B16">
        <w:rPr>
          <w:rFonts w:ascii="Times New Roman" w:hAnsi="Times New Roman"/>
          <w:b/>
          <w:bCs/>
          <w:sz w:val="24"/>
          <w:szCs w:val="24"/>
        </w:rPr>
        <w:tab/>
      </w:r>
      <w:r w:rsidR="00F82CAB" w:rsidRPr="001C5B16">
        <w:rPr>
          <w:rFonts w:ascii="Times New Roman" w:hAnsi="Times New Roman"/>
          <w:b/>
          <w:bCs/>
          <w:sz w:val="24"/>
          <w:szCs w:val="24"/>
        </w:rPr>
        <w:t>21</w:t>
      </w:r>
    </w:p>
    <w:p w14:paraId="6A344CBE" w14:textId="6BC010A6"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2.1 Conceptual Review</w:t>
      </w:r>
      <w:r w:rsidRPr="001C5B16">
        <w:rPr>
          <w:rFonts w:ascii="Times New Roman" w:hAnsi="Times New Roman"/>
          <w:sz w:val="24"/>
          <w:szCs w:val="24"/>
        </w:rPr>
        <w:tab/>
      </w:r>
      <w:r w:rsidR="00F82CAB" w:rsidRPr="001C5B16">
        <w:rPr>
          <w:rFonts w:ascii="Times New Roman" w:hAnsi="Times New Roman"/>
          <w:sz w:val="24"/>
          <w:szCs w:val="24"/>
        </w:rPr>
        <w:t>21</w:t>
      </w:r>
    </w:p>
    <w:p w14:paraId="73710EC7" w14:textId="71C64BF0"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2.2 Theoretical Framework</w:t>
      </w:r>
      <w:r w:rsidRPr="001C5B16">
        <w:rPr>
          <w:rFonts w:ascii="Times New Roman" w:hAnsi="Times New Roman"/>
          <w:sz w:val="24"/>
          <w:szCs w:val="24"/>
        </w:rPr>
        <w:tab/>
      </w:r>
      <w:r w:rsidR="00F82CAB" w:rsidRPr="001C5B16">
        <w:rPr>
          <w:rFonts w:ascii="Times New Roman" w:hAnsi="Times New Roman"/>
          <w:sz w:val="24"/>
          <w:szCs w:val="24"/>
        </w:rPr>
        <w:t>25</w:t>
      </w:r>
    </w:p>
    <w:p w14:paraId="5350EEDD" w14:textId="73CC77A0"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2.3 Empirical Review</w:t>
      </w:r>
      <w:r w:rsidRPr="001C5B16">
        <w:rPr>
          <w:rFonts w:ascii="Times New Roman" w:hAnsi="Times New Roman"/>
          <w:sz w:val="24"/>
          <w:szCs w:val="24"/>
        </w:rPr>
        <w:tab/>
      </w:r>
      <w:r w:rsidR="00F82CAB" w:rsidRPr="001C5B16">
        <w:rPr>
          <w:rFonts w:ascii="Times New Roman" w:hAnsi="Times New Roman"/>
          <w:sz w:val="24"/>
          <w:szCs w:val="24"/>
        </w:rPr>
        <w:t>26</w:t>
      </w:r>
    </w:p>
    <w:p w14:paraId="62E876D0" w14:textId="19B86253"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2.4 Gap in Literature</w:t>
      </w:r>
      <w:r w:rsidRPr="001C5B16">
        <w:rPr>
          <w:rFonts w:ascii="Times New Roman" w:hAnsi="Times New Roman"/>
          <w:sz w:val="24"/>
          <w:szCs w:val="24"/>
        </w:rPr>
        <w:tab/>
      </w:r>
      <w:r w:rsidR="00F82CAB" w:rsidRPr="001C5B16">
        <w:rPr>
          <w:rFonts w:ascii="Times New Roman" w:hAnsi="Times New Roman"/>
          <w:sz w:val="24"/>
          <w:szCs w:val="24"/>
        </w:rPr>
        <w:t>40</w:t>
      </w:r>
    </w:p>
    <w:p w14:paraId="0B23044C" w14:textId="77777777" w:rsidR="00C42D88" w:rsidRPr="001C5B16" w:rsidRDefault="00C42D88" w:rsidP="00EC2CDE">
      <w:pPr>
        <w:tabs>
          <w:tab w:val="left" w:pos="8640"/>
        </w:tabs>
        <w:spacing w:after="80" w:line="240" w:lineRule="auto"/>
        <w:rPr>
          <w:rFonts w:ascii="Times New Roman" w:hAnsi="Times New Roman"/>
          <w:sz w:val="24"/>
          <w:szCs w:val="24"/>
        </w:rPr>
      </w:pPr>
    </w:p>
    <w:p w14:paraId="59689F51" w14:textId="1F379563" w:rsidR="00C42D88" w:rsidRPr="001C5B16" w:rsidRDefault="00123B0E" w:rsidP="00EC2CDE">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CHAPTER THREE: RESEARCH METHODOLOGY</w:t>
      </w:r>
      <w:r w:rsidRPr="001C5B16">
        <w:rPr>
          <w:rFonts w:ascii="Times New Roman" w:hAnsi="Times New Roman"/>
          <w:b/>
          <w:bCs/>
          <w:sz w:val="24"/>
          <w:szCs w:val="24"/>
        </w:rPr>
        <w:tab/>
      </w:r>
      <w:r w:rsidR="00F82CAB" w:rsidRPr="001C5B16">
        <w:rPr>
          <w:rFonts w:ascii="Times New Roman" w:hAnsi="Times New Roman"/>
          <w:b/>
          <w:bCs/>
          <w:sz w:val="24"/>
          <w:szCs w:val="24"/>
        </w:rPr>
        <w:t>44</w:t>
      </w:r>
    </w:p>
    <w:p w14:paraId="1DB4B9C0" w14:textId="378F5007"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3.1 Research Design</w:t>
      </w:r>
      <w:r w:rsidRPr="001C5B16">
        <w:rPr>
          <w:rFonts w:ascii="Times New Roman" w:hAnsi="Times New Roman"/>
          <w:sz w:val="24"/>
          <w:szCs w:val="24"/>
        </w:rPr>
        <w:tab/>
      </w:r>
      <w:r w:rsidR="00F82CAB" w:rsidRPr="001C5B16">
        <w:rPr>
          <w:rFonts w:ascii="Times New Roman" w:hAnsi="Times New Roman"/>
          <w:sz w:val="24"/>
          <w:szCs w:val="24"/>
        </w:rPr>
        <w:t>44</w:t>
      </w:r>
    </w:p>
    <w:p w14:paraId="3946ADA1" w14:textId="22263DE3"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3.2 Area of the Study</w:t>
      </w:r>
      <w:r w:rsidRPr="001C5B16">
        <w:rPr>
          <w:rFonts w:ascii="Times New Roman" w:hAnsi="Times New Roman"/>
          <w:sz w:val="24"/>
          <w:szCs w:val="24"/>
        </w:rPr>
        <w:tab/>
      </w:r>
      <w:r w:rsidR="00F82CAB" w:rsidRPr="001C5B16">
        <w:rPr>
          <w:rFonts w:ascii="Times New Roman" w:hAnsi="Times New Roman"/>
          <w:sz w:val="24"/>
          <w:szCs w:val="24"/>
        </w:rPr>
        <w:t>45</w:t>
      </w:r>
    </w:p>
    <w:p w14:paraId="677FB9C6" w14:textId="33666E5D"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3.3 Population of the Study</w:t>
      </w:r>
      <w:r w:rsidRPr="001C5B16">
        <w:rPr>
          <w:rFonts w:ascii="Times New Roman" w:hAnsi="Times New Roman"/>
          <w:sz w:val="24"/>
          <w:szCs w:val="24"/>
        </w:rPr>
        <w:tab/>
      </w:r>
      <w:r w:rsidR="00F82CAB" w:rsidRPr="001C5B16">
        <w:rPr>
          <w:rFonts w:ascii="Times New Roman" w:hAnsi="Times New Roman"/>
          <w:sz w:val="24"/>
          <w:szCs w:val="24"/>
        </w:rPr>
        <w:t>45</w:t>
      </w:r>
    </w:p>
    <w:p w14:paraId="2A06DB4A" w14:textId="467A671E"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3.4 Sample Size and Sampling Technique</w:t>
      </w:r>
      <w:r w:rsidRPr="001C5B16">
        <w:rPr>
          <w:rFonts w:ascii="Times New Roman" w:hAnsi="Times New Roman"/>
          <w:sz w:val="24"/>
          <w:szCs w:val="24"/>
        </w:rPr>
        <w:tab/>
      </w:r>
      <w:r w:rsidR="00F82CAB" w:rsidRPr="001C5B16">
        <w:rPr>
          <w:rFonts w:ascii="Times New Roman" w:hAnsi="Times New Roman"/>
          <w:sz w:val="24"/>
          <w:szCs w:val="24"/>
        </w:rPr>
        <w:t>4</w:t>
      </w:r>
      <w:r w:rsidR="001C5B16">
        <w:rPr>
          <w:rFonts w:ascii="Times New Roman" w:hAnsi="Times New Roman"/>
          <w:sz w:val="24"/>
          <w:szCs w:val="24"/>
        </w:rPr>
        <w:t>7</w:t>
      </w:r>
    </w:p>
    <w:p w14:paraId="6417711C" w14:textId="157A9DBC"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3.4.1 Criteria for Sample Selection</w:t>
      </w:r>
      <w:r w:rsidRPr="001C5B16">
        <w:rPr>
          <w:rFonts w:ascii="Times New Roman" w:hAnsi="Times New Roman"/>
          <w:sz w:val="24"/>
          <w:szCs w:val="24"/>
        </w:rPr>
        <w:tab/>
      </w:r>
      <w:r w:rsidR="001C5B16">
        <w:rPr>
          <w:rFonts w:ascii="Times New Roman" w:hAnsi="Times New Roman"/>
          <w:sz w:val="24"/>
          <w:szCs w:val="24"/>
        </w:rPr>
        <w:t>47</w:t>
      </w:r>
    </w:p>
    <w:p w14:paraId="725B2718" w14:textId="12262BA5"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3.5 Sources of Data</w:t>
      </w:r>
      <w:r w:rsidRPr="001C5B16">
        <w:rPr>
          <w:rFonts w:ascii="Times New Roman" w:hAnsi="Times New Roman"/>
          <w:sz w:val="24"/>
          <w:szCs w:val="24"/>
        </w:rPr>
        <w:tab/>
      </w:r>
      <w:r w:rsidR="001C5B16">
        <w:rPr>
          <w:rFonts w:ascii="Times New Roman" w:hAnsi="Times New Roman"/>
          <w:sz w:val="24"/>
          <w:szCs w:val="24"/>
        </w:rPr>
        <w:t>48</w:t>
      </w:r>
    </w:p>
    <w:p w14:paraId="2DF7C173" w14:textId="02FB9E94"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3.5.1 Justification for Secondary Data</w:t>
      </w:r>
      <w:r w:rsidRPr="001C5B16">
        <w:rPr>
          <w:rFonts w:ascii="Times New Roman" w:hAnsi="Times New Roman"/>
          <w:sz w:val="24"/>
          <w:szCs w:val="24"/>
        </w:rPr>
        <w:tab/>
      </w:r>
      <w:r w:rsidR="001C5B16">
        <w:rPr>
          <w:rFonts w:ascii="Times New Roman" w:hAnsi="Times New Roman"/>
          <w:sz w:val="24"/>
          <w:szCs w:val="24"/>
        </w:rPr>
        <w:t>48</w:t>
      </w:r>
    </w:p>
    <w:p w14:paraId="14C52AD4" w14:textId="4AF5F930"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3.5.2 Data Collection Procedure</w:t>
      </w:r>
      <w:r w:rsidRPr="001C5B16">
        <w:rPr>
          <w:rFonts w:ascii="Times New Roman" w:hAnsi="Times New Roman"/>
          <w:sz w:val="24"/>
          <w:szCs w:val="24"/>
        </w:rPr>
        <w:tab/>
      </w:r>
      <w:r w:rsidR="001C5B16">
        <w:rPr>
          <w:rFonts w:ascii="Times New Roman" w:hAnsi="Times New Roman"/>
          <w:sz w:val="24"/>
          <w:szCs w:val="24"/>
        </w:rPr>
        <w:t>49</w:t>
      </w:r>
    </w:p>
    <w:p w14:paraId="6B08B685" w14:textId="56C2B1E8"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3.6 Operationalization of Variables</w:t>
      </w:r>
      <w:r w:rsidRPr="001C5B16">
        <w:rPr>
          <w:rFonts w:ascii="Times New Roman" w:hAnsi="Times New Roman"/>
          <w:sz w:val="24"/>
          <w:szCs w:val="24"/>
        </w:rPr>
        <w:tab/>
      </w:r>
      <w:r w:rsidR="001C5B16">
        <w:rPr>
          <w:rFonts w:ascii="Times New Roman" w:hAnsi="Times New Roman"/>
          <w:sz w:val="24"/>
          <w:szCs w:val="24"/>
        </w:rPr>
        <w:t>49</w:t>
      </w:r>
    </w:p>
    <w:p w14:paraId="484EEC4D" w14:textId="32803194"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3.7 Model Specification</w:t>
      </w:r>
      <w:r w:rsidRPr="001C5B16">
        <w:rPr>
          <w:rFonts w:ascii="Times New Roman" w:hAnsi="Times New Roman"/>
          <w:sz w:val="24"/>
          <w:szCs w:val="24"/>
        </w:rPr>
        <w:tab/>
      </w:r>
      <w:r w:rsidR="001C5B16">
        <w:rPr>
          <w:rFonts w:ascii="Times New Roman" w:hAnsi="Times New Roman"/>
          <w:sz w:val="24"/>
          <w:szCs w:val="24"/>
        </w:rPr>
        <w:t>40</w:t>
      </w:r>
    </w:p>
    <w:p w14:paraId="16CC13AD" w14:textId="763B73BB" w:rsidR="00C42D88" w:rsidRPr="001C5B16" w:rsidRDefault="00123B0E" w:rsidP="00EC2CDE">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3.8 Method of Data Analysis</w:t>
      </w:r>
      <w:r w:rsidRPr="001C5B16">
        <w:rPr>
          <w:rFonts w:ascii="Times New Roman" w:hAnsi="Times New Roman"/>
          <w:sz w:val="24"/>
          <w:szCs w:val="24"/>
        </w:rPr>
        <w:tab/>
      </w:r>
      <w:r w:rsidR="001C5B16">
        <w:rPr>
          <w:rFonts w:ascii="Times New Roman" w:hAnsi="Times New Roman"/>
          <w:sz w:val="24"/>
          <w:szCs w:val="24"/>
        </w:rPr>
        <w:t>52</w:t>
      </w:r>
    </w:p>
    <w:p w14:paraId="2E1B9530" w14:textId="1C5C653F"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3.8.1 Phase 1: Descriptive Statistics</w:t>
      </w:r>
      <w:r w:rsidRPr="001C5B16">
        <w:rPr>
          <w:rFonts w:ascii="Times New Roman" w:hAnsi="Times New Roman"/>
          <w:sz w:val="24"/>
          <w:szCs w:val="24"/>
        </w:rPr>
        <w:tab/>
      </w:r>
      <w:r w:rsidR="001C5B16">
        <w:rPr>
          <w:rFonts w:ascii="Times New Roman" w:hAnsi="Times New Roman"/>
          <w:sz w:val="24"/>
          <w:szCs w:val="24"/>
        </w:rPr>
        <w:t>52</w:t>
      </w:r>
    </w:p>
    <w:p w14:paraId="733714E5" w14:textId="78B61B4C"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3.8.2 Phase 2: Diagnostic Tests</w:t>
      </w:r>
      <w:r w:rsidRPr="001C5B16">
        <w:rPr>
          <w:rFonts w:ascii="Times New Roman" w:hAnsi="Times New Roman"/>
          <w:sz w:val="24"/>
          <w:szCs w:val="24"/>
        </w:rPr>
        <w:tab/>
      </w:r>
      <w:r w:rsidR="001C5B16">
        <w:rPr>
          <w:rFonts w:ascii="Times New Roman" w:hAnsi="Times New Roman"/>
          <w:sz w:val="24"/>
          <w:szCs w:val="24"/>
        </w:rPr>
        <w:t>53</w:t>
      </w:r>
    </w:p>
    <w:p w14:paraId="232999D1" w14:textId="2941A9F9"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3.8.3 Phase 3: Regression Analysis (Hypothesis Testing)</w:t>
      </w:r>
      <w:r w:rsidRPr="001C5B16">
        <w:rPr>
          <w:rFonts w:ascii="Times New Roman" w:hAnsi="Times New Roman"/>
          <w:sz w:val="24"/>
          <w:szCs w:val="24"/>
        </w:rPr>
        <w:tab/>
      </w:r>
      <w:r w:rsidR="001C5B16">
        <w:rPr>
          <w:rFonts w:ascii="Times New Roman" w:hAnsi="Times New Roman"/>
          <w:sz w:val="24"/>
          <w:szCs w:val="24"/>
        </w:rPr>
        <w:t>54</w:t>
      </w:r>
    </w:p>
    <w:p w14:paraId="0DFEADE3" w14:textId="2B9B49D3"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3.8.4 Phase 4: Decision Rule for Hypotheses</w:t>
      </w:r>
      <w:r w:rsidRPr="001C5B16">
        <w:rPr>
          <w:rFonts w:ascii="Times New Roman" w:hAnsi="Times New Roman"/>
          <w:sz w:val="24"/>
          <w:szCs w:val="24"/>
        </w:rPr>
        <w:tab/>
      </w:r>
      <w:r w:rsidR="001C5B16">
        <w:rPr>
          <w:rFonts w:ascii="Times New Roman" w:hAnsi="Times New Roman"/>
          <w:sz w:val="24"/>
          <w:szCs w:val="24"/>
        </w:rPr>
        <w:t>55</w:t>
      </w:r>
    </w:p>
    <w:p w14:paraId="7E619176" w14:textId="77777777" w:rsidR="00C42D88" w:rsidRPr="001C5B16" w:rsidRDefault="00C42D88" w:rsidP="00EC2CDE">
      <w:pPr>
        <w:tabs>
          <w:tab w:val="left" w:pos="8640"/>
        </w:tabs>
        <w:spacing w:after="80" w:line="240" w:lineRule="auto"/>
        <w:rPr>
          <w:rFonts w:ascii="Times New Roman" w:hAnsi="Times New Roman"/>
          <w:sz w:val="24"/>
          <w:szCs w:val="24"/>
        </w:rPr>
      </w:pPr>
    </w:p>
    <w:p w14:paraId="00165E52" w14:textId="05B1DD3D" w:rsidR="00C42D88" w:rsidRPr="001C5B16" w:rsidRDefault="00123B0E" w:rsidP="001C5B16">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CHAPTER FOUR: DATA PRESENTATION, ANALYSIS, AND DISCUSSION OF FINDINGS</w:t>
      </w:r>
      <w:r w:rsidR="000E26BA" w:rsidRPr="001C5B16">
        <w:rPr>
          <w:rFonts w:ascii="Times New Roman" w:hAnsi="Times New Roman"/>
          <w:b/>
          <w:bCs/>
          <w:sz w:val="24"/>
          <w:szCs w:val="24"/>
        </w:rPr>
        <w:t xml:space="preserve">      </w:t>
      </w:r>
      <w:r w:rsidR="001C5B16">
        <w:rPr>
          <w:rFonts w:ascii="Times New Roman" w:hAnsi="Times New Roman"/>
          <w:b/>
          <w:bCs/>
          <w:sz w:val="24"/>
          <w:szCs w:val="24"/>
        </w:rPr>
        <w:tab/>
        <w:t>55</w:t>
      </w:r>
    </w:p>
    <w:p w14:paraId="752D2C67" w14:textId="68915C51"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4.1 Descriptive Statistics</w:t>
      </w:r>
      <w:r w:rsidR="000E26BA" w:rsidRPr="001C5B16">
        <w:rPr>
          <w:rFonts w:ascii="Times New Roman" w:hAnsi="Times New Roman"/>
          <w:sz w:val="24"/>
          <w:szCs w:val="24"/>
        </w:rPr>
        <w:t xml:space="preserve">           </w:t>
      </w:r>
      <w:r w:rsidR="001C5B16">
        <w:rPr>
          <w:rFonts w:ascii="Times New Roman" w:hAnsi="Times New Roman"/>
          <w:sz w:val="24"/>
          <w:szCs w:val="24"/>
        </w:rPr>
        <w:tab/>
        <w:t>55</w:t>
      </w:r>
    </w:p>
    <w:p w14:paraId="610D6999" w14:textId="141F1493"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lastRenderedPageBreak/>
        <w:t>4.2 Diagnostic Tests</w:t>
      </w:r>
      <w:r w:rsidR="000E26BA" w:rsidRPr="001C5B16">
        <w:rPr>
          <w:rFonts w:ascii="Times New Roman" w:hAnsi="Times New Roman"/>
          <w:sz w:val="24"/>
          <w:szCs w:val="24"/>
        </w:rPr>
        <w:t xml:space="preserve">         </w:t>
      </w:r>
      <w:r w:rsidR="001C5B16">
        <w:rPr>
          <w:rFonts w:ascii="Times New Roman" w:hAnsi="Times New Roman"/>
          <w:sz w:val="24"/>
          <w:szCs w:val="24"/>
        </w:rPr>
        <w:tab/>
        <w:t>56</w:t>
      </w:r>
    </w:p>
    <w:p w14:paraId="5A98F5B6" w14:textId="62167DFB"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4.2.1 Correlation Matrix</w:t>
      </w:r>
      <w:r w:rsidR="000E26BA" w:rsidRPr="001C5B16">
        <w:rPr>
          <w:rFonts w:ascii="Times New Roman" w:hAnsi="Times New Roman"/>
          <w:sz w:val="24"/>
          <w:szCs w:val="24"/>
        </w:rPr>
        <w:t xml:space="preserve">    </w:t>
      </w:r>
      <w:r w:rsidR="001C5B16">
        <w:rPr>
          <w:rFonts w:ascii="Times New Roman" w:hAnsi="Times New Roman"/>
          <w:sz w:val="24"/>
          <w:szCs w:val="24"/>
        </w:rPr>
        <w:tab/>
        <w:t>56</w:t>
      </w:r>
    </w:p>
    <w:p w14:paraId="39172CDF" w14:textId="1D31BDBE"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4.2.2 Hausman Specification Test</w:t>
      </w:r>
      <w:r w:rsidR="000E26BA" w:rsidRPr="001C5B16">
        <w:rPr>
          <w:rFonts w:ascii="Times New Roman" w:hAnsi="Times New Roman"/>
          <w:sz w:val="24"/>
          <w:szCs w:val="24"/>
        </w:rPr>
        <w:t xml:space="preserve">     </w:t>
      </w:r>
      <w:r w:rsidR="001C5B16">
        <w:rPr>
          <w:rFonts w:ascii="Times New Roman" w:hAnsi="Times New Roman"/>
          <w:sz w:val="24"/>
          <w:szCs w:val="24"/>
        </w:rPr>
        <w:tab/>
        <w:t>57</w:t>
      </w:r>
    </w:p>
    <w:p w14:paraId="4921341D" w14:textId="3981900B"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4.3 Panel Data Regression Analysis</w:t>
      </w:r>
      <w:r w:rsidR="000E26BA" w:rsidRPr="001C5B16">
        <w:rPr>
          <w:rFonts w:ascii="Times New Roman" w:hAnsi="Times New Roman"/>
          <w:sz w:val="24"/>
          <w:szCs w:val="24"/>
        </w:rPr>
        <w:t xml:space="preserve"> </w:t>
      </w:r>
      <w:r w:rsidR="001C5B16">
        <w:rPr>
          <w:rFonts w:ascii="Times New Roman" w:hAnsi="Times New Roman"/>
          <w:sz w:val="24"/>
          <w:szCs w:val="24"/>
        </w:rPr>
        <w:tab/>
        <w:t>57</w:t>
      </w:r>
    </w:p>
    <w:p w14:paraId="19D912DB" w14:textId="4001AD21"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 xml:space="preserve">4.4 Test of </w:t>
      </w:r>
      <w:proofErr w:type="gramStart"/>
      <w:r w:rsidRPr="001C5B16">
        <w:rPr>
          <w:rFonts w:ascii="Times New Roman" w:hAnsi="Times New Roman"/>
          <w:sz w:val="24"/>
          <w:szCs w:val="24"/>
        </w:rPr>
        <w:t>Hypotheses</w:t>
      </w:r>
      <w:r w:rsidR="000E26BA" w:rsidRPr="001C5B16">
        <w:rPr>
          <w:rFonts w:ascii="Times New Roman" w:hAnsi="Times New Roman"/>
          <w:sz w:val="24"/>
          <w:szCs w:val="24"/>
        </w:rPr>
        <w:t xml:space="preserve">  </w:t>
      </w:r>
      <w:r w:rsidR="001C5B16">
        <w:rPr>
          <w:rFonts w:ascii="Times New Roman" w:hAnsi="Times New Roman"/>
          <w:sz w:val="24"/>
          <w:szCs w:val="24"/>
        </w:rPr>
        <w:tab/>
      </w:r>
      <w:proofErr w:type="gramEnd"/>
      <w:r w:rsidR="001C5B16">
        <w:rPr>
          <w:rFonts w:ascii="Times New Roman" w:hAnsi="Times New Roman"/>
          <w:sz w:val="24"/>
          <w:szCs w:val="24"/>
        </w:rPr>
        <w:t>58</w:t>
      </w:r>
    </w:p>
    <w:p w14:paraId="37B518A0" w14:textId="436EE671"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4.5 Discussion of Findings</w:t>
      </w:r>
      <w:r w:rsidR="000E26BA" w:rsidRPr="001C5B16">
        <w:rPr>
          <w:rFonts w:ascii="Times New Roman" w:hAnsi="Times New Roman"/>
          <w:sz w:val="24"/>
          <w:szCs w:val="24"/>
        </w:rPr>
        <w:t xml:space="preserve">     </w:t>
      </w:r>
      <w:r w:rsidR="001C5B16">
        <w:rPr>
          <w:rFonts w:ascii="Times New Roman" w:hAnsi="Times New Roman"/>
          <w:sz w:val="24"/>
          <w:szCs w:val="24"/>
        </w:rPr>
        <w:tab/>
        <w:t>59</w:t>
      </w:r>
    </w:p>
    <w:p w14:paraId="397E8D63" w14:textId="77777777" w:rsidR="00C42D88" w:rsidRPr="001C5B16" w:rsidRDefault="00C42D88" w:rsidP="001C5B16">
      <w:pPr>
        <w:tabs>
          <w:tab w:val="left" w:pos="8640"/>
        </w:tabs>
        <w:spacing w:after="80" w:line="240" w:lineRule="auto"/>
        <w:rPr>
          <w:rFonts w:ascii="Times New Roman" w:hAnsi="Times New Roman"/>
          <w:sz w:val="24"/>
          <w:szCs w:val="24"/>
        </w:rPr>
      </w:pPr>
    </w:p>
    <w:p w14:paraId="4702F1F2" w14:textId="37466C79" w:rsidR="00C42D88" w:rsidRPr="001C5B16" w:rsidRDefault="00123B0E" w:rsidP="001C5B16">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CHAPTER FIVE: SUMMARY OF FINDINGS, CONCLUSION, AND RECOMMENDATIONS</w:t>
      </w:r>
      <w:r w:rsidR="000E26BA" w:rsidRPr="001C5B16">
        <w:rPr>
          <w:rFonts w:ascii="Times New Roman" w:hAnsi="Times New Roman"/>
          <w:b/>
          <w:bCs/>
          <w:sz w:val="24"/>
          <w:szCs w:val="24"/>
        </w:rPr>
        <w:t xml:space="preserve">       </w:t>
      </w:r>
      <w:r w:rsidR="001C5B16">
        <w:rPr>
          <w:rFonts w:ascii="Times New Roman" w:hAnsi="Times New Roman"/>
          <w:b/>
          <w:bCs/>
          <w:sz w:val="24"/>
          <w:szCs w:val="24"/>
        </w:rPr>
        <w:tab/>
        <w:t>60</w:t>
      </w:r>
    </w:p>
    <w:p w14:paraId="7DC26397" w14:textId="5575AFE4" w:rsid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 xml:space="preserve">5.1 Summary of </w:t>
      </w:r>
      <w:proofErr w:type="gramStart"/>
      <w:r w:rsidRPr="001C5B16">
        <w:rPr>
          <w:rFonts w:ascii="Times New Roman" w:hAnsi="Times New Roman"/>
          <w:sz w:val="24"/>
          <w:szCs w:val="24"/>
        </w:rPr>
        <w:t>Findings</w:t>
      </w:r>
      <w:r w:rsidR="000E26BA" w:rsidRPr="001C5B16">
        <w:rPr>
          <w:rFonts w:ascii="Times New Roman" w:hAnsi="Times New Roman"/>
          <w:sz w:val="24"/>
          <w:szCs w:val="24"/>
        </w:rPr>
        <w:t xml:space="preserve">  </w:t>
      </w:r>
      <w:r w:rsidR="001C5B16">
        <w:rPr>
          <w:rFonts w:ascii="Times New Roman" w:hAnsi="Times New Roman"/>
          <w:sz w:val="24"/>
          <w:szCs w:val="24"/>
        </w:rPr>
        <w:tab/>
      </w:r>
      <w:proofErr w:type="gramEnd"/>
      <w:r w:rsidR="001C5B16">
        <w:rPr>
          <w:rFonts w:ascii="Times New Roman" w:hAnsi="Times New Roman"/>
          <w:sz w:val="24"/>
          <w:szCs w:val="24"/>
        </w:rPr>
        <w:t>60</w:t>
      </w:r>
    </w:p>
    <w:p w14:paraId="023DE348" w14:textId="236B5B50"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5.2</w:t>
      </w:r>
      <w:r w:rsidR="001C5B16">
        <w:rPr>
          <w:rFonts w:ascii="Times New Roman" w:hAnsi="Times New Roman"/>
          <w:sz w:val="24"/>
          <w:szCs w:val="24"/>
        </w:rPr>
        <w:t xml:space="preserve"> </w:t>
      </w:r>
      <w:proofErr w:type="gramStart"/>
      <w:r w:rsidRPr="001C5B16">
        <w:rPr>
          <w:rFonts w:ascii="Times New Roman" w:hAnsi="Times New Roman"/>
          <w:sz w:val="24"/>
          <w:szCs w:val="24"/>
        </w:rPr>
        <w:t>Conclusion</w:t>
      </w:r>
      <w:r w:rsidR="000E26BA" w:rsidRPr="001C5B16">
        <w:rPr>
          <w:rFonts w:ascii="Times New Roman" w:hAnsi="Times New Roman"/>
          <w:sz w:val="24"/>
          <w:szCs w:val="24"/>
        </w:rPr>
        <w:t xml:space="preserve">  </w:t>
      </w:r>
      <w:r w:rsidR="001C5B16">
        <w:rPr>
          <w:rFonts w:ascii="Times New Roman" w:hAnsi="Times New Roman"/>
          <w:sz w:val="24"/>
          <w:szCs w:val="24"/>
        </w:rPr>
        <w:tab/>
      </w:r>
      <w:proofErr w:type="gramEnd"/>
      <w:r w:rsidR="001C5B16">
        <w:rPr>
          <w:rFonts w:ascii="Times New Roman" w:hAnsi="Times New Roman"/>
          <w:sz w:val="24"/>
          <w:szCs w:val="24"/>
        </w:rPr>
        <w:t xml:space="preserve"> 61</w:t>
      </w:r>
    </w:p>
    <w:p w14:paraId="1B44F05D" w14:textId="71A69055"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5.3 Recommendations</w:t>
      </w:r>
      <w:r w:rsidR="000E26BA" w:rsidRPr="001C5B16">
        <w:rPr>
          <w:rFonts w:ascii="Times New Roman" w:hAnsi="Times New Roman"/>
          <w:sz w:val="24"/>
          <w:szCs w:val="24"/>
        </w:rPr>
        <w:t xml:space="preserve">   </w:t>
      </w:r>
      <w:r w:rsidR="001C5B16">
        <w:rPr>
          <w:rFonts w:ascii="Times New Roman" w:hAnsi="Times New Roman"/>
          <w:sz w:val="24"/>
          <w:szCs w:val="24"/>
        </w:rPr>
        <w:tab/>
        <w:t>62</w:t>
      </w:r>
    </w:p>
    <w:p w14:paraId="3EC5E3E6" w14:textId="2DF7000C"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5.4 Contribution to Knowledge</w:t>
      </w:r>
      <w:r w:rsidR="000E26BA" w:rsidRPr="001C5B16">
        <w:rPr>
          <w:rFonts w:ascii="Times New Roman" w:hAnsi="Times New Roman"/>
          <w:sz w:val="24"/>
          <w:szCs w:val="24"/>
        </w:rPr>
        <w:t xml:space="preserve"> </w:t>
      </w:r>
      <w:r w:rsidR="001C5B16">
        <w:rPr>
          <w:rFonts w:ascii="Times New Roman" w:hAnsi="Times New Roman"/>
          <w:sz w:val="24"/>
          <w:szCs w:val="24"/>
        </w:rPr>
        <w:tab/>
        <w:t>63</w:t>
      </w:r>
    </w:p>
    <w:p w14:paraId="48C4BD4E" w14:textId="07A2D4EF"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5.5 Limitations of the Study</w:t>
      </w:r>
      <w:r w:rsidR="000E26BA" w:rsidRPr="001C5B16">
        <w:rPr>
          <w:rFonts w:ascii="Times New Roman" w:hAnsi="Times New Roman"/>
          <w:sz w:val="24"/>
          <w:szCs w:val="24"/>
        </w:rPr>
        <w:t xml:space="preserve"> </w:t>
      </w:r>
      <w:r w:rsidR="001C5B16">
        <w:rPr>
          <w:rFonts w:ascii="Times New Roman" w:hAnsi="Times New Roman"/>
          <w:sz w:val="24"/>
          <w:szCs w:val="24"/>
        </w:rPr>
        <w:tab/>
        <w:t>63</w:t>
      </w:r>
    </w:p>
    <w:p w14:paraId="3E9F2F81" w14:textId="26FDE474" w:rsidR="00C42D88" w:rsidRPr="001C5B16" w:rsidRDefault="00123B0E" w:rsidP="001C5B16">
      <w:pPr>
        <w:tabs>
          <w:tab w:val="left" w:pos="8640"/>
        </w:tabs>
        <w:spacing w:after="80" w:line="480" w:lineRule="auto"/>
        <w:jc w:val="both"/>
        <w:rPr>
          <w:rFonts w:ascii="Times New Roman" w:hAnsi="Times New Roman"/>
          <w:sz w:val="24"/>
          <w:szCs w:val="24"/>
        </w:rPr>
      </w:pPr>
      <w:r w:rsidRPr="001C5B16">
        <w:rPr>
          <w:rFonts w:ascii="Times New Roman" w:hAnsi="Times New Roman"/>
          <w:sz w:val="24"/>
          <w:szCs w:val="24"/>
        </w:rPr>
        <w:t>5.6 Suggestions for Further Research</w:t>
      </w:r>
      <w:r w:rsidR="000E26BA" w:rsidRPr="001C5B16">
        <w:rPr>
          <w:rFonts w:ascii="Times New Roman" w:hAnsi="Times New Roman"/>
          <w:sz w:val="24"/>
          <w:szCs w:val="24"/>
        </w:rPr>
        <w:t xml:space="preserve"> </w:t>
      </w:r>
      <w:r w:rsidR="001C5B16">
        <w:rPr>
          <w:rFonts w:ascii="Times New Roman" w:hAnsi="Times New Roman"/>
          <w:sz w:val="24"/>
          <w:szCs w:val="24"/>
        </w:rPr>
        <w:tab/>
        <w:t>64</w:t>
      </w:r>
    </w:p>
    <w:p w14:paraId="7BEE3D5A" w14:textId="77777777" w:rsidR="00C42D88" w:rsidRPr="001C5B16" w:rsidRDefault="00C42D88" w:rsidP="001C5B16">
      <w:pPr>
        <w:tabs>
          <w:tab w:val="left" w:pos="8640"/>
        </w:tabs>
        <w:spacing w:after="80" w:line="240" w:lineRule="auto"/>
        <w:rPr>
          <w:rFonts w:ascii="Times New Roman" w:hAnsi="Times New Roman"/>
          <w:sz w:val="24"/>
          <w:szCs w:val="24"/>
        </w:rPr>
      </w:pPr>
    </w:p>
    <w:p w14:paraId="7DB4AF8F" w14:textId="70C85594" w:rsidR="00C42D88" w:rsidRPr="001C5B16" w:rsidRDefault="00123B0E" w:rsidP="001C5B16">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REFERENCES</w:t>
      </w:r>
      <w:r w:rsidR="000E26BA" w:rsidRPr="001C5B16">
        <w:rPr>
          <w:rFonts w:ascii="Times New Roman" w:hAnsi="Times New Roman"/>
          <w:b/>
          <w:bCs/>
          <w:sz w:val="24"/>
          <w:szCs w:val="24"/>
        </w:rPr>
        <w:t xml:space="preserve"> </w:t>
      </w:r>
      <w:r w:rsidR="001C5B16">
        <w:rPr>
          <w:rFonts w:ascii="Times New Roman" w:hAnsi="Times New Roman"/>
          <w:b/>
          <w:bCs/>
          <w:sz w:val="24"/>
          <w:szCs w:val="24"/>
        </w:rPr>
        <w:tab/>
        <w:t>65</w:t>
      </w:r>
    </w:p>
    <w:p w14:paraId="17C0098C" w14:textId="187CBB72" w:rsidR="00C42D88" w:rsidRPr="001C5B16" w:rsidRDefault="00123B0E" w:rsidP="001C5B16">
      <w:pPr>
        <w:tabs>
          <w:tab w:val="left" w:pos="8640"/>
        </w:tabs>
        <w:spacing w:after="80" w:line="480" w:lineRule="auto"/>
        <w:jc w:val="both"/>
        <w:rPr>
          <w:rFonts w:ascii="Times New Roman" w:hAnsi="Times New Roman"/>
          <w:b/>
          <w:bCs/>
          <w:sz w:val="24"/>
          <w:szCs w:val="24"/>
        </w:rPr>
      </w:pPr>
      <w:r w:rsidRPr="001C5B16">
        <w:rPr>
          <w:rFonts w:ascii="Times New Roman" w:hAnsi="Times New Roman"/>
          <w:b/>
          <w:bCs/>
          <w:sz w:val="24"/>
          <w:szCs w:val="24"/>
        </w:rPr>
        <w:t>APPENDICES</w:t>
      </w:r>
      <w:r w:rsidR="000E26BA" w:rsidRPr="001C5B16">
        <w:rPr>
          <w:rFonts w:ascii="Times New Roman" w:hAnsi="Times New Roman"/>
          <w:b/>
          <w:bCs/>
          <w:sz w:val="24"/>
          <w:szCs w:val="24"/>
        </w:rPr>
        <w:t xml:space="preserve">    </w:t>
      </w:r>
      <w:r w:rsidR="001C5B16">
        <w:rPr>
          <w:rFonts w:ascii="Times New Roman" w:hAnsi="Times New Roman"/>
          <w:b/>
          <w:bCs/>
          <w:sz w:val="24"/>
          <w:szCs w:val="24"/>
        </w:rPr>
        <w:tab/>
        <w:t>72</w:t>
      </w:r>
    </w:p>
    <w:p w14:paraId="3D3AF86E" w14:textId="77777777" w:rsidR="00C42D88" w:rsidRPr="001C5B16" w:rsidRDefault="00C42D88">
      <w:pPr>
        <w:tabs>
          <w:tab w:val="right" w:pos="8640"/>
        </w:tabs>
        <w:spacing w:line="240" w:lineRule="auto"/>
        <w:rPr>
          <w:rFonts w:ascii="Times New Roman" w:hAnsi="Times New Roman"/>
          <w:sz w:val="24"/>
          <w:szCs w:val="24"/>
        </w:rPr>
      </w:pPr>
    </w:p>
    <w:p w14:paraId="1A59731F"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74A239F6" w14:textId="77777777" w:rsidR="00C42D88" w:rsidRPr="001C5B16" w:rsidRDefault="00123B0E">
      <w:pPr>
        <w:spacing w:line="480" w:lineRule="auto"/>
        <w:jc w:val="center"/>
        <w:rPr>
          <w:rFonts w:ascii="Times New Roman" w:hAnsi="Times New Roman"/>
          <w:b/>
          <w:sz w:val="24"/>
          <w:szCs w:val="24"/>
        </w:rPr>
      </w:pPr>
      <w:r w:rsidRPr="001C5B16">
        <w:rPr>
          <w:rFonts w:ascii="Times New Roman" w:hAnsi="Times New Roman"/>
          <w:b/>
          <w:sz w:val="24"/>
          <w:szCs w:val="24"/>
        </w:rPr>
        <w:lastRenderedPageBreak/>
        <w:t>LIST OF TABLES</w:t>
      </w:r>
    </w:p>
    <w:p w14:paraId="1A9C93E5" w14:textId="4BEE658F" w:rsidR="00D5503E" w:rsidRDefault="00D5503E">
      <w:pPr>
        <w:tabs>
          <w:tab w:val="left" w:pos="8640"/>
        </w:tabs>
        <w:spacing w:line="480" w:lineRule="auto"/>
        <w:jc w:val="both"/>
        <w:rPr>
          <w:rFonts w:ascii="Times New Roman" w:hAnsi="Times New Roman"/>
          <w:sz w:val="24"/>
          <w:szCs w:val="24"/>
        </w:rPr>
      </w:pPr>
      <w:r>
        <w:rPr>
          <w:rFonts w:ascii="Times New Roman" w:hAnsi="Times New Roman"/>
          <w:sz w:val="24"/>
          <w:szCs w:val="24"/>
        </w:rPr>
        <w:t>Table 2.1: Summary of Empirical Review</w:t>
      </w:r>
      <w:r>
        <w:rPr>
          <w:rFonts w:ascii="Times New Roman" w:hAnsi="Times New Roman"/>
          <w:sz w:val="24"/>
          <w:szCs w:val="24"/>
        </w:rPr>
        <w:tab/>
        <w:t>35</w:t>
      </w:r>
    </w:p>
    <w:p w14:paraId="0E967A12" w14:textId="4C2DDA5A" w:rsidR="00C42D88" w:rsidRPr="001C5B16" w:rsidRDefault="00123B0E">
      <w:pPr>
        <w:tabs>
          <w:tab w:val="left" w:pos="8640"/>
        </w:tabs>
        <w:spacing w:line="480" w:lineRule="auto"/>
        <w:jc w:val="both"/>
        <w:rPr>
          <w:rFonts w:ascii="Times New Roman" w:hAnsi="Times New Roman"/>
          <w:sz w:val="24"/>
          <w:szCs w:val="24"/>
        </w:rPr>
      </w:pPr>
      <w:r w:rsidRPr="001C5B16">
        <w:rPr>
          <w:rFonts w:ascii="Times New Roman" w:hAnsi="Times New Roman"/>
          <w:sz w:val="24"/>
          <w:szCs w:val="24"/>
        </w:rPr>
        <w:t>Table 3.1: List of Firms in the Population</w:t>
      </w:r>
      <w:r w:rsidRPr="001C5B16">
        <w:rPr>
          <w:rFonts w:ascii="Times New Roman" w:hAnsi="Times New Roman"/>
          <w:sz w:val="24"/>
          <w:szCs w:val="24"/>
        </w:rPr>
        <w:tab/>
      </w:r>
      <w:r w:rsidR="00D5503E">
        <w:rPr>
          <w:rFonts w:ascii="Times New Roman" w:hAnsi="Times New Roman"/>
          <w:sz w:val="24"/>
          <w:szCs w:val="24"/>
        </w:rPr>
        <w:t>4</w:t>
      </w:r>
      <w:r w:rsidR="00C7797C">
        <w:rPr>
          <w:rFonts w:ascii="Times New Roman" w:hAnsi="Times New Roman"/>
          <w:sz w:val="24"/>
          <w:szCs w:val="24"/>
        </w:rPr>
        <w:t>1</w:t>
      </w:r>
    </w:p>
    <w:p w14:paraId="3DD5C700" w14:textId="295F2283" w:rsidR="00C42D88" w:rsidRPr="001C5B16" w:rsidRDefault="00123B0E">
      <w:pPr>
        <w:tabs>
          <w:tab w:val="left" w:pos="8640"/>
        </w:tabs>
        <w:spacing w:line="480" w:lineRule="auto"/>
        <w:jc w:val="both"/>
        <w:rPr>
          <w:rFonts w:ascii="Times New Roman" w:hAnsi="Times New Roman"/>
          <w:sz w:val="24"/>
          <w:szCs w:val="24"/>
        </w:rPr>
      </w:pPr>
      <w:r w:rsidRPr="001C5B16">
        <w:rPr>
          <w:rFonts w:ascii="Times New Roman" w:hAnsi="Times New Roman"/>
          <w:sz w:val="24"/>
          <w:szCs w:val="24"/>
        </w:rPr>
        <w:t>Table 3.2: Measurement of Variables</w:t>
      </w:r>
      <w:r w:rsidRPr="001C5B16">
        <w:rPr>
          <w:rFonts w:ascii="Times New Roman" w:hAnsi="Times New Roman"/>
          <w:sz w:val="24"/>
          <w:szCs w:val="24"/>
        </w:rPr>
        <w:tab/>
      </w:r>
      <w:r w:rsidR="00D5503E">
        <w:rPr>
          <w:rFonts w:ascii="Times New Roman" w:hAnsi="Times New Roman"/>
          <w:sz w:val="24"/>
          <w:szCs w:val="24"/>
        </w:rPr>
        <w:t>50</w:t>
      </w:r>
    </w:p>
    <w:p w14:paraId="4D402942" w14:textId="4D04CE20" w:rsidR="00C42D88" w:rsidRPr="001C5B16" w:rsidRDefault="00123B0E">
      <w:pPr>
        <w:tabs>
          <w:tab w:val="left" w:pos="8640"/>
        </w:tabs>
        <w:spacing w:line="360" w:lineRule="auto"/>
        <w:jc w:val="both"/>
        <w:rPr>
          <w:rFonts w:ascii="Times New Roman" w:hAnsi="Times New Roman"/>
          <w:sz w:val="24"/>
          <w:szCs w:val="24"/>
        </w:rPr>
      </w:pPr>
      <w:r w:rsidRPr="001C5B16">
        <w:rPr>
          <w:rFonts w:ascii="Times New Roman" w:hAnsi="Times New Roman"/>
          <w:sz w:val="24"/>
          <w:szCs w:val="24"/>
        </w:rPr>
        <w:t>Table 4.1: Descriptive Statistics Results</w:t>
      </w:r>
      <w:r w:rsidRPr="001C5B16">
        <w:rPr>
          <w:rFonts w:ascii="Times New Roman" w:hAnsi="Times New Roman"/>
          <w:sz w:val="24"/>
          <w:szCs w:val="24"/>
        </w:rPr>
        <w:tab/>
      </w:r>
      <w:r w:rsidR="00D5503E">
        <w:rPr>
          <w:rFonts w:ascii="Times New Roman" w:hAnsi="Times New Roman"/>
          <w:sz w:val="24"/>
          <w:szCs w:val="24"/>
        </w:rPr>
        <w:t>55</w:t>
      </w:r>
    </w:p>
    <w:p w14:paraId="317BB626" w14:textId="3D0622B9" w:rsidR="00C42D88" w:rsidRPr="001C5B16" w:rsidRDefault="00123B0E">
      <w:pPr>
        <w:tabs>
          <w:tab w:val="left" w:pos="8640"/>
        </w:tabs>
        <w:spacing w:line="480" w:lineRule="auto"/>
        <w:jc w:val="both"/>
        <w:rPr>
          <w:rFonts w:ascii="Times New Roman" w:hAnsi="Times New Roman"/>
          <w:sz w:val="24"/>
          <w:szCs w:val="24"/>
        </w:rPr>
      </w:pPr>
      <w:r w:rsidRPr="001C5B16">
        <w:rPr>
          <w:rFonts w:ascii="Times New Roman" w:hAnsi="Times New Roman"/>
          <w:sz w:val="24"/>
          <w:szCs w:val="24"/>
        </w:rPr>
        <w:t>Table 4.2: Correlation Matrix</w:t>
      </w:r>
      <w:r w:rsidRPr="001C5B16">
        <w:rPr>
          <w:rFonts w:ascii="Times New Roman" w:hAnsi="Times New Roman"/>
          <w:sz w:val="24"/>
          <w:szCs w:val="24"/>
        </w:rPr>
        <w:tab/>
      </w:r>
      <w:r w:rsidR="00D5503E">
        <w:rPr>
          <w:rFonts w:ascii="Times New Roman" w:hAnsi="Times New Roman"/>
          <w:sz w:val="24"/>
          <w:szCs w:val="24"/>
        </w:rPr>
        <w:t>56</w:t>
      </w:r>
    </w:p>
    <w:p w14:paraId="72079C3B" w14:textId="3068CE48" w:rsidR="00C42D88" w:rsidRPr="001C5B16" w:rsidRDefault="00123B0E">
      <w:pPr>
        <w:tabs>
          <w:tab w:val="left" w:pos="8640"/>
        </w:tabs>
        <w:spacing w:line="480" w:lineRule="auto"/>
        <w:jc w:val="both"/>
        <w:rPr>
          <w:rFonts w:ascii="Times New Roman" w:hAnsi="Times New Roman"/>
          <w:sz w:val="24"/>
          <w:szCs w:val="24"/>
        </w:rPr>
      </w:pPr>
      <w:r w:rsidRPr="001C5B16">
        <w:rPr>
          <w:rFonts w:ascii="Times New Roman" w:hAnsi="Times New Roman"/>
          <w:sz w:val="24"/>
          <w:szCs w:val="24"/>
        </w:rPr>
        <w:t>Table 4.3: Fixed Effects Panel Regression Results</w:t>
      </w:r>
      <w:r w:rsidRPr="001C5B16">
        <w:rPr>
          <w:rFonts w:ascii="Times New Roman" w:hAnsi="Times New Roman"/>
          <w:sz w:val="24"/>
          <w:szCs w:val="24"/>
        </w:rPr>
        <w:tab/>
      </w:r>
      <w:r w:rsidR="00D5503E">
        <w:rPr>
          <w:rFonts w:ascii="Times New Roman" w:hAnsi="Times New Roman"/>
          <w:sz w:val="24"/>
          <w:szCs w:val="24"/>
        </w:rPr>
        <w:t>57</w:t>
      </w:r>
    </w:p>
    <w:p w14:paraId="290167C4" w14:textId="77777777" w:rsidR="00C42D88" w:rsidRPr="001C5B16" w:rsidRDefault="00123B0E">
      <w:pPr>
        <w:rPr>
          <w:rFonts w:ascii="Times New Roman" w:hAnsi="Times New Roman"/>
          <w:b/>
          <w:sz w:val="24"/>
          <w:szCs w:val="24"/>
        </w:rPr>
      </w:pPr>
      <w:r w:rsidRPr="001C5B16">
        <w:rPr>
          <w:rFonts w:ascii="Times New Roman" w:hAnsi="Times New Roman"/>
          <w:b/>
          <w:sz w:val="24"/>
          <w:szCs w:val="24"/>
        </w:rPr>
        <w:br w:type="page"/>
      </w:r>
    </w:p>
    <w:p w14:paraId="35F68612" w14:textId="77777777" w:rsidR="00C42D88" w:rsidRPr="001C5B16" w:rsidRDefault="00123B0E">
      <w:pPr>
        <w:spacing w:after="240"/>
        <w:jc w:val="center"/>
        <w:rPr>
          <w:rFonts w:ascii="Times New Roman" w:hAnsi="Times New Roman"/>
          <w:sz w:val="24"/>
          <w:szCs w:val="24"/>
        </w:rPr>
      </w:pPr>
      <w:r w:rsidRPr="001C5B16">
        <w:rPr>
          <w:rFonts w:ascii="Times New Roman" w:hAnsi="Times New Roman"/>
          <w:b/>
          <w:sz w:val="24"/>
          <w:szCs w:val="24"/>
        </w:rPr>
        <w:lastRenderedPageBreak/>
        <w:t>ABSTRACT</w:t>
      </w:r>
    </w:p>
    <w:p w14:paraId="4D823F66" w14:textId="77777777" w:rsidR="00C42D88" w:rsidRPr="001C5B16" w:rsidRDefault="00141DBC" w:rsidP="001C5B16">
      <w:pPr>
        <w:jc w:val="both"/>
        <w:rPr>
          <w:rFonts w:ascii="Times New Roman" w:hAnsi="Times New Roman"/>
          <w:b/>
          <w:bCs/>
          <w:sz w:val="24"/>
          <w:szCs w:val="24"/>
        </w:rPr>
      </w:pPr>
      <w:r w:rsidRPr="001C5B16">
        <w:rPr>
          <w:rFonts w:ascii="Times New Roman" w:hAnsi="Times New Roman"/>
          <w:i/>
          <w:sz w:val="24"/>
          <w:szCs w:val="24"/>
        </w:rPr>
        <w:t>This study examined the effect of environmental accounting reporting on the profitability of quoted oil and gas firms in Nigeria from 2014 to 2025. Despite increasing environmental expenditures mandated by regulators, there is an ongoing debate regarding their financial utility. The specific objectives were to determine the impact of Environmental Restoration Cost (ERC), Community Development Cost (CDC), and Waste Management Cost (WMC) on Return on Assets (ROA). The study adopted an ex-post facto research design, utilizing a purposive sample of ten (10) firms listed on the Nigerian Exchange Group (NGX). Panel data extracted from annual reports were analyzed using Descriptive Statistics, Correlation Analysis, and Fixed Effects Panel Regression. The empirical findings revealed that ERC, CDC, and WMC all have a negative and statistically insignificant impact on the Return on Assets of the sampled firms. Furthermore, diagnostic tests indicated severe multicollinearity between community and waste spending. In addressing the research questions, the study concludes that environmental accounting reporting currently acts as an unavoidable financial burden rather than a strategic profitability driver, thereby providing robust empirical support for the Trade-off Theory. Consequently, it is recommended that corporate managers shift from passive regulatory compliance to active cost-optimization by creating dedicated decommissioning trust funds, while regulatory authorities should introduce Green Tax Credits to encourage sustainable compliance without stifling corporate efficiency.</w:t>
      </w:r>
      <w:r w:rsidRPr="001C5B16">
        <w:rPr>
          <w:rFonts w:ascii="Times New Roman" w:hAnsi="Times New Roman"/>
          <w:b/>
          <w:bCs/>
          <w:sz w:val="24"/>
          <w:szCs w:val="24"/>
        </w:rPr>
        <w:br w:type="page"/>
      </w:r>
    </w:p>
    <w:p w14:paraId="18C7043F" w14:textId="77777777" w:rsidR="00C42D88" w:rsidRPr="001C5B16" w:rsidRDefault="00123B0E">
      <w:pPr>
        <w:spacing w:line="480" w:lineRule="auto"/>
        <w:jc w:val="center"/>
        <w:rPr>
          <w:rFonts w:ascii="Times New Roman" w:hAnsi="Times New Roman"/>
          <w:b/>
          <w:bCs/>
          <w:sz w:val="24"/>
          <w:szCs w:val="24"/>
        </w:rPr>
      </w:pPr>
      <w:r w:rsidRPr="001C5B16">
        <w:rPr>
          <w:rFonts w:ascii="Times New Roman" w:hAnsi="Times New Roman"/>
          <w:b/>
          <w:bCs/>
          <w:sz w:val="24"/>
          <w:szCs w:val="24"/>
        </w:rPr>
        <w:lastRenderedPageBreak/>
        <w:t>CHAPTER ONE</w:t>
      </w:r>
    </w:p>
    <w:p w14:paraId="25FAB6B6" w14:textId="77777777" w:rsidR="00C42D88" w:rsidRPr="001C5B16" w:rsidRDefault="00123B0E">
      <w:pPr>
        <w:spacing w:line="480" w:lineRule="auto"/>
        <w:jc w:val="center"/>
        <w:rPr>
          <w:rFonts w:ascii="Times New Roman" w:hAnsi="Times New Roman"/>
          <w:sz w:val="24"/>
          <w:szCs w:val="24"/>
        </w:rPr>
      </w:pPr>
      <w:r w:rsidRPr="001C5B16">
        <w:rPr>
          <w:rFonts w:ascii="Times New Roman" w:hAnsi="Times New Roman"/>
          <w:b/>
          <w:bCs/>
          <w:sz w:val="24"/>
          <w:szCs w:val="24"/>
        </w:rPr>
        <w:t>INTRODUCTION</w:t>
      </w:r>
    </w:p>
    <w:p w14:paraId="1E402515" w14:textId="77777777" w:rsidR="00C42D88" w:rsidRPr="001C5B16" w:rsidRDefault="00123B0E">
      <w:pPr>
        <w:spacing w:line="480" w:lineRule="auto"/>
        <w:jc w:val="both"/>
        <w:rPr>
          <w:rFonts w:ascii="Times New Roman" w:hAnsi="Times New Roman"/>
          <w:b/>
          <w:bCs/>
          <w:sz w:val="24"/>
          <w:szCs w:val="24"/>
        </w:rPr>
      </w:pPr>
      <w:r w:rsidRPr="001C5B16">
        <w:rPr>
          <w:rFonts w:ascii="Times New Roman" w:hAnsi="Times New Roman"/>
          <w:b/>
          <w:bCs/>
          <w:sz w:val="24"/>
          <w:szCs w:val="24"/>
        </w:rPr>
        <w:t>1.1 Background to the Study</w:t>
      </w:r>
    </w:p>
    <w:p w14:paraId="1DDB5C9D" w14:textId="3DB94E25"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Historically, a company's prime focus was simple - making maximum possible profit. This traditional perception, associated with Friedman (1970), posited that only responsibility a company has is toward its shareholders. But, in the last few decades, the business arena has experienced a huge transformation. The business environment is not the same era where companies only focus on the financial 'bottom line', oblivious to the world around them. Now, there is a global transition to the concept developed by Elkington (1997), the "triple bottom line" – People, Planet and Profit. The shift in the perspective forced companies, particularly in the high impact industry of Oil and Gas to reconsider their way of doing business and reporting to the public.</w:t>
      </w:r>
    </w:p>
    <w:p w14:paraId="037CBF8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This concept sets the background for Environmental Accounting and Reporting (EAR). In simple terms, EAR is the tracking, measurement and disclosure of the costs associated with the impact a company has on the environment (Gray et al., 1993). It takes in consideration things like waste management, pollution control, and efficient use of resources as well as cleaning up spills caused by oil slicks. The purpose of this is for the company to have transparency in all the cost related to environmental impacts, hence allow for greater manageability and proof of good corporate citizenship to the society.</w:t>
      </w:r>
    </w:p>
    <w:p w14:paraId="2248D14C" w14:textId="77777777" w:rsidR="00C7797C"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In Nigeria, the topic of discussion is not only conceptual; but, critical in nature. The Nigerian economy is highly reliant on the Oil and Gas sector, the life-line of the country's earnings, </w:t>
      </w:r>
    </w:p>
    <w:p w14:paraId="24C479DF" w14:textId="77777777" w:rsidR="00C7797C" w:rsidRDefault="00C7797C">
      <w:pPr>
        <w:spacing w:after="0" w:line="240" w:lineRule="auto"/>
        <w:rPr>
          <w:rFonts w:ascii="Times New Roman" w:hAnsi="Times New Roman"/>
          <w:sz w:val="24"/>
          <w:szCs w:val="24"/>
        </w:rPr>
      </w:pPr>
      <w:r>
        <w:rPr>
          <w:rFonts w:ascii="Times New Roman" w:hAnsi="Times New Roman"/>
          <w:sz w:val="24"/>
          <w:szCs w:val="24"/>
        </w:rPr>
        <w:br w:type="page"/>
      </w:r>
    </w:p>
    <w:p w14:paraId="63CCD611" w14:textId="5E9211DF"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 xml:space="preserve">contributing the bulk of its foreign exchange (OPEC, 2023). Paradoxically, the Oil and Gas sector also responsible for some of the worst environmental damage done in the country, specifically the Niger Delta region. According to Amnesty International (2018), gas flaring, oil spills, and destruction of the habitat, coupled with poor community development programs and lack of basic infrastructure have created a volatile situation between oil companies and host communities. This hostility often </w:t>
      </w:r>
      <w:proofErr w:type="gramStart"/>
      <w:r w:rsidRPr="001C5B16">
        <w:rPr>
          <w:rFonts w:ascii="Times New Roman" w:hAnsi="Times New Roman"/>
          <w:sz w:val="24"/>
          <w:szCs w:val="24"/>
        </w:rPr>
        <w:t>lead</w:t>
      </w:r>
      <w:proofErr w:type="gramEnd"/>
      <w:r w:rsidRPr="001C5B16">
        <w:rPr>
          <w:rFonts w:ascii="Times New Roman" w:hAnsi="Times New Roman"/>
          <w:sz w:val="24"/>
          <w:szCs w:val="24"/>
        </w:rPr>
        <w:t xml:space="preserve"> to the disruption of operations, kidnapping of personnel and pipeline destruction, costing companies billions of naira annually.</w:t>
      </w:r>
    </w:p>
    <w:p w14:paraId="443D283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Consequently, various stakeholders, from government agencies such as the National Environmental Standards and Regulations Enforcement Agency (NESREA) to foreign investors and local communities, are demanding greater transparency on the actions taken by companies in the mitigation of the environmental risks they pose. This led to an increased number of environmental disclosures made by quoted companies in the Oil and Gas industry of the Nigerian Exchange Group (NGX).</w:t>
      </w:r>
    </w:p>
    <w:p w14:paraId="793C77E1"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But then comes the real question; "does going green help the company in monetary term?" While some argued that environmental expenditure </w:t>
      </w:r>
      <w:proofErr w:type="gramStart"/>
      <w:r w:rsidRPr="001C5B16">
        <w:rPr>
          <w:rFonts w:ascii="Times New Roman" w:hAnsi="Times New Roman"/>
          <w:sz w:val="24"/>
          <w:szCs w:val="24"/>
        </w:rPr>
        <w:t>are</w:t>
      </w:r>
      <w:proofErr w:type="gramEnd"/>
      <w:r w:rsidRPr="001C5B16">
        <w:rPr>
          <w:rFonts w:ascii="Times New Roman" w:hAnsi="Times New Roman"/>
          <w:sz w:val="24"/>
          <w:szCs w:val="24"/>
        </w:rPr>
        <w:t xml:space="preserve"> 'wasting' money for which profits are reduced (Walley &amp; Whitehead, 1994), on the other hand, scholars in the area of sustainable business, backing up the Legitimacy theory (Deegan, 2002), believe that environmental reporting is value adding for the company. It adds to the company's reputation, reduce risk of sanction/ fines from government authorities and ensures a peaceful operating environment ("social license to operate"), adding up to the company's profitability over the long term.</w:t>
      </w:r>
    </w:p>
    <w:p w14:paraId="1FCFF1E5"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This study is done based on this conflicting thought. The recent implementation of Petroleum Industry Act (PIA) in 2021 requires more for firms in term of host </w:t>
      </w:r>
      <w:proofErr w:type="gramStart"/>
      <w:r w:rsidRPr="001C5B16">
        <w:rPr>
          <w:rFonts w:ascii="Times New Roman" w:hAnsi="Times New Roman"/>
          <w:sz w:val="24"/>
          <w:szCs w:val="24"/>
        </w:rPr>
        <w:t>communities</w:t>
      </w:r>
      <w:proofErr w:type="gramEnd"/>
      <w:r w:rsidRPr="001C5B16">
        <w:rPr>
          <w:rFonts w:ascii="Times New Roman" w:hAnsi="Times New Roman"/>
          <w:sz w:val="24"/>
          <w:szCs w:val="24"/>
        </w:rPr>
        <w:t xml:space="preserve"> development, </w:t>
      </w:r>
      <w:r w:rsidRPr="001C5B16">
        <w:rPr>
          <w:rFonts w:ascii="Times New Roman" w:hAnsi="Times New Roman"/>
          <w:sz w:val="24"/>
          <w:szCs w:val="24"/>
        </w:rPr>
        <w:lastRenderedPageBreak/>
        <w:t>hence making the study on the effect of environmental reporting on profitability and financial success even more imperative.</w:t>
      </w:r>
    </w:p>
    <w:p w14:paraId="077F9B1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1.2 Statement of the Problem</w:t>
      </w:r>
    </w:p>
    <w:p w14:paraId="456E4E7F"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core problem this research attempts to address is the ambiguity of financial value of environmental reporting in Nigeria. Although there is a significant rise in the quantity of environmental information in annual reports of oil and gas companies, we are unsure if these reporting activities translate into better financial performance or are simply accounting costs required for regulatory compliance.</w:t>
      </w:r>
    </w:p>
    <w:p w14:paraId="33C6495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There exists a disparity between the present situation, where oil and gas companies publish well designed sustainability reports with claims that their activities are environmentally friendly on one hand and on the other hand, theNiger Deltasis polluted and the communities still complain. This suggests a possibility of greenwashing (Laufer, 2003), where companies issue reports as a public relation tool without enacting substantial environmentally friendly activities. If that is the case, does the market reward environmentally friendly firms? Or does it penalize the greenwashing firms?</w:t>
      </w:r>
    </w:p>
    <w:p w14:paraId="58F9257D" w14:textId="77777777" w:rsidR="00C42D88" w:rsidRPr="001C5B16" w:rsidRDefault="00123B0E">
      <w:pPr>
        <w:spacing w:line="480" w:lineRule="auto"/>
        <w:jc w:val="both"/>
        <w:rPr>
          <w:rFonts w:ascii="Times New Roman" w:hAnsi="Times New Roman"/>
          <w:sz w:val="24"/>
          <w:szCs w:val="24"/>
        </w:rPr>
      </w:pPr>
      <w:proofErr w:type="gramStart"/>
      <w:r w:rsidRPr="001C5B16">
        <w:rPr>
          <w:rFonts w:ascii="Times New Roman" w:hAnsi="Times New Roman"/>
          <w:sz w:val="24"/>
          <w:szCs w:val="24"/>
        </w:rPr>
        <w:t>Also</w:t>
      </w:r>
      <w:proofErr w:type="gramEnd"/>
      <w:r w:rsidRPr="001C5B16">
        <w:rPr>
          <w:rFonts w:ascii="Times New Roman" w:hAnsi="Times New Roman"/>
          <w:sz w:val="24"/>
          <w:szCs w:val="24"/>
        </w:rPr>
        <w:t xml:space="preserve"> there is a mix of results in the studies that attempt to explore this phenomenon that presents a dilemma for corporate managers. Studies conducted in developed nations indicate a positive association between the reporting and profitability; but the Nigerian environment is characterized by poor enforcement and unrest and therefore differs significantly from the developed world. Research conducted in Nigeria has found some evidence that environmental costs negatively </w:t>
      </w:r>
      <w:proofErr w:type="gramStart"/>
      <w:r w:rsidRPr="001C5B16">
        <w:rPr>
          <w:rFonts w:ascii="Times New Roman" w:hAnsi="Times New Roman"/>
          <w:sz w:val="24"/>
          <w:szCs w:val="24"/>
        </w:rPr>
        <w:t>impacts</w:t>
      </w:r>
      <w:proofErr w:type="gramEnd"/>
      <w:r w:rsidRPr="001C5B16">
        <w:rPr>
          <w:rFonts w:ascii="Times New Roman" w:hAnsi="Times New Roman"/>
          <w:sz w:val="24"/>
          <w:szCs w:val="24"/>
        </w:rPr>
        <w:t xml:space="preserve"> profits (Adediran &amp; Alade, 2013) whereas others indicate no significant impact.</w:t>
      </w:r>
    </w:p>
    <w:p w14:paraId="692008C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Additional deficiencies in many studies conducted in the past are related to their research methods. Some combined oil and gas firms with either banking or manufacturing industries which failed to accurately represent the situation faced by the oil and gas industry. Other research failed to use up to date data, which failed to represent post covid economic realities and post 2021 PIA law.</w:t>
      </w:r>
    </w:p>
    <w:p w14:paraId="0CFE5287"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This mixture of results presents a problem as corporate managers are in doubt of whether or not to increase environmental expenditures in order to raise returns or reduce expenditure on the environment in order to lower cost. And </w:t>
      </w:r>
      <w:proofErr w:type="gramStart"/>
      <w:r w:rsidRPr="001C5B16">
        <w:rPr>
          <w:rFonts w:ascii="Times New Roman" w:hAnsi="Times New Roman"/>
          <w:sz w:val="24"/>
          <w:szCs w:val="24"/>
        </w:rPr>
        <w:t>also</w:t>
      </w:r>
      <w:proofErr w:type="gramEnd"/>
      <w:r w:rsidRPr="001C5B16">
        <w:rPr>
          <w:rFonts w:ascii="Times New Roman" w:hAnsi="Times New Roman"/>
          <w:sz w:val="24"/>
          <w:szCs w:val="24"/>
        </w:rPr>
        <w:t xml:space="preserve"> whether green companies are more profitable or not. </w:t>
      </w:r>
      <w:proofErr w:type="gramStart"/>
      <w:r w:rsidRPr="001C5B16">
        <w:rPr>
          <w:rFonts w:ascii="Times New Roman" w:hAnsi="Times New Roman"/>
          <w:sz w:val="24"/>
          <w:szCs w:val="24"/>
        </w:rPr>
        <w:t>Thus</w:t>
      </w:r>
      <w:proofErr w:type="gramEnd"/>
      <w:r w:rsidRPr="001C5B16">
        <w:rPr>
          <w:rFonts w:ascii="Times New Roman" w:hAnsi="Times New Roman"/>
          <w:sz w:val="24"/>
          <w:szCs w:val="24"/>
        </w:rPr>
        <w:t xml:space="preserve"> this research is carried out to provide answers to these questions as it investigates whether or not environmental accounting reporting represents a financial cost or profit in quoted oil and gas industry in Nigeria within the time period 2014 – 2025 (12 years).</w:t>
      </w:r>
    </w:p>
    <w:p w14:paraId="13B0C569" w14:textId="77777777" w:rsidR="00C42D88" w:rsidRPr="001C5B16" w:rsidRDefault="00123B0E">
      <w:pPr>
        <w:pStyle w:val="Heading3"/>
        <w:spacing w:beforeAutospacing="0" w:line="480" w:lineRule="auto"/>
        <w:jc w:val="both"/>
        <w:rPr>
          <w:rFonts w:ascii="Times New Roman" w:eastAsia="sans-serif" w:hAnsi="Times New Roman" w:hint="default"/>
          <w:sz w:val="24"/>
          <w:szCs w:val="24"/>
        </w:rPr>
      </w:pPr>
      <w:r w:rsidRPr="001C5B16">
        <w:rPr>
          <w:rFonts w:ascii="Times New Roman" w:eastAsia="sans-serif" w:hAnsi="Times New Roman" w:hint="default"/>
          <w:sz w:val="24"/>
          <w:szCs w:val="24"/>
        </w:rPr>
        <w:t>1.3 Objectives of the Study</w:t>
      </w:r>
    </w:p>
    <w:p w14:paraId="7F9201BE" w14:textId="77777777" w:rsidR="00C42D88" w:rsidRPr="001C5B16" w:rsidRDefault="00123B0E">
      <w:pPr>
        <w:pStyle w:val="NormalWeb"/>
        <w:spacing w:beforeAutospacing="0" w:line="480" w:lineRule="auto"/>
        <w:jc w:val="both"/>
        <w:rPr>
          <w:rFonts w:eastAsia="sans-serif"/>
        </w:rPr>
      </w:pPr>
      <w:r w:rsidRPr="001C5B16">
        <w:rPr>
          <w:rFonts w:eastAsia="sans-serif"/>
        </w:rPr>
        <w:t>The main objective of this study is to examine the effect of environmental accounting reporting on the profitability of quoted oil and gas firms in Nigeria.</w:t>
      </w:r>
    </w:p>
    <w:p w14:paraId="1F59C37F" w14:textId="77777777" w:rsidR="00C42D88" w:rsidRPr="001C5B16" w:rsidRDefault="00123B0E">
      <w:pPr>
        <w:pStyle w:val="NormalWeb"/>
        <w:spacing w:beforeAutospacing="0" w:line="480" w:lineRule="auto"/>
        <w:jc w:val="both"/>
        <w:rPr>
          <w:rFonts w:eastAsia="sans-serif"/>
        </w:rPr>
      </w:pPr>
      <w:r w:rsidRPr="001C5B16">
        <w:rPr>
          <w:rFonts w:eastAsia="sans-serif"/>
        </w:rPr>
        <w:t>To achieve this, the specific objectives are:</w:t>
      </w:r>
    </w:p>
    <w:p w14:paraId="51ADA126" w14:textId="77777777" w:rsidR="00C42D88" w:rsidRPr="001C5B16" w:rsidRDefault="00123B0E">
      <w:pPr>
        <w:pStyle w:val="NormalWeb"/>
        <w:numPr>
          <w:ilvl w:val="0"/>
          <w:numId w:val="1"/>
        </w:numPr>
        <w:spacing w:beforeAutospacing="0" w:line="480" w:lineRule="auto"/>
        <w:jc w:val="both"/>
        <w:rPr>
          <w:rFonts w:eastAsia="sans-serif"/>
        </w:rPr>
      </w:pPr>
      <w:r w:rsidRPr="001C5B16">
        <w:rPr>
          <w:rFonts w:eastAsia="sans-serif"/>
        </w:rPr>
        <w:t>To evaluate the effect of Environmental Restoration Cost on the Return on Assets (ROA) of quoted oil and gas firms in Nigeria.</w:t>
      </w:r>
    </w:p>
    <w:p w14:paraId="0D0C099F" w14:textId="77777777" w:rsidR="00C42D88" w:rsidRPr="001C5B16" w:rsidRDefault="00123B0E">
      <w:pPr>
        <w:pStyle w:val="NormalWeb"/>
        <w:numPr>
          <w:ilvl w:val="0"/>
          <w:numId w:val="1"/>
        </w:numPr>
        <w:spacing w:beforeAutospacing="0" w:line="480" w:lineRule="auto"/>
        <w:jc w:val="both"/>
        <w:rPr>
          <w:rFonts w:eastAsia="sans-serif"/>
        </w:rPr>
      </w:pPr>
      <w:r w:rsidRPr="001C5B16">
        <w:rPr>
          <w:rFonts w:eastAsia="sans-serif"/>
        </w:rPr>
        <w:t>To determine the impact of Community Development Cost on the Return on Assets (ROA) of quoted oil and gas firms in Nigeria.</w:t>
      </w:r>
    </w:p>
    <w:p w14:paraId="21D9D1EF" w14:textId="77777777" w:rsidR="00C42D88" w:rsidRPr="001C5B16" w:rsidRDefault="00123B0E">
      <w:pPr>
        <w:pStyle w:val="NormalWeb"/>
        <w:numPr>
          <w:ilvl w:val="0"/>
          <w:numId w:val="1"/>
        </w:numPr>
        <w:spacing w:beforeAutospacing="0" w:line="480" w:lineRule="auto"/>
        <w:jc w:val="both"/>
        <w:rPr>
          <w:rFonts w:eastAsia="sans-serif"/>
        </w:rPr>
      </w:pPr>
      <w:r w:rsidRPr="001C5B16">
        <w:rPr>
          <w:rFonts w:eastAsia="sans-serif"/>
        </w:rPr>
        <w:t>To assess the relationship between Waste Management Cost and the Return on Assets (ROA) of quoted oil and gas firms in Nigeria.</w:t>
      </w:r>
    </w:p>
    <w:p w14:paraId="3C578801" w14:textId="77777777" w:rsidR="00C42D88" w:rsidRPr="001C5B16" w:rsidRDefault="00123B0E">
      <w:pPr>
        <w:pStyle w:val="Heading3"/>
        <w:spacing w:beforeAutospacing="0" w:line="480" w:lineRule="auto"/>
        <w:jc w:val="both"/>
        <w:rPr>
          <w:rFonts w:ascii="Times New Roman" w:eastAsia="sans-serif" w:hAnsi="Times New Roman" w:hint="default"/>
          <w:sz w:val="24"/>
          <w:szCs w:val="24"/>
        </w:rPr>
      </w:pPr>
      <w:r w:rsidRPr="001C5B16">
        <w:rPr>
          <w:rFonts w:ascii="Times New Roman" w:eastAsia="sans-serif" w:hAnsi="Times New Roman" w:hint="default"/>
          <w:sz w:val="24"/>
          <w:szCs w:val="24"/>
        </w:rPr>
        <w:lastRenderedPageBreak/>
        <w:t>1.4 Research Questions</w:t>
      </w:r>
    </w:p>
    <w:p w14:paraId="05096176" w14:textId="77777777" w:rsidR="00C42D88" w:rsidRPr="001C5B16" w:rsidRDefault="00123B0E">
      <w:pPr>
        <w:pStyle w:val="NormalWeb"/>
        <w:spacing w:beforeAutospacing="0" w:line="480" w:lineRule="auto"/>
        <w:jc w:val="both"/>
        <w:rPr>
          <w:rFonts w:eastAsia="sans-serif"/>
        </w:rPr>
      </w:pPr>
      <w:r w:rsidRPr="001C5B16">
        <w:rPr>
          <w:rFonts w:eastAsia="sans-serif"/>
        </w:rPr>
        <w:t>In line with the objectives above, this study seeks to provide answers to the following research questions:</w:t>
      </w:r>
    </w:p>
    <w:p w14:paraId="53ECB033" w14:textId="77777777" w:rsidR="00C42D88" w:rsidRPr="001C5B16" w:rsidRDefault="00123B0E">
      <w:pPr>
        <w:pStyle w:val="NormalWeb"/>
        <w:numPr>
          <w:ilvl w:val="0"/>
          <w:numId w:val="2"/>
        </w:numPr>
        <w:spacing w:beforeAutospacing="0" w:line="480" w:lineRule="auto"/>
        <w:jc w:val="both"/>
        <w:rPr>
          <w:rFonts w:eastAsia="sans-serif"/>
        </w:rPr>
      </w:pPr>
      <w:r w:rsidRPr="001C5B16">
        <w:rPr>
          <w:rFonts w:eastAsia="sans-serif"/>
        </w:rPr>
        <w:t>To what extent does Environmental Restoration Cost affect the Return on Assets (ROA) of quoted oil and gas firms in Nigeria?</w:t>
      </w:r>
    </w:p>
    <w:p w14:paraId="3A30878B" w14:textId="77777777" w:rsidR="00C42D88" w:rsidRPr="001C5B16" w:rsidRDefault="00123B0E">
      <w:pPr>
        <w:pStyle w:val="NormalWeb"/>
        <w:numPr>
          <w:ilvl w:val="0"/>
          <w:numId w:val="2"/>
        </w:numPr>
        <w:spacing w:beforeAutospacing="0" w:line="480" w:lineRule="auto"/>
        <w:jc w:val="both"/>
        <w:rPr>
          <w:rFonts w:eastAsia="sans-serif"/>
        </w:rPr>
      </w:pPr>
      <w:r w:rsidRPr="001C5B16">
        <w:rPr>
          <w:rFonts w:eastAsia="sans-serif"/>
        </w:rPr>
        <w:t>To what degree does Community Development Cost have a significant impact on the Return on Assets (ROA) of quoted oil and gas firms in Nigeria?</w:t>
      </w:r>
    </w:p>
    <w:p w14:paraId="72CCB25D" w14:textId="77777777" w:rsidR="00C42D88" w:rsidRPr="001C5B16" w:rsidRDefault="00123B0E">
      <w:pPr>
        <w:pStyle w:val="NormalWeb"/>
        <w:numPr>
          <w:ilvl w:val="0"/>
          <w:numId w:val="2"/>
        </w:numPr>
        <w:spacing w:beforeAutospacing="0" w:line="480" w:lineRule="auto"/>
        <w:jc w:val="both"/>
        <w:rPr>
          <w:rFonts w:eastAsia="sans-serif"/>
        </w:rPr>
      </w:pPr>
      <w:r w:rsidRPr="001C5B16">
        <w:rPr>
          <w:rFonts w:eastAsia="sans-serif"/>
        </w:rPr>
        <w:t>How significant is the effect of Waste Management Cost on the Return on Assets (ROA) of quoted oil and gas firms in Nigeria?</w:t>
      </w:r>
    </w:p>
    <w:p w14:paraId="31E395F1" w14:textId="77777777" w:rsidR="00C42D88" w:rsidRPr="001C5B16" w:rsidRDefault="00123B0E">
      <w:pPr>
        <w:pStyle w:val="Heading3"/>
        <w:spacing w:beforeAutospacing="0" w:line="480" w:lineRule="auto"/>
        <w:jc w:val="both"/>
        <w:rPr>
          <w:rFonts w:ascii="Times New Roman" w:eastAsia="sans-serif" w:hAnsi="Times New Roman" w:hint="default"/>
          <w:sz w:val="24"/>
          <w:szCs w:val="24"/>
        </w:rPr>
      </w:pPr>
      <w:r w:rsidRPr="001C5B16">
        <w:rPr>
          <w:rFonts w:ascii="Times New Roman" w:eastAsia="sans-serif" w:hAnsi="Times New Roman" w:hint="default"/>
          <w:sz w:val="24"/>
          <w:szCs w:val="24"/>
        </w:rPr>
        <w:t>1.5 Research Hypotheses</w:t>
      </w:r>
    </w:p>
    <w:p w14:paraId="02FC17A5" w14:textId="77777777" w:rsidR="00C42D88" w:rsidRPr="001C5B16" w:rsidRDefault="00123B0E">
      <w:pPr>
        <w:pStyle w:val="NormalWeb"/>
        <w:spacing w:beforeAutospacing="0" w:line="480" w:lineRule="auto"/>
        <w:jc w:val="both"/>
        <w:rPr>
          <w:rFonts w:eastAsia="sans-serif"/>
        </w:rPr>
      </w:pPr>
      <w:r w:rsidRPr="001C5B16">
        <w:rPr>
          <w:rFonts w:eastAsia="sans-serif"/>
        </w:rPr>
        <w:t>To provide a basis for empirical testing, the following null hypotheses (H0) are formulated:</w:t>
      </w:r>
    </w:p>
    <w:p w14:paraId="1C23C74C" w14:textId="77777777" w:rsidR="00C42D88" w:rsidRPr="001C5B16" w:rsidRDefault="00123B0E">
      <w:pPr>
        <w:pStyle w:val="NormalWeb"/>
        <w:spacing w:beforeAutospacing="0" w:line="480" w:lineRule="auto"/>
        <w:jc w:val="both"/>
        <w:rPr>
          <w:rFonts w:eastAsia="sans-serif"/>
        </w:rPr>
      </w:pPr>
      <w:r w:rsidRPr="001C5B16">
        <w:rPr>
          <w:rFonts w:eastAsia="sans-serif"/>
          <w:b/>
          <w:bCs/>
        </w:rPr>
        <w:t>H01:</w:t>
      </w:r>
      <w:r w:rsidRPr="001C5B16">
        <w:rPr>
          <w:rFonts w:eastAsia="sans-serif"/>
        </w:rPr>
        <w:t xml:space="preserve"> Environmental Restoration Cost has no significant effect on the Return on Assets (ROA) of quoted oil and gas firms in Nigeria.</w:t>
      </w:r>
    </w:p>
    <w:p w14:paraId="23A1647D" w14:textId="77777777" w:rsidR="00C42D88" w:rsidRPr="001C5B16" w:rsidRDefault="00123B0E">
      <w:pPr>
        <w:pStyle w:val="NormalWeb"/>
        <w:spacing w:beforeAutospacing="0" w:line="480" w:lineRule="auto"/>
        <w:jc w:val="both"/>
        <w:rPr>
          <w:rFonts w:eastAsia="sans-serif"/>
        </w:rPr>
      </w:pPr>
      <w:r w:rsidRPr="001C5B16">
        <w:rPr>
          <w:rFonts w:eastAsia="sans-serif"/>
          <w:b/>
          <w:bCs/>
        </w:rPr>
        <w:t>H02:</w:t>
      </w:r>
      <w:r w:rsidRPr="001C5B16">
        <w:rPr>
          <w:rFonts w:eastAsia="sans-serif"/>
        </w:rPr>
        <w:t xml:space="preserve"> Community Development Cost has no significant impact on the Return on Assets (ROA) of quoted oil and gas firms in Nigeria.</w:t>
      </w:r>
    </w:p>
    <w:p w14:paraId="0198CA88" w14:textId="77777777" w:rsidR="00C42D88" w:rsidRPr="001C5B16" w:rsidRDefault="00123B0E">
      <w:pPr>
        <w:pStyle w:val="NormalWeb"/>
        <w:spacing w:beforeAutospacing="0" w:line="480" w:lineRule="auto"/>
        <w:jc w:val="both"/>
        <w:rPr>
          <w:rFonts w:eastAsia="sans-serif"/>
        </w:rPr>
      </w:pPr>
      <w:r w:rsidRPr="001C5B16">
        <w:rPr>
          <w:rFonts w:eastAsia="sans-serif"/>
          <w:b/>
          <w:bCs/>
        </w:rPr>
        <w:t>H03:</w:t>
      </w:r>
      <w:r w:rsidRPr="001C5B16">
        <w:rPr>
          <w:rFonts w:eastAsia="sans-serif"/>
        </w:rPr>
        <w:t xml:space="preserve"> Waste Management Cost has no significant relationship with the Return on Assets (ROA) of quoted oil and gas firms in Nigeria</w:t>
      </w:r>
    </w:p>
    <w:p w14:paraId="5D9E82F2" w14:textId="77777777" w:rsidR="00C42D88" w:rsidRPr="001C5B16" w:rsidRDefault="00C42D88">
      <w:pPr>
        <w:spacing w:line="480" w:lineRule="auto"/>
        <w:jc w:val="both"/>
        <w:rPr>
          <w:rFonts w:ascii="Times New Roman" w:hAnsi="Times New Roman"/>
          <w:sz w:val="24"/>
          <w:szCs w:val="24"/>
        </w:rPr>
      </w:pPr>
    </w:p>
    <w:p w14:paraId="69980A3E" w14:textId="77777777" w:rsidR="00D5503E" w:rsidRDefault="00D5503E">
      <w:pPr>
        <w:spacing w:line="480" w:lineRule="auto"/>
        <w:jc w:val="both"/>
        <w:rPr>
          <w:rFonts w:ascii="Times New Roman" w:hAnsi="Times New Roman"/>
          <w:b/>
          <w:bCs/>
          <w:sz w:val="24"/>
          <w:szCs w:val="24"/>
        </w:rPr>
      </w:pPr>
    </w:p>
    <w:p w14:paraId="251258F4" w14:textId="5F2D580E"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lastRenderedPageBreak/>
        <w:t>1.6 Significance of the Study</w:t>
      </w:r>
    </w:p>
    <w:p w14:paraId="4BEB622E"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This study will be highly relevant for:</w:t>
      </w:r>
    </w:p>
    <w:p w14:paraId="20225AE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Corporate Managers and Directors</w:t>
      </w:r>
    </w:p>
    <w:p w14:paraId="610506E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 This study will give strategic direction to managers. Most managers consider expenditure on the environment as a "sunk cost", so, if it's found that the reports, that companies issue on environment are associated with positive stock performance, the managers will shift from compliance to creating business value through a focus on sustainability.</w:t>
      </w:r>
    </w:p>
    <w:p w14:paraId="18E5FF3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Investors and shareholders</w:t>
      </w:r>
    </w:p>
    <w:p w14:paraId="4A7BD4A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 At present times when "Ethical Investing" and ESG (Environmental, Social, and Governance) issues are a global phenomenon, investors want to ascertain if the companies they invest money in perform better financially than those that ignore environmental issues. This study will equip investors with findings that could help them identify companies which genuinely stand for sustainability versus high-risk companies.</w:t>
      </w:r>
    </w:p>
    <w:p w14:paraId="0B996941"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Policy makers and regulators (FRCN, NESREA, NGX)</w:t>
      </w:r>
    </w:p>
    <w:p w14:paraId="176795A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bodies setting the accounting standards and environment rules will find this study useful to test the current regulations. It might make it possible for them to establish some mandatory accounting regulations concerning the environment if voluntary reporting is found to be ineffective in delivering reliable information for better decision making.</w:t>
      </w:r>
    </w:p>
    <w:p w14:paraId="7BE482C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Host Communities and general public</w:t>
      </w:r>
    </w:p>
    <w:p w14:paraId="087AE49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 xml:space="preserve"> The study looks into a problem of concern to the daily lives of the people of Niger Delta region of Nigeria. By stating the financial impact of community development and environment care in this research, it argues for a business strategy in which companies should relate the well being of their host communities to their own profit-ability.</w:t>
      </w:r>
    </w:p>
    <w:p w14:paraId="6DA040E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 Academics</w:t>
      </w:r>
    </w:p>
    <w:p w14:paraId="37E6EC2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Lastly, this work would build upon the literature that already exists with an additional dataset (2010-2024). The research will fill the gaps created by past researchers and serve as a future reference for students.</w:t>
      </w:r>
    </w:p>
    <w:p w14:paraId="30FDA4E7"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1.7 Scope of the Study</w:t>
      </w:r>
    </w:p>
    <w:p w14:paraId="0DABEF83"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For the research to be manageable and data reliable, the study is therefore delimited as below:</w:t>
      </w:r>
    </w:p>
    <w:p w14:paraId="181033E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Subject delimitization: The research is exclusively on the Environmental Accounting Reporting (independent variable) and Profitability (dependent variable). Environmental Accounting Reporting is then sub-categorized into Environmental Restoration Cost, Community development cost and Waste Management cost, while Return on Asset (ROA) is taken as measure for profitability.</w:t>
      </w:r>
    </w:p>
    <w:p w14:paraId="40A4116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Geographical delimitization: The scope of study is narrowed down to Nigeria, precisely to listed companies in the Nigerian Exchange Group (NGX) and within the oil &amp; gas sector. Unlisted companies were excluded from this study due to inconsistency in public reporting and reliability of data.</w:t>
      </w:r>
    </w:p>
    <w:p w14:paraId="713CE9F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Time delimitization: A period of twelve (12) years is chosen for the research. From year 2014 to year 2025. This particular span of time was chosen because a highly standardized, continuous, and reliable environmental disclosure information would be available from these firms and it also covers major events of concern to the industry, namely; post 2014 fall in oil price, disruptions caused by the Covid-19 pandemic and the initial impact of the Petroleum Industry Act 2021 (PIA 2021) etc.</w:t>
      </w:r>
    </w:p>
    <w:p w14:paraId="48E7CBF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1.8 Operational Definition of Terms</w:t>
      </w:r>
    </w:p>
    <w:p w14:paraId="7F88C80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For clarification, important concepts within this study are defined as follows:</w:t>
      </w:r>
    </w:p>
    <w:p w14:paraId="3D6E93B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Environmental Accounting: this refers to the process of identifying, measuring and reporting the economic information of a company’s environmental activities. In this study, it would encompass the reporting of pollution control costs, remediation costs, waste management costs in annual reports.</w:t>
      </w:r>
    </w:p>
    <w:p w14:paraId="56252E3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Profitability: This will indicate the ability of the oil and gas firms to earn profits relative to the revenue derived and cost of operations. Also return relative to shareholders’ equity.</w:t>
      </w:r>
    </w:p>
    <w:p w14:paraId="6B6BCFC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Environmental Restoration Cost: This will indicate cost incurred by firm in order to redress the environmental damages caused by company’s operations; for example, the cost of cleaning oil spill.</w:t>
      </w:r>
    </w:p>
    <w:p w14:paraId="220FA5B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Community Development Cost: Expenditures made by the company for the social and economic well-being of host communities (e.g., building of schools, clinics, etc.).</w:t>
      </w:r>
    </w:p>
    <w:p w14:paraId="4D54566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Waste Management Cost: The cost associated with the collection, treatment, and disposal of waste materials produced from company’s operations.</w:t>
      </w:r>
    </w:p>
    <w:p w14:paraId="3782DAB3"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Net Profit Margin (NPM): NPM measure profit earned on the revenue after expenses has been deducted and shown as a percentage. It indicates the portion of revenue remaining after all expenses have been paid for each Naira earned.</w:t>
      </w:r>
    </w:p>
    <w:p w14:paraId="320CCA7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Community Development Cost: Expenses made by the company toward the socio-economic well-being of host communities. It can be represented in form of building of school, hospital, clinic, scholarships etc. And considered part of environmental/social accounting, in the context of Nigerian corporate accounting.</w:t>
      </w:r>
    </w:p>
    <w:p w14:paraId="2FC0DF8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Greenwashing: misleading and/or unsubstantiated claims about the environmental performance of a company or product.</w:t>
      </w:r>
    </w:p>
    <w:p w14:paraId="154AECE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Quoted firms: These are companies that are registered on the Nigeria Exchange Group (NGX), whose financial statements are published on a yearly basis.</w:t>
      </w:r>
    </w:p>
    <w:p w14:paraId="766FCEC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Return on Assets (ROA): shows profit earned on total asset. It measures how efficiently a firm uses its assets to produce earnings.</w:t>
      </w:r>
    </w:p>
    <w:p w14:paraId="3A5CBF93" w14:textId="77777777" w:rsidR="00C42D88" w:rsidRPr="001C5B16" w:rsidRDefault="00C42D88">
      <w:pPr>
        <w:spacing w:line="480" w:lineRule="auto"/>
        <w:jc w:val="both"/>
        <w:rPr>
          <w:rFonts w:ascii="Times New Roman" w:hAnsi="Times New Roman"/>
          <w:sz w:val="24"/>
          <w:szCs w:val="24"/>
        </w:rPr>
      </w:pPr>
    </w:p>
    <w:p w14:paraId="132E3A0E" w14:textId="77777777" w:rsidR="00C42D88" w:rsidRPr="001C5B16" w:rsidRDefault="00C42D88">
      <w:pPr>
        <w:spacing w:line="480" w:lineRule="auto"/>
        <w:jc w:val="both"/>
        <w:rPr>
          <w:rFonts w:ascii="Times New Roman" w:hAnsi="Times New Roman"/>
          <w:sz w:val="24"/>
          <w:szCs w:val="24"/>
        </w:rPr>
      </w:pPr>
    </w:p>
    <w:p w14:paraId="6F75E1C8" w14:textId="77777777" w:rsidR="00C42D88" w:rsidRPr="001C5B16" w:rsidRDefault="00C42D88">
      <w:pPr>
        <w:spacing w:line="480" w:lineRule="auto"/>
        <w:jc w:val="both"/>
        <w:rPr>
          <w:rFonts w:ascii="Times New Roman" w:hAnsi="Times New Roman"/>
          <w:sz w:val="24"/>
          <w:szCs w:val="24"/>
        </w:rPr>
      </w:pPr>
    </w:p>
    <w:p w14:paraId="1863A66D" w14:textId="77777777" w:rsidR="00C42D88" w:rsidRPr="001C5B16" w:rsidRDefault="00C42D88">
      <w:pPr>
        <w:spacing w:line="480" w:lineRule="auto"/>
        <w:jc w:val="both"/>
        <w:rPr>
          <w:rFonts w:ascii="Times New Roman" w:hAnsi="Times New Roman"/>
          <w:sz w:val="24"/>
          <w:szCs w:val="24"/>
        </w:rPr>
      </w:pPr>
    </w:p>
    <w:p w14:paraId="1A522DD2" w14:textId="77777777" w:rsidR="00C42D88" w:rsidRPr="001C5B16" w:rsidRDefault="00123B0E">
      <w:pPr>
        <w:spacing w:line="480" w:lineRule="auto"/>
        <w:jc w:val="center"/>
        <w:rPr>
          <w:rFonts w:ascii="Times New Roman" w:hAnsi="Times New Roman"/>
          <w:b/>
          <w:bCs/>
          <w:sz w:val="24"/>
          <w:szCs w:val="24"/>
        </w:rPr>
      </w:pPr>
      <w:r w:rsidRPr="001C5B16">
        <w:rPr>
          <w:rFonts w:ascii="Times New Roman" w:hAnsi="Times New Roman"/>
          <w:b/>
          <w:bCs/>
          <w:sz w:val="24"/>
          <w:szCs w:val="24"/>
        </w:rPr>
        <w:lastRenderedPageBreak/>
        <w:t>CHAPTER TWO</w:t>
      </w:r>
    </w:p>
    <w:p w14:paraId="5DB49672" w14:textId="5D58E040" w:rsidR="00C42D88" w:rsidRPr="001C5B16" w:rsidRDefault="00D5503E" w:rsidP="00D5503E">
      <w:pPr>
        <w:tabs>
          <w:tab w:val="left" w:pos="1788"/>
          <w:tab w:val="center" w:pos="4680"/>
        </w:tabs>
        <w:spacing w:line="480" w:lineRule="auto"/>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r w:rsidR="00123B0E" w:rsidRPr="001C5B16">
        <w:rPr>
          <w:rFonts w:ascii="Times New Roman" w:hAnsi="Times New Roman"/>
          <w:b/>
          <w:bCs/>
          <w:sz w:val="24"/>
          <w:szCs w:val="24"/>
        </w:rPr>
        <w:t>REVIEW OF RELATED LITERATURE</w:t>
      </w:r>
    </w:p>
    <w:p w14:paraId="73FC865A" w14:textId="77777777"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t>2.1 Conceptual Review</w:t>
      </w:r>
    </w:p>
    <w:p w14:paraId="39BB1CF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This research is built upon this framework concept, which determines what is being measured and how environmental costs affect the profitability of a company.</w:t>
      </w:r>
    </w:p>
    <w:p w14:paraId="5A52E35B" w14:textId="77777777"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t>2.1.1 The Evolution of Environmental Accounting</w:t>
      </w:r>
    </w:p>
    <w:p w14:paraId="38E8F9A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It can be explained as a way to remedy the problem of traditional financial accounting. Conventional accounting is good at tracing cash, stocks and revenues, but notoriously poor at tracing externalities-those unintended effects of a business (United Nations, 2001). If an oil firm pollutes a </w:t>
      </w:r>
      <w:proofErr w:type="gramStart"/>
      <w:r w:rsidRPr="001C5B16">
        <w:rPr>
          <w:rFonts w:ascii="Times New Roman" w:hAnsi="Times New Roman"/>
          <w:sz w:val="24"/>
          <w:szCs w:val="24"/>
        </w:rPr>
        <w:t>river</w:t>
      </w:r>
      <w:proofErr w:type="gramEnd"/>
      <w:r w:rsidRPr="001C5B16">
        <w:rPr>
          <w:rFonts w:ascii="Times New Roman" w:hAnsi="Times New Roman"/>
          <w:sz w:val="24"/>
          <w:szCs w:val="24"/>
        </w:rPr>
        <w:t xml:space="preserve"> it would not know about the cost, unless it is actually fined. Environmental accounting puts the impacts, measured in financial terms, directly on the books (Gray et al., 1993).</w:t>
      </w:r>
    </w:p>
    <w:p w14:paraId="5CBEE64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In the Nigerian case the urgency of the type of accounting described is the specific nature of the Niger Delta environment. Rather than just being an add-on PR statement as it would be in many Western economies, in Nigeria it is vital for survival (Ite, 2004). The environment produces the crude oil; a damaged environment results in protests, the closing of operations and therefore a lost business opportunity (Amnesty International, 2018). </w:t>
      </w:r>
      <w:proofErr w:type="gramStart"/>
      <w:r w:rsidRPr="001C5B16">
        <w:rPr>
          <w:rFonts w:ascii="Times New Roman" w:hAnsi="Times New Roman"/>
          <w:sz w:val="24"/>
          <w:szCs w:val="24"/>
        </w:rPr>
        <w:t>Therefore</w:t>
      </w:r>
      <w:proofErr w:type="gramEnd"/>
      <w:r w:rsidRPr="001C5B16">
        <w:rPr>
          <w:rFonts w:ascii="Times New Roman" w:hAnsi="Times New Roman"/>
          <w:sz w:val="24"/>
          <w:szCs w:val="24"/>
        </w:rPr>
        <w:t xml:space="preserve"> it is not so much about saving the planet, as saving the business by recognizing and accounting for the resources it costs to maintain a cordial relationship with the local environment.</w:t>
      </w:r>
    </w:p>
    <w:p w14:paraId="2294B40B" w14:textId="77777777" w:rsidR="00C42D88" w:rsidRPr="001C5B16" w:rsidRDefault="00C42D88">
      <w:pPr>
        <w:spacing w:line="480" w:lineRule="auto"/>
        <w:jc w:val="both"/>
        <w:rPr>
          <w:rFonts w:ascii="Times New Roman" w:hAnsi="Times New Roman"/>
          <w:sz w:val="24"/>
          <w:szCs w:val="24"/>
        </w:rPr>
      </w:pPr>
    </w:p>
    <w:p w14:paraId="3DCBCEB5" w14:textId="77777777"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t>2.1.2 The Independent Variables: Components of Environmental Cost</w:t>
      </w:r>
    </w:p>
    <w:p w14:paraId="4EC5BEE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For clarity, this study departs from the broad term Environmental Cost and utilizes three specific, identifiable operational costs that appear on the balance sheets of oil and gas companies.</w:t>
      </w:r>
    </w:p>
    <w:p w14:paraId="1338C8BC" w14:textId="77777777" w:rsidR="00C42D88" w:rsidRPr="001C5B16" w:rsidRDefault="00123B0E" w:rsidP="00F62187">
      <w:pPr>
        <w:spacing w:after="0" w:line="360" w:lineRule="auto"/>
        <w:jc w:val="both"/>
        <w:rPr>
          <w:rFonts w:ascii="Times New Roman" w:hAnsi="Times New Roman"/>
          <w:sz w:val="24"/>
          <w:szCs w:val="24"/>
        </w:rPr>
      </w:pPr>
      <w:r w:rsidRPr="001C5B16">
        <w:rPr>
          <w:rFonts w:ascii="Times New Roman" w:hAnsi="Times New Roman"/>
          <w:sz w:val="24"/>
          <w:szCs w:val="24"/>
        </w:rPr>
        <w:t>A) Environmental Restoration Cost.</w:t>
      </w:r>
    </w:p>
    <w:p w14:paraId="0479859B" w14:textId="77777777" w:rsidR="00C42D88" w:rsidRPr="001C5B16" w:rsidRDefault="00123B0E" w:rsidP="00F62187">
      <w:pPr>
        <w:spacing w:after="0" w:line="360" w:lineRule="auto"/>
        <w:jc w:val="both"/>
        <w:rPr>
          <w:rFonts w:ascii="Times New Roman" w:hAnsi="Times New Roman"/>
          <w:sz w:val="24"/>
          <w:szCs w:val="24"/>
        </w:rPr>
      </w:pPr>
      <w:r w:rsidRPr="001C5B16">
        <w:rPr>
          <w:rFonts w:ascii="Times New Roman" w:hAnsi="Times New Roman"/>
          <w:sz w:val="24"/>
          <w:szCs w:val="24"/>
        </w:rPr>
        <w:t>Environmental Restoration cost represents expenditures required to restore any damage to the environment resulting from industrial activities (Okonkwo, 2021). In Nigeria's oil and gas industry this largely is equated to oil spill remediation. Extraction of crude oil is a messy business, and oil spills often result, whether from equipment malfunction or third-party involvement (sabotage) (Bassey et al., 2013). When spill occurs land and water are contaminated with hydrocarbons and thus, fish die and farmland becomes sterile. Under laws operated by the National Oil Spill Detection and Response Agency (NOSDRA) it is the operator's responsibility to cleanup, containing the oil spill and then recovering the oil and remediating the soil to a state it can be restored to agricultural production (Federal Republic of Nigeria, 2007). This is, from a cost perspective a "punitive" cost- spending money to fix an error, but the thinking now is that proper restoration is a "strategic investment"; if a company is known for fixing its messes quickly and efficiently (high Restoration Cost), then the host community and government is likely to have more trust, reducing the risk of future litigation and operational disruption, increasing profitability (Okafor &amp; Amahalu, 2023).</w:t>
      </w:r>
    </w:p>
    <w:p w14:paraId="45072C5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B) Community Development Cost. This variable measures the social aspect of this study. Community Development cost represents expenditures for the socio-economic welfare of oil and gas operating communities (Ofurum et al., 2018). This includes investment in infrastructural development (roads, water, electricity), healthcare (clinics, drugs), education (scholarships, construction of school buildings) and economic empowerment programs. In Nigeria this might arguably be the most important variable. The history of oil exploration in the Niger Delta is laced with conflict from neglect; the host community feels it shoulders the burden of oil production (pollution) but does not share in the wealth it generates (cash) (Ite, 2004). This frustration fueled militancy and youth restiveness which crippled operations of oil companies in mid-2000's </w:t>
      </w:r>
      <w:r w:rsidRPr="001C5B16">
        <w:rPr>
          <w:rFonts w:ascii="Times New Roman" w:hAnsi="Times New Roman"/>
          <w:sz w:val="24"/>
          <w:szCs w:val="24"/>
        </w:rPr>
        <w:lastRenderedPageBreak/>
        <w:t>(Amnesty International, 2018). Oil companies have since realized that it makes business sense to view Community Development as a "security cost"; investing in communities secures a "Social License to Operate". A community that directly benefits from oil company's presence will likely not sabotage pipelines and kidnap employees. This cost has since been codified under the Host Communities Development Trust (HCDT) following the Petroleum Industry Act (PIA) of 2021 (Federal Republic of Nigeria, 2021).</w:t>
      </w:r>
    </w:p>
    <w:p w14:paraId="3F3D568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C) Waste Management Cost. The last operational cost being utilized is the Waste Management cost. The process of oil drilling results in a significant amount of hazardous and non-hazardous waste. These include drilling muds, cuttings, sludge and produced water (Okonkwo, 2021). If disposed indiscriminately, it leads to acute environmental health hazards. Companies therefore, are forced to commit funds for the treatment of these wastes which involve various technological processes, e.g., the Thermal Desorption Units (TDU) used in the treatment of drilling muds and the re-injection of produced water. This cost is driven primarily by regulations; agencies like the National Environmental Standards and Regulations Enforcement Agency (NESREA) and Nigerian Upstream Petroleum Regulatory Commission (NUPRC) impose strict guidelines on waste management practices (Federal Republic of Nigeria, 2007). Violating these requirements attracts substantial fines and sanctions. This therefore serves as a compliance cost; this cost may be huge but it is still less than the penalty that a violation attracts and loss of operating license (Iliemena, 2020).</w:t>
      </w:r>
    </w:p>
    <w:p w14:paraId="29ADCE76" w14:textId="77777777" w:rsidR="00F62187" w:rsidRDefault="00F62187">
      <w:pPr>
        <w:spacing w:line="480" w:lineRule="auto"/>
        <w:jc w:val="both"/>
        <w:rPr>
          <w:rFonts w:ascii="Times New Roman" w:hAnsi="Times New Roman"/>
          <w:b/>
          <w:bCs/>
          <w:sz w:val="24"/>
          <w:szCs w:val="24"/>
        </w:rPr>
      </w:pPr>
    </w:p>
    <w:p w14:paraId="34D792A8" w14:textId="77777777" w:rsidR="00F62187" w:rsidRDefault="00F62187">
      <w:pPr>
        <w:spacing w:line="480" w:lineRule="auto"/>
        <w:jc w:val="both"/>
        <w:rPr>
          <w:rFonts w:ascii="Times New Roman" w:hAnsi="Times New Roman"/>
          <w:b/>
          <w:bCs/>
          <w:sz w:val="24"/>
          <w:szCs w:val="24"/>
        </w:rPr>
      </w:pPr>
    </w:p>
    <w:p w14:paraId="58B46BA5" w14:textId="0BD63C64"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lastRenderedPageBreak/>
        <w:t>2.1.3 The Dependent Variable: Profitability (Return on Assets)</w:t>
      </w:r>
    </w:p>
    <w:p w14:paraId="1C927B0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This paper uses Return on Assets (ROA) to gauge the profitability of the firms. Though, there are multiple metrics to measure profitablity, such as; net profit margin, earnings per share, or return on equity; but ROA fits best with the context of this research (Emeka-Nwokeji, 2019).</w:t>
      </w:r>
    </w:p>
    <w:p w14:paraId="3A86661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Return on Assets (ROA) measures Net Income to Total Assets. This shows how efficient the management of the company is in using its assets to generate profits; i.e., pipelines, machinery, and rigs (Adediran &amp; Alade, 2013).</w:t>
      </w:r>
    </w:p>
    <w:p w14:paraId="5107D3E1" w14:textId="77777777" w:rsidR="00C42D88" w:rsidRPr="001C5B16" w:rsidRDefault="00123B0E">
      <w:pPr>
        <w:spacing w:line="240" w:lineRule="auto"/>
        <w:jc w:val="both"/>
        <w:rPr>
          <w:rFonts w:ascii="Times New Roman" w:hAnsi="Times New Roman"/>
          <w:sz w:val="24"/>
          <w:szCs w:val="24"/>
        </w:rPr>
      </w:pPr>
      <w:r w:rsidRPr="001C5B16">
        <w:rPr>
          <w:rFonts w:ascii="Times New Roman" w:hAnsi="Times New Roman"/>
          <w:sz w:val="24"/>
          <w:szCs w:val="24"/>
        </w:rPr>
        <w:t xml:space="preserve"> </w:t>
      </w:r>
      <w:r w:rsidRPr="001C5B16">
        <w:rPr>
          <w:rFonts w:ascii="Times New Roman" w:hAnsi="Times New Roman"/>
          <w:position w:val="-24"/>
          <w:sz w:val="24"/>
          <w:szCs w:val="24"/>
        </w:rPr>
        <w:object w:dxaOrig="1920" w:dyaOrig="615" w14:anchorId="136EB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3pt;height:30.85pt" o:ole="">
            <v:imagedata r:id="rId9" o:title=""/>
          </v:shape>
          <o:OLEObject Type="Embed" ProgID="Equation.3" ShapeID="_x0000_i1025" DrawAspect="Content" ObjectID="_1846054655" r:id="rId10"/>
        </w:object>
      </w:r>
    </w:p>
    <w:p w14:paraId="34582FD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The rationale for the use of ROA: The oil and gas industry is highly asset intensive. A significant investment of millions of dollars into oil and gas infrastructure takes place (Abidoye et al., 2023). If environmental problems (e.g. Protests by community, unattended spills) impact upon the assets functioning and are likely to cause them to shutdown for instance a vandalized oil pipeline which will halt operations, then the ROA of the firm will fall. Conversely, if environmental spending (e.g. Community Development) </w:t>
      </w:r>
      <w:proofErr w:type="gramStart"/>
      <w:r w:rsidRPr="001C5B16">
        <w:rPr>
          <w:rFonts w:ascii="Times New Roman" w:hAnsi="Times New Roman"/>
          <w:sz w:val="24"/>
          <w:szCs w:val="24"/>
        </w:rPr>
        <w:t>ensure</w:t>
      </w:r>
      <w:proofErr w:type="gramEnd"/>
      <w:r w:rsidRPr="001C5B16">
        <w:rPr>
          <w:rFonts w:ascii="Times New Roman" w:hAnsi="Times New Roman"/>
          <w:sz w:val="24"/>
          <w:szCs w:val="24"/>
        </w:rPr>
        <w:t xml:space="preserve"> the continued uninterrupted 24/7 operation of the assets, the ROA of the firm will rise. As such, it is the best measure to encompass the efficiency benefits that could arise from effective environmental management (Okoye &amp; Nzewi, 2019).</w:t>
      </w:r>
    </w:p>
    <w:p w14:paraId="362F0692" w14:textId="359FEEFD"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t>2.2 Theoretical Framework</w:t>
      </w:r>
    </w:p>
    <w:p w14:paraId="58354EC4" w14:textId="4095BD4F"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No study is made in a vacuum, but grounded on established theories. The relationship between the environmental reporting and profitability will be explained by two predominant theories in the context of this research, namely Stakeholder Theory and Legitimacy Theory</w:t>
      </w:r>
    </w:p>
    <w:p w14:paraId="101B9D5B" w14:textId="77777777"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lastRenderedPageBreak/>
        <w:t>2.2.1 Stakeholder Theory</w:t>
      </w:r>
    </w:p>
    <w:p w14:paraId="0E7071F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Stakeholder Theory, attributed primarily to R. Edward Freeman (1984), brought about a shift in managing corporations. Previous to Stakeholder Theory, the assumption was that the owners of a corporation had the only say in how a corporation should be run and to whom it was accountable. According to Stakeholder Theory, the corporation lies at the center of a series of relationships with numerous groups that have a "stake" in the corporation. Such groups include, employees, customers, suppliers, the government, and the community.</w:t>
      </w:r>
    </w:p>
    <w:p w14:paraId="0AD0FCA1"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This is extremely pertinent to the Nigerian oil industry. Host communities have considerable clout as a stakeholder group. Despite not owning shares in a firm, they have the ability to cripple the firm's activities. If a company does not recognize this stakeholder group's needs and decides to discontinue Community Development Costs for instance, </w:t>
      </w:r>
      <w:proofErr w:type="gramStart"/>
      <w:r w:rsidRPr="001C5B16">
        <w:rPr>
          <w:rFonts w:ascii="Times New Roman" w:hAnsi="Times New Roman"/>
          <w:sz w:val="24"/>
          <w:szCs w:val="24"/>
        </w:rPr>
        <w:t>this stakeholders</w:t>
      </w:r>
      <w:proofErr w:type="gramEnd"/>
      <w:r w:rsidRPr="001C5B16">
        <w:rPr>
          <w:rFonts w:ascii="Times New Roman" w:hAnsi="Times New Roman"/>
          <w:sz w:val="24"/>
          <w:szCs w:val="24"/>
        </w:rPr>
        <w:t xml:space="preserve"> will seek their due through protest or sabotages, the result of which, will inevitably damage the firm.</w:t>
      </w:r>
    </w:p>
    <w:p w14:paraId="0E78758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Thus, Stakeholder Theory seems to view expenditure on social and environmental performance as a rational management decision. Indeed, it presents a positive relationship between environmental costs and profitability as stakeholder satisfaction will enable continued business operations.</w:t>
      </w:r>
    </w:p>
    <w:p w14:paraId="3E423328" w14:textId="4B8C49F4" w:rsidR="00C42D88" w:rsidRPr="001C5B16" w:rsidRDefault="007A3144">
      <w:pPr>
        <w:spacing w:line="480" w:lineRule="auto"/>
        <w:jc w:val="both"/>
        <w:rPr>
          <w:rFonts w:ascii="Times New Roman" w:hAnsi="Times New Roman"/>
          <w:sz w:val="24"/>
          <w:szCs w:val="24"/>
        </w:rPr>
      </w:pPr>
      <w:r w:rsidRPr="001C5B16">
        <w:rPr>
          <w:rFonts w:ascii="Times New Roman" w:hAnsi="Times New Roman"/>
          <w:b/>
          <w:bCs/>
          <w:sz w:val="24"/>
          <w:szCs w:val="24"/>
        </w:rPr>
        <w:t>2.2.2 Legitimacy Theory</w:t>
      </w:r>
    </w:p>
    <w:p w14:paraId="0CB1615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Legitimacy theory deals with this subject from a slightly different viewpoint. Based on political economy, developed further by scholars such as Suchman (1995) and Deegan (2002), it is grounded in the concept of a 'Social Contract'.</w:t>
      </w:r>
    </w:p>
    <w:p w14:paraId="0BEF4DD3"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This theory argues that there is no inherent "right to operate" to companies; they are only operating because society permits them to. This "license to operate" depends on the company conducting </w:t>
      </w:r>
      <w:r w:rsidRPr="001C5B16">
        <w:rPr>
          <w:rFonts w:ascii="Times New Roman" w:hAnsi="Times New Roman"/>
          <w:sz w:val="24"/>
          <w:szCs w:val="24"/>
        </w:rPr>
        <w:lastRenderedPageBreak/>
        <w:t>itself in a socially responsible manner. If a company is viewed as being outside the social contract, (i.e. They pollute a river but will not tidy it up), then their legitimacy is lost. Upon losing Legitimacy, society will punish the company in the form of consumer boycotts, lack of high-quality personnel, or oppressive government legislation which costs the company in terms of lost profit.</w:t>
      </w:r>
    </w:p>
    <w:p w14:paraId="7689529E"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hAnsi="Times New Roman"/>
          <w:sz w:val="24"/>
          <w:szCs w:val="24"/>
        </w:rPr>
        <w:t xml:space="preserve">Legitimacy Theory therefore attempts to explain why companies disclose their environmental costs. By showing the public exactly what they spend on Restoration and Waste Management the oil firms are stating, "We are responsible people; we are meeting our side of the social contract". The theory holds that firms with higher environmental risk will spend and disclose more to preserve their </w:t>
      </w:r>
      <w:proofErr w:type="gramStart"/>
      <w:r w:rsidRPr="001C5B16">
        <w:rPr>
          <w:rFonts w:ascii="Times New Roman" w:hAnsi="Times New Roman"/>
          <w:sz w:val="24"/>
          <w:szCs w:val="24"/>
        </w:rPr>
        <w:t>long term</w:t>
      </w:r>
      <w:proofErr w:type="gramEnd"/>
      <w:r w:rsidRPr="001C5B16">
        <w:rPr>
          <w:rFonts w:ascii="Times New Roman" w:hAnsi="Times New Roman"/>
          <w:sz w:val="24"/>
          <w:szCs w:val="24"/>
        </w:rPr>
        <w:t xml:space="preserve"> legitimacy.</w:t>
      </w:r>
    </w:p>
    <w:p w14:paraId="0D3375BB"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b/>
          <w:bCs/>
          <w:color w:val="1F1F1F"/>
        </w:rPr>
        <w:t>2.3 Empirical Review</w:t>
      </w:r>
    </w:p>
    <w:p w14:paraId="0A384401"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color w:val="1F1F1F"/>
        </w:rPr>
        <w:t xml:space="preserve">In order to provide a solid foundation for this study a systematic review of thirty (30) relevant studies </w:t>
      </w:r>
      <w:proofErr w:type="gramStart"/>
      <w:r w:rsidRPr="001C5B16">
        <w:rPr>
          <w:rFonts w:eastAsia="sans-serif"/>
          <w:color w:val="1F1F1F"/>
        </w:rPr>
        <w:t>were</w:t>
      </w:r>
      <w:proofErr w:type="gramEnd"/>
      <w:r w:rsidRPr="001C5B16">
        <w:rPr>
          <w:rFonts w:eastAsia="sans-serif"/>
          <w:color w:val="1F1F1F"/>
        </w:rPr>
        <w:t xml:space="preserve"> assessed. The studies were sorted according to the conclusions of their findings: Positive, Negative/Mixed and International evidence.</w:t>
      </w:r>
    </w:p>
    <w:p w14:paraId="0C9BA120" w14:textId="77777777" w:rsidR="00D5503E" w:rsidRDefault="00D5503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b/>
          <w:bCs/>
          <w:color w:val="1F1F1F"/>
        </w:rPr>
      </w:pPr>
    </w:p>
    <w:p w14:paraId="0B40F61E" w14:textId="77777777" w:rsidR="00F62187" w:rsidRDefault="00F62187">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b/>
          <w:bCs/>
          <w:color w:val="1F1F1F"/>
        </w:rPr>
      </w:pPr>
    </w:p>
    <w:p w14:paraId="523A91FF" w14:textId="77777777" w:rsidR="00F62187" w:rsidRDefault="00F62187">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b/>
          <w:bCs/>
          <w:color w:val="1F1F1F"/>
        </w:rPr>
      </w:pPr>
    </w:p>
    <w:p w14:paraId="0E007864" w14:textId="77777777" w:rsidR="00F62187" w:rsidRDefault="00F62187">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b/>
          <w:bCs/>
          <w:color w:val="1F1F1F"/>
        </w:rPr>
      </w:pPr>
    </w:p>
    <w:p w14:paraId="2B958F44" w14:textId="2BFFC39F"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b/>
          <w:bCs/>
          <w:color w:val="1F1F1F"/>
        </w:rPr>
        <w:t>2.3.1 Evidence from Nigeria Supporting a Positive Relationship</w:t>
      </w:r>
    </w:p>
    <w:p w14:paraId="23A5E052"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lastRenderedPageBreak/>
        <w:t>Another school of thought within the Nigerian academic community believes that environmental accounting is value adding. This group is convinced that the benefits of 'green' compliance outweigh the cost associated with them. The researchers are of the opinion that while costs will be incurred, Sabotage and better corporate image will bring far greater advantages to such firms.</w:t>
      </w:r>
    </w:p>
    <w:p w14:paraId="2D9B819B"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An empirical investigation was carried out by Okoye and Nzewi (2019) to assess the impact of environmental accounting on the financial performance of oil and gas companies in Nigeria over ten years, from 2008-2017. Their results based on analysis of secondary data drawn from annual reports and through panel data regression analysis found that costs incurred on environment related issues (especially community development) had a positive and statistically significant impact on profitability, confirming the assumption that firms who invest on host communities reap 'peace dividend', which allows for a seamless operation.</w:t>
      </w:r>
    </w:p>
    <w:p w14:paraId="41C7ECA7"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The study conducted by Ezeagba et al. (2017) on relationship between environmental disclosure and financial performance of selected food and beverage companies in Nigeria revealed a positive and significant relationship between environmental disclosure and return on equity. Utilizing a five-year data set and the Pearson Correlation analysis technique, they established that equity capital flowed to eco-friendly firms because such firms are perceived to possess less risk.</w:t>
      </w:r>
    </w:p>
    <w:p w14:paraId="2DCE983D"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The effect of sustainability accounting on the financial performance of listed manufacturing firms in Nigeria was researched into by Nnamani et al. (2017). Their finding revealed a positive significant relationship between sustainability reporting and return on assets, utilizing an ex-post facto research design. They recommended standardisation of reporting in Nigerian firms so as to achieve maximum benefit from improved corporate image.</w:t>
      </w:r>
    </w:p>
    <w:p w14:paraId="69B32045"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proofErr w:type="gramStart"/>
      <w:r w:rsidRPr="001C5B16">
        <w:rPr>
          <w:rFonts w:eastAsia="sans-serif"/>
          <w:color w:val="1F1F1F"/>
        </w:rPr>
        <w:lastRenderedPageBreak/>
        <w:t>A research</w:t>
      </w:r>
      <w:proofErr w:type="gramEnd"/>
      <w:r w:rsidRPr="001C5B16">
        <w:rPr>
          <w:rFonts w:eastAsia="sans-serif"/>
          <w:color w:val="1F1F1F"/>
        </w:rPr>
        <w:t xml:space="preserve"> on the influence of corporate social responsibility (CSR) on the financial performance of listed firms in Nigeria was conducted by Uadiale and Mgbame (2012). Their study which made use of pooled OLS regression analysis confirmed a positive relationship between CSR expenditure and profitability. They conclude that the concept of CSR enables firms to manage and overcome the complexities associated with Nigerian business environment and helps them fend off interference.</w:t>
      </w:r>
    </w:p>
    <w:p w14:paraId="17E9D52E"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It was also shown that companies which did not disclose information regarding their environmental reporting performance did not get the benefit that those that reported their environmental activities derived in terms of better market value and investor confidence. In his study to examine the relationship between corporate environmental reporting and corporate performance of listed manufacturing companies Utile et al. (2017) employed multiple regression analysis and found that while the companies that reported its environmental performance had better values.</w:t>
      </w:r>
    </w:p>
    <w:p w14:paraId="00A3FE96"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Okafor and Amahalu (2023) analyzed the extent of environmental accounting application and its relevance to regulatory compliance for the Nigerian oil and gas sector. In their survey method supplemented by documentary analysis, they established that the presence of a stronger environmental accounting system means the firms pay far less fines to regulatory bodies like NESREA thus indirectly increasing net profit by minimizing the fund lost in payment of litigation fees.</w:t>
      </w:r>
    </w:p>
    <w:p w14:paraId="2E6A6ECD"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 xml:space="preserve">Iliemena (2020) in his own work focused on the financial implications of not observing environmental accounting practices and came to the conclusion that there is a positive relationship </w:t>
      </w:r>
      <w:r w:rsidRPr="001C5B16">
        <w:rPr>
          <w:rFonts w:eastAsia="sans-serif"/>
          <w:color w:val="1F1F1F"/>
        </w:rPr>
        <w:lastRenderedPageBreak/>
        <w:t>between non-observance and higher operating costs resulting from payments of fine. He summarized that environmental accounting has the function of protecting shareholders' wealth.</w:t>
      </w:r>
    </w:p>
    <w:p w14:paraId="44296BB1"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The adoption and use of environmental reporting in Nigeria was discussed by Agbo et al. (2017). They observe that while its adoption has been slow, there has been a progressive increase in the turn-over of companies that early adopted it due to improved relations in host communities that has also influenced logistical and supply chain management positively.</w:t>
      </w:r>
    </w:p>
    <w:p w14:paraId="041533A4"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color w:val="1F1F1F"/>
        </w:rPr>
        <w:t>Finally, the effect of expenditure incurred on pollution prevention and detection on corporate profitability in the Nigerian manufacturing sector was investigated by Okonkwo (2021) who found that the amount spent on prevention was far less than that spent on remediation. He concludes that environmental accounting provides profit benefits in the long run due to its prevention strategy. A positive significant relationship exists between environmental cost disclosure and profit after tax (PAT) according to Emeka-Nwokeji (2019) in a study on the profitability of manufacturing firms in Nigeria, the author explains that such disclosure serves as a competitive strategy.</w:t>
      </w:r>
    </w:p>
    <w:p w14:paraId="3C6ADD91"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b/>
          <w:bCs/>
          <w:color w:val="1F1F1F"/>
        </w:rPr>
        <w:t>2.3.2 Evidence from Nigeria Supporting a Negative or Mixed Relationship</w:t>
      </w:r>
    </w:p>
    <w:p w14:paraId="6AC2C5FC"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Conversely, a plethora of literature argues that the high cost of environmental compliance in Nigeria has a negative bearing, thus, it drains firm's resources which could otherwise have been used for expansion.</w:t>
      </w:r>
    </w:p>
    <w:p w14:paraId="4D324B3C"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 xml:space="preserve">Recent study on the impact of disclosure on environmental accounting on financial performance of listed oil and gas firms in Nigeria for the period 2011-2020 by Abidoye et al. (2023) concluded that there is a negative but statistically insignificant relationship between the two measures of </w:t>
      </w:r>
      <w:r w:rsidRPr="001C5B16">
        <w:rPr>
          <w:rFonts w:eastAsia="sans-serif"/>
          <w:color w:val="1F1F1F"/>
        </w:rPr>
        <w:lastRenderedPageBreak/>
        <w:t>financial performance. It attributed this result to the fact that environmental disclosures in Nigerian context are just "paperwork" and they do not instantly enhance operational efficiency or profits.</w:t>
      </w:r>
    </w:p>
    <w:p w14:paraId="1D7D0BD9"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Adediran and Alade (2013) investigated the relationship between environmental accounting on corporate performance of 14 quoted companies in Nigeria. They carried out regression analyses and concluded that environmental costs had a significantly negative relationship with return on capital employed. According to them, 'huge amount of cash was expended on importing green technology and installing waste treatment facilities in Nigeria, which decreased returns on investment'.</w:t>
      </w:r>
    </w:p>
    <w:p w14:paraId="613C4F82"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 xml:space="preserve">Bassey et al. (2013) concentrated their study on the Niger Delta and discovered a negative relationship between oil spill remediation costs and </w:t>
      </w:r>
      <w:proofErr w:type="gramStart"/>
      <w:r w:rsidRPr="001C5B16">
        <w:rPr>
          <w:rFonts w:eastAsia="sans-serif"/>
          <w:color w:val="1F1F1F"/>
        </w:rPr>
        <w:t>short term</w:t>
      </w:r>
      <w:proofErr w:type="gramEnd"/>
      <w:r w:rsidRPr="001C5B16">
        <w:rPr>
          <w:rFonts w:eastAsia="sans-serif"/>
          <w:color w:val="1F1F1F"/>
        </w:rPr>
        <w:t xml:space="preserve"> profit. Oil spill remediation costs could consume up to a large proportion of firm's profit during the accounting period in which the oil spill occurred, thereby supporting the 'Trade-off theory' of the relationship.</w:t>
      </w:r>
    </w:p>
    <w:p w14:paraId="61C31999"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In the work by Ojo (2017) on green accounting and financial viability of the Nigerian firms up to 2015, he reported a weak positive association between waste costs and ROA. His critical observation was that firms engage in 'greenwashing', expending meagre amounts in greening activities so that they are seen to be committed to environmentally friendly operations, resulting in no tangible financial benefits.</w:t>
      </w:r>
    </w:p>
    <w:p w14:paraId="14B9E797"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Ahmad et al. (2017) conducted study on the influence of quantitative environmental disclosures on earnings per share, and concluded that despite being positive, environmental disclosures had an insignificant impact on EPS. It suggested that shareholders in Nigeria may not yet fully recognize environmental information in assessing the value of their firm.</w:t>
      </w:r>
    </w:p>
    <w:p w14:paraId="3AF639A3"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lastRenderedPageBreak/>
        <w:t>Abdullahi and Abubakar (2020) tested the hypothesis on firms listed on industrial goods sub-sector and found no significant relationship between environmental accounting and financial performance. According to them, 'dirty' firms compete with 'clean' firms on cost advantage and because 'dirty' firms are able to 'cut cost' of avoiding the burden of disposing of waste in a clean manner due to regulatory laxity in Nigeria they can often make high profits.</w:t>
      </w:r>
    </w:p>
    <w:p w14:paraId="130DFB62"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Ezekwere and Ikilidi (2024) focused on the burden of adoption on smaller firm sizes and found that small oil firms that have limited access to international oil majors and the attendant vast pool of resources that can absorb cost had their short-term liquidity harmed as they were forced to finance the high implementation cost of environmental accounting systems.</w:t>
      </w:r>
    </w:p>
    <w:p w14:paraId="1A7197ED"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proofErr w:type="gramStart"/>
      <w:r w:rsidRPr="001C5B16">
        <w:rPr>
          <w:rFonts w:eastAsia="sans-serif"/>
          <w:color w:val="1F1F1F"/>
        </w:rPr>
        <w:t>Similarly</w:t>
      </w:r>
      <w:proofErr w:type="gramEnd"/>
      <w:r w:rsidRPr="001C5B16">
        <w:rPr>
          <w:rFonts w:eastAsia="sans-serif"/>
          <w:color w:val="1F1F1F"/>
        </w:rPr>
        <w:t xml:space="preserve"> Chude et al. (2023) found that although the impact of environmental accounting is theoretically positive, the lack of technical know-how in Nigeria translates environmental accounting to a costly administrative task. Hiring consultants and auditing environmental reports were found to out-weigh the financial benefits.</w:t>
      </w:r>
    </w:p>
    <w:p w14:paraId="12DE10DA"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In a comparative analysis that included Nigerian firms, Makori and Jagongo (2013) discovered that environmental costs reduced the Net Profit in the short-run. According to them, significant initial capital outlay on environmental equipment is usually high and has a payoff period spanning over several years, thus lowering profits in the short term.</w:t>
      </w:r>
    </w:p>
    <w:p w14:paraId="6C39460C" w14:textId="25324B0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proofErr w:type="spellStart"/>
      <w:r w:rsidRPr="001C5B16">
        <w:rPr>
          <w:rFonts w:eastAsia="sans-serif"/>
          <w:color w:val="1F1F1F"/>
        </w:rPr>
        <w:t>Ofurum</w:t>
      </w:r>
      <w:proofErr w:type="spellEnd"/>
      <w:r w:rsidRPr="001C5B16">
        <w:rPr>
          <w:rFonts w:eastAsia="sans-serif"/>
          <w:color w:val="1F1F1F"/>
        </w:rPr>
        <w:t xml:space="preserve"> et al. (2018) tested the relationship between cost of corporate social responsibility and financial performance and found a negative relationship between cost of community development and returns on assets. They posited that community development often becomes excessive and predatory, consuming the firm's value as an 'unwritten tax'.</w:t>
      </w:r>
    </w:p>
    <w:p w14:paraId="6C4125CE"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b/>
          <w:bCs/>
          <w:color w:val="1F1F1F"/>
        </w:rPr>
        <w:lastRenderedPageBreak/>
        <w:t>2.3.3 Evidence from International Studies (Global Context)</w:t>
      </w:r>
    </w:p>
    <w:p w14:paraId="1A543BF6"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In order to place the Nigerian situation in a global perspective, the studies of other emerging and developed economies were reviewed. These studies are particularly illustrative as they often reflect the outcome of transactions occurring in markets with more stringent regulations.</w:t>
      </w:r>
    </w:p>
    <w:p w14:paraId="2C8D040A" w14:textId="77777777" w:rsidR="00C42D88" w:rsidRPr="001C5B16" w:rsidRDefault="003E2DD6">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Al-Tuwaijri et al. (2004)</w:t>
      </w:r>
      <w:r w:rsidR="00123B0E" w:rsidRPr="001C5B16">
        <w:rPr>
          <w:rFonts w:eastAsia="sans-serif"/>
          <w:color w:val="1F1F1F"/>
        </w:rPr>
        <w:t xml:space="preserve"> found that 'good' environmental performance is associated with 'good' economic performance using a simultanous equation method and refuting the trade-off theory that management capable of reducing waste should be able to efficiently run the business as a whole.</w:t>
      </w:r>
    </w:p>
    <w:p w14:paraId="38E0CBE6" w14:textId="77777777" w:rsidR="00C42D88" w:rsidRPr="001C5B16" w:rsidRDefault="003E2DD6">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Magara et al. (2015)</w:t>
      </w:r>
      <w:r w:rsidR="00123B0E" w:rsidRPr="001C5B16">
        <w:rPr>
          <w:rFonts w:eastAsia="sans-serif"/>
          <w:color w:val="1F1F1F"/>
        </w:rPr>
        <w:t xml:space="preserve"> conducted a study on the impact of environmental accounting on the financial performance of the Nairobi Securities Exchange listed companies and they concluded that there is a positive association between environmental accounting and financial performance and </w:t>
      </w:r>
      <w:proofErr w:type="gramStart"/>
      <w:r w:rsidR="00123B0E" w:rsidRPr="001C5B16">
        <w:rPr>
          <w:rFonts w:eastAsia="sans-serif"/>
          <w:color w:val="1F1F1F"/>
        </w:rPr>
        <w:t>Green</w:t>
      </w:r>
      <w:proofErr w:type="gramEnd"/>
      <w:r w:rsidR="00123B0E" w:rsidRPr="001C5B16">
        <w:rPr>
          <w:rFonts w:eastAsia="sans-serif"/>
          <w:color w:val="1F1F1F"/>
        </w:rPr>
        <w:t xml:space="preserve"> firms attracted more Foreign Direct Investment (FDI) as international investors prefer environmentally less risky firms.</w:t>
      </w:r>
    </w:p>
    <w:p w14:paraId="5C07C579" w14:textId="77777777" w:rsidR="00C7797C"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Norhasimah et</w:t>
      </w:r>
      <w:r w:rsidR="003E2DD6" w:rsidRPr="001C5B16">
        <w:rPr>
          <w:rFonts w:eastAsia="sans-serif"/>
          <w:color w:val="1F1F1F"/>
        </w:rPr>
        <w:t xml:space="preserve"> al. (2016)</w:t>
      </w:r>
      <w:r w:rsidRPr="001C5B16">
        <w:rPr>
          <w:rFonts w:eastAsia="sans-serif"/>
          <w:color w:val="1F1F1F"/>
        </w:rPr>
        <w:t xml:space="preserve"> examined the impact of environmental sensitive industries such as chemical and oil and their findings were that although it resulted in an increase in share price, the market performance was high, there was no significant association with the accounting </w:t>
      </w:r>
    </w:p>
    <w:p w14:paraId="0AD141E9" w14:textId="5F30C1BE" w:rsidR="00C7797C" w:rsidRDefault="00C7797C">
      <w:pPr>
        <w:spacing w:after="0" w:line="240" w:lineRule="auto"/>
        <w:rPr>
          <w:rFonts w:ascii="Times New Roman" w:eastAsia="sans-serif" w:hAnsi="Times New Roman"/>
          <w:color w:val="1F1F1F"/>
          <w:sz w:val="24"/>
          <w:szCs w:val="24"/>
        </w:rPr>
      </w:pPr>
      <w:r>
        <w:rPr>
          <w:rFonts w:eastAsia="sans-serif"/>
          <w:color w:val="1F1F1F"/>
        </w:rPr>
        <w:br w:type="page"/>
      </w:r>
    </w:p>
    <w:p w14:paraId="22FB0F59" w14:textId="312F9E1B"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lastRenderedPageBreak/>
        <w:t>performance. ROA was unaffected as they identified the fact that it takes time to experience gains after spending money on environmental operations.</w:t>
      </w:r>
    </w:p>
    <w:p w14:paraId="1488862D"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Parmigiani et al. (2011) (Global) focused on the impact of environmental operations on performance and concluded that the regulatory environment was instrumental in driving financial performance, i.e. If the market regulations are tight, environmental accounting should be profitable, if not, it's pure costs.</w:t>
      </w:r>
    </w:p>
    <w:p w14:paraId="549032B4" w14:textId="77777777" w:rsidR="00C42D88" w:rsidRPr="001C5B16" w:rsidRDefault="00123B0E" w:rsidP="00F7519D">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De Villiers and Van Staden (2011) found that shareholders are starting to punish firms for their environmental records. Their findings indicate a decrease in share price and capital available after negative environmental news hence the importance of accounting for the environment.</w:t>
      </w:r>
    </w:p>
    <w:p w14:paraId="3AF612BC" w14:textId="1B903BD0" w:rsidR="00C42D88" w:rsidRPr="001C5B16" w:rsidRDefault="00123B0E" w:rsidP="00F7519D">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Hasan and Huda (2018) found a positive correlation between green reporting and corporate profitability within the banking sector</w:t>
      </w:r>
      <w:r w:rsidR="00C7797C">
        <w:rPr>
          <w:rFonts w:eastAsia="sans-serif"/>
          <w:color w:val="1F1F1F"/>
        </w:rPr>
        <w:t xml:space="preserve"> in Bangladesh</w:t>
      </w:r>
      <w:r w:rsidRPr="001C5B16">
        <w:rPr>
          <w:rFonts w:eastAsia="sans-serif"/>
          <w:color w:val="1F1F1F"/>
        </w:rPr>
        <w:t>. Although a less environmentally sensitive industry than oil production firms, they noted that green reporting improves customer confidence and brand loyalty and the resultant demand for their services contributes to revenue generation.</w:t>
      </w:r>
    </w:p>
    <w:p w14:paraId="0D398CFE" w14:textId="7E922E7C" w:rsidR="00C42D88" w:rsidRPr="001C5B16" w:rsidRDefault="00123B0E" w:rsidP="00F7519D">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 xml:space="preserve">Cortez and Cudia (2010) studied Japanese </w:t>
      </w:r>
      <w:proofErr w:type="spellStart"/>
      <w:r w:rsidRPr="001C5B16">
        <w:rPr>
          <w:rFonts w:eastAsia="sans-serif"/>
          <w:color w:val="1F1F1F"/>
        </w:rPr>
        <w:t>electronic</w:t>
      </w:r>
      <w:proofErr w:type="spellEnd"/>
      <w:r w:rsidRPr="001C5B16">
        <w:rPr>
          <w:rFonts w:eastAsia="sans-serif"/>
          <w:color w:val="1F1F1F"/>
        </w:rPr>
        <w:t xml:space="preserve"> firms and found that although the initial costs incurred were significant</w:t>
      </w:r>
      <w:r w:rsidR="00C7797C">
        <w:rPr>
          <w:rFonts w:eastAsia="sans-serif"/>
          <w:color w:val="1F1F1F"/>
        </w:rPr>
        <w:t xml:space="preserve"> in Japan</w:t>
      </w:r>
      <w:r w:rsidRPr="001C5B16">
        <w:rPr>
          <w:rFonts w:eastAsia="sans-serif"/>
          <w:color w:val="1F1F1F"/>
        </w:rPr>
        <w:t>, subsequent innovation led to considerable cost savings far outweighing the costs in the long term thus corroborating the Porter Hypothesis.</w:t>
      </w:r>
    </w:p>
    <w:p w14:paraId="73E2A5D1" w14:textId="79D1A5CA" w:rsidR="00C42D88" w:rsidRPr="001C5B16" w:rsidRDefault="00123B0E" w:rsidP="00F7519D">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t>Momanyi (2018) specifically looked at the manufacturing sector and concluded that waste management costs had a negative correlation with profitability in the short term but a positive correlation with profitability in the long run thus reiterating that environmental accounting requires time.</w:t>
      </w:r>
    </w:p>
    <w:p w14:paraId="59002FF2" w14:textId="77777777" w:rsidR="00C42D88" w:rsidRPr="001C5B16" w:rsidRDefault="00123B0E" w:rsidP="00F7519D">
      <w:pPr>
        <w:pStyle w:val="NormalWeb"/>
        <w:pBdr>
          <w:top w:val="none" w:sz="0" w:space="0" w:color="1F1F1F"/>
          <w:left w:val="none" w:sz="0" w:space="0" w:color="1F1F1F"/>
          <w:bottom w:val="none" w:sz="0" w:space="0" w:color="1F1F1F"/>
          <w:right w:val="none" w:sz="0" w:space="0" w:color="1F1F1F"/>
        </w:pBdr>
        <w:spacing w:after="240" w:line="480" w:lineRule="auto"/>
        <w:jc w:val="both"/>
        <w:rPr>
          <w:rFonts w:eastAsia="sans-serif"/>
          <w:color w:val="1F1F1F"/>
        </w:rPr>
      </w:pPr>
      <w:r w:rsidRPr="001C5B16">
        <w:rPr>
          <w:rFonts w:eastAsia="sans-serif"/>
          <w:color w:val="1F1F1F"/>
        </w:rPr>
        <w:lastRenderedPageBreak/>
        <w:t>Guidry and Patten (2010) found that market reaction to environmental news was positive in the case of high-quality announcements, and negative in the case of low-quality greenwashing announcements. They indicated that the market could differentiate between real environmental performance and mere "greenwash".</w:t>
      </w:r>
    </w:p>
    <w:p w14:paraId="773C3BD7" w14:textId="77777777" w:rsidR="00C42D88" w:rsidRPr="001C5B16" w:rsidRDefault="00123B0E" w:rsidP="00F7519D">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color w:val="1F1F1F"/>
        </w:rPr>
        <w:t>Liu and Anbumozhi (2009) concluded that good environmental reporting leads to good economic performance in Chinese listed companies and interestingly concluded that this effect is driven mainly by governmental incentives and tax reliefs for environmental protection activities and not just environmental performance.</w:t>
      </w:r>
    </w:p>
    <w:p w14:paraId="3B705302" w14:textId="2C0588F4" w:rsidR="00D5503E" w:rsidRDefault="00D5503E">
      <w:pPr>
        <w:spacing w:after="0" w:line="240" w:lineRule="auto"/>
        <w:rPr>
          <w:rFonts w:ascii="Times New Roman" w:hAnsi="Times New Roman"/>
          <w:b/>
          <w:bCs/>
          <w:sz w:val="24"/>
          <w:szCs w:val="24"/>
        </w:rPr>
      </w:pPr>
      <w:r>
        <w:rPr>
          <w:rFonts w:ascii="Times New Roman" w:hAnsi="Times New Roman"/>
          <w:b/>
          <w:bCs/>
          <w:sz w:val="24"/>
          <w:szCs w:val="24"/>
        </w:rPr>
        <w:br w:type="page"/>
      </w:r>
    </w:p>
    <w:p w14:paraId="5CD09AA5" w14:textId="6170ABCC" w:rsidR="00C42D88" w:rsidRPr="001C5B16" w:rsidRDefault="00123B0E">
      <w:pPr>
        <w:spacing w:line="480" w:lineRule="auto"/>
        <w:jc w:val="both"/>
        <w:rPr>
          <w:rFonts w:ascii="Times New Roman" w:hAnsi="Times New Roman"/>
          <w:b/>
          <w:bCs/>
          <w:sz w:val="24"/>
          <w:szCs w:val="24"/>
        </w:rPr>
      </w:pPr>
      <w:r w:rsidRPr="001C5B16">
        <w:rPr>
          <w:rFonts w:ascii="Times New Roman" w:hAnsi="Times New Roman"/>
          <w:b/>
          <w:bCs/>
          <w:sz w:val="24"/>
          <w:szCs w:val="24"/>
        </w:rPr>
        <w:lastRenderedPageBreak/>
        <w:t>Table 2.1: Summary of Empirical Review</w:t>
      </w:r>
    </w:p>
    <w:tbl>
      <w:tblPr>
        <w:tblStyle w:val="TableGrid"/>
        <w:tblW w:w="9681" w:type="dxa"/>
        <w:tblBorders>
          <w:top w:val="single" w:sz="6" w:space="0" w:color="2E74B5"/>
          <w:left w:val="single" w:sz="6" w:space="0" w:color="2E74B5"/>
          <w:bottom w:val="single" w:sz="6" w:space="0" w:color="2E74B5"/>
          <w:right w:val="single" w:sz="6" w:space="0" w:color="2E74B5"/>
          <w:insideH w:val="single" w:sz="4" w:space="0" w:color="2E74B5"/>
          <w:insideV w:val="single" w:sz="4" w:space="0" w:color="2E74B5"/>
        </w:tblBorders>
        <w:tblLayout w:type="fixed"/>
        <w:tblLook w:val="04A0" w:firstRow="1" w:lastRow="0" w:firstColumn="1" w:lastColumn="0" w:noHBand="0" w:noVBand="1"/>
      </w:tblPr>
      <w:tblGrid>
        <w:gridCol w:w="646"/>
        <w:gridCol w:w="1573"/>
        <w:gridCol w:w="1458"/>
        <w:gridCol w:w="1585"/>
        <w:gridCol w:w="1434"/>
        <w:gridCol w:w="1527"/>
        <w:gridCol w:w="1458"/>
      </w:tblGrid>
      <w:tr w:rsidR="00C42D88" w:rsidRPr="000851BE" w14:paraId="04F7B52A" w14:textId="77777777">
        <w:trPr>
          <w:cantSplit/>
          <w:tblHeader/>
        </w:trPr>
        <w:tc>
          <w:tcPr>
            <w:tcW w:w="646" w:type="dxa"/>
            <w:shd w:val="clear" w:color="auto" w:fill="2E74B5"/>
          </w:tcPr>
          <w:p w14:paraId="49C9896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S/N</w:t>
            </w:r>
          </w:p>
        </w:tc>
        <w:tc>
          <w:tcPr>
            <w:tcW w:w="1573" w:type="dxa"/>
            <w:shd w:val="clear" w:color="auto" w:fill="2E74B5"/>
          </w:tcPr>
          <w:p w14:paraId="53A8151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Author(s) &amp; Year</w:t>
            </w:r>
          </w:p>
        </w:tc>
        <w:tc>
          <w:tcPr>
            <w:tcW w:w="1458" w:type="dxa"/>
            <w:shd w:val="clear" w:color="auto" w:fill="2E74B5"/>
          </w:tcPr>
          <w:p w14:paraId="723F19A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Title of Study</w:t>
            </w:r>
          </w:p>
        </w:tc>
        <w:tc>
          <w:tcPr>
            <w:tcW w:w="1585" w:type="dxa"/>
            <w:shd w:val="clear" w:color="auto" w:fill="2E74B5"/>
          </w:tcPr>
          <w:p w14:paraId="79C8223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Purpose of the Study</w:t>
            </w:r>
          </w:p>
        </w:tc>
        <w:tc>
          <w:tcPr>
            <w:tcW w:w="1434" w:type="dxa"/>
            <w:shd w:val="clear" w:color="auto" w:fill="2E74B5"/>
          </w:tcPr>
          <w:p w14:paraId="0DD660B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Methodology / Sample / Scope</w:t>
            </w:r>
          </w:p>
        </w:tc>
        <w:tc>
          <w:tcPr>
            <w:tcW w:w="1527" w:type="dxa"/>
            <w:shd w:val="clear" w:color="auto" w:fill="2E74B5"/>
          </w:tcPr>
          <w:p w14:paraId="74483AB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Findings</w:t>
            </w:r>
          </w:p>
        </w:tc>
        <w:tc>
          <w:tcPr>
            <w:tcW w:w="1458" w:type="dxa"/>
            <w:shd w:val="clear" w:color="auto" w:fill="2E74B5"/>
          </w:tcPr>
          <w:p w14:paraId="12028011"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b/>
                <w:bCs/>
                <w:sz w:val="20"/>
                <w:szCs w:val="20"/>
              </w:rPr>
              <w:t>Gap from Existing Literature</w:t>
            </w:r>
          </w:p>
        </w:tc>
      </w:tr>
      <w:tr w:rsidR="00C42D88" w:rsidRPr="000851BE" w14:paraId="222298B4" w14:textId="77777777">
        <w:trPr>
          <w:cantSplit/>
        </w:trPr>
        <w:tc>
          <w:tcPr>
            <w:tcW w:w="646" w:type="dxa"/>
          </w:tcPr>
          <w:p w14:paraId="2DEDCD7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w:t>
            </w:r>
          </w:p>
        </w:tc>
        <w:tc>
          <w:tcPr>
            <w:tcW w:w="1573" w:type="dxa"/>
          </w:tcPr>
          <w:p w14:paraId="16EF694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Al-Tuwaijri et al. (2004) USA</w:t>
            </w:r>
          </w:p>
        </w:tc>
        <w:tc>
          <w:tcPr>
            <w:tcW w:w="1458" w:type="dxa"/>
          </w:tcPr>
          <w:p w14:paraId="79A79579"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A study relating financial reporting and economic performance as a function of environmental information.</w:t>
            </w:r>
          </w:p>
        </w:tc>
        <w:tc>
          <w:tcPr>
            <w:tcW w:w="1585" w:type="dxa"/>
          </w:tcPr>
          <w:p w14:paraId="2D1E2F61"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association between environmental and economic performance</w:t>
            </w:r>
          </w:p>
        </w:tc>
        <w:tc>
          <w:tcPr>
            <w:tcW w:w="1434" w:type="dxa"/>
          </w:tcPr>
          <w:p w14:paraId="7A0C6FC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Simultaneous equations; US firms</w:t>
            </w:r>
          </w:p>
        </w:tc>
        <w:tc>
          <w:tcPr>
            <w:tcW w:w="1527" w:type="dxa"/>
          </w:tcPr>
          <w:p w14:paraId="4A2939CD"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Good economy – good for the environment</w:t>
            </w:r>
          </w:p>
        </w:tc>
        <w:tc>
          <w:tcPr>
            <w:tcW w:w="1458" w:type="dxa"/>
          </w:tcPr>
          <w:p w14:paraId="2A9B47E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USA context; different regulatory framework</w:t>
            </w:r>
          </w:p>
        </w:tc>
      </w:tr>
      <w:tr w:rsidR="00C42D88" w:rsidRPr="000851BE" w14:paraId="29960A8B" w14:textId="77777777">
        <w:trPr>
          <w:cantSplit/>
        </w:trPr>
        <w:tc>
          <w:tcPr>
            <w:tcW w:w="646" w:type="dxa"/>
            <w:shd w:val="clear" w:color="auto" w:fill="D9E2F3"/>
          </w:tcPr>
          <w:p w14:paraId="2448E9D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w:t>
            </w:r>
          </w:p>
        </w:tc>
        <w:tc>
          <w:tcPr>
            <w:tcW w:w="1573" w:type="dxa"/>
            <w:shd w:val="clear" w:color="auto" w:fill="D9E2F3"/>
          </w:tcPr>
          <w:p w14:paraId="1C3EA1C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Liu &amp; Anbumozhi (2009) China</w:t>
            </w:r>
          </w:p>
        </w:tc>
        <w:tc>
          <w:tcPr>
            <w:tcW w:w="1458" w:type="dxa"/>
            <w:shd w:val="clear" w:color="auto" w:fill="D9E2F3"/>
          </w:tcPr>
          <w:p w14:paraId="29D171F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Determinants of corporate environmental information disclosure: Chinese listed companies</w:t>
            </w:r>
          </w:p>
        </w:tc>
        <w:tc>
          <w:tcPr>
            <w:tcW w:w="1585" w:type="dxa"/>
            <w:shd w:val="clear" w:color="auto" w:fill="D9E2F3"/>
          </w:tcPr>
          <w:p w14:paraId="630DD151"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what drives environmental reporting in Chinese listed companies</w:t>
            </w:r>
          </w:p>
        </w:tc>
        <w:tc>
          <w:tcPr>
            <w:tcW w:w="1434" w:type="dxa"/>
            <w:shd w:val="clear" w:color="auto" w:fill="D9E2F3"/>
          </w:tcPr>
          <w:p w14:paraId="2424004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Chinese listed companies</w:t>
            </w:r>
          </w:p>
        </w:tc>
        <w:tc>
          <w:tcPr>
            <w:tcW w:w="1527" w:type="dxa"/>
            <w:shd w:val="clear" w:color="auto" w:fill="D9E2F3"/>
          </w:tcPr>
          <w:p w14:paraId="142C1E5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Good environmental reporting leads to good economic performance; driven by government incentives</w:t>
            </w:r>
          </w:p>
        </w:tc>
        <w:tc>
          <w:tcPr>
            <w:tcW w:w="1458" w:type="dxa"/>
            <w:shd w:val="clear" w:color="auto" w:fill="D9E2F3"/>
          </w:tcPr>
          <w:p w14:paraId="7B954C1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China context; government-incentive driven</w:t>
            </w:r>
          </w:p>
        </w:tc>
      </w:tr>
      <w:tr w:rsidR="00C42D88" w:rsidRPr="000851BE" w14:paraId="73ABDE84" w14:textId="77777777">
        <w:trPr>
          <w:cantSplit/>
        </w:trPr>
        <w:tc>
          <w:tcPr>
            <w:tcW w:w="646" w:type="dxa"/>
          </w:tcPr>
          <w:p w14:paraId="7C1F42D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3</w:t>
            </w:r>
          </w:p>
        </w:tc>
        <w:tc>
          <w:tcPr>
            <w:tcW w:w="1573" w:type="dxa"/>
          </w:tcPr>
          <w:p w14:paraId="56545C31"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Cortez &amp; Cudia (2010) Japan</w:t>
            </w:r>
          </w:p>
        </w:tc>
        <w:tc>
          <w:tcPr>
            <w:tcW w:w="1458" w:type="dxa"/>
          </w:tcPr>
          <w:p w14:paraId="7D61AA3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Sustainability and financial performance of Japanese electronics firms</w:t>
            </w:r>
          </w:p>
        </w:tc>
        <w:tc>
          <w:tcPr>
            <w:tcW w:w="1585" w:type="dxa"/>
          </w:tcPr>
          <w:p w14:paraId="26CC588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whether initial environmental costs lead to long-term savings</w:t>
            </w:r>
          </w:p>
        </w:tc>
        <w:tc>
          <w:tcPr>
            <w:tcW w:w="1434" w:type="dxa"/>
          </w:tcPr>
          <w:p w14:paraId="086CE46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Longitudinal; Japanese electronics firms</w:t>
            </w:r>
          </w:p>
        </w:tc>
        <w:tc>
          <w:tcPr>
            <w:tcW w:w="1527" w:type="dxa"/>
          </w:tcPr>
          <w:p w14:paraId="5483D19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Initial costs significant but innovation led to long-term savings (Porter Hypothesis)</w:t>
            </w:r>
          </w:p>
        </w:tc>
        <w:tc>
          <w:tcPr>
            <w:tcW w:w="1458" w:type="dxa"/>
          </w:tcPr>
          <w:p w14:paraId="600D275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Japanese electronics; different industry &amp; country</w:t>
            </w:r>
          </w:p>
        </w:tc>
      </w:tr>
      <w:tr w:rsidR="00C42D88" w:rsidRPr="000851BE" w14:paraId="173E8EFF" w14:textId="77777777">
        <w:trPr>
          <w:cantSplit/>
        </w:trPr>
        <w:tc>
          <w:tcPr>
            <w:tcW w:w="646" w:type="dxa"/>
            <w:shd w:val="clear" w:color="auto" w:fill="D9E2F3"/>
          </w:tcPr>
          <w:p w14:paraId="238475F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4</w:t>
            </w:r>
          </w:p>
        </w:tc>
        <w:tc>
          <w:tcPr>
            <w:tcW w:w="1573" w:type="dxa"/>
            <w:shd w:val="clear" w:color="auto" w:fill="D9E2F3"/>
          </w:tcPr>
          <w:p w14:paraId="2BADB8D4"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Guidry &amp; Patten (2010) USA</w:t>
            </w:r>
          </w:p>
        </w:tc>
        <w:tc>
          <w:tcPr>
            <w:tcW w:w="1458" w:type="dxa"/>
            <w:shd w:val="clear" w:color="auto" w:fill="D9E2F3"/>
          </w:tcPr>
          <w:p w14:paraId="429876C8"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Market response to the first reporting by firms of their commitment to sustainability goals</w:t>
            </w:r>
          </w:p>
        </w:tc>
        <w:tc>
          <w:tcPr>
            <w:tcW w:w="1585" w:type="dxa"/>
            <w:shd w:val="clear" w:color="auto" w:fill="D9E2F3"/>
          </w:tcPr>
          <w:p w14:paraId="6E11A15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assess market reaction quality of environmental announcements</w:t>
            </w:r>
          </w:p>
        </w:tc>
        <w:tc>
          <w:tcPr>
            <w:tcW w:w="1434" w:type="dxa"/>
            <w:shd w:val="clear" w:color="auto" w:fill="D9E2F3"/>
          </w:tcPr>
          <w:p w14:paraId="356823E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Event study; US firms</w:t>
            </w:r>
          </w:p>
        </w:tc>
        <w:tc>
          <w:tcPr>
            <w:tcW w:w="1527" w:type="dxa"/>
            <w:shd w:val="clear" w:color="auto" w:fill="D9E2F3"/>
          </w:tcPr>
          <w:p w14:paraId="773755A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Positive market reaction to high-quality reports; negative for greenwashing</w:t>
            </w:r>
          </w:p>
        </w:tc>
        <w:tc>
          <w:tcPr>
            <w:tcW w:w="1458" w:type="dxa"/>
            <w:shd w:val="clear" w:color="auto" w:fill="D9E2F3"/>
          </w:tcPr>
          <w:p w14:paraId="20DE9D2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USA context; market-based metric; not operational</w:t>
            </w:r>
          </w:p>
        </w:tc>
      </w:tr>
      <w:tr w:rsidR="00C42D88" w:rsidRPr="000851BE" w14:paraId="07A3C20D" w14:textId="77777777">
        <w:trPr>
          <w:cantSplit/>
        </w:trPr>
        <w:tc>
          <w:tcPr>
            <w:tcW w:w="646" w:type="dxa"/>
          </w:tcPr>
          <w:p w14:paraId="5600933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5</w:t>
            </w:r>
          </w:p>
        </w:tc>
        <w:tc>
          <w:tcPr>
            <w:tcW w:w="1573" w:type="dxa"/>
          </w:tcPr>
          <w:p w14:paraId="6F1CA93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Parmigiani et al. (2011) Global</w:t>
            </w:r>
          </w:p>
        </w:tc>
        <w:tc>
          <w:tcPr>
            <w:tcW w:w="1458" w:type="dxa"/>
          </w:tcPr>
          <w:p w14:paraId="399506C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Impact of environmental operations on performance (Global)</w:t>
            </w:r>
          </w:p>
        </w:tc>
        <w:tc>
          <w:tcPr>
            <w:tcW w:w="1585" w:type="dxa"/>
          </w:tcPr>
          <w:p w14:paraId="253147E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assess how regulatory environment drives environmental accounting profitability</w:t>
            </w:r>
          </w:p>
        </w:tc>
        <w:tc>
          <w:tcPr>
            <w:tcW w:w="1434" w:type="dxa"/>
          </w:tcPr>
          <w:p w14:paraId="6E9F187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Global firms; multi-country analysis</w:t>
            </w:r>
          </w:p>
        </w:tc>
        <w:tc>
          <w:tcPr>
            <w:tcW w:w="1527" w:type="dxa"/>
          </w:tcPr>
          <w:p w14:paraId="687A80F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Tight regulations make environmental accounting profitable; lax regulations make it pure cost</w:t>
            </w:r>
          </w:p>
        </w:tc>
        <w:tc>
          <w:tcPr>
            <w:tcW w:w="1458" w:type="dxa"/>
          </w:tcPr>
          <w:p w14:paraId="3EB3828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Global; not Nigeria-specific</w:t>
            </w:r>
          </w:p>
        </w:tc>
      </w:tr>
      <w:tr w:rsidR="00C42D88" w:rsidRPr="000851BE" w14:paraId="169FBFD3" w14:textId="77777777">
        <w:trPr>
          <w:cantSplit/>
        </w:trPr>
        <w:tc>
          <w:tcPr>
            <w:tcW w:w="646" w:type="dxa"/>
            <w:shd w:val="clear" w:color="auto" w:fill="D9E2F3"/>
          </w:tcPr>
          <w:p w14:paraId="30581F0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6</w:t>
            </w:r>
          </w:p>
        </w:tc>
        <w:tc>
          <w:tcPr>
            <w:tcW w:w="1573" w:type="dxa"/>
            <w:shd w:val="clear" w:color="auto" w:fill="D9E2F3"/>
          </w:tcPr>
          <w:p w14:paraId="3FAA184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De Villiers &amp; Van Staden (2011) South Africa / USA</w:t>
            </w:r>
          </w:p>
        </w:tc>
        <w:tc>
          <w:tcPr>
            <w:tcW w:w="1458" w:type="dxa"/>
            <w:shd w:val="clear" w:color="auto" w:fill="D9E2F3"/>
          </w:tcPr>
          <w:p w14:paraId="7B71DDA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Environmental disclosure choices of firms (South Africa/USA)</w:t>
            </w:r>
          </w:p>
        </w:tc>
        <w:tc>
          <w:tcPr>
            <w:tcW w:w="1585" w:type="dxa"/>
            <w:shd w:val="clear" w:color="auto" w:fill="D9E2F3"/>
          </w:tcPr>
          <w:p w14:paraId="5A51B15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shareholder reaction to environmental records</w:t>
            </w:r>
          </w:p>
        </w:tc>
        <w:tc>
          <w:tcPr>
            <w:tcW w:w="1434" w:type="dxa"/>
            <w:shd w:val="clear" w:color="auto" w:fill="D9E2F3"/>
          </w:tcPr>
          <w:p w14:paraId="0B0DA76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Archival; South African and US firms</w:t>
            </w:r>
          </w:p>
        </w:tc>
        <w:tc>
          <w:tcPr>
            <w:tcW w:w="1527" w:type="dxa"/>
            <w:shd w:val="clear" w:color="auto" w:fill="D9E2F3"/>
          </w:tcPr>
          <w:p w14:paraId="25DD09B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Shareholders punish firms for poor environmental records</w:t>
            </w:r>
          </w:p>
        </w:tc>
        <w:tc>
          <w:tcPr>
            <w:tcW w:w="1458" w:type="dxa"/>
            <w:shd w:val="clear" w:color="auto" w:fill="D9E2F3"/>
          </w:tcPr>
          <w:p w14:paraId="2BCA9AC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Non-Nigerian context; developed markets</w:t>
            </w:r>
          </w:p>
        </w:tc>
      </w:tr>
      <w:tr w:rsidR="00C42D88" w:rsidRPr="000851BE" w14:paraId="57E7FF8A" w14:textId="77777777">
        <w:trPr>
          <w:cantSplit/>
        </w:trPr>
        <w:tc>
          <w:tcPr>
            <w:tcW w:w="646" w:type="dxa"/>
          </w:tcPr>
          <w:p w14:paraId="098EAFB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lastRenderedPageBreak/>
              <w:t>7</w:t>
            </w:r>
          </w:p>
        </w:tc>
        <w:tc>
          <w:tcPr>
            <w:tcW w:w="1573" w:type="dxa"/>
          </w:tcPr>
          <w:p w14:paraId="41F88DF9" w14:textId="77777777" w:rsidR="00C42D88" w:rsidRPr="000851BE" w:rsidRDefault="00123B0E" w:rsidP="00D5503E">
            <w:pPr>
              <w:spacing w:after="0" w:line="240" w:lineRule="auto"/>
              <w:rPr>
                <w:rFonts w:ascii="Times New Roman" w:hAnsi="Times New Roman"/>
                <w:sz w:val="20"/>
                <w:szCs w:val="20"/>
              </w:rPr>
            </w:pPr>
            <w:proofErr w:type="spellStart"/>
            <w:r w:rsidRPr="000851BE">
              <w:rPr>
                <w:rFonts w:ascii="Times New Roman" w:hAnsi="Times New Roman"/>
                <w:sz w:val="20"/>
                <w:szCs w:val="20"/>
              </w:rPr>
              <w:t>Uadiale</w:t>
            </w:r>
            <w:proofErr w:type="spellEnd"/>
            <w:r w:rsidRPr="000851BE">
              <w:rPr>
                <w:rFonts w:ascii="Times New Roman" w:hAnsi="Times New Roman"/>
                <w:sz w:val="20"/>
                <w:szCs w:val="20"/>
              </w:rPr>
              <w:t xml:space="preserve"> &amp; </w:t>
            </w:r>
            <w:proofErr w:type="spellStart"/>
            <w:r w:rsidRPr="000851BE">
              <w:rPr>
                <w:rFonts w:ascii="Times New Roman" w:hAnsi="Times New Roman"/>
                <w:sz w:val="20"/>
                <w:szCs w:val="20"/>
              </w:rPr>
              <w:t>Mgbame</w:t>
            </w:r>
            <w:proofErr w:type="spellEnd"/>
            <w:r w:rsidRPr="000851BE">
              <w:rPr>
                <w:rFonts w:ascii="Times New Roman" w:hAnsi="Times New Roman"/>
                <w:sz w:val="20"/>
                <w:szCs w:val="20"/>
              </w:rPr>
              <w:t xml:space="preserve"> (2012) Nigeria</w:t>
            </w:r>
          </w:p>
        </w:tc>
        <w:tc>
          <w:tcPr>
            <w:tcW w:w="1458" w:type="dxa"/>
          </w:tcPr>
          <w:p w14:paraId="776B58A7"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Influence of CSR on the financial performance of the firms: A Nigerian Evidence</w:t>
            </w:r>
          </w:p>
        </w:tc>
        <w:tc>
          <w:tcPr>
            <w:tcW w:w="1585" w:type="dxa"/>
          </w:tcPr>
          <w:p w14:paraId="6C34FEA5"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To evaluate if there exists a connection between cost of CSR activities and the profit.</w:t>
            </w:r>
          </w:p>
        </w:tc>
        <w:tc>
          <w:tcPr>
            <w:tcW w:w="1434" w:type="dxa"/>
          </w:tcPr>
          <w:p w14:paraId="4819E31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Pooled OLS regression; Nigerian listed firms</w:t>
            </w:r>
          </w:p>
        </w:tc>
        <w:tc>
          <w:tcPr>
            <w:tcW w:w="1527" w:type="dxa"/>
          </w:tcPr>
          <w:p w14:paraId="24290F5E"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CSR expenditure and profitability positive relationship</w:t>
            </w:r>
          </w:p>
        </w:tc>
        <w:tc>
          <w:tcPr>
            <w:tcW w:w="1458" w:type="dxa"/>
          </w:tcPr>
          <w:p w14:paraId="563F5D3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Mixed-sector sample; pre-PIA period</w:t>
            </w:r>
          </w:p>
        </w:tc>
      </w:tr>
      <w:tr w:rsidR="00C42D88" w:rsidRPr="000851BE" w14:paraId="491AB7FE" w14:textId="77777777">
        <w:trPr>
          <w:cantSplit/>
        </w:trPr>
        <w:tc>
          <w:tcPr>
            <w:tcW w:w="646" w:type="dxa"/>
            <w:shd w:val="clear" w:color="auto" w:fill="D9E2F3"/>
          </w:tcPr>
          <w:p w14:paraId="7A4334E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8</w:t>
            </w:r>
          </w:p>
        </w:tc>
        <w:tc>
          <w:tcPr>
            <w:tcW w:w="1573" w:type="dxa"/>
            <w:shd w:val="clear" w:color="auto" w:fill="D9E2F3"/>
          </w:tcPr>
          <w:p w14:paraId="7F52B2E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Adediran &amp; Alade (2013) Nigeria</w:t>
            </w:r>
          </w:p>
        </w:tc>
        <w:tc>
          <w:tcPr>
            <w:tcW w:w="1458" w:type="dxa"/>
            <w:shd w:val="clear" w:color="auto" w:fill="D9E2F3"/>
          </w:tcPr>
          <w:p w14:paraId="22A722EA"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The influence of Environmental Accounting on the performance of Quoted Companies in Nigeria</w:t>
            </w:r>
          </w:p>
        </w:tc>
        <w:tc>
          <w:tcPr>
            <w:tcW w:w="1585" w:type="dxa"/>
            <w:shd w:val="clear" w:color="auto" w:fill="D9E2F3"/>
          </w:tcPr>
          <w:p w14:paraId="00F32562" w14:textId="77777777" w:rsidR="00C42D88" w:rsidRPr="000851BE" w:rsidRDefault="006D50C2" w:rsidP="00D5503E">
            <w:pPr>
              <w:spacing w:after="0" w:line="240" w:lineRule="auto"/>
              <w:rPr>
                <w:rFonts w:ascii="Times New Roman" w:hAnsi="Times New Roman"/>
                <w:sz w:val="20"/>
                <w:szCs w:val="20"/>
              </w:rPr>
            </w:pPr>
            <w:r w:rsidRPr="000851BE">
              <w:rPr>
                <w:rFonts w:ascii="Times New Roman" w:hAnsi="Times New Roman"/>
                <w:sz w:val="20"/>
                <w:szCs w:val="20"/>
              </w:rPr>
              <w:t>To determine the impact of environmental expenditure on the return on employed capital</w:t>
            </w:r>
          </w:p>
        </w:tc>
        <w:tc>
          <w:tcPr>
            <w:tcW w:w="1434" w:type="dxa"/>
            <w:shd w:val="clear" w:color="auto" w:fill="D9E2F3"/>
          </w:tcPr>
          <w:p w14:paraId="0AEDC0D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14 quoted companies; Nigeria</w:t>
            </w:r>
          </w:p>
        </w:tc>
        <w:tc>
          <w:tcPr>
            <w:tcW w:w="1527" w:type="dxa"/>
            <w:shd w:val="clear" w:color="auto" w:fill="D9E2F3"/>
          </w:tcPr>
          <w:p w14:paraId="5E0B162D" w14:textId="77777777" w:rsidR="00C42D88" w:rsidRPr="000851BE" w:rsidRDefault="00925DAB" w:rsidP="00D5503E">
            <w:pPr>
              <w:spacing w:after="0" w:line="240" w:lineRule="auto"/>
              <w:rPr>
                <w:rFonts w:ascii="Times New Roman" w:hAnsi="Times New Roman"/>
                <w:sz w:val="20"/>
                <w:szCs w:val="20"/>
              </w:rPr>
            </w:pPr>
            <w:r w:rsidRPr="000851BE">
              <w:rPr>
                <w:rFonts w:ascii="Times New Roman" w:hAnsi="Times New Roman"/>
                <w:sz w:val="20"/>
                <w:szCs w:val="20"/>
              </w:rPr>
              <w:t>Environmental costs correlate strongly and negatively with ROCE</w:t>
            </w:r>
          </w:p>
        </w:tc>
        <w:tc>
          <w:tcPr>
            <w:tcW w:w="1458" w:type="dxa"/>
            <w:shd w:val="clear" w:color="auto" w:fill="D9E2F3"/>
          </w:tcPr>
          <w:p w14:paraId="6A5E922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ROCE used; pre-PIA; mixed sector</w:t>
            </w:r>
          </w:p>
        </w:tc>
      </w:tr>
      <w:tr w:rsidR="00C42D88" w:rsidRPr="000851BE" w14:paraId="3332E5AC" w14:textId="77777777">
        <w:trPr>
          <w:cantSplit/>
        </w:trPr>
        <w:tc>
          <w:tcPr>
            <w:tcW w:w="646" w:type="dxa"/>
          </w:tcPr>
          <w:p w14:paraId="2111577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9</w:t>
            </w:r>
          </w:p>
        </w:tc>
        <w:tc>
          <w:tcPr>
            <w:tcW w:w="1573" w:type="dxa"/>
          </w:tcPr>
          <w:p w14:paraId="3155B2B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Bassey et al. (2013) Nigeria</w:t>
            </w:r>
          </w:p>
        </w:tc>
        <w:tc>
          <w:tcPr>
            <w:tcW w:w="1458" w:type="dxa"/>
          </w:tcPr>
          <w:p w14:paraId="3FB7118B" w14:textId="77777777" w:rsidR="00C42D88" w:rsidRPr="000851BE" w:rsidRDefault="00925DAB" w:rsidP="00D5503E">
            <w:pPr>
              <w:spacing w:after="0" w:line="240" w:lineRule="auto"/>
              <w:rPr>
                <w:rFonts w:ascii="Times New Roman" w:hAnsi="Times New Roman"/>
                <w:sz w:val="20"/>
                <w:szCs w:val="20"/>
              </w:rPr>
            </w:pPr>
            <w:r w:rsidRPr="000851BE">
              <w:rPr>
                <w:rFonts w:ascii="Times New Roman" w:hAnsi="Times New Roman"/>
                <w:sz w:val="20"/>
                <w:szCs w:val="20"/>
              </w:rPr>
              <w:t>The effect of Environmental Accounting practices to the performance of oil &amp; Gas organizations operating in Niger Delta region.</w:t>
            </w:r>
          </w:p>
        </w:tc>
        <w:tc>
          <w:tcPr>
            <w:tcW w:w="1585" w:type="dxa"/>
          </w:tcPr>
          <w:p w14:paraId="6D28D84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oil spill remediation costs and short-term profit</w:t>
            </w:r>
          </w:p>
        </w:tc>
        <w:tc>
          <w:tcPr>
            <w:tcW w:w="1434" w:type="dxa"/>
          </w:tcPr>
          <w:p w14:paraId="52FD693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Niger Delta oil &amp; gas firms</w:t>
            </w:r>
          </w:p>
        </w:tc>
        <w:tc>
          <w:tcPr>
            <w:tcW w:w="1527" w:type="dxa"/>
          </w:tcPr>
          <w:p w14:paraId="5EBA4BF4" w14:textId="77777777" w:rsidR="00C42D88" w:rsidRPr="000851BE" w:rsidRDefault="00925DAB" w:rsidP="00D5503E">
            <w:pPr>
              <w:spacing w:after="0" w:line="240" w:lineRule="auto"/>
              <w:rPr>
                <w:rFonts w:ascii="Times New Roman" w:hAnsi="Times New Roman"/>
                <w:sz w:val="20"/>
                <w:szCs w:val="20"/>
              </w:rPr>
            </w:pPr>
            <w:r w:rsidRPr="000851BE">
              <w:rPr>
                <w:rFonts w:ascii="Times New Roman" w:hAnsi="Times New Roman"/>
                <w:sz w:val="20"/>
                <w:szCs w:val="20"/>
              </w:rPr>
              <w:t xml:space="preserve">The relationship is negative Oil spill cleanup expenditures as </w:t>
            </w:r>
            <w:proofErr w:type="gramStart"/>
            <w:r w:rsidRPr="000851BE">
              <w:rPr>
                <w:rFonts w:ascii="Times New Roman" w:hAnsi="Times New Roman"/>
                <w:sz w:val="20"/>
                <w:szCs w:val="20"/>
              </w:rPr>
              <w:t>short term</w:t>
            </w:r>
            <w:proofErr w:type="gramEnd"/>
            <w:r w:rsidRPr="000851BE">
              <w:rPr>
                <w:rFonts w:ascii="Times New Roman" w:hAnsi="Times New Roman"/>
                <w:sz w:val="20"/>
                <w:szCs w:val="20"/>
              </w:rPr>
              <w:t xml:space="preserve"> gain</w:t>
            </w:r>
          </w:p>
        </w:tc>
        <w:tc>
          <w:tcPr>
            <w:tcW w:w="1458" w:type="dxa"/>
          </w:tcPr>
          <w:p w14:paraId="2C00BBD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Short-term focus; data outdated</w:t>
            </w:r>
          </w:p>
        </w:tc>
      </w:tr>
      <w:tr w:rsidR="00C42D88" w:rsidRPr="000851BE" w14:paraId="27F5CE36" w14:textId="77777777">
        <w:trPr>
          <w:cantSplit/>
        </w:trPr>
        <w:tc>
          <w:tcPr>
            <w:tcW w:w="646" w:type="dxa"/>
            <w:shd w:val="clear" w:color="auto" w:fill="D9E2F3"/>
          </w:tcPr>
          <w:p w14:paraId="42A1C4A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10</w:t>
            </w:r>
          </w:p>
        </w:tc>
        <w:tc>
          <w:tcPr>
            <w:tcW w:w="1573" w:type="dxa"/>
            <w:shd w:val="clear" w:color="auto" w:fill="D9E2F3"/>
          </w:tcPr>
          <w:p w14:paraId="530264A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Makori &amp; Jagongo (2013) India</w:t>
            </w:r>
          </w:p>
        </w:tc>
        <w:tc>
          <w:tcPr>
            <w:tcW w:w="1458" w:type="dxa"/>
            <w:shd w:val="clear" w:color="auto" w:fill="D9E2F3"/>
          </w:tcPr>
          <w:p w14:paraId="1DDD4686" w14:textId="77777777" w:rsidR="00C42D88" w:rsidRPr="000851BE" w:rsidRDefault="00925DAB" w:rsidP="00D5503E">
            <w:pPr>
              <w:spacing w:after="0" w:line="240" w:lineRule="auto"/>
              <w:rPr>
                <w:rFonts w:ascii="Times New Roman" w:hAnsi="Times New Roman"/>
                <w:sz w:val="20"/>
                <w:szCs w:val="20"/>
              </w:rPr>
            </w:pPr>
            <w:r w:rsidRPr="000851BE">
              <w:rPr>
                <w:rFonts w:ascii="Times New Roman" w:hAnsi="Times New Roman"/>
                <w:sz w:val="20"/>
                <w:szCs w:val="20"/>
              </w:rPr>
              <w:t>Environmental accounting and corporate profitability: Some observations from listed firms of India</w:t>
            </w:r>
          </w:p>
        </w:tc>
        <w:tc>
          <w:tcPr>
            <w:tcW w:w="1585" w:type="dxa"/>
            <w:shd w:val="clear" w:color="auto" w:fill="D9E2F3"/>
          </w:tcPr>
          <w:p w14:paraId="4CE737F4"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For analyzing relationship between cost of environment and net profit</w:t>
            </w:r>
          </w:p>
        </w:tc>
        <w:tc>
          <w:tcPr>
            <w:tcW w:w="1434" w:type="dxa"/>
            <w:shd w:val="clear" w:color="auto" w:fill="D9E2F3"/>
          </w:tcPr>
          <w:p w14:paraId="5D5A6B1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Comparative; Bombay Stock Exchange firms; India</w:t>
            </w:r>
          </w:p>
        </w:tc>
        <w:tc>
          <w:tcPr>
            <w:tcW w:w="1527" w:type="dxa"/>
            <w:shd w:val="clear" w:color="auto" w:fill="D9E2F3"/>
          </w:tcPr>
          <w:p w14:paraId="70CB87A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Environmental costs reduced net profit in short run</w:t>
            </w:r>
          </w:p>
        </w:tc>
        <w:tc>
          <w:tcPr>
            <w:tcW w:w="1458" w:type="dxa"/>
            <w:shd w:val="clear" w:color="auto" w:fill="D9E2F3"/>
          </w:tcPr>
          <w:p w14:paraId="4B200F3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International setting; Indian firms; not Nigerian</w:t>
            </w:r>
          </w:p>
        </w:tc>
      </w:tr>
      <w:tr w:rsidR="00C42D88" w:rsidRPr="000851BE" w14:paraId="532B81EC" w14:textId="77777777">
        <w:trPr>
          <w:cantSplit/>
        </w:trPr>
        <w:tc>
          <w:tcPr>
            <w:tcW w:w="646" w:type="dxa"/>
          </w:tcPr>
          <w:p w14:paraId="1BF4BDC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11</w:t>
            </w:r>
          </w:p>
        </w:tc>
        <w:tc>
          <w:tcPr>
            <w:tcW w:w="1573" w:type="dxa"/>
          </w:tcPr>
          <w:p w14:paraId="1721D5D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Magara et al. (2015) Kenya</w:t>
            </w:r>
          </w:p>
        </w:tc>
        <w:tc>
          <w:tcPr>
            <w:tcW w:w="1458" w:type="dxa"/>
          </w:tcPr>
          <w:p w14:paraId="08162CD8"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Impact of Environmental Accounting on Financial performance of Firms Listed on NSE</w:t>
            </w:r>
          </w:p>
        </w:tc>
        <w:tc>
          <w:tcPr>
            <w:tcW w:w="1585" w:type="dxa"/>
          </w:tcPr>
          <w:p w14:paraId="55C31EBA"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To determine whether environmental accounting impact financial performance</w:t>
            </w:r>
          </w:p>
        </w:tc>
        <w:tc>
          <w:tcPr>
            <w:tcW w:w="1434" w:type="dxa"/>
          </w:tcPr>
          <w:p w14:paraId="397EB19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Nairobi Securities Exchange firms; Kenya</w:t>
            </w:r>
          </w:p>
        </w:tc>
        <w:tc>
          <w:tcPr>
            <w:tcW w:w="1527" w:type="dxa"/>
          </w:tcPr>
          <w:p w14:paraId="4C70D164"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Positive association; green firms attract more FDI</w:t>
            </w:r>
          </w:p>
        </w:tc>
        <w:tc>
          <w:tcPr>
            <w:tcW w:w="1458" w:type="dxa"/>
          </w:tcPr>
          <w:p w14:paraId="1F1DBEC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Kenya context; different market maturity</w:t>
            </w:r>
          </w:p>
        </w:tc>
      </w:tr>
    </w:tbl>
    <w:p w14:paraId="1530B808" w14:textId="346F2BCD" w:rsidR="000851BE" w:rsidRDefault="00EA015D">
      <w:r>
        <w:rPr>
          <w:noProof/>
        </w:rPr>
        <mc:AlternateContent>
          <mc:Choice Requires="wps">
            <w:drawing>
              <wp:anchor distT="0" distB="0" distL="114300" distR="114300" simplePos="0" relativeHeight="251661312" behindDoc="0" locked="0" layoutInCell="1" allowOverlap="1" wp14:anchorId="048AB96E" wp14:editId="7F4D1461">
                <wp:simplePos x="0" y="0"/>
                <wp:positionH relativeFrom="column">
                  <wp:posOffset>22391</wp:posOffset>
                </wp:positionH>
                <wp:positionV relativeFrom="paragraph">
                  <wp:posOffset>-6827354</wp:posOffset>
                </wp:positionV>
                <wp:extent cx="3876261" cy="298174"/>
                <wp:effectExtent l="0" t="0" r="0" b="6985"/>
                <wp:wrapNone/>
                <wp:docPr id="28998340" name="Text Box 2"/>
                <wp:cNvGraphicFramePr/>
                <a:graphic xmlns:a="http://schemas.openxmlformats.org/drawingml/2006/main">
                  <a:graphicData uri="http://schemas.microsoft.com/office/word/2010/wordprocessingShape">
                    <wps:wsp>
                      <wps:cNvSpPr txBox="1"/>
                      <wps:spPr>
                        <a:xfrm>
                          <a:off x="0" y="0"/>
                          <a:ext cx="3876261" cy="298174"/>
                        </a:xfrm>
                        <a:prstGeom prst="rect">
                          <a:avLst/>
                        </a:prstGeom>
                        <a:noFill/>
                        <a:ln w="6350">
                          <a:noFill/>
                        </a:ln>
                      </wps:spPr>
                      <wps:txbx>
                        <w:txbxContent>
                          <w:p w14:paraId="5CD3E355"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48AB96E" id="_x0000_t202" coordsize="21600,21600" o:spt="202" path="m,l,21600r21600,l21600,xe">
                <v:stroke joinstyle="miter"/>
                <v:path gradientshapeok="t" o:connecttype="rect"/>
              </v:shapetype>
              <v:shape id="Text Box 2" o:spid="_x0000_s1026" type="#_x0000_t202" style="position:absolute;margin-left:1.75pt;margin-top:-537.6pt;width:305.2pt;height:2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" filled="f" stroked="f" strokeweight=".5pt">
                <v:textbox>
                  <w:txbxContent>
                    <w:p w14:paraId="5CD3E355"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v:textbox>
              </v:shape>
            </w:pict>
          </mc:Fallback>
        </mc:AlternateContent>
      </w:r>
      <w:r w:rsidR="000851BE">
        <w:br w:type="page"/>
      </w:r>
    </w:p>
    <w:tbl>
      <w:tblPr>
        <w:tblStyle w:val="TableGrid"/>
        <w:tblW w:w="9681" w:type="dxa"/>
        <w:tblBorders>
          <w:top w:val="single" w:sz="6" w:space="0" w:color="2E74B5"/>
          <w:left w:val="single" w:sz="6" w:space="0" w:color="2E74B5"/>
          <w:bottom w:val="single" w:sz="6" w:space="0" w:color="2E74B5"/>
          <w:right w:val="single" w:sz="6" w:space="0" w:color="2E74B5"/>
          <w:insideH w:val="single" w:sz="4" w:space="0" w:color="2E74B5"/>
          <w:insideV w:val="single" w:sz="4" w:space="0" w:color="2E74B5"/>
        </w:tblBorders>
        <w:tblLayout w:type="fixed"/>
        <w:tblLook w:val="04A0" w:firstRow="1" w:lastRow="0" w:firstColumn="1" w:lastColumn="0" w:noHBand="0" w:noVBand="1"/>
      </w:tblPr>
      <w:tblGrid>
        <w:gridCol w:w="646"/>
        <w:gridCol w:w="1573"/>
        <w:gridCol w:w="1458"/>
        <w:gridCol w:w="1585"/>
        <w:gridCol w:w="1434"/>
        <w:gridCol w:w="1527"/>
        <w:gridCol w:w="1458"/>
      </w:tblGrid>
      <w:tr w:rsidR="000851BE" w:rsidRPr="000851BE" w14:paraId="3A3DA9FF" w14:textId="77777777">
        <w:trPr>
          <w:cantSplit/>
        </w:trPr>
        <w:tc>
          <w:tcPr>
            <w:tcW w:w="646" w:type="dxa"/>
            <w:shd w:val="clear" w:color="auto" w:fill="D9E2F3"/>
          </w:tcPr>
          <w:p w14:paraId="18B555B3" w14:textId="52F72754"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lastRenderedPageBreak/>
              <w:t>S/N</w:t>
            </w:r>
          </w:p>
        </w:tc>
        <w:tc>
          <w:tcPr>
            <w:tcW w:w="1573" w:type="dxa"/>
            <w:shd w:val="clear" w:color="auto" w:fill="D9E2F3"/>
          </w:tcPr>
          <w:p w14:paraId="7FA56B19" w14:textId="5216E5A9"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t>Author(s) &amp; Year</w:t>
            </w:r>
          </w:p>
        </w:tc>
        <w:tc>
          <w:tcPr>
            <w:tcW w:w="1458" w:type="dxa"/>
            <w:shd w:val="clear" w:color="auto" w:fill="D9E2F3"/>
          </w:tcPr>
          <w:p w14:paraId="080A8B55" w14:textId="4D5ADF49"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t>Title of Study</w:t>
            </w:r>
          </w:p>
        </w:tc>
        <w:tc>
          <w:tcPr>
            <w:tcW w:w="1585" w:type="dxa"/>
            <w:shd w:val="clear" w:color="auto" w:fill="D9E2F3"/>
          </w:tcPr>
          <w:p w14:paraId="178FE910" w14:textId="49890709"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t>Purpose of the Study</w:t>
            </w:r>
          </w:p>
        </w:tc>
        <w:tc>
          <w:tcPr>
            <w:tcW w:w="1434" w:type="dxa"/>
            <w:shd w:val="clear" w:color="auto" w:fill="D9E2F3"/>
          </w:tcPr>
          <w:p w14:paraId="06ECD299" w14:textId="6E99EB18"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t>Methodology Sample Scope</w:t>
            </w:r>
          </w:p>
        </w:tc>
        <w:tc>
          <w:tcPr>
            <w:tcW w:w="1527" w:type="dxa"/>
            <w:shd w:val="clear" w:color="auto" w:fill="D9E2F3"/>
          </w:tcPr>
          <w:p w14:paraId="4657EB82" w14:textId="65C076AD"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t>Findings</w:t>
            </w:r>
          </w:p>
        </w:tc>
        <w:tc>
          <w:tcPr>
            <w:tcW w:w="1458" w:type="dxa"/>
            <w:shd w:val="clear" w:color="auto" w:fill="D9E2F3"/>
          </w:tcPr>
          <w:p w14:paraId="35F2AF59" w14:textId="1A5A57C2" w:rsidR="000851BE" w:rsidRPr="000851BE" w:rsidRDefault="000851BE" w:rsidP="00D5503E">
            <w:pPr>
              <w:spacing w:after="0" w:line="240" w:lineRule="auto"/>
              <w:rPr>
                <w:rFonts w:ascii="Times New Roman" w:hAnsi="Times New Roman"/>
                <w:sz w:val="20"/>
                <w:szCs w:val="20"/>
              </w:rPr>
            </w:pPr>
            <w:r>
              <w:rPr>
                <w:rFonts w:ascii="Times New Roman" w:hAnsi="Times New Roman"/>
                <w:sz w:val="20"/>
                <w:szCs w:val="20"/>
              </w:rPr>
              <w:t>Gap from existing Literature</w:t>
            </w:r>
          </w:p>
        </w:tc>
      </w:tr>
      <w:tr w:rsidR="00C42D88" w:rsidRPr="000851BE" w14:paraId="214558D4" w14:textId="77777777">
        <w:trPr>
          <w:cantSplit/>
        </w:trPr>
        <w:tc>
          <w:tcPr>
            <w:tcW w:w="646" w:type="dxa"/>
            <w:shd w:val="clear" w:color="auto" w:fill="D9E2F3"/>
          </w:tcPr>
          <w:p w14:paraId="47242116" w14:textId="1DCE7A26"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12</w:t>
            </w:r>
          </w:p>
        </w:tc>
        <w:tc>
          <w:tcPr>
            <w:tcW w:w="1573" w:type="dxa"/>
            <w:shd w:val="clear" w:color="auto" w:fill="D9E2F3"/>
          </w:tcPr>
          <w:p w14:paraId="5016277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Norhasimah et al. (2016) Malaysia</w:t>
            </w:r>
          </w:p>
        </w:tc>
        <w:tc>
          <w:tcPr>
            <w:tcW w:w="1458" w:type="dxa"/>
            <w:shd w:val="clear" w:color="auto" w:fill="D9E2F3"/>
          </w:tcPr>
          <w:p w14:paraId="7CF54F07"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Disclosure of the relationship of the environment on the earnings performance of Malaysian listed company</w:t>
            </w:r>
          </w:p>
        </w:tc>
        <w:tc>
          <w:tcPr>
            <w:tcW w:w="1585" w:type="dxa"/>
            <w:shd w:val="clear" w:color="auto" w:fill="D9E2F3"/>
          </w:tcPr>
          <w:p w14:paraId="69E5CC5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impact of environmentally sensitive industries on share price and ROA</w:t>
            </w:r>
          </w:p>
        </w:tc>
        <w:tc>
          <w:tcPr>
            <w:tcW w:w="1434" w:type="dxa"/>
            <w:shd w:val="clear" w:color="auto" w:fill="D9E2F3"/>
          </w:tcPr>
          <w:p w14:paraId="2FDCBE6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Malaysian oil &amp; chemical firms</w:t>
            </w:r>
          </w:p>
        </w:tc>
        <w:tc>
          <w:tcPr>
            <w:tcW w:w="1527" w:type="dxa"/>
            <w:shd w:val="clear" w:color="auto" w:fill="D9E2F3"/>
          </w:tcPr>
          <w:p w14:paraId="42817A5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Increased share price but no significant effect on ROA</w:t>
            </w:r>
          </w:p>
        </w:tc>
        <w:tc>
          <w:tcPr>
            <w:tcW w:w="1458" w:type="dxa"/>
            <w:shd w:val="clear" w:color="auto" w:fill="D9E2F3"/>
          </w:tcPr>
          <w:p w14:paraId="7C3F3E4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Malaysian context; different enforcement environment</w:t>
            </w:r>
          </w:p>
        </w:tc>
      </w:tr>
      <w:tr w:rsidR="00C42D88" w:rsidRPr="000851BE" w14:paraId="2A804D25" w14:textId="77777777">
        <w:trPr>
          <w:cantSplit/>
        </w:trPr>
        <w:tc>
          <w:tcPr>
            <w:tcW w:w="646" w:type="dxa"/>
          </w:tcPr>
          <w:p w14:paraId="7C6D7C7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13</w:t>
            </w:r>
          </w:p>
        </w:tc>
        <w:tc>
          <w:tcPr>
            <w:tcW w:w="1573" w:type="dxa"/>
          </w:tcPr>
          <w:p w14:paraId="0F4D4EC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Ezeagba et al. (2017) Nigeria</w:t>
            </w:r>
          </w:p>
        </w:tc>
        <w:tc>
          <w:tcPr>
            <w:tcW w:w="1458" w:type="dxa"/>
          </w:tcPr>
          <w:p w14:paraId="23D31476"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Environmental accounting disclosures and financial performance: A Study of Food And beverage firms in Nigeria</w:t>
            </w:r>
          </w:p>
        </w:tc>
        <w:tc>
          <w:tcPr>
            <w:tcW w:w="1585" w:type="dxa"/>
          </w:tcPr>
          <w:p w14:paraId="73C4BE3E"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The environmental disclosure and return on equity</w:t>
            </w:r>
          </w:p>
        </w:tc>
        <w:tc>
          <w:tcPr>
            <w:tcW w:w="1434" w:type="dxa"/>
          </w:tcPr>
          <w:p w14:paraId="5DC3466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Pearson Correlation; 5-year dataset; food &amp; beverage firms; Nigeria</w:t>
            </w:r>
          </w:p>
        </w:tc>
        <w:tc>
          <w:tcPr>
            <w:tcW w:w="1527" w:type="dxa"/>
          </w:tcPr>
          <w:p w14:paraId="2770132A"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Meaningful positive and significant association between environmental reporting and ROE</w:t>
            </w:r>
          </w:p>
        </w:tc>
        <w:tc>
          <w:tcPr>
            <w:tcW w:w="1458" w:type="dxa"/>
          </w:tcPr>
          <w:p w14:paraId="119C0BE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Different industry; not oil &amp; gas specific</w:t>
            </w:r>
          </w:p>
        </w:tc>
      </w:tr>
      <w:tr w:rsidR="00C42D88" w:rsidRPr="000851BE" w14:paraId="084E631D" w14:textId="77777777">
        <w:trPr>
          <w:cantSplit/>
        </w:trPr>
        <w:tc>
          <w:tcPr>
            <w:tcW w:w="646" w:type="dxa"/>
            <w:shd w:val="clear" w:color="auto" w:fill="D9E2F3"/>
          </w:tcPr>
          <w:p w14:paraId="171C43D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14</w:t>
            </w:r>
          </w:p>
        </w:tc>
        <w:tc>
          <w:tcPr>
            <w:tcW w:w="1573" w:type="dxa"/>
            <w:shd w:val="clear" w:color="auto" w:fill="D9E2F3"/>
          </w:tcPr>
          <w:p w14:paraId="32630F7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Nnamani et al. (2017) Nigeria</w:t>
            </w:r>
          </w:p>
        </w:tc>
        <w:tc>
          <w:tcPr>
            <w:tcW w:w="1458" w:type="dxa"/>
            <w:shd w:val="clear" w:color="auto" w:fill="D9E2F3"/>
          </w:tcPr>
          <w:p w14:paraId="1D55B801"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Influence of Sustainability Reporting Practices on the Financial Performance of the Listed manufacturing Firms in Nigeria</w:t>
            </w:r>
          </w:p>
        </w:tc>
        <w:tc>
          <w:tcPr>
            <w:tcW w:w="1585" w:type="dxa"/>
            <w:shd w:val="clear" w:color="auto" w:fill="D9E2F3"/>
          </w:tcPr>
          <w:p w14:paraId="7C80BB6D"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In order to rate sustainability reporting and also to gauge the profitability of an asset</w:t>
            </w:r>
          </w:p>
        </w:tc>
        <w:tc>
          <w:tcPr>
            <w:tcW w:w="1434" w:type="dxa"/>
            <w:shd w:val="clear" w:color="auto" w:fill="D9E2F3"/>
          </w:tcPr>
          <w:p w14:paraId="71A3463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Ex-post facto; regression analysis; manufacturing firms; Nigeria</w:t>
            </w:r>
          </w:p>
        </w:tc>
        <w:tc>
          <w:tcPr>
            <w:tcW w:w="1527" w:type="dxa"/>
            <w:shd w:val="clear" w:color="auto" w:fill="D9E2F3"/>
          </w:tcPr>
          <w:p w14:paraId="1FC9DBD7"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The positive and significant relation of sustainability reporting and ROA</w:t>
            </w:r>
          </w:p>
        </w:tc>
        <w:tc>
          <w:tcPr>
            <w:tcW w:w="1458" w:type="dxa"/>
            <w:shd w:val="clear" w:color="auto" w:fill="D9E2F3"/>
          </w:tcPr>
          <w:p w14:paraId="1E038692"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Manufacturing sector; no oil and gas sector.</w:t>
            </w:r>
          </w:p>
        </w:tc>
      </w:tr>
      <w:tr w:rsidR="00C42D88" w:rsidRPr="000851BE" w14:paraId="31207392" w14:textId="77777777">
        <w:trPr>
          <w:cantSplit/>
        </w:trPr>
        <w:tc>
          <w:tcPr>
            <w:tcW w:w="646" w:type="dxa"/>
          </w:tcPr>
          <w:p w14:paraId="423CFB5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15</w:t>
            </w:r>
          </w:p>
        </w:tc>
        <w:tc>
          <w:tcPr>
            <w:tcW w:w="1573" w:type="dxa"/>
          </w:tcPr>
          <w:p w14:paraId="388428F4"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Utile et al. (2017) Nigeria</w:t>
            </w:r>
          </w:p>
        </w:tc>
        <w:tc>
          <w:tcPr>
            <w:tcW w:w="1458" w:type="dxa"/>
          </w:tcPr>
          <w:p w14:paraId="4123F062" w14:textId="77777777" w:rsidR="00C42D88" w:rsidRPr="000851BE" w:rsidRDefault="001E5D72" w:rsidP="00D5503E">
            <w:pPr>
              <w:spacing w:after="0" w:line="240" w:lineRule="auto"/>
              <w:rPr>
                <w:rFonts w:ascii="Times New Roman" w:hAnsi="Times New Roman"/>
                <w:sz w:val="20"/>
                <w:szCs w:val="20"/>
              </w:rPr>
            </w:pPr>
            <w:r w:rsidRPr="000851BE">
              <w:rPr>
                <w:rFonts w:ascii="Times New Roman" w:hAnsi="Times New Roman"/>
                <w:sz w:val="20"/>
                <w:szCs w:val="20"/>
              </w:rPr>
              <w:t>Firm’s environmental disclosures and financial performance in a listed manufacturing firms in Nigeria</w:t>
            </w:r>
          </w:p>
        </w:tc>
        <w:tc>
          <w:tcPr>
            <w:tcW w:w="1585" w:type="dxa"/>
          </w:tcPr>
          <w:p w14:paraId="1AC9ADFB"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Investigate correlation between the firm’s corporate performance, and firm’s environmental disclosures.</w:t>
            </w:r>
          </w:p>
        </w:tc>
        <w:tc>
          <w:tcPr>
            <w:tcW w:w="1434" w:type="dxa"/>
          </w:tcPr>
          <w:p w14:paraId="4624298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Multiple regression analysis; manufacturing companies; Nigeria</w:t>
            </w:r>
          </w:p>
        </w:tc>
        <w:tc>
          <w:tcPr>
            <w:tcW w:w="1527" w:type="dxa"/>
          </w:tcPr>
          <w:p w14:paraId="74594A5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Companies reporting environmental performance had better market values</w:t>
            </w:r>
          </w:p>
        </w:tc>
        <w:tc>
          <w:tcPr>
            <w:tcW w:w="1458" w:type="dxa"/>
          </w:tcPr>
          <w:p w14:paraId="208533C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Manufacturing sector only; limited scope</w:t>
            </w:r>
            <w:r w:rsidR="00F7519D" w:rsidRPr="000851BE">
              <w:rPr>
                <w:rFonts w:ascii="Times New Roman" w:hAnsi="Times New Roman"/>
                <w:sz w:val="20"/>
                <w:szCs w:val="20"/>
              </w:rPr>
              <w:t>, 2008 to 2017</w:t>
            </w:r>
          </w:p>
        </w:tc>
      </w:tr>
      <w:tr w:rsidR="00C42D88" w:rsidRPr="000851BE" w14:paraId="3B5596F1" w14:textId="77777777">
        <w:trPr>
          <w:cantSplit/>
        </w:trPr>
        <w:tc>
          <w:tcPr>
            <w:tcW w:w="646" w:type="dxa"/>
            <w:shd w:val="clear" w:color="auto" w:fill="D9E2F3"/>
          </w:tcPr>
          <w:p w14:paraId="44FE81C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16</w:t>
            </w:r>
          </w:p>
        </w:tc>
        <w:tc>
          <w:tcPr>
            <w:tcW w:w="1573" w:type="dxa"/>
            <w:shd w:val="clear" w:color="auto" w:fill="D9E2F3"/>
          </w:tcPr>
          <w:p w14:paraId="72C6868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Agbo et al. (2017) Nigeria</w:t>
            </w:r>
          </w:p>
        </w:tc>
        <w:tc>
          <w:tcPr>
            <w:tcW w:w="1458" w:type="dxa"/>
            <w:shd w:val="clear" w:color="auto" w:fill="D9E2F3"/>
          </w:tcPr>
          <w:p w14:paraId="452439A5"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Corporate environmental performance and financial reporting in Nigeria</w:t>
            </w:r>
          </w:p>
        </w:tc>
        <w:tc>
          <w:tcPr>
            <w:tcW w:w="1585" w:type="dxa"/>
            <w:shd w:val="clear" w:color="auto" w:fill="D9E2F3"/>
          </w:tcPr>
          <w:p w14:paraId="19C43CC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discuss adoption and use of environmental reporting in Nigeria</w:t>
            </w:r>
          </w:p>
        </w:tc>
        <w:tc>
          <w:tcPr>
            <w:tcW w:w="1434" w:type="dxa"/>
            <w:shd w:val="clear" w:color="auto" w:fill="D9E2F3"/>
          </w:tcPr>
          <w:p w14:paraId="185D070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Descriptive &amp; documentary; Nigerian companies</w:t>
            </w:r>
          </w:p>
        </w:tc>
        <w:tc>
          <w:tcPr>
            <w:tcW w:w="1527" w:type="dxa"/>
            <w:shd w:val="clear" w:color="auto" w:fill="D9E2F3"/>
          </w:tcPr>
          <w:p w14:paraId="43E32B6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Progressive increase in turnover of early adopters due to improved host community relations</w:t>
            </w:r>
          </w:p>
        </w:tc>
        <w:tc>
          <w:tcPr>
            <w:tcW w:w="1458" w:type="dxa"/>
            <w:shd w:val="clear" w:color="auto" w:fill="D9E2F3"/>
          </w:tcPr>
          <w:p w14:paraId="7D04C70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Adoption-focused; limited statistical testing</w:t>
            </w:r>
          </w:p>
        </w:tc>
      </w:tr>
    </w:tbl>
    <w:p w14:paraId="7205A3FE" w14:textId="6C22B024" w:rsidR="000851BE" w:rsidRDefault="00EA015D">
      <w:r>
        <w:rPr>
          <w:noProof/>
        </w:rPr>
        <mc:AlternateContent>
          <mc:Choice Requires="wps">
            <w:drawing>
              <wp:anchor distT="0" distB="0" distL="114300" distR="114300" simplePos="0" relativeHeight="251667456" behindDoc="0" locked="0" layoutInCell="1" allowOverlap="1" wp14:anchorId="1E0D0466" wp14:editId="100BF025">
                <wp:simplePos x="0" y="0"/>
                <wp:positionH relativeFrom="column">
                  <wp:posOffset>100104</wp:posOffset>
                </wp:positionH>
                <wp:positionV relativeFrom="paragraph">
                  <wp:posOffset>-7146881</wp:posOffset>
                </wp:positionV>
                <wp:extent cx="3876261" cy="298174"/>
                <wp:effectExtent l="0" t="0" r="0" b="6985"/>
                <wp:wrapNone/>
                <wp:docPr id="1422067502" name="Text Box 2"/>
                <wp:cNvGraphicFramePr/>
                <a:graphic xmlns:a="http://schemas.openxmlformats.org/drawingml/2006/main">
                  <a:graphicData uri="http://schemas.microsoft.com/office/word/2010/wordprocessingShape">
                    <wps:wsp>
                      <wps:cNvSpPr txBox="1"/>
                      <wps:spPr>
                        <a:xfrm>
                          <a:off x="0" y="0"/>
                          <a:ext cx="3876261" cy="298174"/>
                        </a:xfrm>
                        <a:prstGeom prst="rect">
                          <a:avLst/>
                        </a:prstGeom>
                        <a:noFill/>
                        <a:ln w="6350">
                          <a:noFill/>
                        </a:ln>
                      </wps:spPr>
                      <wps:txbx>
                        <w:txbxContent>
                          <w:p w14:paraId="35515DF3"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0D0466" id="_x0000_s1027" type="#_x0000_t202" style="position:absolute;margin-left:7.9pt;margin-top:-562.75pt;width:305.2pt;height:2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" filled="f" stroked="f" strokeweight=".5pt">
                <v:textbox>
                  <w:txbxContent>
                    <w:p w14:paraId="35515DF3"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v:textbox>
              </v:shape>
            </w:pict>
          </mc:Fallback>
        </mc:AlternateContent>
      </w:r>
      <w:r w:rsidR="000851BE">
        <w:br w:type="page"/>
      </w:r>
    </w:p>
    <w:tbl>
      <w:tblPr>
        <w:tblStyle w:val="TableGrid"/>
        <w:tblW w:w="9681" w:type="dxa"/>
        <w:tblBorders>
          <w:top w:val="single" w:sz="6" w:space="0" w:color="2E74B5"/>
          <w:left w:val="single" w:sz="6" w:space="0" w:color="2E74B5"/>
          <w:bottom w:val="single" w:sz="6" w:space="0" w:color="2E74B5"/>
          <w:right w:val="single" w:sz="6" w:space="0" w:color="2E74B5"/>
          <w:insideH w:val="single" w:sz="4" w:space="0" w:color="2E74B5"/>
          <w:insideV w:val="single" w:sz="4" w:space="0" w:color="2E74B5"/>
        </w:tblBorders>
        <w:tblLayout w:type="fixed"/>
        <w:tblLook w:val="04A0" w:firstRow="1" w:lastRow="0" w:firstColumn="1" w:lastColumn="0" w:noHBand="0" w:noVBand="1"/>
      </w:tblPr>
      <w:tblGrid>
        <w:gridCol w:w="646"/>
        <w:gridCol w:w="1573"/>
        <w:gridCol w:w="1458"/>
        <w:gridCol w:w="1585"/>
        <w:gridCol w:w="1434"/>
        <w:gridCol w:w="1527"/>
        <w:gridCol w:w="1458"/>
      </w:tblGrid>
      <w:tr w:rsidR="00C42D88" w:rsidRPr="000851BE" w14:paraId="4962EACA" w14:textId="77777777">
        <w:trPr>
          <w:cantSplit/>
        </w:trPr>
        <w:tc>
          <w:tcPr>
            <w:tcW w:w="646" w:type="dxa"/>
          </w:tcPr>
          <w:p w14:paraId="5D8C6534" w14:textId="6C858DD5" w:rsidR="00C42D88" w:rsidRPr="000851BE" w:rsidRDefault="00EA015D" w:rsidP="00D5503E">
            <w:pPr>
              <w:spacing w:after="0" w:line="240" w:lineRule="auto"/>
              <w:rPr>
                <w:rFonts w:ascii="Times New Roman" w:hAnsi="Times New Roman"/>
                <w:sz w:val="20"/>
                <w:szCs w:val="20"/>
              </w:rPr>
            </w:pPr>
            <w:r>
              <w:rPr>
                <w:noProof/>
              </w:rPr>
              <w:lastRenderedPageBreak/>
              <mc:AlternateContent>
                <mc:Choice Requires="wps">
                  <w:drawing>
                    <wp:anchor distT="0" distB="0" distL="114300" distR="114300" simplePos="0" relativeHeight="251665408" behindDoc="0" locked="0" layoutInCell="1" allowOverlap="1" wp14:anchorId="4118F52C" wp14:editId="15C3D1D9">
                      <wp:simplePos x="0" y="0"/>
                      <wp:positionH relativeFrom="column">
                        <wp:posOffset>125730</wp:posOffset>
                      </wp:positionH>
                      <wp:positionV relativeFrom="paragraph">
                        <wp:posOffset>-394161</wp:posOffset>
                      </wp:positionV>
                      <wp:extent cx="3876261" cy="298174"/>
                      <wp:effectExtent l="0" t="0" r="0" b="6985"/>
                      <wp:wrapNone/>
                      <wp:docPr id="1590995799" name="Text Box 2"/>
                      <wp:cNvGraphicFramePr/>
                      <a:graphic xmlns:a="http://schemas.openxmlformats.org/drawingml/2006/main">
                        <a:graphicData uri="http://schemas.microsoft.com/office/word/2010/wordprocessingShape">
                          <wps:wsp>
                            <wps:cNvSpPr txBox="1"/>
                            <wps:spPr>
                              <a:xfrm>
                                <a:off x="0" y="0"/>
                                <a:ext cx="3876261" cy="298174"/>
                              </a:xfrm>
                              <a:prstGeom prst="rect">
                                <a:avLst/>
                              </a:prstGeom>
                              <a:noFill/>
                              <a:ln w="6350">
                                <a:noFill/>
                              </a:ln>
                            </wps:spPr>
                            <wps:txbx>
                              <w:txbxContent>
                                <w:p w14:paraId="2ADF4BCA"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18F52C" id="_x0000_s1028" type="#_x0000_t202" style="position:absolute;left:0;text-align:left;margin-left:9.9pt;margin-top:-31.05pt;width:305.2pt;height:2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" filled="f" stroked="f" strokeweight=".5pt">
                      <v:textbox>
                        <w:txbxContent>
                          <w:p w14:paraId="2ADF4BCA"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v:textbox>
                    </v:shape>
                  </w:pict>
                </mc:Fallback>
              </mc:AlternateContent>
            </w:r>
            <w:r w:rsidR="00123B0E" w:rsidRPr="000851BE">
              <w:rPr>
                <w:rFonts w:ascii="Times New Roman" w:hAnsi="Times New Roman"/>
                <w:sz w:val="20"/>
                <w:szCs w:val="20"/>
              </w:rPr>
              <w:t>17</w:t>
            </w:r>
          </w:p>
        </w:tc>
        <w:tc>
          <w:tcPr>
            <w:tcW w:w="1573" w:type="dxa"/>
          </w:tcPr>
          <w:p w14:paraId="6E136AEF" w14:textId="30CFDCE6"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Ojo (2017) Nigeria</w:t>
            </w:r>
          </w:p>
        </w:tc>
        <w:tc>
          <w:tcPr>
            <w:tcW w:w="1458" w:type="dxa"/>
          </w:tcPr>
          <w:p w14:paraId="79FA3401" w14:textId="1753FF43"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Green accounting and financial viability of Nigerian firms</w:t>
            </w:r>
          </w:p>
        </w:tc>
        <w:tc>
          <w:tcPr>
            <w:tcW w:w="1585" w:type="dxa"/>
          </w:tcPr>
          <w:p w14:paraId="0EA9FAD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report association between waste costs and ROA</w:t>
            </w:r>
          </w:p>
        </w:tc>
        <w:tc>
          <w:tcPr>
            <w:tcW w:w="1434" w:type="dxa"/>
          </w:tcPr>
          <w:p w14:paraId="2A088995" w14:textId="1AD0366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Nigerian firms up to 2015</w:t>
            </w:r>
          </w:p>
        </w:tc>
        <w:tc>
          <w:tcPr>
            <w:tcW w:w="1527" w:type="dxa"/>
          </w:tcPr>
          <w:p w14:paraId="2492E88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Weak positive association; evidence of greenwashing</w:t>
            </w:r>
          </w:p>
        </w:tc>
        <w:tc>
          <w:tcPr>
            <w:tcW w:w="1458" w:type="dxa"/>
          </w:tcPr>
          <w:p w14:paraId="32F057BE" w14:textId="1E3E51F4"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Pre-2017; weak methodology; greenwashing not controlled for</w:t>
            </w:r>
          </w:p>
        </w:tc>
      </w:tr>
      <w:tr w:rsidR="00C42D88" w:rsidRPr="000851BE" w14:paraId="2281A71C" w14:textId="77777777">
        <w:trPr>
          <w:cantSplit/>
        </w:trPr>
        <w:tc>
          <w:tcPr>
            <w:tcW w:w="646" w:type="dxa"/>
            <w:shd w:val="clear" w:color="auto" w:fill="D9E2F3"/>
          </w:tcPr>
          <w:p w14:paraId="72D62E4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18</w:t>
            </w:r>
          </w:p>
        </w:tc>
        <w:tc>
          <w:tcPr>
            <w:tcW w:w="1573" w:type="dxa"/>
            <w:shd w:val="clear" w:color="auto" w:fill="D9E2F3"/>
          </w:tcPr>
          <w:p w14:paraId="1DB982E1"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Ahmad et al. (2017) Nigeria</w:t>
            </w:r>
          </w:p>
        </w:tc>
        <w:tc>
          <w:tcPr>
            <w:tcW w:w="1458" w:type="dxa"/>
            <w:shd w:val="clear" w:color="auto" w:fill="D9E2F3"/>
          </w:tcPr>
          <w:p w14:paraId="70DEB09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Influence of quantitative environmental disclosures on EPS</w:t>
            </w:r>
          </w:p>
        </w:tc>
        <w:tc>
          <w:tcPr>
            <w:tcW w:w="1585" w:type="dxa"/>
            <w:shd w:val="clear" w:color="auto" w:fill="D9E2F3"/>
          </w:tcPr>
          <w:p w14:paraId="2A29ECFF"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Investigate the impact of environmental performance on EPS</w:t>
            </w:r>
          </w:p>
        </w:tc>
        <w:tc>
          <w:tcPr>
            <w:tcW w:w="1434" w:type="dxa"/>
            <w:shd w:val="clear" w:color="auto" w:fill="D9E2F3"/>
          </w:tcPr>
          <w:p w14:paraId="2575BF9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Nigerian listed firms</w:t>
            </w:r>
          </w:p>
        </w:tc>
        <w:tc>
          <w:tcPr>
            <w:tcW w:w="1527" w:type="dxa"/>
            <w:shd w:val="clear" w:color="auto" w:fill="D9E2F3"/>
          </w:tcPr>
          <w:p w14:paraId="3143CC3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Positive but insignificant impact on EPS</w:t>
            </w:r>
          </w:p>
        </w:tc>
        <w:tc>
          <w:tcPr>
            <w:tcW w:w="1458" w:type="dxa"/>
            <w:shd w:val="clear" w:color="auto" w:fill="D9E2F3"/>
          </w:tcPr>
          <w:p w14:paraId="10FF057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EPS metric; market-based; not operational efficiency</w:t>
            </w:r>
          </w:p>
        </w:tc>
      </w:tr>
      <w:tr w:rsidR="00C42D88" w:rsidRPr="000851BE" w14:paraId="2EDD2C6A" w14:textId="77777777">
        <w:trPr>
          <w:cantSplit/>
        </w:trPr>
        <w:tc>
          <w:tcPr>
            <w:tcW w:w="646" w:type="dxa"/>
          </w:tcPr>
          <w:p w14:paraId="62F4A0D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19</w:t>
            </w:r>
          </w:p>
        </w:tc>
        <w:tc>
          <w:tcPr>
            <w:tcW w:w="1573" w:type="dxa"/>
          </w:tcPr>
          <w:p w14:paraId="5DCAE60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Ofurum et al. (2018) Nigeria</w:t>
            </w:r>
          </w:p>
        </w:tc>
        <w:tc>
          <w:tcPr>
            <w:tcW w:w="1458" w:type="dxa"/>
          </w:tcPr>
          <w:p w14:paraId="4BE80598"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The cost of corporate social responsibility and financial performance of listed firms in Nigeria</w:t>
            </w:r>
          </w:p>
        </w:tc>
        <w:tc>
          <w:tcPr>
            <w:tcW w:w="1585" w:type="dxa"/>
          </w:tcPr>
          <w:p w14:paraId="1F2B6AA4"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For the relationship between the cost of developing community and the ROA</w:t>
            </w:r>
          </w:p>
        </w:tc>
        <w:tc>
          <w:tcPr>
            <w:tcW w:w="1434" w:type="dxa"/>
          </w:tcPr>
          <w:p w14:paraId="5FA6E7E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quoted Nigerian firms</w:t>
            </w:r>
          </w:p>
        </w:tc>
        <w:tc>
          <w:tcPr>
            <w:tcW w:w="1527" w:type="dxa"/>
          </w:tcPr>
          <w:p w14:paraId="211C3A7A"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Community development costs are inversely related to return on assets</w:t>
            </w:r>
          </w:p>
        </w:tc>
        <w:tc>
          <w:tcPr>
            <w:tcW w:w="1458" w:type="dxa"/>
          </w:tcPr>
          <w:p w14:paraId="52FC29D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Does not disaggregate environmental cost components</w:t>
            </w:r>
          </w:p>
        </w:tc>
      </w:tr>
      <w:tr w:rsidR="00C42D88" w:rsidRPr="000851BE" w14:paraId="2C0F70E7" w14:textId="77777777">
        <w:trPr>
          <w:cantSplit/>
        </w:trPr>
        <w:tc>
          <w:tcPr>
            <w:tcW w:w="646" w:type="dxa"/>
            <w:shd w:val="clear" w:color="auto" w:fill="D9E2F3"/>
          </w:tcPr>
          <w:p w14:paraId="75FDB12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20</w:t>
            </w:r>
          </w:p>
        </w:tc>
        <w:tc>
          <w:tcPr>
            <w:tcW w:w="1573" w:type="dxa"/>
            <w:shd w:val="clear" w:color="auto" w:fill="D9E2F3"/>
          </w:tcPr>
          <w:p w14:paraId="20820C6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Hasan &amp; Huda (2018) Bangladesh</w:t>
            </w:r>
          </w:p>
        </w:tc>
        <w:tc>
          <w:tcPr>
            <w:tcW w:w="1458" w:type="dxa"/>
            <w:shd w:val="clear" w:color="auto" w:fill="D9E2F3"/>
          </w:tcPr>
          <w:p w14:paraId="38234A66"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The green banking practices and performance of commercial banks in Bangladesh</w:t>
            </w:r>
          </w:p>
        </w:tc>
        <w:tc>
          <w:tcPr>
            <w:tcW w:w="1585" w:type="dxa"/>
            <w:shd w:val="clear" w:color="auto" w:fill="D9E2F3"/>
          </w:tcPr>
          <w:p w14:paraId="3CEA099D"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Relationship between green reporting and company profits for the bank</w:t>
            </w:r>
          </w:p>
        </w:tc>
        <w:tc>
          <w:tcPr>
            <w:tcW w:w="1434" w:type="dxa"/>
            <w:shd w:val="clear" w:color="auto" w:fill="D9E2F3"/>
          </w:tcPr>
          <w:p w14:paraId="797FAEB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Bangladeshi commercial banks</w:t>
            </w:r>
          </w:p>
        </w:tc>
        <w:tc>
          <w:tcPr>
            <w:tcW w:w="1527" w:type="dxa"/>
            <w:shd w:val="clear" w:color="auto" w:fill="D9E2F3"/>
          </w:tcPr>
          <w:p w14:paraId="325E84C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Positive correlation between green reporting and profitability</w:t>
            </w:r>
          </w:p>
        </w:tc>
        <w:tc>
          <w:tcPr>
            <w:tcW w:w="1458" w:type="dxa"/>
            <w:shd w:val="clear" w:color="auto" w:fill="D9E2F3"/>
          </w:tcPr>
          <w:p w14:paraId="6F18F8D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Banking sector; not oil &amp; gas</w:t>
            </w:r>
          </w:p>
        </w:tc>
      </w:tr>
      <w:tr w:rsidR="00C42D88" w:rsidRPr="000851BE" w14:paraId="07DFC203" w14:textId="77777777">
        <w:trPr>
          <w:cantSplit/>
        </w:trPr>
        <w:tc>
          <w:tcPr>
            <w:tcW w:w="646" w:type="dxa"/>
          </w:tcPr>
          <w:p w14:paraId="676B204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21</w:t>
            </w:r>
          </w:p>
        </w:tc>
        <w:tc>
          <w:tcPr>
            <w:tcW w:w="1573" w:type="dxa"/>
          </w:tcPr>
          <w:p w14:paraId="13C19C1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Momanyi (2018) Kenya</w:t>
            </w:r>
          </w:p>
        </w:tc>
        <w:tc>
          <w:tcPr>
            <w:tcW w:w="1458" w:type="dxa"/>
          </w:tcPr>
          <w:p w14:paraId="058DA12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Waste management costs and profitability in Kenyan manufacturing sector</w:t>
            </w:r>
          </w:p>
        </w:tc>
        <w:tc>
          <w:tcPr>
            <w:tcW w:w="1585" w:type="dxa"/>
          </w:tcPr>
          <w:p w14:paraId="256B3E1D" w14:textId="77777777" w:rsidR="00C42D88" w:rsidRPr="000851BE" w:rsidRDefault="00D93E32" w:rsidP="00D5503E">
            <w:pPr>
              <w:spacing w:after="0" w:line="240" w:lineRule="auto"/>
              <w:rPr>
                <w:rFonts w:ascii="Times New Roman" w:hAnsi="Times New Roman"/>
                <w:sz w:val="20"/>
                <w:szCs w:val="20"/>
              </w:rPr>
            </w:pPr>
            <w:r w:rsidRPr="000851BE">
              <w:rPr>
                <w:rFonts w:ascii="Times New Roman" w:hAnsi="Times New Roman"/>
                <w:sz w:val="20"/>
                <w:szCs w:val="20"/>
              </w:rPr>
              <w:t>In order to study temporal relationship between waste costs and profitability.</w:t>
            </w:r>
          </w:p>
        </w:tc>
        <w:tc>
          <w:tcPr>
            <w:tcW w:w="1434" w:type="dxa"/>
          </w:tcPr>
          <w:p w14:paraId="1E3AB12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Kenyan manufacturing firms</w:t>
            </w:r>
          </w:p>
        </w:tc>
        <w:tc>
          <w:tcPr>
            <w:tcW w:w="1527" w:type="dxa"/>
          </w:tcPr>
          <w:p w14:paraId="4CAC18F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Negative short-term but positive long-term correlation with profitability</w:t>
            </w:r>
          </w:p>
        </w:tc>
        <w:tc>
          <w:tcPr>
            <w:tcW w:w="1458" w:type="dxa"/>
          </w:tcPr>
          <w:p w14:paraId="01467AC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Kenya; manufacturing sector; not oil &amp; gas</w:t>
            </w:r>
          </w:p>
        </w:tc>
      </w:tr>
      <w:tr w:rsidR="00C42D88" w:rsidRPr="000851BE" w14:paraId="2AA7E479" w14:textId="77777777">
        <w:trPr>
          <w:cantSplit/>
        </w:trPr>
        <w:tc>
          <w:tcPr>
            <w:tcW w:w="646" w:type="dxa"/>
            <w:shd w:val="clear" w:color="auto" w:fill="D9E2F3"/>
          </w:tcPr>
          <w:p w14:paraId="2E22B1A7"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22</w:t>
            </w:r>
          </w:p>
        </w:tc>
        <w:tc>
          <w:tcPr>
            <w:tcW w:w="1573" w:type="dxa"/>
            <w:shd w:val="clear" w:color="auto" w:fill="D9E2F3"/>
          </w:tcPr>
          <w:p w14:paraId="04061A5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Okoye &amp; Nzewi (2019) Nigeria</w:t>
            </w:r>
          </w:p>
        </w:tc>
        <w:tc>
          <w:tcPr>
            <w:tcW w:w="1458" w:type="dxa"/>
            <w:shd w:val="clear" w:color="auto" w:fill="D9E2F3"/>
          </w:tcPr>
          <w:p w14:paraId="792E36F0"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 xml:space="preserve">The Influence </w:t>
            </w:r>
            <w:proofErr w:type="gramStart"/>
            <w:r w:rsidRPr="000851BE">
              <w:rPr>
                <w:rFonts w:ascii="Times New Roman" w:hAnsi="Times New Roman"/>
                <w:sz w:val="20"/>
                <w:szCs w:val="20"/>
              </w:rPr>
              <w:t>Of</w:t>
            </w:r>
            <w:proofErr w:type="gramEnd"/>
            <w:r w:rsidRPr="000851BE">
              <w:rPr>
                <w:rFonts w:ascii="Times New Roman" w:hAnsi="Times New Roman"/>
                <w:sz w:val="20"/>
                <w:szCs w:val="20"/>
              </w:rPr>
              <w:t xml:space="preserve"> Environmental Accounting </w:t>
            </w:r>
            <w:proofErr w:type="gramStart"/>
            <w:r w:rsidRPr="000851BE">
              <w:rPr>
                <w:rFonts w:ascii="Times New Roman" w:hAnsi="Times New Roman"/>
                <w:sz w:val="20"/>
                <w:szCs w:val="20"/>
              </w:rPr>
              <w:t>On</w:t>
            </w:r>
            <w:proofErr w:type="gramEnd"/>
            <w:r w:rsidRPr="000851BE">
              <w:rPr>
                <w:rFonts w:ascii="Times New Roman" w:hAnsi="Times New Roman"/>
                <w:sz w:val="20"/>
                <w:szCs w:val="20"/>
              </w:rPr>
              <w:t xml:space="preserve"> Nigerian Oil And Gas Sector Firms' Financial Performance</w:t>
            </w:r>
          </w:p>
        </w:tc>
        <w:tc>
          <w:tcPr>
            <w:tcW w:w="1585" w:type="dxa"/>
            <w:shd w:val="clear" w:color="auto" w:fill="D9E2F3"/>
          </w:tcPr>
          <w:p w14:paraId="7CFE92E0"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Measure the impact of environmental accounting on financial performance</w:t>
            </w:r>
          </w:p>
        </w:tc>
        <w:tc>
          <w:tcPr>
            <w:tcW w:w="1434" w:type="dxa"/>
            <w:shd w:val="clear" w:color="auto" w:fill="D9E2F3"/>
          </w:tcPr>
          <w:p w14:paraId="4D55A35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Panel data regression; 10 oil &amp; gas firms; 2008-2017; Nigeria</w:t>
            </w:r>
          </w:p>
        </w:tc>
        <w:tc>
          <w:tcPr>
            <w:tcW w:w="1527" w:type="dxa"/>
            <w:shd w:val="clear" w:color="auto" w:fill="D9E2F3"/>
          </w:tcPr>
          <w:p w14:paraId="6969410F"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Costs related to community development proved to have a positive and significant effect on profitability</w:t>
            </w:r>
          </w:p>
        </w:tc>
        <w:tc>
          <w:tcPr>
            <w:tcW w:w="1458" w:type="dxa"/>
            <w:shd w:val="clear" w:color="auto" w:fill="D9E2F3"/>
          </w:tcPr>
          <w:p w14:paraId="05F1DC9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Data ends 2017; excludes post-PIA era</w:t>
            </w:r>
          </w:p>
        </w:tc>
      </w:tr>
      <w:tr w:rsidR="00C42D88" w:rsidRPr="000851BE" w14:paraId="33CE4D9D" w14:textId="77777777">
        <w:trPr>
          <w:cantSplit/>
        </w:trPr>
        <w:tc>
          <w:tcPr>
            <w:tcW w:w="646" w:type="dxa"/>
          </w:tcPr>
          <w:p w14:paraId="05F4AD1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23</w:t>
            </w:r>
          </w:p>
        </w:tc>
        <w:tc>
          <w:tcPr>
            <w:tcW w:w="1573" w:type="dxa"/>
          </w:tcPr>
          <w:p w14:paraId="16A1B2A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Emeka-Nwokeji (2019) Nigeria</w:t>
            </w:r>
          </w:p>
        </w:tc>
        <w:tc>
          <w:tcPr>
            <w:tcW w:w="1458" w:type="dxa"/>
          </w:tcPr>
          <w:p w14:paraId="544FCCAB"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Disclosure of environmental cost and profitability of manufacturing companies in Nigeria</w:t>
            </w:r>
          </w:p>
        </w:tc>
        <w:tc>
          <w:tcPr>
            <w:tcW w:w="1585" w:type="dxa"/>
          </w:tcPr>
          <w:p w14:paraId="146B9CB5"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To determine whether or not environmental cost disclosure influences the post tax profit</w:t>
            </w:r>
          </w:p>
        </w:tc>
        <w:tc>
          <w:tcPr>
            <w:tcW w:w="1434" w:type="dxa"/>
          </w:tcPr>
          <w:p w14:paraId="7F67846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manufacturing firms; Nigeria</w:t>
            </w:r>
          </w:p>
        </w:tc>
        <w:tc>
          <w:tcPr>
            <w:tcW w:w="1527" w:type="dxa"/>
          </w:tcPr>
          <w:p w14:paraId="414F232F"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Cost disclosure and PAT - positive significant correlation</w:t>
            </w:r>
          </w:p>
        </w:tc>
        <w:tc>
          <w:tcPr>
            <w:tcW w:w="1458" w:type="dxa"/>
          </w:tcPr>
          <w:p w14:paraId="14058BB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Manufacturing sector; excludes oil &amp; gas</w:t>
            </w:r>
          </w:p>
        </w:tc>
      </w:tr>
      <w:tr w:rsidR="00C42D88" w:rsidRPr="000851BE" w14:paraId="4487DF3F" w14:textId="77777777">
        <w:trPr>
          <w:cantSplit/>
        </w:trPr>
        <w:tc>
          <w:tcPr>
            <w:tcW w:w="646" w:type="dxa"/>
            <w:shd w:val="clear" w:color="auto" w:fill="D9E2F3"/>
          </w:tcPr>
          <w:p w14:paraId="0C846138" w14:textId="4AE86E03"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lastRenderedPageBreak/>
              <w:t>24</w:t>
            </w:r>
          </w:p>
        </w:tc>
        <w:tc>
          <w:tcPr>
            <w:tcW w:w="1573" w:type="dxa"/>
            <w:shd w:val="clear" w:color="auto" w:fill="D9E2F3"/>
          </w:tcPr>
          <w:p w14:paraId="4D926B5F" w14:textId="67FECF31" w:rsidR="00C42D88" w:rsidRPr="000851BE" w:rsidRDefault="00123B0E" w:rsidP="00D5503E">
            <w:pPr>
              <w:spacing w:after="0" w:line="240" w:lineRule="auto"/>
              <w:rPr>
                <w:rFonts w:ascii="Times New Roman" w:hAnsi="Times New Roman"/>
                <w:sz w:val="20"/>
                <w:szCs w:val="20"/>
              </w:rPr>
            </w:pPr>
            <w:proofErr w:type="spellStart"/>
            <w:r w:rsidRPr="000851BE">
              <w:rPr>
                <w:rFonts w:ascii="Times New Roman" w:hAnsi="Times New Roman"/>
                <w:sz w:val="20"/>
                <w:szCs w:val="20"/>
              </w:rPr>
              <w:t>Iliemena</w:t>
            </w:r>
            <w:proofErr w:type="spellEnd"/>
            <w:r w:rsidRPr="000851BE">
              <w:rPr>
                <w:rFonts w:ascii="Times New Roman" w:hAnsi="Times New Roman"/>
                <w:sz w:val="20"/>
                <w:szCs w:val="20"/>
              </w:rPr>
              <w:t xml:space="preserve"> (2020) Nigeria</w:t>
            </w:r>
          </w:p>
        </w:tc>
        <w:tc>
          <w:tcPr>
            <w:tcW w:w="1458" w:type="dxa"/>
            <w:shd w:val="clear" w:color="auto" w:fill="D9E2F3"/>
          </w:tcPr>
          <w:p w14:paraId="052E070A" w14:textId="51D14DCB" w:rsidR="00C42D88" w:rsidRPr="000851BE" w:rsidRDefault="00414876" w:rsidP="00D5503E">
            <w:pPr>
              <w:spacing w:after="0" w:line="240" w:lineRule="auto"/>
              <w:rPr>
                <w:rFonts w:ascii="Times New Roman" w:hAnsi="Times New Roman"/>
                <w:sz w:val="20"/>
                <w:szCs w:val="20"/>
              </w:rPr>
            </w:pPr>
            <w:r>
              <w:rPr>
                <w:noProof/>
              </w:rPr>
              <mc:AlternateContent>
                <mc:Choice Requires="wps">
                  <w:drawing>
                    <wp:anchor distT="0" distB="0" distL="114300" distR="114300" simplePos="0" relativeHeight="251669504" behindDoc="0" locked="0" layoutInCell="1" allowOverlap="1" wp14:anchorId="03A59A5F" wp14:editId="1FC982D5">
                      <wp:simplePos x="0" y="0"/>
                      <wp:positionH relativeFrom="column">
                        <wp:posOffset>-1472748</wp:posOffset>
                      </wp:positionH>
                      <wp:positionV relativeFrom="paragraph">
                        <wp:posOffset>-426911</wp:posOffset>
                      </wp:positionV>
                      <wp:extent cx="3876261" cy="298174"/>
                      <wp:effectExtent l="0" t="0" r="0" b="6985"/>
                      <wp:wrapNone/>
                      <wp:docPr id="1825698360" name="Text Box 2"/>
                      <wp:cNvGraphicFramePr/>
                      <a:graphic xmlns:a="http://schemas.openxmlformats.org/drawingml/2006/main">
                        <a:graphicData uri="http://schemas.microsoft.com/office/word/2010/wordprocessingShape">
                          <wps:wsp>
                            <wps:cNvSpPr txBox="1"/>
                            <wps:spPr>
                              <a:xfrm>
                                <a:off x="0" y="0"/>
                                <a:ext cx="3876261" cy="298174"/>
                              </a:xfrm>
                              <a:prstGeom prst="rect">
                                <a:avLst/>
                              </a:prstGeom>
                              <a:noFill/>
                              <a:ln w="6350">
                                <a:noFill/>
                              </a:ln>
                            </wps:spPr>
                            <wps:txbx>
                              <w:txbxContent>
                                <w:p w14:paraId="468A8074"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A59A5F" id="_x0000_s1029" type="#_x0000_t202" style="position:absolute;left:0;text-align:left;margin-left:-115.95pt;margin-top:-33.6pt;width:305.2pt;height:23.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" filled="f" stroked="f" strokeweight=".5pt">
                      <v:textbox>
                        <w:txbxContent>
                          <w:p w14:paraId="468A8074" w14:textId="77777777" w:rsidR="00EA015D" w:rsidRPr="00EA015D" w:rsidRDefault="00EA015D" w:rsidP="00EA015D">
                            <w:pPr>
                              <w:rPr>
                                <w:rFonts w:ascii="Times New Roman" w:hAnsi="Times New Roman"/>
                                <w:sz w:val="24"/>
                                <w:szCs w:val="24"/>
                              </w:rPr>
                            </w:pPr>
                            <w:r w:rsidRPr="00EA015D">
                              <w:rPr>
                                <w:rFonts w:ascii="Times New Roman" w:hAnsi="Times New Roman"/>
                                <w:sz w:val="24"/>
                                <w:szCs w:val="24"/>
                              </w:rPr>
                              <w:t>Table 2.1: Summary of Empirical Review Contd.</w:t>
                            </w:r>
                          </w:p>
                        </w:txbxContent>
                      </v:textbox>
                    </v:shape>
                  </w:pict>
                </mc:Fallback>
              </mc:AlternateContent>
            </w:r>
            <w:r w:rsidR="00123B0E" w:rsidRPr="000851BE">
              <w:rPr>
                <w:rFonts w:ascii="Times New Roman" w:hAnsi="Times New Roman"/>
                <w:sz w:val="20"/>
                <w:szCs w:val="20"/>
              </w:rPr>
              <w:t>Financial implications of non-observance of environmental accounting practices</w:t>
            </w:r>
          </w:p>
        </w:tc>
        <w:tc>
          <w:tcPr>
            <w:tcW w:w="1585" w:type="dxa"/>
            <w:shd w:val="clear" w:color="auto" w:fill="D9E2F3"/>
          </w:tcPr>
          <w:p w14:paraId="51D0B0D8" w14:textId="02D0E47D"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consequences of not applying environmental accounting</w:t>
            </w:r>
          </w:p>
        </w:tc>
        <w:tc>
          <w:tcPr>
            <w:tcW w:w="1434" w:type="dxa"/>
            <w:shd w:val="clear" w:color="auto" w:fill="D9E2F3"/>
          </w:tcPr>
          <w:p w14:paraId="4E1D40B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Descriptive; Nigerian firms</w:t>
            </w:r>
          </w:p>
        </w:tc>
        <w:tc>
          <w:tcPr>
            <w:tcW w:w="1527" w:type="dxa"/>
            <w:shd w:val="clear" w:color="auto" w:fill="D9E2F3"/>
          </w:tcPr>
          <w:p w14:paraId="53494636" w14:textId="64BED043"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Positive relationship between non-observance and higher operating costs</w:t>
            </w:r>
          </w:p>
        </w:tc>
        <w:tc>
          <w:tcPr>
            <w:tcW w:w="1458" w:type="dxa"/>
            <w:shd w:val="clear" w:color="auto" w:fill="D9E2F3"/>
          </w:tcPr>
          <w:p w14:paraId="3D175E4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Broad sector; not disaggregated by cost type</w:t>
            </w:r>
          </w:p>
        </w:tc>
      </w:tr>
      <w:tr w:rsidR="00C42D88" w:rsidRPr="000851BE" w14:paraId="643FA132" w14:textId="77777777">
        <w:trPr>
          <w:cantSplit/>
        </w:trPr>
        <w:tc>
          <w:tcPr>
            <w:tcW w:w="646" w:type="dxa"/>
          </w:tcPr>
          <w:p w14:paraId="2B8C427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25</w:t>
            </w:r>
          </w:p>
        </w:tc>
        <w:tc>
          <w:tcPr>
            <w:tcW w:w="1573" w:type="dxa"/>
          </w:tcPr>
          <w:p w14:paraId="3EDF7DA4"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Abdullahi &amp; Abubakar (2020) Nigeria</w:t>
            </w:r>
          </w:p>
        </w:tc>
        <w:tc>
          <w:tcPr>
            <w:tcW w:w="1458" w:type="dxa"/>
          </w:tcPr>
          <w:p w14:paraId="1EE3DA51"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The relationship between environmental accounting and financial performance among listed industrial goods firms in Nigeria</w:t>
            </w:r>
          </w:p>
        </w:tc>
        <w:tc>
          <w:tcPr>
            <w:tcW w:w="1585" w:type="dxa"/>
          </w:tcPr>
          <w:p w14:paraId="263B11D2"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Attempt to gauge the correlation in between accounting practices pertaining to setting and fiscal results</w:t>
            </w:r>
          </w:p>
        </w:tc>
        <w:tc>
          <w:tcPr>
            <w:tcW w:w="1434" w:type="dxa"/>
          </w:tcPr>
          <w:p w14:paraId="4327683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Regression; industrial goods sub-sector; NGX; Nigeria</w:t>
            </w:r>
          </w:p>
        </w:tc>
        <w:tc>
          <w:tcPr>
            <w:tcW w:w="1527" w:type="dxa"/>
          </w:tcPr>
          <w:p w14:paraId="59D54E3C"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There appears to be no significant correlation between environmental performance and financial performance</w:t>
            </w:r>
          </w:p>
        </w:tc>
        <w:tc>
          <w:tcPr>
            <w:tcW w:w="1458" w:type="dxa"/>
          </w:tcPr>
          <w:p w14:paraId="6727283D"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Industrial goods sector; different regulatory environment</w:t>
            </w:r>
          </w:p>
        </w:tc>
      </w:tr>
      <w:tr w:rsidR="00C42D88" w:rsidRPr="000851BE" w14:paraId="34C7E309" w14:textId="77777777">
        <w:trPr>
          <w:cantSplit/>
        </w:trPr>
        <w:tc>
          <w:tcPr>
            <w:tcW w:w="646" w:type="dxa"/>
            <w:shd w:val="clear" w:color="auto" w:fill="D9E2F3"/>
          </w:tcPr>
          <w:p w14:paraId="7817F0B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26</w:t>
            </w:r>
          </w:p>
        </w:tc>
        <w:tc>
          <w:tcPr>
            <w:tcW w:w="1573" w:type="dxa"/>
            <w:shd w:val="clear" w:color="auto" w:fill="D9E2F3"/>
          </w:tcPr>
          <w:p w14:paraId="497AE92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Okonkwo (2021) Nigeria</w:t>
            </w:r>
          </w:p>
        </w:tc>
        <w:tc>
          <w:tcPr>
            <w:tcW w:w="1458" w:type="dxa"/>
            <w:shd w:val="clear" w:color="auto" w:fill="D9E2F3"/>
          </w:tcPr>
          <w:p w14:paraId="0B509335" w14:textId="77777777" w:rsidR="00C42D88" w:rsidRPr="000851BE" w:rsidRDefault="0057768F" w:rsidP="00D5503E">
            <w:pPr>
              <w:spacing w:after="0" w:line="240" w:lineRule="auto"/>
              <w:rPr>
                <w:rFonts w:ascii="Times New Roman" w:hAnsi="Times New Roman"/>
                <w:sz w:val="20"/>
                <w:szCs w:val="20"/>
              </w:rPr>
            </w:pPr>
            <w:r w:rsidRPr="000851BE">
              <w:rPr>
                <w:rFonts w:ascii="Times New Roman" w:hAnsi="Times New Roman"/>
                <w:sz w:val="20"/>
                <w:szCs w:val="20"/>
              </w:rPr>
              <w:t>Pollution prevention costs and firm profitability of manufacturing companies in Nigeria</w:t>
            </w:r>
          </w:p>
        </w:tc>
        <w:tc>
          <w:tcPr>
            <w:tcW w:w="1585" w:type="dxa"/>
            <w:shd w:val="clear" w:color="auto" w:fill="D9E2F3"/>
          </w:tcPr>
          <w:p w14:paraId="2D2C17A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effect of pollution prevention expenditure on profitability</w:t>
            </w:r>
          </w:p>
        </w:tc>
        <w:tc>
          <w:tcPr>
            <w:tcW w:w="1434" w:type="dxa"/>
            <w:shd w:val="clear" w:color="auto" w:fill="D9E2F3"/>
          </w:tcPr>
          <w:p w14:paraId="0F93E20C"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Panel data; manufacturing firms; Nigeria</w:t>
            </w:r>
          </w:p>
        </w:tc>
        <w:tc>
          <w:tcPr>
            <w:tcW w:w="1527" w:type="dxa"/>
            <w:shd w:val="clear" w:color="auto" w:fill="D9E2F3"/>
          </w:tcPr>
          <w:p w14:paraId="3753965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Prevention cost far less than remediation; positive long-run relationship</w:t>
            </w:r>
          </w:p>
        </w:tc>
        <w:tc>
          <w:tcPr>
            <w:tcW w:w="1458" w:type="dxa"/>
            <w:shd w:val="clear" w:color="auto" w:fill="D9E2F3"/>
          </w:tcPr>
          <w:p w14:paraId="1CBA5E7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Manufacturing sector; not oil &amp; gas</w:t>
            </w:r>
          </w:p>
        </w:tc>
      </w:tr>
      <w:tr w:rsidR="00C42D88" w:rsidRPr="000851BE" w14:paraId="0E3705B2" w14:textId="77777777">
        <w:trPr>
          <w:cantSplit/>
        </w:trPr>
        <w:tc>
          <w:tcPr>
            <w:tcW w:w="646" w:type="dxa"/>
          </w:tcPr>
          <w:p w14:paraId="735DB33F"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27</w:t>
            </w:r>
          </w:p>
        </w:tc>
        <w:tc>
          <w:tcPr>
            <w:tcW w:w="1573" w:type="dxa"/>
          </w:tcPr>
          <w:p w14:paraId="6CB2761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Okafor &amp; Amahalu (2023) Nigeria</w:t>
            </w:r>
          </w:p>
        </w:tc>
        <w:tc>
          <w:tcPr>
            <w:tcW w:w="1458" w:type="dxa"/>
          </w:tcPr>
          <w:p w14:paraId="15683F86" w14:textId="77777777" w:rsidR="00C42D88" w:rsidRPr="000851BE" w:rsidRDefault="00251A38" w:rsidP="00D5503E">
            <w:pPr>
              <w:spacing w:after="0" w:line="240" w:lineRule="auto"/>
              <w:rPr>
                <w:rFonts w:ascii="Times New Roman" w:hAnsi="Times New Roman"/>
                <w:sz w:val="20"/>
                <w:szCs w:val="20"/>
              </w:rPr>
            </w:pPr>
            <w:r w:rsidRPr="000851BE">
              <w:rPr>
                <w:rFonts w:ascii="Times New Roman" w:hAnsi="Times New Roman"/>
                <w:sz w:val="20"/>
                <w:szCs w:val="20"/>
              </w:rPr>
              <w:t>Environmental accounting application and compliance to regulations in Nigerian oil &amp; gas</w:t>
            </w:r>
          </w:p>
        </w:tc>
        <w:tc>
          <w:tcPr>
            <w:tcW w:w="1585" w:type="dxa"/>
          </w:tcPr>
          <w:p w14:paraId="5B59A6F5"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analyze environmental accounting and regulatory compliance</w:t>
            </w:r>
          </w:p>
        </w:tc>
        <w:tc>
          <w:tcPr>
            <w:tcW w:w="1434" w:type="dxa"/>
          </w:tcPr>
          <w:p w14:paraId="1966F673"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Survey &amp; documentary analysis; oil &amp; gas sector; Nigeria</w:t>
            </w:r>
          </w:p>
        </w:tc>
        <w:tc>
          <w:tcPr>
            <w:tcW w:w="1527" w:type="dxa"/>
          </w:tcPr>
          <w:p w14:paraId="1E094D6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Stronger environmental accounting systems led to fewer regulatory fines</w:t>
            </w:r>
          </w:p>
        </w:tc>
        <w:tc>
          <w:tcPr>
            <w:tcW w:w="1458" w:type="dxa"/>
          </w:tcPr>
          <w:p w14:paraId="65EB480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Limited sample; compliance-focused not profitability</w:t>
            </w:r>
          </w:p>
        </w:tc>
      </w:tr>
      <w:tr w:rsidR="00C42D88" w:rsidRPr="000851BE" w14:paraId="6F2DA26A" w14:textId="77777777">
        <w:trPr>
          <w:cantSplit/>
        </w:trPr>
        <w:tc>
          <w:tcPr>
            <w:tcW w:w="646" w:type="dxa"/>
            <w:shd w:val="clear" w:color="auto" w:fill="D9E2F3"/>
          </w:tcPr>
          <w:p w14:paraId="6FE22646"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28</w:t>
            </w:r>
          </w:p>
        </w:tc>
        <w:tc>
          <w:tcPr>
            <w:tcW w:w="1573" w:type="dxa"/>
            <w:shd w:val="clear" w:color="auto" w:fill="D9E2F3"/>
          </w:tcPr>
          <w:p w14:paraId="51E3368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Abidoye et al. (2023) Nigeria</w:t>
            </w:r>
          </w:p>
        </w:tc>
        <w:tc>
          <w:tcPr>
            <w:tcW w:w="1458" w:type="dxa"/>
            <w:shd w:val="clear" w:color="auto" w:fill="D9E2F3"/>
          </w:tcPr>
          <w:p w14:paraId="14AEBC12" w14:textId="77777777" w:rsidR="00C42D88" w:rsidRPr="000851BE" w:rsidRDefault="00251A38" w:rsidP="00D5503E">
            <w:pPr>
              <w:spacing w:after="0" w:line="240" w:lineRule="auto"/>
              <w:rPr>
                <w:rFonts w:ascii="Times New Roman" w:hAnsi="Times New Roman"/>
                <w:sz w:val="20"/>
                <w:szCs w:val="20"/>
              </w:rPr>
            </w:pPr>
            <w:r w:rsidRPr="000851BE">
              <w:rPr>
                <w:rFonts w:ascii="Times New Roman" w:hAnsi="Times New Roman"/>
                <w:sz w:val="20"/>
                <w:szCs w:val="20"/>
              </w:rPr>
              <w:t>Impact of Environmental Accounting Disclosures on Financial Performance of Nigerian Listed Oil and Gas firms: (2011-2020)</w:t>
            </w:r>
          </w:p>
        </w:tc>
        <w:tc>
          <w:tcPr>
            <w:tcW w:w="1585" w:type="dxa"/>
            <w:shd w:val="clear" w:color="auto" w:fill="D9E2F3"/>
          </w:tcPr>
          <w:p w14:paraId="0E71C3C7" w14:textId="77777777" w:rsidR="00C42D88" w:rsidRPr="000851BE" w:rsidRDefault="00251A38" w:rsidP="00D5503E">
            <w:pPr>
              <w:spacing w:after="0" w:line="240" w:lineRule="auto"/>
              <w:rPr>
                <w:rFonts w:ascii="Times New Roman" w:hAnsi="Times New Roman"/>
                <w:sz w:val="20"/>
                <w:szCs w:val="20"/>
              </w:rPr>
            </w:pPr>
            <w:r w:rsidRPr="000851BE">
              <w:rPr>
                <w:rFonts w:ascii="Times New Roman" w:hAnsi="Times New Roman"/>
                <w:sz w:val="20"/>
                <w:szCs w:val="20"/>
              </w:rPr>
              <w:t>Study the environmental disclosure effect on the company financial performance.</w:t>
            </w:r>
          </w:p>
        </w:tc>
        <w:tc>
          <w:tcPr>
            <w:tcW w:w="1434" w:type="dxa"/>
            <w:shd w:val="clear" w:color="auto" w:fill="D9E2F3"/>
          </w:tcPr>
          <w:p w14:paraId="3D70567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Panel regression; oil &amp; gas; 2011-2020; Nigeria</w:t>
            </w:r>
          </w:p>
        </w:tc>
        <w:tc>
          <w:tcPr>
            <w:tcW w:w="1527" w:type="dxa"/>
            <w:shd w:val="clear" w:color="auto" w:fill="D9E2F3"/>
          </w:tcPr>
          <w:p w14:paraId="19B24E1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Negative but statistically insignificant relationship</w:t>
            </w:r>
          </w:p>
        </w:tc>
        <w:tc>
          <w:tcPr>
            <w:tcW w:w="1458" w:type="dxa"/>
            <w:shd w:val="clear" w:color="auto" w:fill="D9E2F3"/>
          </w:tcPr>
          <w:p w14:paraId="686B15B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Data ends 2020; does not capture post-PIA 2021 effects</w:t>
            </w:r>
          </w:p>
        </w:tc>
      </w:tr>
      <w:tr w:rsidR="00C42D88" w:rsidRPr="000851BE" w14:paraId="3329AAB2" w14:textId="77777777">
        <w:trPr>
          <w:cantSplit/>
        </w:trPr>
        <w:tc>
          <w:tcPr>
            <w:tcW w:w="646" w:type="dxa"/>
          </w:tcPr>
          <w:p w14:paraId="44BCA38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29</w:t>
            </w:r>
          </w:p>
        </w:tc>
        <w:tc>
          <w:tcPr>
            <w:tcW w:w="1573" w:type="dxa"/>
          </w:tcPr>
          <w:p w14:paraId="13DA8F5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Chude et al. (2023) Nigeria</w:t>
            </w:r>
          </w:p>
        </w:tc>
        <w:tc>
          <w:tcPr>
            <w:tcW w:w="1458" w:type="dxa"/>
          </w:tcPr>
          <w:p w14:paraId="42B8FA61" w14:textId="77777777" w:rsidR="00C42D88" w:rsidRPr="000851BE" w:rsidRDefault="00251A38" w:rsidP="00D5503E">
            <w:pPr>
              <w:spacing w:after="0" w:line="240" w:lineRule="auto"/>
              <w:rPr>
                <w:rFonts w:ascii="Times New Roman" w:hAnsi="Times New Roman"/>
                <w:sz w:val="20"/>
                <w:szCs w:val="20"/>
              </w:rPr>
            </w:pPr>
            <w:r w:rsidRPr="000851BE">
              <w:rPr>
                <w:rFonts w:ascii="Times New Roman" w:hAnsi="Times New Roman"/>
                <w:sz w:val="20"/>
                <w:szCs w:val="20"/>
              </w:rPr>
              <w:t xml:space="preserve">Adoption Challenges of Environmental Accounting </w:t>
            </w:r>
            <w:proofErr w:type="gramStart"/>
            <w:r w:rsidRPr="000851BE">
              <w:rPr>
                <w:rFonts w:ascii="Times New Roman" w:hAnsi="Times New Roman"/>
                <w:sz w:val="20"/>
                <w:szCs w:val="20"/>
              </w:rPr>
              <w:t>In</w:t>
            </w:r>
            <w:proofErr w:type="gramEnd"/>
            <w:r w:rsidRPr="000851BE">
              <w:rPr>
                <w:rFonts w:ascii="Times New Roman" w:hAnsi="Times New Roman"/>
                <w:sz w:val="20"/>
                <w:szCs w:val="20"/>
              </w:rPr>
              <w:t xml:space="preserve"> Nigeria</w:t>
            </w:r>
          </w:p>
        </w:tc>
        <w:tc>
          <w:tcPr>
            <w:tcW w:w="1585" w:type="dxa"/>
          </w:tcPr>
          <w:p w14:paraId="4D6A40EA"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assess challenges and costs of environmental accounting adoption</w:t>
            </w:r>
          </w:p>
        </w:tc>
        <w:tc>
          <w:tcPr>
            <w:tcW w:w="1434" w:type="dxa"/>
          </w:tcPr>
          <w:p w14:paraId="00493D82"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Survey; Nigerian firms</w:t>
            </w:r>
          </w:p>
        </w:tc>
        <w:tc>
          <w:tcPr>
            <w:tcW w:w="1527" w:type="dxa"/>
          </w:tcPr>
          <w:p w14:paraId="14C9584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Technical know-how gap; consultant costs outweigh financial benefits</w:t>
            </w:r>
          </w:p>
        </w:tc>
        <w:tc>
          <w:tcPr>
            <w:tcW w:w="1458" w:type="dxa"/>
          </w:tcPr>
          <w:p w14:paraId="0B4D650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Qualitative focus; limited statistical rigor</w:t>
            </w:r>
          </w:p>
        </w:tc>
      </w:tr>
      <w:tr w:rsidR="00C42D88" w:rsidRPr="000851BE" w14:paraId="74DA0B44" w14:textId="77777777">
        <w:trPr>
          <w:cantSplit/>
        </w:trPr>
        <w:tc>
          <w:tcPr>
            <w:tcW w:w="646" w:type="dxa"/>
            <w:shd w:val="clear" w:color="auto" w:fill="D9E2F3"/>
          </w:tcPr>
          <w:p w14:paraId="608642F0"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lastRenderedPageBreak/>
              <w:t>30</w:t>
            </w:r>
          </w:p>
        </w:tc>
        <w:tc>
          <w:tcPr>
            <w:tcW w:w="1573" w:type="dxa"/>
            <w:shd w:val="clear" w:color="auto" w:fill="D9E2F3"/>
          </w:tcPr>
          <w:p w14:paraId="19C2E02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Ezekwere &amp; Ikilidi (2024) Nigeria</w:t>
            </w:r>
          </w:p>
        </w:tc>
        <w:tc>
          <w:tcPr>
            <w:tcW w:w="1458" w:type="dxa"/>
            <w:shd w:val="clear" w:color="auto" w:fill="D9E2F3"/>
          </w:tcPr>
          <w:p w14:paraId="641E38BE" w14:textId="77777777" w:rsidR="00C42D88" w:rsidRPr="000851BE" w:rsidRDefault="00251A38" w:rsidP="00D5503E">
            <w:pPr>
              <w:spacing w:after="0" w:line="240" w:lineRule="auto"/>
              <w:rPr>
                <w:rFonts w:ascii="Times New Roman" w:hAnsi="Times New Roman"/>
                <w:sz w:val="20"/>
                <w:szCs w:val="20"/>
              </w:rPr>
            </w:pPr>
            <w:r w:rsidRPr="000851BE">
              <w:rPr>
                <w:rFonts w:ascii="Times New Roman" w:hAnsi="Times New Roman"/>
                <w:sz w:val="20"/>
                <w:szCs w:val="20"/>
              </w:rPr>
              <w:t>Adoption of green accounting and liquidity management for Nigeria oil firm</w:t>
            </w:r>
          </w:p>
        </w:tc>
        <w:tc>
          <w:tcPr>
            <w:tcW w:w="1585" w:type="dxa"/>
            <w:shd w:val="clear" w:color="auto" w:fill="D9E2F3"/>
          </w:tcPr>
          <w:p w14:paraId="7673C589"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To examine burden of adoption on smaller firm sizes</w:t>
            </w:r>
          </w:p>
        </w:tc>
        <w:tc>
          <w:tcPr>
            <w:tcW w:w="1434" w:type="dxa"/>
            <w:shd w:val="clear" w:color="auto" w:fill="D9E2F3"/>
          </w:tcPr>
          <w:p w14:paraId="526E03EB"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Descriptive &amp; regression; small oil firms; Nigeria</w:t>
            </w:r>
          </w:p>
        </w:tc>
        <w:tc>
          <w:tcPr>
            <w:tcW w:w="1527" w:type="dxa"/>
            <w:shd w:val="clear" w:color="auto" w:fill="D9E2F3"/>
          </w:tcPr>
          <w:p w14:paraId="61991E9E"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High implementation cost harmed short-term liquidity of small oil firms</w:t>
            </w:r>
          </w:p>
        </w:tc>
        <w:tc>
          <w:tcPr>
            <w:tcW w:w="1458" w:type="dxa"/>
            <w:shd w:val="clear" w:color="auto" w:fill="D9E2F3"/>
          </w:tcPr>
          <w:p w14:paraId="4A3881D8" w14:textId="77777777" w:rsidR="00C42D88" w:rsidRPr="000851BE" w:rsidRDefault="00123B0E" w:rsidP="00D5503E">
            <w:pPr>
              <w:spacing w:after="0" w:line="240" w:lineRule="auto"/>
              <w:rPr>
                <w:rFonts w:ascii="Times New Roman" w:hAnsi="Times New Roman"/>
                <w:sz w:val="20"/>
                <w:szCs w:val="20"/>
              </w:rPr>
            </w:pPr>
            <w:r w:rsidRPr="000851BE">
              <w:rPr>
                <w:rFonts w:ascii="Times New Roman" w:hAnsi="Times New Roman"/>
                <w:sz w:val="20"/>
                <w:szCs w:val="20"/>
              </w:rPr>
              <w:t>Liquidity focus; small firms only; not large-cap</w:t>
            </w:r>
          </w:p>
        </w:tc>
      </w:tr>
    </w:tbl>
    <w:p w14:paraId="6BEF1AB3" w14:textId="251ABEFE" w:rsidR="00C42D88" w:rsidRPr="005140D9" w:rsidRDefault="00EA015D">
      <w:pPr>
        <w:spacing w:line="480" w:lineRule="auto"/>
        <w:jc w:val="both"/>
        <w:rPr>
          <w:rFonts w:ascii="Times New Roman" w:hAnsi="Times New Roman"/>
          <w:b/>
          <w:bCs/>
          <w:sz w:val="24"/>
          <w:szCs w:val="24"/>
        </w:rPr>
      </w:pPr>
      <w:r>
        <w:rPr>
          <w:noProof/>
        </w:rPr>
        <mc:AlternateContent>
          <mc:Choice Requires="wps">
            <w:drawing>
              <wp:anchor distT="0" distB="0" distL="114300" distR="114300" simplePos="0" relativeHeight="251659264" behindDoc="0" locked="0" layoutInCell="1" allowOverlap="1" wp14:anchorId="087C0210" wp14:editId="63F19891">
                <wp:simplePos x="0" y="0"/>
                <wp:positionH relativeFrom="column">
                  <wp:posOffset>28575</wp:posOffset>
                </wp:positionH>
                <wp:positionV relativeFrom="paragraph">
                  <wp:posOffset>-1350949</wp:posOffset>
                </wp:positionV>
                <wp:extent cx="3876261" cy="298174"/>
                <wp:effectExtent l="0" t="0" r="0" b="6985"/>
                <wp:wrapNone/>
                <wp:docPr id="1575604444" name="Text Box 2"/>
                <wp:cNvGraphicFramePr/>
                <a:graphic xmlns:a="http://schemas.openxmlformats.org/drawingml/2006/main">
                  <a:graphicData uri="http://schemas.microsoft.com/office/word/2010/wordprocessingShape">
                    <wps:wsp>
                      <wps:cNvSpPr txBox="1"/>
                      <wps:spPr>
                        <a:xfrm>
                          <a:off x="0" y="0"/>
                          <a:ext cx="3876261" cy="298174"/>
                        </a:xfrm>
                        <a:prstGeom prst="rect">
                          <a:avLst/>
                        </a:prstGeom>
                        <a:noFill/>
                        <a:ln w="6350">
                          <a:noFill/>
                        </a:ln>
                      </wps:spPr>
                      <wps:txbx>
                        <w:txbxContent>
                          <w:p w14:paraId="432A46D4" w14:textId="08E46215" w:rsidR="005140D9" w:rsidRPr="00EA015D" w:rsidRDefault="005140D9">
                            <w:pPr>
                              <w:rPr>
                                <w:rFonts w:ascii="Times New Roman" w:hAnsi="Times New Roman"/>
                                <w:sz w:val="24"/>
                                <w:szCs w:val="24"/>
                              </w:rPr>
                            </w:pPr>
                            <w:r w:rsidRPr="00EA015D">
                              <w:rPr>
                                <w:rFonts w:ascii="Times New Roman" w:hAnsi="Times New Roman"/>
                                <w:sz w:val="24"/>
                                <w:szCs w:val="24"/>
                              </w:rPr>
                              <w:t>Table 2.1: Summa</w:t>
                            </w:r>
                            <w:r w:rsidR="00414876">
                              <w:rPr>
                                <w:rFonts w:ascii="Times New Roman" w:hAnsi="Times New Roman"/>
                                <w:sz w:val="24"/>
                                <w:szCs w:val="24"/>
                              </w:rPr>
                              <w:t>ry of Empirical Review Contd.</w:t>
                            </w:r>
                            <w:r w:rsidR="00EA015D" w:rsidRPr="00EA015D">
                              <w:rPr>
                                <w:rFonts w:ascii="Times New Roman" w:hAnsi="Times New Roman"/>
                                <w:noProof/>
                                <w:sz w:val="24"/>
                                <w:szCs w:val="24"/>
                              </w:rPr>
                              <w:drawing>
                                <wp:inline distT="0" distB="0" distL="0" distR="0" wp14:anchorId="0052BF4A" wp14:editId="57631208">
                                  <wp:extent cx="2649220" cy="200025"/>
                                  <wp:effectExtent l="0" t="0" r="0" b="0"/>
                                  <wp:docPr id="2073722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9220" cy="200025"/>
                                          </a:xfrm>
                                          <a:prstGeom prst="rect">
                                            <a:avLst/>
                                          </a:prstGeom>
                                          <a:noFill/>
                                          <a:ln>
                                            <a:noFill/>
                                          </a:ln>
                                        </pic:spPr>
                                      </pic:pic>
                                    </a:graphicData>
                                  </a:graphic>
                                </wp:inline>
                              </w:drawing>
                            </w:r>
                            <w:r w:rsidRPr="00EA015D">
                              <w:rPr>
                                <w:rFonts w:ascii="Times New Roman" w:hAnsi="Times New Roman"/>
                                <w:sz w:val="24"/>
                                <w:szCs w:val="24"/>
                              </w:rPr>
                              <w:t>ry of Empirical Review Contd.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7C0210" id="_x0000_s1030" type="#_x0000_t202" style="position:absolute;left:0;text-align:left;margin-left:2.25pt;margin-top:-106.35pt;width:305.2pt;height: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" filled="f" stroked="f" strokeweight=".5pt">
                <v:textbox>
                  <w:txbxContent>
                    <w:p w14:paraId="432A46D4" w14:textId="08E46215" w:rsidR="005140D9" w:rsidRPr="00EA015D" w:rsidRDefault="005140D9">
                      <w:pPr>
                        <w:rPr>
                          <w:rFonts w:ascii="Times New Roman" w:hAnsi="Times New Roman"/>
                          <w:sz w:val="24"/>
                          <w:szCs w:val="24"/>
                        </w:rPr>
                      </w:pPr>
                      <w:r w:rsidRPr="00EA015D">
                        <w:rPr>
                          <w:rFonts w:ascii="Times New Roman" w:hAnsi="Times New Roman"/>
                          <w:sz w:val="24"/>
                          <w:szCs w:val="24"/>
                        </w:rPr>
                        <w:t>Table 2.1: Summa</w:t>
                      </w:r>
                      <w:r w:rsidR="00414876">
                        <w:rPr>
                          <w:rFonts w:ascii="Times New Roman" w:hAnsi="Times New Roman"/>
                          <w:sz w:val="24"/>
                          <w:szCs w:val="24"/>
                        </w:rPr>
                        <w:t>ry of Empirical Review Contd.</w:t>
                      </w:r>
                      <w:r w:rsidR="00EA015D" w:rsidRPr="00EA015D">
                        <w:rPr>
                          <w:rFonts w:ascii="Times New Roman" w:hAnsi="Times New Roman"/>
                          <w:noProof/>
                          <w:sz w:val="24"/>
                          <w:szCs w:val="24"/>
                        </w:rPr>
                        <w:drawing>
                          <wp:inline distT="0" distB="0" distL="0" distR="0" wp14:anchorId="0052BF4A" wp14:editId="57631208">
                            <wp:extent cx="2649220" cy="200025"/>
                            <wp:effectExtent l="0" t="0" r="0" b="0"/>
                            <wp:docPr id="2073722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9220" cy="200025"/>
                                    </a:xfrm>
                                    <a:prstGeom prst="rect">
                                      <a:avLst/>
                                    </a:prstGeom>
                                    <a:noFill/>
                                    <a:ln>
                                      <a:noFill/>
                                    </a:ln>
                                  </pic:spPr>
                                </pic:pic>
                              </a:graphicData>
                            </a:graphic>
                          </wp:inline>
                        </w:drawing>
                      </w:r>
                      <w:proofErr w:type="spellStart"/>
                      <w:r w:rsidRPr="00EA015D">
                        <w:rPr>
                          <w:rFonts w:ascii="Times New Roman" w:hAnsi="Times New Roman"/>
                          <w:sz w:val="24"/>
                          <w:szCs w:val="24"/>
                        </w:rPr>
                        <w:t>ry</w:t>
                      </w:r>
                      <w:proofErr w:type="spellEnd"/>
                      <w:r w:rsidRPr="00EA015D">
                        <w:rPr>
                          <w:rFonts w:ascii="Times New Roman" w:hAnsi="Times New Roman"/>
                          <w:sz w:val="24"/>
                          <w:szCs w:val="24"/>
                        </w:rPr>
                        <w:t xml:space="preserve"> of Empirical Review Contd.</w:t>
                      </w:r>
                    </w:p>
                  </w:txbxContent>
                </v:textbox>
              </v:shape>
            </w:pict>
          </mc:Fallback>
        </mc:AlternateContent>
      </w:r>
      <w:r w:rsidR="005140D9">
        <w:rPr>
          <w:rFonts w:ascii="Times New Roman" w:hAnsi="Times New Roman"/>
          <w:b/>
          <w:bCs/>
          <w:sz w:val="24"/>
          <w:szCs w:val="24"/>
        </w:rPr>
        <w:t>Source: Researcher’s Compilation, 2026</w:t>
      </w:r>
    </w:p>
    <w:p w14:paraId="0624A19F" w14:textId="77777777" w:rsidR="00C42D88" w:rsidRPr="001C5B16" w:rsidRDefault="00123B0E">
      <w:pPr>
        <w:pStyle w:val="NormalWeb"/>
        <w:pBdr>
          <w:top w:val="none" w:sz="0" w:space="0" w:color="1F1F1F"/>
          <w:left w:val="none" w:sz="0" w:space="0" w:color="1F1F1F"/>
          <w:bottom w:val="none" w:sz="0" w:space="0" w:color="1F1F1F"/>
          <w:right w:val="none" w:sz="0" w:space="0" w:color="1F1F1F"/>
        </w:pBdr>
        <w:spacing w:beforeAutospacing="0" w:after="240" w:afterAutospacing="0" w:line="480" w:lineRule="auto"/>
        <w:jc w:val="both"/>
        <w:rPr>
          <w:rFonts w:eastAsia="sans-serif"/>
          <w:color w:val="1F1F1F"/>
        </w:rPr>
      </w:pPr>
      <w:r w:rsidRPr="001C5B16">
        <w:rPr>
          <w:rFonts w:eastAsia="sans-serif"/>
          <w:b/>
          <w:bCs/>
          <w:color w:val="1F1F1F"/>
        </w:rPr>
        <w:t>2.4 Gap in Literature</w:t>
      </w:r>
    </w:p>
    <w:p w14:paraId="46591792"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In spite of the sheer volume of literature that has been examined in the previous section, a critique of the thirty (30) studies shows several important gaps that make previous results unable to be applied to the present-day context of the Nigerian oil &amp; gas industry. It is these gaps, which span from methodological to contextual shortcomings that make the current research crucial to bridge them in the following areas:</w:t>
      </w:r>
    </w:p>
    <w:p w14:paraId="57400DBC" w14:textId="77777777" w:rsidR="00414876" w:rsidRDefault="00414876">
      <w:pPr>
        <w:spacing w:after="0" w:line="240" w:lineRule="auto"/>
        <w:rPr>
          <w:rFonts w:ascii="Times New Roman" w:eastAsia="sans-serif" w:hAnsi="Times New Roman"/>
          <w:b/>
          <w:bCs/>
          <w:color w:val="1F1F1F"/>
          <w:sz w:val="24"/>
          <w:szCs w:val="24"/>
        </w:rPr>
      </w:pPr>
      <w:r>
        <w:rPr>
          <w:rFonts w:ascii="Times New Roman" w:eastAsia="sans-serif" w:hAnsi="Times New Roman"/>
          <w:b/>
          <w:bCs/>
          <w:color w:val="1F1F1F"/>
          <w:sz w:val="24"/>
          <w:szCs w:val="24"/>
        </w:rPr>
        <w:br w:type="page"/>
      </w:r>
    </w:p>
    <w:p w14:paraId="62EA0877" w14:textId="4676D116" w:rsidR="00C42D88" w:rsidRPr="001C5B16" w:rsidRDefault="00123B0E">
      <w:pPr>
        <w:spacing w:line="480" w:lineRule="auto"/>
        <w:jc w:val="both"/>
        <w:rPr>
          <w:rFonts w:ascii="Times New Roman" w:eastAsia="sans-serif" w:hAnsi="Times New Roman"/>
          <w:b/>
          <w:bCs/>
          <w:color w:val="1F1F1F"/>
          <w:sz w:val="24"/>
          <w:szCs w:val="24"/>
        </w:rPr>
      </w:pPr>
      <w:r w:rsidRPr="001C5B16">
        <w:rPr>
          <w:rFonts w:ascii="Times New Roman" w:eastAsia="sans-serif" w:hAnsi="Times New Roman"/>
          <w:b/>
          <w:bCs/>
          <w:color w:val="1F1F1F"/>
          <w:sz w:val="24"/>
          <w:szCs w:val="24"/>
        </w:rPr>
        <w:lastRenderedPageBreak/>
        <w:t>2.4.1 The 'Post-PIA' Period Gap (Contextual Gap)</w:t>
      </w:r>
    </w:p>
    <w:p w14:paraId="4753A18F"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The most significant gap that stands out in the previous research is the temporal scope and legislation in the literature reviewed. While the majority of quality literature on this topic (e.g. Okoye &amp; Nzewi, 2019; Bassey et al., 2013; Adediran &amp; Alade, 2013) utilized data ending circa 2017/2018, two momentous occurrences which has since shaped the Nigerian oil &amp; gas industry have not been adequately captured:</w:t>
      </w:r>
    </w:p>
    <w:p w14:paraId="6E69CD1A"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The Petroleum Industry Act (PIA) 2021; The most transformative piece of legislation the Nigerian oil sector has ever seen, this Act shifts Community Development from a discretionary CSR practice into a compulsory statutory one (3% of OPEX) through the creation of the Host Communities Development Trust (HCDT). No major empirical study has examined the period between 2021 and 2024 and whether this mandatory cost affects corporate profitability.</w:t>
      </w:r>
    </w:p>
    <w:p w14:paraId="6BEE5CB2"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The COVID-19 Pandemic (2020); An event which resulted in an unprecedented fall in oil prices and required a revision of operating expenditures.</w:t>
      </w:r>
    </w:p>
    <w:p w14:paraId="32671B6A"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The current research seeks to extend the period of investigation until 2024 so that the implications of environmental accounting in a Post-PIA and Post-COVID-19 setting may be empirically examined.</w:t>
      </w:r>
    </w:p>
    <w:p w14:paraId="38938A00" w14:textId="77777777" w:rsidR="00C42D88" w:rsidRPr="001C5B16" w:rsidRDefault="00123B0E">
      <w:pPr>
        <w:spacing w:line="480" w:lineRule="auto"/>
        <w:jc w:val="both"/>
        <w:rPr>
          <w:rFonts w:ascii="Times New Roman" w:eastAsia="sans-serif" w:hAnsi="Times New Roman"/>
          <w:b/>
          <w:bCs/>
          <w:color w:val="1F1F1F"/>
          <w:sz w:val="24"/>
          <w:szCs w:val="24"/>
        </w:rPr>
      </w:pPr>
      <w:r w:rsidRPr="001C5B16">
        <w:rPr>
          <w:rFonts w:ascii="Times New Roman" w:eastAsia="sans-serif" w:hAnsi="Times New Roman"/>
          <w:b/>
          <w:bCs/>
          <w:color w:val="1F1F1F"/>
          <w:sz w:val="24"/>
          <w:szCs w:val="24"/>
        </w:rPr>
        <w:t>2.4.2 The Variable Decomposition Gap (Conceptual Gap)</w:t>
      </w:r>
    </w:p>
    <w:p w14:paraId="0F21E956"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 xml:space="preserve">Another methodological weakness present in the literature reviewed (e.g. Uadiale &amp; Mgbame, 2012; Abidoye et al., 2023) is that environmental costs are considered as a single lumped variable that may be termed "Environmental Cost" or "CSR Expenditure". This bundling of different types </w:t>
      </w:r>
      <w:r w:rsidRPr="001C5B16">
        <w:rPr>
          <w:rFonts w:ascii="Times New Roman" w:eastAsia="sans-serif" w:hAnsi="Times New Roman"/>
          <w:color w:val="1F1F1F"/>
          <w:sz w:val="24"/>
          <w:szCs w:val="24"/>
        </w:rPr>
        <w:lastRenderedPageBreak/>
        <w:t>of expenditure is scientifically problematic because all environmental expenditures don't behave the same way.</w:t>
      </w:r>
    </w:p>
    <w:p w14:paraId="230138B9"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Restoration costs are typically punitive costs that require cleaning up mess which could reduce profit.</w:t>
      </w:r>
    </w:p>
    <w:p w14:paraId="00E9D8B1"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Community Development costs on the other hand typically involves some form of preventative expenditure to ensure peace, which may improve profit.</w:t>
      </w:r>
    </w:p>
    <w:p w14:paraId="262ABCB8"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The combination of two contrasting forces may cancel each other out and lead to confusing and mixed results. This research bridges this gap by considering the following three as separate variables: Environmental Restoration Cost, Community Development Cost, and Waste Management Cost. This disaggregation will allow for a more granular insight into exactly which part of the company's spending determines its Return on Assets.</w:t>
      </w:r>
    </w:p>
    <w:p w14:paraId="50969E15"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Many prior researchers (e.g. Adediran &amp; Alade, 2013; Abdullahi &amp; Abubakar, 2020) pooled oil and gas companies together with other firms in different sectors such as construction, consumer goods, and the banking sector in order to boost their sample size.</w:t>
      </w:r>
    </w:p>
    <w:p w14:paraId="3D3B7CA9" w14:textId="77777777" w:rsidR="00C42D88" w:rsidRPr="001C5B16" w:rsidRDefault="00123B0E">
      <w:pPr>
        <w:spacing w:line="480" w:lineRule="auto"/>
        <w:jc w:val="both"/>
        <w:rPr>
          <w:rFonts w:ascii="Times New Roman" w:eastAsia="sans-serif" w:hAnsi="Times New Roman"/>
          <w:color w:val="1F1F1F"/>
          <w:sz w:val="24"/>
          <w:szCs w:val="24"/>
        </w:rPr>
      </w:pPr>
      <w:r w:rsidRPr="001C5B16">
        <w:rPr>
          <w:rFonts w:ascii="Times New Roman" w:eastAsia="sans-serif" w:hAnsi="Times New Roman"/>
          <w:color w:val="1F1F1F"/>
          <w:sz w:val="24"/>
          <w:szCs w:val="24"/>
        </w:rPr>
        <w:t>This method however dilutes the reliability and accuracy of the results derived. It is arguable that the environmental concerns for banks who produce little physical waste is completely different from the concerns that oil companies face with regards to sludge, gas flaring etc. Thus, a 'green' strategy for a bank differs greatly from that for an oil rig. By using only quoted Oil &amp; Gas companies as the population for study, the current research ensures that the data and resultant findings are highly applicable to the realities of this specific industry.</w:t>
      </w:r>
    </w:p>
    <w:p w14:paraId="2E2A2647" w14:textId="77777777" w:rsidR="00C42D88" w:rsidRPr="001C5B16" w:rsidRDefault="00123B0E">
      <w:pPr>
        <w:spacing w:line="480" w:lineRule="auto"/>
        <w:jc w:val="both"/>
        <w:rPr>
          <w:rFonts w:ascii="Times New Roman" w:hAnsi="Times New Roman"/>
          <w:sz w:val="24"/>
          <w:szCs w:val="24"/>
        </w:rPr>
      </w:pPr>
      <w:r w:rsidRPr="001C5B16">
        <w:rPr>
          <w:rFonts w:ascii="Times New Roman" w:eastAsia="sans-serif" w:hAnsi="Times New Roman"/>
          <w:color w:val="1F1F1F"/>
          <w:sz w:val="24"/>
          <w:szCs w:val="24"/>
        </w:rPr>
        <w:lastRenderedPageBreak/>
        <w:t>Lastly, there is a gap regarding the dependent variable that is being used to measure profitability. While studies such as Ezeagba et al. (2017) and Ahmad et al. (2017) focused on market related variables like earnings per share or share prices, market related metrics are heavily influenced by investor confidence, market speculation, and external shocks such as inflation and may not accurately reflect the underlying operational efficiency of the firm. This research specifically seeks to utilize the Return on Assets ratio (ROA). Return on Assets (ROA) is a true efficiency ratio that represents how effective a firm's management uses its tangible assets to generate profit. Environmental factors like pipeline sabotage or spillages have the effect of rendering assets unusable, thereby directly impacting Return on Assets (ROA) in the firm.</w:t>
      </w:r>
    </w:p>
    <w:p w14:paraId="220B4531" w14:textId="77777777" w:rsidR="00C42D88" w:rsidRPr="001C5B16" w:rsidRDefault="00C42D88">
      <w:pPr>
        <w:spacing w:line="480" w:lineRule="auto"/>
        <w:jc w:val="both"/>
        <w:rPr>
          <w:rFonts w:ascii="Times New Roman" w:hAnsi="Times New Roman"/>
          <w:sz w:val="24"/>
          <w:szCs w:val="24"/>
        </w:rPr>
      </w:pPr>
    </w:p>
    <w:p w14:paraId="256A22A6" w14:textId="77777777" w:rsidR="00C42D88" w:rsidRPr="001C5B16" w:rsidRDefault="00C42D88">
      <w:pPr>
        <w:spacing w:line="480" w:lineRule="auto"/>
        <w:jc w:val="both"/>
        <w:rPr>
          <w:rFonts w:ascii="Times New Roman" w:hAnsi="Times New Roman"/>
          <w:sz w:val="24"/>
          <w:szCs w:val="24"/>
        </w:rPr>
      </w:pPr>
    </w:p>
    <w:p w14:paraId="73BFF678" w14:textId="77777777" w:rsidR="00C42D88" w:rsidRPr="001C5B16" w:rsidRDefault="00C42D88">
      <w:pPr>
        <w:spacing w:line="480" w:lineRule="auto"/>
        <w:jc w:val="both"/>
        <w:rPr>
          <w:rFonts w:ascii="Times New Roman" w:hAnsi="Times New Roman"/>
          <w:sz w:val="24"/>
          <w:szCs w:val="24"/>
        </w:rPr>
      </w:pPr>
    </w:p>
    <w:p w14:paraId="265F5454" w14:textId="77777777" w:rsidR="00C42D88" w:rsidRPr="001C5B16" w:rsidRDefault="00C42D88">
      <w:pPr>
        <w:spacing w:line="480" w:lineRule="auto"/>
        <w:jc w:val="both"/>
        <w:rPr>
          <w:rFonts w:ascii="Times New Roman" w:hAnsi="Times New Roman"/>
          <w:sz w:val="24"/>
          <w:szCs w:val="24"/>
        </w:rPr>
      </w:pPr>
    </w:p>
    <w:p w14:paraId="3232E25F" w14:textId="77777777" w:rsidR="00C42D88" w:rsidRPr="001C5B16" w:rsidRDefault="00C42D88">
      <w:pPr>
        <w:spacing w:line="480" w:lineRule="auto"/>
        <w:jc w:val="both"/>
        <w:rPr>
          <w:rFonts w:ascii="Times New Roman" w:hAnsi="Times New Roman"/>
          <w:sz w:val="24"/>
          <w:szCs w:val="24"/>
        </w:rPr>
      </w:pPr>
    </w:p>
    <w:p w14:paraId="652337C4" w14:textId="77777777" w:rsidR="00C42D88" w:rsidRPr="001C5B16" w:rsidRDefault="00C42D88">
      <w:pPr>
        <w:spacing w:line="480" w:lineRule="auto"/>
        <w:jc w:val="both"/>
        <w:rPr>
          <w:rFonts w:ascii="Times New Roman" w:hAnsi="Times New Roman"/>
          <w:sz w:val="24"/>
          <w:szCs w:val="24"/>
        </w:rPr>
      </w:pPr>
    </w:p>
    <w:p w14:paraId="6D3F8763" w14:textId="77777777" w:rsidR="00D5503E" w:rsidRDefault="00D5503E">
      <w:pPr>
        <w:spacing w:after="0" w:line="240" w:lineRule="auto"/>
        <w:rPr>
          <w:rFonts w:ascii="Times New Roman" w:hAnsi="Times New Roman"/>
          <w:b/>
          <w:bCs/>
          <w:sz w:val="24"/>
          <w:szCs w:val="24"/>
        </w:rPr>
      </w:pPr>
      <w:r>
        <w:rPr>
          <w:rFonts w:ascii="Times New Roman" w:hAnsi="Times New Roman"/>
          <w:b/>
          <w:bCs/>
          <w:sz w:val="24"/>
          <w:szCs w:val="24"/>
        </w:rPr>
        <w:br w:type="page"/>
      </w:r>
    </w:p>
    <w:p w14:paraId="131F5191" w14:textId="641AA52C" w:rsidR="00C42D88" w:rsidRPr="001C5B16" w:rsidRDefault="00123B0E">
      <w:pPr>
        <w:spacing w:line="480" w:lineRule="auto"/>
        <w:jc w:val="center"/>
        <w:rPr>
          <w:rFonts w:ascii="Times New Roman" w:hAnsi="Times New Roman"/>
          <w:b/>
          <w:bCs/>
          <w:sz w:val="24"/>
          <w:szCs w:val="24"/>
        </w:rPr>
      </w:pPr>
      <w:r w:rsidRPr="001C5B16">
        <w:rPr>
          <w:rFonts w:ascii="Times New Roman" w:hAnsi="Times New Roman"/>
          <w:b/>
          <w:bCs/>
          <w:sz w:val="24"/>
          <w:szCs w:val="24"/>
        </w:rPr>
        <w:lastRenderedPageBreak/>
        <w:t>CHAPTER THREE</w:t>
      </w:r>
    </w:p>
    <w:p w14:paraId="3388E8B7" w14:textId="77777777" w:rsidR="00C42D88" w:rsidRPr="001C5B16" w:rsidRDefault="00123B0E">
      <w:pPr>
        <w:spacing w:line="480" w:lineRule="auto"/>
        <w:jc w:val="center"/>
        <w:rPr>
          <w:rFonts w:ascii="Times New Roman" w:hAnsi="Times New Roman"/>
          <w:b/>
          <w:bCs/>
          <w:sz w:val="24"/>
          <w:szCs w:val="24"/>
        </w:rPr>
      </w:pPr>
      <w:r w:rsidRPr="001C5B16">
        <w:rPr>
          <w:rFonts w:ascii="Times New Roman" w:hAnsi="Times New Roman"/>
          <w:b/>
          <w:bCs/>
          <w:sz w:val="24"/>
          <w:szCs w:val="24"/>
        </w:rPr>
        <w:t>METHODOLOGY</w:t>
      </w:r>
    </w:p>
    <w:p w14:paraId="2654816F"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3.1 Research Design</w:t>
      </w:r>
    </w:p>
    <w:p w14:paraId="12F647B5"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research design is the 'blueprint' or the plan guiding how the condition of the study will be put together in the process of data collection and data analysis. For this research, the Ex-Post Facto research design was used.</w:t>
      </w:r>
    </w:p>
    <w:p w14:paraId="0D29B011"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Ex-post fact design comes from Latin and means 'after the fact.' This research design was considered to be the most appropriate for this study for the following reasons:</w:t>
      </w:r>
    </w:p>
    <w:p w14:paraId="1354305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independent and dependent variable (Return on Asset, Cost of Environmental Restoration, Cost of community development, Cost of waste management) have already occurred in the time frame. The researcher cannot decide for himself how much Seplat energy spends on community development in 2015; this figure is already recorded and historical. What is left is for the researcher to write it down and evaluate how it relates.</w:t>
      </w:r>
    </w:p>
    <w:p w14:paraId="1FCECA2E"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data used covered a fifteen years period (2014-2025), an ex-post facto design looks at the past for the explanation of a phenomenon that is happening. The researcher attempts to discover a relationship between a past event/phenomenon and the present effect (Profitability).</w:t>
      </w:r>
    </w:p>
    <w:p w14:paraId="5B2EFB0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Survey designs may give the respondents an opportunity to lie in order to appear good (Social Desirability Bias), but audited accounting figures have been found to be objective as their reliability can be tested.</w:t>
      </w:r>
    </w:p>
    <w:p w14:paraId="346073B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Additionally, the study uses the Panel Data method. Panel data consists of pooled observations over time and over entities; (over several time periods on different oil firms). This type of data set has many advantages over cross-sectional data or time-series data. The panel data allows the study to control for individual effects-that is, for the unobserved heterogeneity across entities-recognizing that a large corporation such as TotalEnergies operates with differing internal processes and resources than a smaller firm such as Seplat Energy, and yet they share the same broader environmental trends.</w:t>
      </w:r>
    </w:p>
    <w:p w14:paraId="7342F95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3.2 Area of the Study</w:t>
      </w:r>
    </w:p>
    <w:p w14:paraId="6B6510C4" w14:textId="77777777" w:rsidR="00101B9B" w:rsidRPr="001C5B16" w:rsidRDefault="00101B9B">
      <w:pPr>
        <w:spacing w:line="480" w:lineRule="auto"/>
        <w:jc w:val="both"/>
        <w:rPr>
          <w:rFonts w:ascii="Times New Roman" w:hAnsi="Times New Roman"/>
          <w:sz w:val="24"/>
          <w:szCs w:val="24"/>
        </w:rPr>
      </w:pPr>
      <w:r w:rsidRPr="001C5B16">
        <w:rPr>
          <w:rFonts w:ascii="Times New Roman" w:hAnsi="Times New Roman"/>
          <w:sz w:val="24"/>
          <w:szCs w:val="24"/>
        </w:rPr>
        <w:t xml:space="preserve">Geographical Location and Study Context Geography and context of the Study This occurs in the Nigeria Oil and Gas Sector Nigeria is the leading oil producer inAfrica and ranked 11th in the world. The Nigeria upstream petroleum regulatory </w:t>
      </w:r>
      <w:proofErr w:type="gramStart"/>
      <w:r w:rsidRPr="001C5B16">
        <w:rPr>
          <w:rFonts w:ascii="Times New Roman" w:hAnsi="Times New Roman"/>
          <w:sz w:val="24"/>
          <w:szCs w:val="24"/>
        </w:rPr>
        <w:t>commission(</w:t>
      </w:r>
      <w:proofErr w:type="gramEnd"/>
      <w:r w:rsidRPr="001C5B16">
        <w:rPr>
          <w:rFonts w:ascii="Times New Roman" w:hAnsi="Times New Roman"/>
          <w:sz w:val="24"/>
          <w:szCs w:val="24"/>
        </w:rPr>
        <w:t>NUPRC) governs the sector and is operationally concentrated in the Niger Delta the region is considered important for the accountancy literature on environment due to it being what is known as a natural experiment. Its natural and cultural endowments make it a place with the highest level of degradation (spills, flaring etc) and highest level of environmental activism in Africa. It is in an environment like such as the Nigeria oil and gas sector and thus more than perhaps any other business sector anywhere the world over that it may be most obvious or most compelling to find evidence for a link between environmental spending and corporate sustainability. Companies listed on Nigeria Stock Exchange are a microcosm of what firms in the oil and gas industry may look like (though not necessarily a complete reflection).</w:t>
      </w:r>
    </w:p>
    <w:p w14:paraId="1F41210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3.3 Population of the Study</w:t>
      </w:r>
    </w:p>
    <w:p w14:paraId="209C935C" w14:textId="77777777" w:rsidR="00101B9B" w:rsidRPr="001C5B16" w:rsidRDefault="00101B9B">
      <w:pPr>
        <w:spacing w:line="480" w:lineRule="auto"/>
        <w:jc w:val="both"/>
        <w:rPr>
          <w:rFonts w:ascii="Times New Roman" w:hAnsi="Times New Roman"/>
          <w:sz w:val="24"/>
          <w:szCs w:val="24"/>
        </w:rPr>
      </w:pPr>
      <w:r w:rsidRPr="001C5B16">
        <w:rPr>
          <w:rFonts w:ascii="Times New Roman" w:hAnsi="Times New Roman"/>
          <w:sz w:val="24"/>
          <w:szCs w:val="24"/>
        </w:rPr>
        <w:lastRenderedPageBreak/>
        <w:t>The population of a study is a complete set of items or individuals with qualities which concern a researcher. Consequently, the population of this study comprises all Oil &amp; Gas Marketing &amp; Exploration companies that were quoted on The Nigerian Exchange Group (NGX) on the 31 st day of December, 2024. By the Nigerian Stock Exchange daily official list, there were 12 oil &amp; gas companies listed on the exchange and these are the ones that was used as population because:</w:t>
      </w:r>
    </w:p>
    <w:p w14:paraId="31CE0265"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1. SEC and CAMA 2020 stipulated that these quoted companies are legally required to present detailed annual reports.</w:t>
      </w:r>
    </w:p>
    <w:p w14:paraId="473EAB97"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2. Their financial statements were available publicly as public document in the library of the NGX as well as on company websites.</w:t>
      </w:r>
    </w:p>
    <w:p w14:paraId="4A49A3F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3. Standardized methodology International Financial Reporting Standards (IFRS) ensured that the variable 'Profit' and 'Assets' are computed on a similar basis across all the firms.</w:t>
      </w:r>
    </w:p>
    <w:p w14:paraId="0623E19F"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Table 3.1: List of Firms in the Population</w:t>
      </w:r>
    </w:p>
    <w:p w14:paraId="29934EA7"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1. Seplat Energy Plc</w:t>
      </w:r>
    </w:p>
    <w:p w14:paraId="133D37D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2. TotalEnergies Marketing Nigeria Plc</w:t>
      </w:r>
    </w:p>
    <w:p w14:paraId="2E94A89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3. Oando Plc</w:t>
      </w:r>
    </w:p>
    <w:p w14:paraId="1813C4F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4. Conoil Plc</w:t>
      </w:r>
    </w:p>
    <w:p w14:paraId="49787FC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5. MRS Oil Nigeria Plc</w:t>
      </w:r>
    </w:p>
    <w:p w14:paraId="2ECB4179"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6. Eterna Plc</w:t>
      </w:r>
    </w:p>
    <w:p w14:paraId="469B97A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7. Ardova Plc (formerly Forte Oil)</w:t>
      </w:r>
    </w:p>
    <w:p w14:paraId="2BE1ECB0" w14:textId="39E8099E"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9. Capital Oil Plc</w:t>
      </w:r>
    </w:p>
    <w:p w14:paraId="1541E48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10. Aradel Holdings</w:t>
      </w:r>
    </w:p>
    <w:p w14:paraId="1BE982B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11. 11 Plc (formerly Mobil Oil Nigeria) [Note: Delisted in 2021 but data exists for prior years]</w:t>
      </w:r>
    </w:p>
    <w:p w14:paraId="68484E4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12. Geregu Power Plc [Note: Often categorized under Utilities/Energy]</w:t>
      </w:r>
    </w:p>
    <w:p w14:paraId="38EF71D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3.4 Sample Size and Sampling Technique</w:t>
      </w:r>
    </w:p>
    <w:p w14:paraId="54EF884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Despite the sample size of 12 firms, not all of the firms were willing or were in a position to avail the data to justify a reliable statistical analysis during a span of 12 years. This way it was not possible to consider every member in the group and it did not allow a Census approach (examining everybody). </w:t>
      </w:r>
      <w:proofErr w:type="gramStart"/>
      <w:r w:rsidRPr="001C5B16">
        <w:rPr>
          <w:rFonts w:ascii="Times New Roman" w:hAnsi="Times New Roman"/>
          <w:sz w:val="24"/>
          <w:szCs w:val="24"/>
        </w:rPr>
        <w:t>Consequently</w:t>
      </w:r>
      <w:proofErr w:type="gramEnd"/>
      <w:r w:rsidRPr="001C5B16">
        <w:rPr>
          <w:rFonts w:ascii="Times New Roman" w:hAnsi="Times New Roman"/>
          <w:sz w:val="24"/>
          <w:szCs w:val="24"/>
        </w:rPr>
        <w:t xml:space="preserve"> the researcher decided to follow Purposive Sampling Technique.</w:t>
      </w:r>
    </w:p>
    <w:p w14:paraId="044C85C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3.4.1 Criteria for Sample Selection</w:t>
      </w:r>
    </w:p>
    <w:p w14:paraId="06B4152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Purposive sampling provides for the investigator to use their own discretion in choosing those cases which will be the most informative. A firm needed to satisfy the following demanding selection criteria to be included in the sample;</w:t>
      </w:r>
    </w:p>
    <w:p w14:paraId="459C636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1. Length of listing; the firm must have been listed on the NGX for more than 10 of the </w:t>
      </w:r>
      <w:proofErr w:type="gramStart"/>
      <w:r w:rsidRPr="001C5B16">
        <w:rPr>
          <w:rFonts w:ascii="Times New Roman" w:hAnsi="Times New Roman"/>
          <w:sz w:val="24"/>
          <w:szCs w:val="24"/>
        </w:rPr>
        <w:t>12 study</w:t>
      </w:r>
      <w:proofErr w:type="gramEnd"/>
      <w:r w:rsidRPr="001C5B16">
        <w:rPr>
          <w:rFonts w:ascii="Times New Roman" w:hAnsi="Times New Roman"/>
          <w:sz w:val="24"/>
          <w:szCs w:val="24"/>
        </w:rPr>
        <w:t xml:space="preserve"> period, (2014-2025), since very recently listed firms (e.g., in 2023) would not generate sufficient trend data to conduct the analysis.</w:t>
      </w:r>
    </w:p>
    <w:p w14:paraId="1B9EC91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2. Quality of disclosures; the firm must have explicitly detailed their environmental costs (Restoration, Community and Waste costs) within their annual report whether in the notes as separate line items, or clearly identifiable within Cost of Sales or Administrative costs (firms which collapsed the data into general uninformative expenses was excluded).</w:t>
      </w:r>
    </w:p>
    <w:p w14:paraId="3594C98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3. Data Continuity; a firm must also have continuity in the data. Companies with large breaks in the financial reports, i.e. (e.g., the missing annual report for 3-4 years), will not be included in the panel data.</w:t>
      </w:r>
    </w:p>
    <w:p w14:paraId="2803070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Using the above selection criteria ten (10) firms were sampled; these ten firms represent around 85% of market value within the sector, thereby making them representative of the </w:t>
      </w:r>
      <w:proofErr w:type="gramStart"/>
      <w:r w:rsidRPr="001C5B16">
        <w:rPr>
          <w:rFonts w:ascii="Times New Roman" w:hAnsi="Times New Roman"/>
          <w:sz w:val="24"/>
          <w:szCs w:val="24"/>
        </w:rPr>
        <w:t>population..</w:t>
      </w:r>
      <w:proofErr w:type="gramEnd"/>
    </w:p>
    <w:p w14:paraId="17321F25"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3.5 Sources of Data</w:t>
      </w:r>
    </w:p>
    <w:p w14:paraId="78E1825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Only Secondary Data is used in the research. Secondary data is defined as data already collected and processed by someone for a different purpose, which the researcher now makes use of for a different analysis.</w:t>
      </w:r>
    </w:p>
    <w:p w14:paraId="7E532543"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3.5.1 Justification for Secondary Data</w:t>
      </w:r>
    </w:p>
    <w:p w14:paraId="56C988B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1. Reliability: data is from Audited Annual Reports. These have been audited by independent external auditors (e.g. PwC, KPMG, EY) and passed by regulatory bodies. The risk of researcher error is minimal.</w:t>
      </w:r>
    </w:p>
    <w:p w14:paraId="0C8F3E7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2. Longitudinal dimension: It is not possible to collect past data (e.g. Profit in 2010) via questionnaires or interviews since present managers may not recall it or may not have worked there then. Only historical documents contain relevant data for longitudinal studies.</w:t>
      </w:r>
    </w:p>
    <w:p w14:paraId="6E5CD8A3"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3.5.2 Data Collection Procedure</w:t>
      </w:r>
    </w:p>
    <w:p w14:paraId="7AEFCAE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The data for this analysis was collected using a manual 'Content Analysis' of the sampled firms' Annual Reports and Accounts over the period 2014 to 2025. In summary the process was:</w:t>
      </w:r>
    </w:p>
    <w:p w14:paraId="5C47796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Step 1:</w:t>
      </w:r>
      <w:r w:rsidRPr="001C5B16">
        <w:rPr>
          <w:rFonts w:ascii="Times New Roman" w:hAnsi="Times New Roman"/>
          <w:sz w:val="24"/>
          <w:szCs w:val="24"/>
        </w:rPr>
        <w:t xml:space="preserve"> Download Annual Reports from the NGX website or company investor relations portals.</w:t>
      </w:r>
    </w:p>
    <w:p w14:paraId="3D091F89"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lastRenderedPageBreak/>
        <w:t>Step 2:</w:t>
      </w:r>
      <w:r w:rsidRPr="001C5B16">
        <w:rPr>
          <w:rFonts w:ascii="Times New Roman" w:hAnsi="Times New Roman"/>
          <w:sz w:val="24"/>
          <w:szCs w:val="24"/>
        </w:rPr>
        <w:t xml:space="preserve"> Locate the "Statement of Profit or Loss" to extract Net Income.</w:t>
      </w:r>
    </w:p>
    <w:p w14:paraId="220BB0A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Step 3:</w:t>
      </w:r>
      <w:r w:rsidRPr="001C5B16">
        <w:rPr>
          <w:rFonts w:ascii="Times New Roman" w:hAnsi="Times New Roman"/>
          <w:sz w:val="24"/>
          <w:szCs w:val="24"/>
        </w:rPr>
        <w:t xml:space="preserve"> Locate the "Statement of Financial Position" to extract Total Assets.</w:t>
      </w:r>
    </w:p>
    <w:p w14:paraId="3585918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Step 4:</w:t>
      </w:r>
      <w:r w:rsidRPr="001C5B16">
        <w:rPr>
          <w:rFonts w:ascii="Times New Roman" w:hAnsi="Times New Roman"/>
          <w:sz w:val="24"/>
          <w:szCs w:val="24"/>
        </w:rPr>
        <w:t xml:space="preserve"> Carefully scrutinize the "Notes to the Financial Statements" and "Sustainability/CSR Report" sections to identify and extract figures for:</w:t>
      </w:r>
    </w:p>
    <w:p w14:paraId="602C8FC1" w14:textId="77777777" w:rsidR="00C42D88" w:rsidRPr="001C5B16" w:rsidRDefault="00123B0E">
      <w:pPr>
        <w:numPr>
          <w:ilvl w:val="0"/>
          <w:numId w:val="3"/>
        </w:numPr>
        <w:spacing w:line="480" w:lineRule="auto"/>
        <w:jc w:val="both"/>
        <w:rPr>
          <w:rFonts w:ascii="Times New Roman" w:hAnsi="Times New Roman"/>
          <w:sz w:val="24"/>
          <w:szCs w:val="24"/>
        </w:rPr>
      </w:pPr>
      <w:r w:rsidRPr="001C5B16">
        <w:rPr>
          <w:rFonts w:ascii="Times New Roman" w:hAnsi="Times New Roman"/>
          <w:sz w:val="24"/>
          <w:szCs w:val="24"/>
        </w:rPr>
        <w:t>Spill Remediation / Restoration Costs</w:t>
      </w:r>
    </w:p>
    <w:p w14:paraId="2893C34B" w14:textId="77777777" w:rsidR="00C42D88" w:rsidRPr="001C5B16" w:rsidRDefault="00123B0E">
      <w:pPr>
        <w:numPr>
          <w:ilvl w:val="0"/>
          <w:numId w:val="3"/>
        </w:numPr>
        <w:spacing w:line="480" w:lineRule="auto"/>
        <w:jc w:val="both"/>
        <w:rPr>
          <w:rFonts w:ascii="Times New Roman" w:hAnsi="Times New Roman"/>
          <w:sz w:val="24"/>
          <w:szCs w:val="24"/>
        </w:rPr>
      </w:pPr>
      <w:r w:rsidRPr="001C5B16">
        <w:rPr>
          <w:rFonts w:ascii="Times New Roman" w:hAnsi="Times New Roman"/>
          <w:sz w:val="24"/>
          <w:szCs w:val="24"/>
        </w:rPr>
        <w:t>Community Development / CSR Donations</w:t>
      </w:r>
    </w:p>
    <w:p w14:paraId="47B7E877" w14:textId="77777777" w:rsidR="00C42D88" w:rsidRPr="001C5B16" w:rsidRDefault="00123B0E">
      <w:pPr>
        <w:numPr>
          <w:ilvl w:val="0"/>
          <w:numId w:val="3"/>
        </w:numPr>
        <w:spacing w:line="480" w:lineRule="auto"/>
        <w:jc w:val="both"/>
        <w:rPr>
          <w:rFonts w:ascii="Times New Roman" w:hAnsi="Times New Roman"/>
          <w:sz w:val="24"/>
          <w:szCs w:val="24"/>
        </w:rPr>
      </w:pPr>
      <w:r w:rsidRPr="001C5B16">
        <w:rPr>
          <w:rFonts w:ascii="Times New Roman" w:hAnsi="Times New Roman"/>
          <w:sz w:val="24"/>
          <w:szCs w:val="24"/>
        </w:rPr>
        <w:t>Waste Management / HSE (Health, Safety, Environment) Costs</w:t>
      </w:r>
    </w:p>
    <w:p w14:paraId="755DFD5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Step 5:</w:t>
      </w:r>
      <w:r w:rsidRPr="001C5B16">
        <w:rPr>
          <w:rFonts w:ascii="Times New Roman" w:hAnsi="Times New Roman"/>
          <w:sz w:val="24"/>
          <w:szCs w:val="24"/>
        </w:rPr>
        <w:t xml:space="preserve"> Record these figures in a Master Data Sheet (Excel Spreadsheet) arranged by Company and Year.</w:t>
      </w:r>
    </w:p>
    <w:p w14:paraId="31CDB459"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3.6 Operationalization of Variables</w:t>
      </w:r>
    </w:p>
    <w:p w14:paraId="3B8C92F9"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Operationalisation: this is where concepts and variables are clearly and tightly defined as measurable aspects of the research. In doing this, it should allow for the research to be reproduced by another researcher; this other researcher should be measuring the variables in the exact same manner.</w:t>
      </w:r>
    </w:p>
    <w:p w14:paraId="1AEF2FBA" w14:textId="77777777" w:rsidR="00C42D88" w:rsidRPr="001C5B16" w:rsidRDefault="00123B0E">
      <w:pPr>
        <w:rPr>
          <w:rFonts w:ascii="Times New Roman" w:hAnsi="Times New Roman"/>
          <w:b/>
          <w:bCs/>
          <w:sz w:val="24"/>
          <w:szCs w:val="24"/>
        </w:rPr>
      </w:pPr>
      <w:r w:rsidRPr="001C5B16">
        <w:rPr>
          <w:rFonts w:ascii="Times New Roman" w:hAnsi="Times New Roman"/>
          <w:b/>
          <w:bCs/>
          <w:sz w:val="24"/>
          <w:szCs w:val="24"/>
        </w:rPr>
        <w:br w:type="page"/>
      </w:r>
    </w:p>
    <w:p w14:paraId="6506C12B"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lastRenderedPageBreak/>
        <w:t>Table 3.2: Measurement of Variables</w:t>
      </w:r>
    </w:p>
    <w:tbl>
      <w:tblPr>
        <w:tblStyle w:val="TableGrid"/>
        <w:tblW w:w="9226" w:type="dxa"/>
        <w:tblBorders>
          <w:top w:val="single" w:sz="6" w:space="0" w:color="2E74B5"/>
          <w:left w:val="single" w:sz="6" w:space="0" w:color="2E74B5"/>
          <w:bottom w:val="single" w:sz="6" w:space="0" w:color="2E74B5"/>
          <w:right w:val="single" w:sz="6" w:space="0" w:color="2E74B5"/>
          <w:insideH w:val="single" w:sz="4" w:space="0" w:color="2E74B5"/>
          <w:insideV w:val="single" w:sz="4" w:space="0" w:color="2E74B5"/>
        </w:tblBorders>
        <w:tblLook w:val="04A0" w:firstRow="1" w:lastRow="0" w:firstColumn="1" w:lastColumn="0" w:noHBand="0" w:noVBand="1"/>
      </w:tblPr>
      <w:tblGrid>
        <w:gridCol w:w="1403"/>
        <w:gridCol w:w="1700"/>
        <w:gridCol w:w="1200"/>
        <w:gridCol w:w="2462"/>
        <w:gridCol w:w="2461"/>
      </w:tblGrid>
      <w:tr w:rsidR="00C42D88" w:rsidRPr="001C5B16" w14:paraId="4FF6B755" w14:textId="77777777" w:rsidTr="005140D9">
        <w:trPr>
          <w:cantSplit/>
        </w:trPr>
        <w:tc>
          <w:tcPr>
            <w:tcW w:w="1403" w:type="dxa"/>
            <w:shd w:val="clear" w:color="auto" w:fill="2E74B5"/>
            <w:vAlign w:val="center"/>
          </w:tcPr>
          <w:p w14:paraId="4F2D7D37" w14:textId="77777777" w:rsidR="00C42D88" w:rsidRPr="001C5B16" w:rsidRDefault="00123B0E">
            <w:pPr>
              <w:rPr>
                <w:rFonts w:ascii="Times New Roman" w:hAnsi="Times New Roman"/>
                <w:b/>
                <w:bCs/>
                <w:sz w:val="24"/>
                <w:szCs w:val="24"/>
              </w:rPr>
            </w:pPr>
            <w:r w:rsidRPr="001C5B16">
              <w:rPr>
                <w:rFonts w:ascii="Times New Roman" w:hAnsi="Times New Roman"/>
                <w:b/>
                <w:bCs/>
                <w:sz w:val="24"/>
                <w:szCs w:val="24"/>
              </w:rPr>
              <w:t>Variable Type</w:t>
            </w:r>
          </w:p>
        </w:tc>
        <w:tc>
          <w:tcPr>
            <w:tcW w:w="1700" w:type="dxa"/>
            <w:shd w:val="clear" w:color="auto" w:fill="2E74B5"/>
            <w:vAlign w:val="center"/>
          </w:tcPr>
          <w:p w14:paraId="1F2984B8" w14:textId="77777777" w:rsidR="00C42D88" w:rsidRPr="001C5B16" w:rsidRDefault="00123B0E">
            <w:pPr>
              <w:rPr>
                <w:rFonts w:ascii="Times New Roman" w:hAnsi="Times New Roman"/>
                <w:b/>
                <w:bCs/>
                <w:sz w:val="24"/>
                <w:szCs w:val="24"/>
              </w:rPr>
            </w:pPr>
            <w:r w:rsidRPr="001C5B16">
              <w:rPr>
                <w:rFonts w:ascii="Times New Roman" w:hAnsi="Times New Roman"/>
                <w:b/>
                <w:bCs/>
                <w:sz w:val="24"/>
                <w:szCs w:val="24"/>
              </w:rPr>
              <w:t>Variable Name</w:t>
            </w:r>
          </w:p>
        </w:tc>
        <w:tc>
          <w:tcPr>
            <w:tcW w:w="1200" w:type="dxa"/>
            <w:shd w:val="clear" w:color="auto" w:fill="2E74B5"/>
            <w:vAlign w:val="center"/>
          </w:tcPr>
          <w:p w14:paraId="16D5433D" w14:textId="77777777" w:rsidR="00C42D88" w:rsidRPr="001C5B16" w:rsidRDefault="00123B0E">
            <w:pPr>
              <w:rPr>
                <w:rFonts w:ascii="Times New Roman" w:hAnsi="Times New Roman"/>
                <w:b/>
                <w:bCs/>
                <w:sz w:val="24"/>
                <w:szCs w:val="24"/>
              </w:rPr>
            </w:pPr>
            <w:r w:rsidRPr="001C5B16">
              <w:rPr>
                <w:rFonts w:ascii="Times New Roman" w:hAnsi="Times New Roman"/>
                <w:b/>
                <w:bCs/>
                <w:sz w:val="24"/>
                <w:szCs w:val="24"/>
              </w:rPr>
              <w:t>Acronym</w:t>
            </w:r>
          </w:p>
        </w:tc>
        <w:tc>
          <w:tcPr>
            <w:tcW w:w="2462" w:type="dxa"/>
            <w:shd w:val="clear" w:color="auto" w:fill="2E74B5"/>
            <w:vAlign w:val="center"/>
          </w:tcPr>
          <w:p w14:paraId="0E813E13" w14:textId="77777777" w:rsidR="00C42D88" w:rsidRPr="001C5B16" w:rsidRDefault="00123B0E">
            <w:pPr>
              <w:rPr>
                <w:rFonts w:ascii="Times New Roman" w:hAnsi="Times New Roman"/>
                <w:b/>
                <w:bCs/>
                <w:sz w:val="24"/>
                <w:szCs w:val="24"/>
              </w:rPr>
            </w:pPr>
            <w:r w:rsidRPr="001C5B16">
              <w:rPr>
                <w:rFonts w:ascii="Times New Roman" w:hAnsi="Times New Roman"/>
                <w:b/>
                <w:bCs/>
                <w:sz w:val="24"/>
                <w:szCs w:val="24"/>
              </w:rPr>
              <w:t>Measurement / Proxy</w:t>
            </w:r>
          </w:p>
        </w:tc>
        <w:tc>
          <w:tcPr>
            <w:tcW w:w="2461" w:type="dxa"/>
            <w:shd w:val="clear" w:color="auto" w:fill="2E74B5"/>
            <w:vAlign w:val="center"/>
          </w:tcPr>
          <w:p w14:paraId="0F371A40" w14:textId="77777777" w:rsidR="00C42D88" w:rsidRPr="001C5B16" w:rsidRDefault="00123B0E">
            <w:pPr>
              <w:rPr>
                <w:rFonts w:ascii="Times New Roman" w:hAnsi="Times New Roman"/>
                <w:b/>
                <w:bCs/>
                <w:sz w:val="24"/>
                <w:szCs w:val="24"/>
              </w:rPr>
            </w:pPr>
            <w:r w:rsidRPr="001C5B16">
              <w:rPr>
                <w:rFonts w:ascii="Times New Roman" w:hAnsi="Times New Roman"/>
                <w:b/>
                <w:bCs/>
                <w:sz w:val="24"/>
                <w:szCs w:val="24"/>
              </w:rPr>
              <w:t>Justification</w:t>
            </w:r>
          </w:p>
        </w:tc>
      </w:tr>
      <w:tr w:rsidR="00C42D88" w:rsidRPr="001C5B16" w14:paraId="1B0E96C1" w14:textId="77777777" w:rsidTr="005140D9">
        <w:trPr>
          <w:cantSplit/>
        </w:trPr>
        <w:tc>
          <w:tcPr>
            <w:tcW w:w="1403" w:type="dxa"/>
          </w:tcPr>
          <w:p w14:paraId="46E4068E" w14:textId="77777777" w:rsidR="00C42D88" w:rsidRPr="001C5B16" w:rsidRDefault="00123B0E">
            <w:pPr>
              <w:rPr>
                <w:rFonts w:ascii="Times New Roman" w:hAnsi="Times New Roman"/>
                <w:sz w:val="24"/>
                <w:szCs w:val="24"/>
              </w:rPr>
            </w:pPr>
            <w:r w:rsidRPr="001C5B16">
              <w:rPr>
                <w:rFonts w:ascii="Times New Roman" w:hAnsi="Times New Roman"/>
                <w:sz w:val="24"/>
                <w:szCs w:val="24"/>
              </w:rPr>
              <w:t>Dependent</w:t>
            </w:r>
          </w:p>
        </w:tc>
        <w:tc>
          <w:tcPr>
            <w:tcW w:w="1700" w:type="dxa"/>
          </w:tcPr>
          <w:p w14:paraId="34DC44C9" w14:textId="77777777" w:rsidR="00C42D88" w:rsidRPr="001C5B16" w:rsidRDefault="00123B0E">
            <w:pPr>
              <w:rPr>
                <w:rFonts w:ascii="Times New Roman" w:hAnsi="Times New Roman"/>
                <w:sz w:val="24"/>
                <w:szCs w:val="24"/>
              </w:rPr>
            </w:pPr>
            <w:r w:rsidRPr="001C5B16">
              <w:rPr>
                <w:rFonts w:ascii="Times New Roman" w:hAnsi="Times New Roman"/>
                <w:sz w:val="24"/>
                <w:szCs w:val="24"/>
              </w:rPr>
              <w:t>Profitability</w:t>
            </w:r>
          </w:p>
        </w:tc>
        <w:tc>
          <w:tcPr>
            <w:tcW w:w="1200" w:type="dxa"/>
          </w:tcPr>
          <w:p w14:paraId="0147ACA3" w14:textId="77777777" w:rsidR="00C42D88" w:rsidRPr="001C5B16" w:rsidRDefault="00123B0E">
            <w:pPr>
              <w:rPr>
                <w:rFonts w:ascii="Times New Roman" w:hAnsi="Times New Roman"/>
                <w:sz w:val="24"/>
                <w:szCs w:val="24"/>
              </w:rPr>
            </w:pPr>
            <w:r w:rsidRPr="001C5B16">
              <w:rPr>
                <w:rFonts w:ascii="Times New Roman" w:hAnsi="Times New Roman"/>
                <w:sz w:val="24"/>
                <w:szCs w:val="24"/>
              </w:rPr>
              <w:t>ROA</w:t>
            </w:r>
          </w:p>
        </w:tc>
        <w:tc>
          <w:tcPr>
            <w:tcW w:w="2462" w:type="dxa"/>
          </w:tcPr>
          <w:p w14:paraId="35B6A5FC" w14:textId="77777777" w:rsidR="00C42D88" w:rsidRPr="001C5B16" w:rsidRDefault="00123B0E">
            <w:pPr>
              <w:rPr>
                <w:rFonts w:ascii="Times New Roman" w:hAnsi="Times New Roman"/>
                <w:sz w:val="24"/>
                <w:szCs w:val="24"/>
              </w:rPr>
            </w:pPr>
            <w:r w:rsidRPr="001C5B16">
              <w:rPr>
                <w:rFonts w:ascii="Times New Roman" w:hAnsi="Times New Roman"/>
                <w:sz w:val="24"/>
                <w:szCs w:val="24"/>
              </w:rPr>
              <w:t>Net Income / Total Assets</w:t>
            </w:r>
          </w:p>
        </w:tc>
        <w:tc>
          <w:tcPr>
            <w:tcW w:w="2461" w:type="dxa"/>
          </w:tcPr>
          <w:p w14:paraId="3B0A73F0" w14:textId="77777777" w:rsidR="00C42D88" w:rsidRPr="001C5B16" w:rsidRDefault="00123B0E">
            <w:pPr>
              <w:rPr>
                <w:rFonts w:ascii="Times New Roman" w:hAnsi="Times New Roman"/>
                <w:sz w:val="24"/>
                <w:szCs w:val="24"/>
              </w:rPr>
            </w:pPr>
            <w:r w:rsidRPr="001C5B16">
              <w:rPr>
                <w:rFonts w:ascii="Times New Roman" w:hAnsi="Times New Roman"/>
                <w:sz w:val="24"/>
                <w:szCs w:val="24"/>
              </w:rPr>
              <w:t>Indicates the efficiency of asset utilization, which is critical in the asset-heavy oil sector.</w:t>
            </w:r>
          </w:p>
        </w:tc>
      </w:tr>
      <w:tr w:rsidR="00C42D88" w:rsidRPr="001C5B16" w14:paraId="0F07CE4F" w14:textId="77777777" w:rsidTr="005140D9">
        <w:trPr>
          <w:cantSplit/>
        </w:trPr>
        <w:tc>
          <w:tcPr>
            <w:tcW w:w="1403" w:type="dxa"/>
            <w:shd w:val="clear" w:color="auto" w:fill="D9E2F3"/>
          </w:tcPr>
          <w:p w14:paraId="19BA386A" w14:textId="77777777" w:rsidR="00C42D88" w:rsidRPr="001C5B16" w:rsidRDefault="00123B0E">
            <w:pPr>
              <w:rPr>
                <w:rFonts w:ascii="Times New Roman" w:hAnsi="Times New Roman"/>
                <w:sz w:val="24"/>
                <w:szCs w:val="24"/>
              </w:rPr>
            </w:pPr>
            <w:r w:rsidRPr="001C5B16">
              <w:rPr>
                <w:rFonts w:ascii="Times New Roman" w:hAnsi="Times New Roman"/>
                <w:sz w:val="24"/>
                <w:szCs w:val="24"/>
              </w:rPr>
              <w:t>Independent</w:t>
            </w:r>
          </w:p>
        </w:tc>
        <w:tc>
          <w:tcPr>
            <w:tcW w:w="1700" w:type="dxa"/>
            <w:shd w:val="clear" w:color="auto" w:fill="D9E2F3"/>
          </w:tcPr>
          <w:p w14:paraId="18130D3B" w14:textId="77777777" w:rsidR="00C42D88" w:rsidRPr="001C5B16" w:rsidRDefault="00123B0E">
            <w:pPr>
              <w:rPr>
                <w:rFonts w:ascii="Times New Roman" w:hAnsi="Times New Roman"/>
                <w:sz w:val="24"/>
                <w:szCs w:val="24"/>
              </w:rPr>
            </w:pPr>
            <w:r w:rsidRPr="001C5B16">
              <w:rPr>
                <w:rFonts w:ascii="Times New Roman" w:hAnsi="Times New Roman"/>
                <w:sz w:val="24"/>
                <w:szCs w:val="24"/>
              </w:rPr>
              <w:t>Environmental Restoration Cost</w:t>
            </w:r>
          </w:p>
        </w:tc>
        <w:tc>
          <w:tcPr>
            <w:tcW w:w="1200" w:type="dxa"/>
            <w:shd w:val="clear" w:color="auto" w:fill="D9E2F3"/>
          </w:tcPr>
          <w:p w14:paraId="2DEF584B" w14:textId="77777777" w:rsidR="00C42D88" w:rsidRPr="001C5B16" w:rsidRDefault="00123B0E">
            <w:pPr>
              <w:rPr>
                <w:rFonts w:ascii="Times New Roman" w:hAnsi="Times New Roman"/>
                <w:sz w:val="24"/>
                <w:szCs w:val="24"/>
              </w:rPr>
            </w:pPr>
            <w:r w:rsidRPr="001C5B16">
              <w:rPr>
                <w:rFonts w:ascii="Times New Roman" w:hAnsi="Times New Roman"/>
                <w:sz w:val="24"/>
                <w:szCs w:val="24"/>
              </w:rPr>
              <w:t>ERC</w:t>
            </w:r>
          </w:p>
        </w:tc>
        <w:tc>
          <w:tcPr>
            <w:tcW w:w="2462" w:type="dxa"/>
            <w:shd w:val="clear" w:color="auto" w:fill="D9E2F3"/>
          </w:tcPr>
          <w:p w14:paraId="521AF024" w14:textId="77777777" w:rsidR="00C42D88" w:rsidRPr="001C5B16" w:rsidRDefault="00123B0E">
            <w:pPr>
              <w:rPr>
                <w:rFonts w:ascii="Times New Roman" w:hAnsi="Times New Roman"/>
                <w:sz w:val="24"/>
                <w:szCs w:val="24"/>
              </w:rPr>
            </w:pPr>
            <w:r w:rsidRPr="001C5B16">
              <w:rPr>
                <w:rFonts w:ascii="Times New Roman" w:hAnsi="Times New Roman"/>
                <w:sz w:val="24"/>
                <w:szCs w:val="24"/>
              </w:rPr>
              <w:t>The specific monetary value reported for oil spill cleanup, site restoration, and decommissioning provisions</w:t>
            </w:r>
          </w:p>
        </w:tc>
        <w:tc>
          <w:tcPr>
            <w:tcW w:w="2461" w:type="dxa"/>
            <w:shd w:val="clear" w:color="auto" w:fill="D9E2F3"/>
          </w:tcPr>
          <w:p w14:paraId="6E7B6613" w14:textId="77777777" w:rsidR="00C42D88" w:rsidRPr="001C5B16" w:rsidRDefault="00123B0E">
            <w:pPr>
              <w:rPr>
                <w:rFonts w:ascii="Times New Roman" w:hAnsi="Times New Roman"/>
                <w:sz w:val="24"/>
                <w:szCs w:val="24"/>
              </w:rPr>
            </w:pPr>
            <w:r w:rsidRPr="001C5B16">
              <w:rPr>
                <w:rFonts w:ascii="Times New Roman" w:hAnsi="Times New Roman"/>
                <w:sz w:val="24"/>
                <w:szCs w:val="24"/>
              </w:rPr>
              <w:t>Captures the cost of remediation activities mandated by NOSDRA</w:t>
            </w:r>
          </w:p>
        </w:tc>
      </w:tr>
      <w:tr w:rsidR="00C42D88" w:rsidRPr="001C5B16" w14:paraId="009116D6" w14:textId="77777777" w:rsidTr="005140D9">
        <w:trPr>
          <w:cantSplit/>
        </w:trPr>
        <w:tc>
          <w:tcPr>
            <w:tcW w:w="1403" w:type="dxa"/>
          </w:tcPr>
          <w:p w14:paraId="3982534A" w14:textId="77777777" w:rsidR="00C42D88" w:rsidRPr="001C5B16" w:rsidRDefault="00123B0E">
            <w:pPr>
              <w:rPr>
                <w:rFonts w:ascii="Times New Roman" w:hAnsi="Times New Roman"/>
                <w:sz w:val="24"/>
                <w:szCs w:val="24"/>
              </w:rPr>
            </w:pPr>
            <w:r w:rsidRPr="001C5B16">
              <w:rPr>
                <w:rFonts w:ascii="Times New Roman" w:hAnsi="Times New Roman"/>
                <w:sz w:val="24"/>
                <w:szCs w:val="24"/>
              </w:rPr>
              <w:t>Independent</w:t>
            </w:r>
          </w:p>
        </w:tc>
        <w:tc>
          <w:tcPr>
            <w:tcW w:w="1700" w:type="dxa"/>
          </w:tcPr>
          <w:p w14:paraId="57C20643" w14:textId="77777777" w:rsidR="00C42D88" w:rsidRPr="001C5B16" w:rsidRDefault="00123B0E">
            <w:pPr>
              <w:rPr>
                <w:rFonts w:ascii="Times New Roman" w:hAnsi="Times New Roman"/>
                <w:sz w:val="24"/>
                <w:szCs w:val="24"/>
              </w:rPr>
            </w:pPr>
            <w:r w:rsidRPr="001C5B16">
              <w:rPr>
                <w:rFonts w:ascii="Times New Roman" w:hAnsi="Times New Roman"/>
                <w:sz w:val="24"/>
                <w:szCs w:val="24"/>
              </w:rPr>
              <w:t>Community Development Cost</w:t>
            </w:r>
          </w:p>
        </w:tc>
        <w:tc>
          <w:tcPr>
            <w:tcW w:w="1200" w:type="dxa"/>
          </w:tcPr>
          <w:p w14:paraId="49772403" w14:textId="77777777" w:rsidR="00C42D88" w:rsidRPr="001C5B16" w:rsidRDefault="00123B0E">
            <w:pPr>
              <w:rPr>
                <w:rFonts w:ascii="Times New Roman" w:hAnsi="Times New Roman"/>
                <w:sz w:val="24"/>
                <w:szCs w:val="24"/>
              </w:rPr>
            </w:pPr>
            <w:r w:rsidRPr="001C5B16">
              <w:rPr>
                <w:rFonts w:ascii="Times New Roman" w:hAnsi="Times New Roman"/>
                <w:sz w:val="24"/>
                <w:szCs w:val="24"/>
              </w:rPr>
              <w:t>CDC</w:t>
            </w:r>
          </w:p>
        </w:tc>
        <w:tc>
          <w:tcPr>
            <w:tcW w:w="2462" w:type="dxa"/>
          </w:tcPr>
          <w:p w14:paraId="7AAD619A" w14:textId="77777777" w:rsidR="00C42D88" w:rsidRPr="001C5B16" w:rsidRDefault="00123B0E">
            <w:pPr>
              <w:rPr>
                <w:rFonts w:ascii="Times New Roman" w:hAnsi="Times New Roman"/>
                <w:sz w:val="24"/>
                <w:szCs w:val="24"/>
              </w:rPr>
            </w:pPr>
            <w:r w:rsidRPr="001C5B16">
              <w:rPr>
                <w:rFonts w:ascii="Times New Roman" w:hAnsi="Times New Roman"/>
                <w:sz w:val="24"/>
                <w:szCs w:val="24"/>
              </w:rPr>
              <w:t>The total monetary value reported for donations, scholarships, and infrastructure projects in host communities.</w:t>
            </w:r>
          </w:p>
        </w:tc>
        <w:tc>
          <w:tcPr>
            <w:tcW w:w="2461" w:type="dxa"/>
          </w:tcPr>
          <w:p w14:paraId="68863AF7" w14:textId="77777777" w:rsidR="00C42D88" w:rsidRPr="001C5B16" w:rsidRDefault="00123B0E">
            <w:pPr>
              <w:rPr>
                <w:rFonts w:ascii="Times New Roman" w:hAnsi="Times New Roman"/>
                <w:sz w:val="24"/>
                <w:szCs w:val="24"/>
              </w:rPr>
            </w:pPr>
            <w:r w:rsidRPr="001C5B16">
              <w:rPr>
                <w:rFonts w:ascii="Times New Roman" w:hAnsi="Times New Roman"/>
                <w:sz w:val="24"/>
                <w:szCs w:val="24"/>
              </w:rPr>
              <w:t>Captures the cost of maintaining the Social License to Operate.</w:t>
            </w:r>
          </w:p>
        </w:tc>
      </w:tr>
      <w:tr w:rsidR="00C42D88" w:rsidRPr="001C5B16" w14:paraId="32904D77" w14:textId="77777777" w:rsidTr="005140D9">
        <w:trPr>
          <w:cantSplit/>
        </w:trPr>
        <w:tc>
          <w:tcPr>
            <w:tcW w:w="1403" w:type="dxa"/>
            <w:shd w:val="clear" w:color="auto" w:fill="D9E2F3"/>
          </w:tcPr>
          <w:p w14:paraId="5925C1F1" w14:textId="77777777" w:rsidR="00C42D88" w:rsidRPr="001C5B16" w:rsidRDefault="00123B0E">
            <w:pPr>
              <w:rPr>
                <w:rFonts w:ascii="Times New Roman" w:hAnsi="Times New Roman"/>
                <w:sz w:val="24"/>
                <w:szCs w:val="24"/>
              </w:rPr>
            </w:pPr>
            <w:r w:rsidRPr="001C5B16">
              <w:rPr>
                <w:rFonts w:ascii="Times New Roman" w:hAnsi="Times New Roman"/>
                <w:sz w:val="24"/>
                <w:szCs w:val="24"/>
              </w:rPr>
              <w:t>Independent</w:t>
            </w:r>
          </w:p>
        </w:tc>
        <w:tc>
          <w:tcPr>
            <w:tcW w:w="1700" w:type="dxa"/>
            <w:shd w:val="clear" w:color="auto" w:fill="D9E2F3"/>
          </w:tcPr>
          <w:p w14:paraId="188E2F38" w14:textId="77777777" w:rsidR="00C42D88" w:rsidRPr="001C5B16" w:rsidRDefault="00123B0E">
            <w:pPr>
              <w:rPr>
                <w:rFonts w:ascii="Times New Roman" w:hAnsi="Times New Roman"/>
                <w:sz w:val="24"/>
                <w:szCs w:val="24"/>
              </w:rPr>
            </w:pPr>
            <w:r w:rsidRPr="001C5B16">
              <w:rPr>
                <w:rFonts w:ascii="Times New Roman" w:hAnsi="Times New Roman"/>
                <w:sz w:val="24"/>
                <w:szCs w:val="24"/>
              </w:rPr>
              <w:t>Waste Management Cost</w:t>
            </w:r>
          </w:p>
        </w:tc>
        <w:tc>
          <w:tcPr>
            <w:tcW w:w="1200" w:type="dxa"/>
            <w:shd w:val="clear" w:color="auto" w:fill="D9E2F3"/>
          </w:tcPr>
          <w:p w14:paraId="21B62F2B" w14:textId="77777777" w:rsidR="00C42D88" w:rsidRPr="001C5B16" w:rsidRDefault="00123B0E">
            <w:pPr>
              <w:rPr>
                <w:rFonts w:ascii="Times New Roman" w:hAnsi="Times New Roman"/>
                <w:sz w:val="24"/>
                <w:szCs w:val="24"/>
              </w:rPr>
            </w:pPr>
            <w:r w:rsidRPr="001C5B16">
              <w:rPr>
                <w:rFonts w:ascii="Times New Roman" w:hAnsi="Times New Roman"/>
                <w:sz w:val="24"/>
                <w:szCs w:val="24"/>
              </w:rPr>
              <w:t>WMC</w:t>
            </w:r>
          </w:p>
        </w:tc>
        <w:tc>
          <w:tcPr>
            <w:tcW w:w="2462" w:type="dxa"/>
            <w:shd w:val="clear" w:color="auto" w:fill="D9E2F3"/>
          </w:tcPr>
          <w:p w14:paraId="653C4475" w14:textId="77777777" w:rsidR="00C42D88" w:rsidRPr="001C5B16" w:rsidRDefault="00123B0E">
            <w:pPr>
              <w:rPr>
                <w:rFonts w:ascii="Times New Roman" w:hAnsi="Times New Roman"/>
                <w:sz w:val="24"/>
                <w:szCs w:val="24"/>
              </w:rPr>
            </w:pPr>
            <w:r w:rsidRPr="001C5B16">
              <w:rPr>
                <w:rFonts w:ascii="Times New Roman" w:hAnsi="Times New Roman"/>
                <w:sz w:val="24"/>
                <w:szCs w:val="24"/>
              </w:rPr>
              <w:t>The monetary value reported for waste treatment, sewage disposal, and environmental compliance fees.</w:t>
            </w:r>
          </w:p>
        </w:tc>
        <w:tc>
          <w:tcPr>
            <w:tcW w:w="2461" w:type="dxa"/>
            <w:shd w:val="clear" w:color="auto" w:fill="D9E2F3"/>
          </w:tcPr>
          <w:p w14:paraId="541B336A" w14:textId="77777777" w:rsidR="00C42D88" w:rsidRPr="001C5B16" w:rsidRDefault="00123B0E">
            <w:pPr>
              <w:rPr>
                <w:rFonts w:ascii="Times New Roman" w:hAnsi="Times New Roman"/>
                <w:sz w:val="24"/>
                <w:szCs w:val="24"/>
              </w:rPr>
            </w:pPr>
            <w:r w:rsidRPr="001C5B16">
              <w:rPr>
                <w:rFonts w:ascii="Times New Roman" w:hAnsi="Times New Roman"/>
                <w:sz w:val="24"/>
                <w:szCs w:val="24"/>
              </w:rPr>
              <w:t>Captures the cost of routine environmental compliance</w:t>
            </w:r>
          </w:p>
        </w:tc>
      </w:tr>
    </w:tbl>
    <w:p w14:paraId="64F88D8B" w14:textId="09BBB860" w:rsidR="00C42D88" w:rsidRPr="005140D9" w:rsidRDefault="005140D9">
      <w:pPr>
        <w:spacing w:line="480" w:lineRule="auto"/>
        <w:jc w:val="both"/>
        <w:rPr>
          <w:rFonts w:ascii="Times New Roman" w:hAnsi="Times New Roman"/>
          <w:b/>
          <w:bCs/>
          <w:sz w:val="24"/>
          <w:szCs w:val="24"/>
        </w:rPr>
      </w:pPr>
      <w:r>
        <w:rPr>
          <w:rFonts w:ascii="Times New Roman" w:hAnsi="Times New Roman"/>
          <w:b/>
          <w:bCs/>
          <w:sz w:val="24"/>
          <w:szCs w:val="24"/>
        </w:rPr>
        <w:t>Source: Researcher’s Compilation, 2026</w:t>
      </w:r>
    </w:p>
    <w:p w14:paraId="2E5AF9FE"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3.8 Model Specification</w:t>
      </w:r>
    </w:p>
    <w:p w14:paraId="73355FB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The specification of the model relates the variables together in a mathematical function. Verbal hypothesis </w:t>
      </w:r>
      <w:proofErr w:type="gramStart"/>
      <w:r w:rsidRPr="001C5B16">
        <w:rPr>
          <w:rFonts w:ascii="Times New Roman" w:hAnsi="Times New Roman"/>
          <w:sz w:val="24"/>
          <w:szCs w:val="24"/>
        </w:rPr>
        <w:t>have</w:t>
      </w:r>
      <w:proofErr w:type="gramEnd"/>
      <w:r w:rsidRPr="001C5B16">
        <w:rPr>
          <w:rFonts w:ascii="Times New Roman" w:hAnsi="Times New Roman"/>
          <w:sz w:val="24"/>
          <w:szCs w:val="24"/>
        </w:rPr>
        <w:t xml:space="preserve"> been transformed into a statistic equation that can be tested.</w:t>
      </w:r>
    </w:p>
    <w:p w14:paraId="61A5AC2C"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The functional relation of the model is based on the Production Function, Output (Profit) being a function of Inputs (Investment in the Environment).</w:t>
      </w:r>
    </w:p>
    <w:p w14:paraId="2BCAF2EC"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4"/>
          <w:sz w:val="24"/>
          <w:szCs w:val="24"/>
        </w:rPr>
        <w:object w:dxaOrig="3270" w:dyaOrig="555" w14:anchorId="199D8580">
          <v:shape id="_x0000_i1026" type="#_x0000_t75" style="width:163.5pt;height:28.15pt" o:ole="">
            <v:imagedata r:id="rId13" o:title=""/>
          </v:shape>
          <o:OLEObject Type="Embed" ProgID="Equation.3" ShapeID="_x0000_i1026" DrawAspect="Content" ObjectID="_1846054656" r:id="rId14"/>
        </w:object>
      </w:r>
    </w:p>
    <w:p w14:paraId="23D60088"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sz w:val="24"/>
          <w:szCs w:val="24"/>
        </w:rPr>
        <w:t>Where:</w:t>
      </w:r>
    </w:p>
    <w:p w14:paraId="63DF2F1B"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sz w:val="24"/>
          <w:szCs w:val="24"/>
        </w:rPr>
        <w:t>Y= Dependent Variable (Profitability)</w:t>
      </w:r>
    </w:p>
    <w:p w14:paraId="041F0683"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sz w:val="24"/>
          <w:szCs w:val="24"/>
        </w:rPr>
        <w:t>X = Independent Variables (Environmental Costs)</w:t>
      </w:r>
    </w:p>
    <w:p w14:paraId="3549920D"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sz w:val="24"/>
          <w:szCs w:val="24"/>
        </w:rPr>
        <w:t>Substituting the specific variables of this study, the functional model becomes:</w:t>
      </w:r>
    </w:p>
    <w:p w14:paraId="6274DAFB"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0"/>
          <w:sz w:val="24"/>
          <w:szCs w:val="24"/>
        </w:rPr>
        <w:object w:dxaOrig="3900" w:dyaOrig="480" w14:anchorId="4B173479">
          <v:shape id="_x0000_i1027" type="#_x0000_t75" style="width:194.8pt;height:24.25pt" o:ole="">
            <v:imagedata r:id="rId15" o:title=""/>
          </v:shape>
          <o:OLEObject Type="Embed" ProgID="Equation.3" ShapeID="_x0000_i1027" DrawAspect="Content" ObjectID="_1846054657" r:id="rId16"/>
        </w:object>
      </w:r>
    </w:p>
    <w:p w14:paraId="3801BC5B"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sz w:val="24"/>
          <w:szCs w:val="24"/>
        </w:rPr>
        <w:t>To test this empirically using Ordinary Least Squares (OLS) regression, we transform this into a linear econometric equation:</w:t>
      </w:r>
    </w:p>
    <w:p w14:paraId="35A3BB7D"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2"/>
          <w:sz w:val="24"/>
          <w:szCs w:val="24"/>
        </w:rPr>
        <w:object w:dxaOrig="6225" w:dyaOrig="510" w14:anchorId="5444EFE8">
          <v:shape id="_x0000_i1028" type="#_x0000_t75" style="width:311.55pt;height:25.85pt" o:ole="">
            <v:imagedata r:id="rId17" o:title=""/>
          </v:shape>
          <o:OLEObject Type="Embed" ProgID="Equation.3" ShapeID="_x0000_i1028" DrawAspect="Content" ObjectID="_1846054658" r:id="rId18"/>
        </w:object>
      </w:r>
    </w:p>
    <w:p w14:paraId="655C6860"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b/>
          <w:bCs/>
          <w:sz w:val="24"/>
          <w:szCs w:val="24"/>
        </w:rPr>
        <w:t>Detailed Breakdown of the Equation:</w:t>
      </w:r>
    </w:p>
    <w:p w14:paraId="251D0D08"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2"/>
          <w:sz w:val="24"/>
          <w:szCs w:val="24"/>
        </w:rPr>
        <w:object w:dxaOrig="735" w:dyaOrig="405" w14:anchorId="73B46AF9">
          <v:shape id="_x0000_i1029" type="#_x0000_t75" style="width:36.8pt;height:20.35pt" o:ole="">
            <v:imagedata r:id="rId19" o:title=""/>
          </v:shape>
          <o:OLEObject Type="Embed" ProgID="Equation.3" ShapeID="_x0000_i1029" DrawAspect="Content" ObjectID="_1846054659" r:id="rId20"/>
        </w:object>
      </w:r>
      <w:r w:rsidRPr="001C5B16">
        <w:rPr>
          <w:rFonts w:ascii="Times New Roman" w:hAnsi="Times New Roman"/>
          <w:sz w:val="24"/>
          <w:szCs w:val="24"/>
        </w:rPr>
        <w:t xml:space="preserve">: Return on Assets of </w:t>
      </w:r>
      <w:proofErr w:type="gramStart"/>
      <w:r w:rsidRPr="001C5B16">
        <w:rPr>
          <w:rFonts w:ascii="Times New Roman" w:hAnsi="Times New Roman"/>
          <w:sz w:val="24"/>
          <w:szCs w:val="24"/>
        </w:rPr>
        <w:t>Firm  in</w:t>
      </w:r>
      <w:proofErr w:type="gramEnd"/>
      <w:r w:rsidRPr="001C5B16">
        <w:rPr>
          <w:rFonts w:ascii="Times New Roman" w:hAnsi="Times New Roman"/>
          <w:sz w:val="24"/>
          <w:szCs w:val="24"/>
        </w:rPr>
        <w:t xml:space="preserve"> </w:t>
      </w:r>
      <w:proofErr w:type="gramStart"/>
      <w:r w:rsidRPr="001C5B16">
        <w:rPr>
          <w:rFonts w:ascii="Times New Roman" w:hAnsi="Times New Roman"/>
          <w:sz w:val="24"/>
          <w:szCs w:val="24"/>
        </w:rPr>
        <w:t>Year .</w:t>
      </w:r>
      <w:proofErr w:type="gramEnd"/>
      <w:r w:rsidRPr="001C5B16">
        <w:rPr>
          <w:rFonts w:ascii="Times New Roman" w:hAnsi="Times New Roman"/>
          <w:sz w:val="24"/>
          <w:szCs w:val="24"/>
        </w:rPr>
        <w:t xml:space="preserve"> This is the outcome we are trying to predict.</w:t>
      </w:r>
    </w:p>
    <w:p w14:paraId="6689C3CC"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2"/>
          <w:sz w:val="24"/>
          <w:szCs w:val="24"/>
        </w:rPr>
        <w:object w:dxaOrig="420" w:dyaOrig="480" w14:anchorId="6B78CE89">
          <v:shape id="_x0000_i1030" type="#_x0000_t75" style="width:21.15pt;height:24.25pt" o:ole="">
            <v:imagedata r:id="rId21" o:title=""/>
          </v:shape>
          <o:OLEObject Type="Embed" ProgID="Equation.3" ShapeID="_x0000_i1030" DrawAspect="Content" ObjectID="_1846054660" r:id="rId22"/>
        </w:object>
      </w:r>
      <w:r w:rsidRPr="001C5B16">
        <w:rPr>
          <w:rFonts w:ascii="Times New Roman" w:hAnsi="Times New Roman"/>
          <w:sz w:val="24"/>
          <w:szCs w:val="24"/>
        </w:rPr>
        <w:t>: The Intercept or Constant. This represents the value of ROA if all environmental costs were zero. It captures the baseline profitability driven by other factors like oil price or management skill.</w:t>
      </w:r>
    </w:p>
    <w:p w14:paraId="4E29456C"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4"/>
          <w:sz w:val="24"/>
          <w:szCs w:val="24"/>
        </w:rPr>
        <w:object w:dxaOrig="1065" w:dyaOrig="465" w14:anchorId="1498562F">
          <v:shape id="_x0000_i1031" type="#_x0000_t75" style="width:53.2pt;height:23.5pt" o:ole="">
            <v:imagedata r:id="rId23" o:title=""/>
          </v:shape>
          <o:OLEObject Type="Embed" ProgID="Equation.3" ShapeID="_x0000_i1031" DrawAspect="Content" ObjectID="_1846054661" r:id="rId24"/>
        </w:object>
      </w:r>
      <w:r w:rsidRPr="001C5B16">
        <w:rPr>
          <w:rFonts w:ascii="Times New Roman" w:hAnsi="Times New Roman"/>
          <w:sz w:val="24"/>
          <w:szCs w:val="24"/>
        </w:rPr>
        <w:t>: The Regression Coefficients. These are the most important numbers.</w:t>
      </w:r>
    </w:p>
    <w:p w14:paraId="205911AF"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0"/>
          <w:sz w:val="24"/>
          <w:szCs w:val="24"/>
        </w:rPr>
        <w:object w:dxaOrig="405" w:dyaOrig="465" w14:anchorId="332EF8A8">
          <v:shape id="_x0000_i1032" type="#_x0000_t75" style="width:20.35pt;height:23.5pt" o:ole="">
            <v:imagedata r:id="rId25" o:title=""/>
          </v:shape>
          <o:OLEObject Type="Embed" ProgID="Equation.3" ShapeID="_x0000_i1032" DrawAspect="Content" ObjectID="_1846054662" r:id="rId26"/>
        </w:object>
      </w:r>
      <w:r w:rsidRPr="001C5B16">
        <w:rPr>
          <w:rFonts w:ascii="Times New Roman" w:hAnsi="Times New Roman"/>
          <w:sz w:val="24"/>
          <w:szCs w:val="24"/>
        </w:rPr>
        <w:t xml:space="preserve"> </w:t>
      </w:r>
      <w:proofErr w:type="gramStart"/>
      <w:r w:rsidRPr="001C5B16">
        <w:rPr>
          <w:rFonts w:ascii="Times New Roman" w:hAnsi="Times New Roman"/>
          <w:sz w:val="24"/>
          <w:szCs w:val="24"/>
        </w:rPr>
        <w:t>If  is</w:t>
      </w:r>
      <w:proofErr w:type="gramEnd"/>
      <w:r w:rsidRPr="001C5B16">
        <w:rPr>
          <w:rFonts w:ascii="Times New Roman" w:hAnsi="Times New Roman"/>
          <w:sz w:val="24"/>
          <w:szCs w:val="24"/>
        </w:rPr>
        <w:t xml:space="preserve"> positive, it means spending on Restoration increases Profit.</w:t>
      </w:r>
    </w:p>
    <w:p w14:paraId="14082B10"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0"/>
          <w:sz w:val="24"/>
          <w:szCs w:val="24"/>
        </w:rPr>
        <w:object w:dxaOrig="390" w:dyaOrig="435" w14:anchorId="2C06059F">
          <v:shape id="_x0000_i1033" type="#_x0000_t75" style="width:19.55pt;height:21.9pt" o:ole="">
            <v:imagedata r:id="rId27" o:title=""/>
          </v:shape>
          <o:OLEObject Type="Embed" ProgID="Equation.3" ShapeID="_x0000_i1033" DrawAspect="Content" ObjectID="_1846054663" r:id="rId28"/>
        </w:object>
      </w:r>
      <w:r w:rsidRPr="001C5B16">
        <w:rPr>
          <w:rFonts w:ascii="Times New Roman" w:hAnsi="Times New Roman"/>
          <w:sz w:val="24"/>
          <w:szCs w:val="24"/>
        </w:rPr>
        <w:t xml:space="preserve"> </w:t>
      </w:r>
      <w:proofErr w:type="gramStart"/>
      <w:r w:rsidRPr="001C5B16">
        <w:rPr>
          <w:rFonts w:ascii="Times New Roman" w:hAnsi="Times New Roman"/>
          <w:sz w:val="24"/>
          <w:szCs w:val="24"/>
        </w:rPr>
        <w:t>If  is</w:t>
      </w:r>
      <w:proofErr w:type="gramEnd"/>
      <w:r w:rsidRPr="001C5B16">
        <w:rPr>
          <w:rFonts w:ascii="Times New Roman" w:hAnsi="Times New Roman"/>
          <w:sz w:val="24"/>
          <w:szCs w:val="24"/>
        </w:rPr>
        <w:t xml:space="preserve"> negative, it means spending on Restoration decreases Profit.</w:t>
      </w:r>
    </w:p>
    <w:p w14:paraId="1868B90A"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2"/>
          <w:sz w:val="24"/>
          <w:szCs w:val="24"/>
        </w:rPr>
        <w:object w:dxaOrig="765" w:dyaOrig="435" w14:anchorId="7E126E43">
          <v:shape id="_x0000_i1034" type="#_x0000_t75" style="width:38.35pt;height:21.9pt" o:ole="">
            <v:imagedata r:id="rId29" o:title=""/>
          </v:shape>
          <o:OLEObject Type="Embed" ProgID="Equation.3" ShapeID="_x0000_i1034" DrawAspect="Content" ObjectID="_1846054664" r:id="rId30"/>
        </w:object>
      </w:r>
      <w:r w:rsidRPr="001C5B16">
        <w:rPr>
          <w:rFonts w:ascii="Times New Roman" w:hAnsi="Times New Roman"/>
          <w:sz w:val="24"/>
          <w:szCs w:val="24"/>
        </w:rPr>
        <w:t xml:space="preserve">: Environmental Restoration Cost for </w:t>
      </w:r>
      <w:proofErr w:type="gramStart"/>
      <w:r w:rsidRPr="001C5B16">
        <w:rPr>
          <w:rFonts w:ascii="Times New Roman" w:hAnsi="Times New Roman"/>
          <w:sz w:val="24"/>
          <w:szCs w:val="24"/>
        </w:rPr>
        <w:t>Firm  in</w:t>
      </w:r>
      <w:proofErr w:type="gramEnd"/>
      <w:r w:rsidRPr="001C5B16">
        <w:rPr>
          <w:rFonts w:ascii="Times New Roman" w:hAnsi="Times New Roman"/>
          <w:sz w:val="24"/>
          <w:szCs w:val="24"/>
        </w:rPr>
        <w:t xml:space="preserve"> </w:t>
      </w:r>
      <w:proofErr w:type="gramStart"/>
      <w:r w:rsidRPr="001C5B16">
        <w:rPr>
          <w:rFonts w:ascii="Times New Roman" w:hAnsi="Times New Roman"/>
          <w:sz w:val="24"/>
          <w:szCs w:val="24"/>
        </w:rPr>
        <w:t>time .</w:t>
      </w:r>
      <w:proofErr w:type="gramEnd"/>
    </w:p>
    <w:p w14:paraId="048F7F44"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2"/>
          <w:sz w:val="24"/>
          <w:szCs w:val="24"/>
        </w:rPr>
        <w:object w:dxaOrig="765" w:dyaOrig="405" w14:anchorId="241D07D0">
          <v:shape id="_x0000_i1035" type="#_x0000_t75" style="width:38.35pt;height:20.35pt" o:ole="">
            <v:imagedata r:id="rId31" o:title=""/>
          </v:shape>
          <o:OLEObject Type="Embed" ProgID="Equation.3" ShapeID="_x0000_i1035" DrawAspect="Content" ObjectID="_1846054665" r:id="rId32"/>
        </w:object>
      </w:r>
      <w:r w:rsidRPr="001C5B16">
        <w:rPr>
          <w:rFonts w:ascii="Times New Roman" w:hAnsi="Times New Roman"/>
          <w:sz w:val="24"/>
          <w:szCs w:val="24"/>
        </w:rPr>
        <w:t xml:space="preserve">: Community Development Cost for </w:t>
      </w:r>
      <w:proofErr w:type="gramStart"/>
      <w:r w:rsidRPr="001C5B16">
        <w:rPr>
          <w:rFonts w:ascii="Times New Roman" w:hAnsi="Times New Roman"/>
          <w:sz w:val="24"/>
          <w:szCs w:val="24"/>
        </w:rPr>
        <w:t>Firm  in</w:t>
      </w:r>
      <w:proofErr w:type="gramEnd"/>
      <w:r w:rsidRPr="001C5B16">
        <w:rPr>
          <w:rFonts w:ascii="Times New Roman" w:hAnsi="Times New Roman"/>
          <w:sz w:val="24"/>
          <w:szCs w:val="24"/>
        </w:rPr>
        <w:t xml:space="preserve"> </w:t>
      </w:r>
      <w:proofErr w:type="gramStart"/>
      <w:r w:rsidRPr="001C5B16">
        <w:rPr>
          <w:rFonts w:ascii="Times New Roman" w:hAnsi="Times New Roman"/>
          <w:sz w:val="24"/>
          <w:szCs w:val="24"/>
        </w:rPr>
        <w:t>time .</w:t>
      </w:r>
      <w:proofErr w:type="gramEnd"/>
    </w:p>
    <w:p w14:paraId="101203E3"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position w:val="-12"/>
          <w:sz w:val="24"/>
          <w:szCs w:val="24"/>
        </w:rPr>
        <w:object w:dxaOrig="840" w:dyaOrig="420" w14:anchorId="08C179A1">
          <v:shape id="_x0000_i1036" type="#_x0000_t75" style="width:42.25pt;height:21.15pt" o:ole="">
            <v:imagedata r:id="rId33" o:title=""/>
          </v:shape>
          <o:OLEObject Type="Embed" ProgID="Equation.3" ShapeID="_x0000_i1036" DrawAspect="Content" ObjectID="_1846054666" r:id="rId34"/>
        </w:object>
      </w:r>
      <w:r w:rsidRPr="001C5B16">
        <w:rPr>
          <w:rFonts w:ascii="Times New Roman" w:hAnsi="Times New Roman"/>
          <w:sz w:val="24"/>
          <w:szCs w:val="24"/>
        </w:rPr>
        <w:t xml:space="preserve">: Waste Management Cost for </w:t>
      </w:r>
      <w:proofErr w:type="gramStart"/>
      <w:r w:rsidRPr="001C5B16">
        <w:rPr>
          <w:rFonts w:ascii="Times New Roman" w:hAnsi="Times New Roman"/>
          <w:sz w:val="24"/>
          <w:szCs w:val="24"/>
        </w:rPr>
        <w:t>Firm  in</w:t>
      </w:r>
      <w:proofErr w:type="gramEnd"/>
      <w:r w:rsidRPr="001C5B16">
        <w:rPr>
          <w:rFonts w:ascii="Times New Roman" w:hAnsi="Times New Roman"/>
          <w:sz w:val="24"/>
          <w:szCs w:val="24"/>
        </w:rPr>
        <w:t xml:space="preserve"> </w:t>
      </w:r>
      <w:proofErr w:type="gramStart"/>
      <w:r w:rsidRPr="001C5B16">
        <w:rPr>
          <w:rFonts w:ascii="Times New Roman" w:hAnsi="Times New Roman"/>
          <w:sz w:val="24"/>
          <w:szCs w:val="24"/>
        </w:rPr>
        <w:t>time .</w:t>
      </w:r>
      <w:proofErr w:type="gramEnd"/>
    </w:p>
    <w:p w14:paraId="1E2BC713" w14:textId="77777777" w:rsidR="00C42D88" w:rsidRPr="001C5B16" w:rsidRDefault="00123B0E">
      <w:pPr>
        <w:spacing w:line="360" w:lineRule="auto"/>
        <w:jc w:val="both"/>
        <w:rPr>
          <w:rFonts w:ascii="Times New Roman" w:hAnsi="Times New Roman"/>
          <w:sz w:val="24"/>
          <w:szCs w:val="24"/>
        </w:rPr>
      </w:pPr>
      <w:r w:rsidRPr="001C5B16">
        <w:rPr>
          <w:rFonts w:ascii="Times New Roman" w:hAnsi="Times New Roman"/>
          <w:sz w:val="24"/>
          <w:szCs w:val="24"/>
        </w:rPr>
        <w:t xml:space="preserve"> </w:t>
      </w:r>
      <w:r w:rsidRPr="001C5B16">
        <w:rPr>
          <w:rFonts w:ascii="Times New Roman" w:hAnsi="Times New Roman"/>
          <w:position w:val="-12"/>
          <w:sz w:val="24"/>
          <w:szCs w:val="24"/>
        </w:rPr>
        <w:object w:dxaOrig="480" w:dyaOrig="495" w14:anchorId="0163B869">
          <v:shape id="_x0000_i1037" type="#_x0000_t75" style="width:24.25pt;height:25.05pt" o:ole="">
            <v:imagedata r:id="rId35" o:title=""/>
          </v:shape>
          <o:OLEObject Type="Embed" ProgID="Equation.3" ShapeID="_x0000_i1037" DrawAspect="Content" ObjectID="_1846054667" r:id="rId36"/>
        </w:object>
      </w:r>
      <w:r w:rsidRPr="001C5B16">
        <w:rPr>
          <w:rFonts w:ascii="Times New Roman" w:hAnsi="Times New Roman"/>
          <w:sz w:val="24"/>
          <w:szCs w:val="24"/>
        </w:rPr>
        <w:t>(Mu): The Error Term or Stochastic Disturbance Term. This captures all the other variables that affect profit (like inflation, exchange rate, staff competence) that are not included in this specific model.</w:t>
      </w:r>
    </w:p>
    <w:p w14:paraId="1080F2CE"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3.9 Method of Data Analysis</w:t>
      </w:r>
    </w:p>
    <w:p w14:paraId="3DEF869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To ensure a robust scientific inquiry, the data collected will be analyzed using Panel Data Regression Analysis. The choice of Panel Data analysis is superior to simple time-series or cross-sectional analysis because it increases the sample size (N x T), providing more degrees of freedom and more efficient estimates. The analysis will be performed using **E-Views 10.0** statistical software.</w:t>
      </w:r>
    </w:p>
    <w:p w14:paraId="290AA905"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It will be structured into four main sections:</w:t>
      </w:r>
    </w:p>
    <w:p w14:paraId="1902E2B6"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3.9.1 Phase 1: Descriptive Statistics</w:t>
      </w:r>
    </w:p>
    <w:p w14:paraId="1EC014F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Before regressing, the descriptive statistics of the data are examined to get the distribution.</w:t>
      </w:r>
    </w:p>
    <w:p w14:paraId="49F03D9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Mean: To test the mean profitability and mean environmental expenditure of the companies.</w:t>
      </w:r>
    </w:p>
    <w:p w14:paraId="2076994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Standard Deviation: to check the variance/risk. For example, highly volatile restoration expenditures might signify numerous spill events.</w:t>
      </w:r>
    </w:p>
    <w:p w14:paraId="00E20139"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lastRenderedPageBreak/>
        <w:t>Jarque-Bera Test: to test for Normality. Regression models data assuming a normal distribution of data (bell curve). This test assesses whether the data contains skewness or kurtosis.</w:t>
      </w:r>
    </w:p>
    <w:p w14:paraId="79559A6E"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3.9.2 Phase 2: Diagnostic Tests</w:t>
      </w:r>
    </w:p>
    <w:p w14:paraId="64126D0A" w14:textId="77777777" w:rsidR="00C42D88" w:rsidRPr="001C5B16" w:rsidRDefault="00123B0E">
      <w:pPr>
        <w:numPr>
          <w:ilvl w:val="0"/>
          <w:numId w:val="3"/>
        </w:numPr>
        <w:spacing w:line="480" w:lineRule="auto"/>
        <w:jc w:val="both"/>
        <w:rPr>
          <w:rFonts w:ascii="Times New Roman" w:hAnsi="Times New Roman"/>
          <w:sz w:val="24"/>
          <w:szCs w:val="24"/>
        </w:rPr>
      </w:pPr>
      <w:r w:rsidRPr="001C5B16">
        <w:rPr>
          <w:rFonts w:ascii="Times New Roman" w:hAnsi="Times New Roman"/>
          <w:sz w:val="24"/>
          <w:szCs w:val="24"/>
        </w:rPr>
        <w:t>Here are some health checks I will perform to ensure the regression result is genuine and not false:</w:t>
      </w:r>
    </w:p>
    <w:p w14:paraId="31EE0069" w14:textId="77777777" w:rsidR="00C42D88" w:rsidRPr="001C5B16" w:rsidRDefault="00123B0E">
      <w:pPr>
        <w:spacing w:line="480" w:lineRule="auto"/>
        <w:ind w:left="420"/>
        <w:jc w:val="both"/>
        <w:rPr>
          <w:rFonts w:ascii="Times New Roman" w:hAnsi="Times New Roman"/>
          <w:sz w:val="24"/>
          <w:szCs w:val="24"/>
        </w:rPr>
      </w:pPr>
      <w:r w:rsidRPr="001C5B16">
        <w:rPr>
          <w:rFonts w:ascii="Times New Roman" w:hAnsi="Times New Roman"/>
          <w:sz w:val="24"/>
          <w:szCs w:val="24"/>
        </w:rPr>
        <w:t>Multicollinearity Test (Correlation Matrix &amp; VIF): Does the independent variables in this model are too correlated to each other. For instance, a company that invests in Restoration also invests in Community, maybe the computer cannot distinguish from what is independent and what is not. The VIF score measures the correlation of each variable and a VIF score above 10 suggests a collinearity problem.</w:t>
      </w:r>
    </w:p>
    <w:p w14:paraId="12928594" w14:textId="77777777" w:rsidR="00C42D88" w:rsidRPr="001C5B16" w:rsidRDefault="00123B0E">
      <w:pPr>
        <w:spacing w:line="480" w:lineRule="auto"/>
        <w:ind w:left="420"/>
        <w:jc w:val="both"/>
        <w:rPr>
          <w:rFonts w:ascii="Times New Roman" w:hAnsi="Times New Roman"/>
          <w:sz w:val="24"/>
          <w:szCs w:val="24"/>
        </w:rPr>
      </w:pPr>
      <w:r w:rsidRPr="001C5B16">
        <w:rPr>
          <w:rFonts w:ascii="Times New Roman" w:hAnsi="Times New Roman"/>
          <w:sz w:val="24"/>
          <w:szCs w:val="24"/>
        </w:rPr>
        <w:t>Heteroscedasticity Test: This is checking whether the errors have constant variance or not. The variance of errors can fluctuate over time (e.g., a year where profits have wide variation compared to the rest). This would cause an invalid regression.</w:t>
      </w:r>
    </w:p>
    <w:p w14:paraId="1A1B328B" w14:textId="77777777" w:rsidR="00C42D88" w:rsidRPr="001C5B16" w:rsidRDefault="00123B0E">
      <w:pPr>
        <w:tabs>
          <w:tab w:val="left" w:pos="420"/>
        </w:tabs>
        <w:spacing w:line="480" w:lineRule="auto"/>
        <w:ind w:left="420"/>
        <w:jc w:val="both"/>
        <w:rPr>
          <w:rFonts w:ascii="Times New Roman" w:hAnsi="Times New Roman"/>
          <w:sz w:val="24"/>
          <w:szCs w:val="24"/>
        </w:rPr>
      </w:pPr>
      <w:r w:rsidRPr="001C5B16">
        <w:rPr>
          <w:rFonts w:ascii="Times New Roman" w:hAnsi="Times New Roman"/>
          <w:sz w:val="24"/>
          <w:szCs w:val="24"/>
        </w:rPr>
        <w:t>Hausman Specification Test: In panel data, this is the most important test to check and the researcher will have to choose between</w:t>
      </w:r>
    </w:p>
    <w:p w14:paraId="206EC5AE" w14:textId="77777777" w:rsidR="00C42D88" w:rsidRPr="001C5B16" w:rsidRDefault="00123B0E">
      <w:pPr>
        <w:pStyle w:val="ListParagraph"/>
        <w:numPr>
          <w:ilvl w:val="0"/>
          <w:numId w:val="3"/>
        </w:numPr>
        <w:spacing w:line="480" w:lineRule="auto"/>
        <w:jc w:val="both"/>
        <w:rPr>
          <w:rFonts w:ascii="Times New Roman" w:hAnsi="Times New Roman"/>
          <w:b/>
          <w:bCs/>
          <w:sz w:val="24"/>
          <w:szCs w:val="24"/>
        </w:rPr>
      </w:pPr>
      <w:r w:rsidRPr="001C5B16">
        <w:rPr>
          <w:rFonts w:ascii="Times New Roman" w:hAnsi="Times New Roman"/>
          <w:b/>
          <w:bCs/>
          <w:sz w:val="24"/>
          <w:szCs w:val="24"/>
        </w:rPr>
        <w:t>Fixed Effects Model (FEM</w:t>
      </w:r>
      <w:r w:rsidRPr="001C5B16">
        <w:rPr>
          <w:rFonts w:ascii="Times New Roman" w:hAnsi="Times New Roman"/>
          <w:sz w:val="24"/>
          <w:szCs w:val="24"/>
        </w:rPr>
        <w:t>): Each company possesses unique individual specific properties that remain time-invariant.</w:t>
      </w:r>
    </w:p>
    <w:p w14:paraId="54A26D1D" w14:textId="77777777" w:rsidR="00C42D88" w:rsidRPr="001C5B16" w:rsidRDefault="00123B0E">
      <w:pPr>
        <w:pStyle w:val="ListParagraph"/>
        <w:numPr>
          <w:ilvl w:val="0"/>
          <w:numId w:val="3"/>
        </w:numPr>
        <w:spacing w:line="480" w:lineRule="auto"/>
        <w:jc w:val="both"/>
        <w:rPr>
          <w:rFonts w:ascii="Times New Roman" w:hAnsi="Times New Roman"/>
          <w:sz w:val="24"/>
          <w:szCs w:val="24"/>
        </w:rPr>
      </w:pPr>
      <w:r w:rsidRPr="001C5B16">
        <w:rPr>
          <w:rFonts w:ascii="Times New Roman" w:hAnsi="Times New Roman"/>
          <w:b/>
          <w:bCs/>
          <w:sz w:val="24"/>
          <w:szCs w:val="24"/>
        </w:rPr>
        <w:t xml:space="preserve">Random Effects Model (REM): </w:t>
      </w:r>
      <w:r w:rsidRPr="001C5B16">
        <w:rPr>
          <w:rFonts w:ascii="Times New Roman" w:hAnsi="Times New Roman"/>
          <w:sz w:val="24"/>
          <w:szCs w:val="24"/>
        </w:rPr>
        <w:t>Individual specific properties between companies are randomly determined.</w:t>
      </w:r>
    </w:p>
    <w:p w14:paraId="7640E79F" w14:textId="77777777" w:rsidR="00C42D88" w:rsidRPr="001C5B16" w:rsidRDefault="00123B0E">
      <w:pPr>
        <w:pStyle w:val="ListParagraph"/>
        <w:numPr>
          <w:ilvl w:val="0"/>
          <w:numId w:val="3"/>
        </w:numPr>
        <w:spacing w:line="480" w:lineRule="auto"/>
        <w:jc w:val="both"/>
        <w:rPr>
          <w:rFonts w:ascii="Times New Roman" w:hAnsi="Times New Roman"/>
          <w:sz w:val="24"/>
          <w:szCs w:val="24"/>
        </w:rPr>
      </w:pPr>
      <w:r w:rsidRPr="001C5B16">
        <w:rPr>
          <w:rFonts w:ascii="Times New Roman" w:hAnsi="Times New Roman"/>
          <w:b/>
          <w:bCs/>
          <w:sz w:val="24"/>
          <w:szCs w:val="24"/>
        </w:rPr>
        <w:t xml:space="preserve">Decision Rule: </w:t>
      </w:r>
      <w:r w:rsidRPr="001C5B16">
        <w:rPr>
          <w:rFonts w:ascii="Times New Roman" w:hAnsi="Times New Roman"/>
          <w:sz w:val="24"/>
          <w:szCs w:val="24"/>
        </w:rPr>
        <w:t>if P-value of Hausman test is &lt; 0.05, we reject the Random Effects and apply the Fixed Effects Model</w:t>
      </w:r>
    </w:p>
    <w:p w14:paraId="3302A2CB" w14:textId="77777777" w:rsidR="00C42D88" w:rsidRPr="001C5B16" w:rsidRDefault="00C42D88">
      <w:pPr>
        <w:pStyle w:val="ListParagraph"/>
        <w:tabs>
          <w:tab w:val="left" w:pos="420"/>
        </w:tabs>
        <w:spacing w:line="480" w:lineRule="auto"/>
        <w:ind w:left="0"/>
        <w:jc w:val="both"/>
        <w:rPr>
          <w:rFonts w:ascii="Times New Roman" w:hAnsi="Times New Roman"/>
          <w:sz w:val="24"/>
          <w:szCs w:val="24"/>
        </w:rPr>
      </w:pPr>
    </w:p>
    <w:p w14:paraId="072C0C1C" w14:textId="77777777" w:rsidR="00C42D88" w:rsidRPr="001C5B16" w:rsidRDefault="00C42D88">
      <w:pPr>
        <w:pStyle w:val="ListParagraph"/>
        <w:tabs>
          <w:tab w:val="left" w:pos="420"/>
        </w:tabs>
        <w:spacing w:line="480" w:lineRule="auto"/>
        <w:ind w:left="0"/>
        <w:jc w:val="both"/>
        <w:rPr>
          <w:rFonts w:ascii="Times New Roman" w:hAnsi="Times New Roman"/>
          <w:sz w:val="24"/>
          <w:szCs w:val="24"/>
        </w:rPr>
      </w:pPr>
    </w:p>
    <w:p w14:paraId="3FD930CA"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3.9.3 Phase 3: Regression Analysis (Hypothesis Testing)</w:t>
      </w:r>
    </w:p>
    <w:p w14:paraId="0A318C14"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xml:space="preserve">This is the body of the study. All coefficients created by the regression will be interpreted. T-Statistic: Indicates how statistically significant an individual variable is. F-Statistic: Indicates how statistically significant the model as a whole is. It indicates whether Environmental Accounting as a whole has an influence on Profitability. R-Squared ( </w:t>
      </w:r>
      <m:oMath>
        <m:sSup>
          <m:sSupPr>
            <m:ctrlPr>
              <w:rPr>
                <w:rFonts w:ascii="Cambria Math" w:hAnsi="Cambria Math"/>
                <w:i/>
                <w:sz w:val="24"/>
                <w:szCs w:val="24"/>
              </w:rPr>
            </m:ctrlPr>
          </m:sSupPr>
          <m:e>
            <m:r>
              <m:rPr>
                <m:nor/>
              </m:rPr>
              <w:rPr>
                <w:rFonts w:ascii="Times New Roman" w:hAnsi="Times New Roman"/>
                <w:i/>
                <w:sz w:val="24"/>
                <w:szCs w:val="24"/>
              </w:rPr>
              <m:t>R</m:t>
            </m:r>
          </m:e>
          <m:sup>
            <m:r>
              <m:rPr>
                <m:nor/>
              </m:rPr>
              <w:rPr>
                <w:rFonts w:ascii="Times New Roman" w:hAnsi="Times New Roman"/>
                <w:sz w:val="24"/>
                <w:szCs w:val="24"/>
              </w:rPr>
              <m:t>2</m:t>
            </m:r>
          </m:sup>
        </m:sSup>
      </m:oMath>
      <w:r w:rsidRPr="001C5B16">
        <w:rPr>
          <w:rFonts w:ascii="Times New Roman" w:hAnsi="Times New Roman"/>
          <w:sz w:val="24"/>
          <w:szCs w:val="24"/>
        </w:rPr>
        <w:t>): Coefficient of determination. The amount of the variation in the Profit (ROA) that is explained by our variables. For example, an R-squared of .60 would mean that 60% of the profit change is driven by the environmental costs.</w:t>
      </w:r>
    </w:p>
    <w:p w14:paraId="29D794D0"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3.9.4 Phase 4: Decision Rule for Hypotheses</w:t>
      </w:r>
    </w:p>
    <w:p w14:paraId="4E74B63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In order to eliminate subjectivism, an explicit statistical rule is decided.</w:t>
      </w:r>
    </w:p>
    <w:p w14:paraId="6E7F6732"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Level of Significance (</w:t>
      </w:r>
      <w:r w:rsidRPr="001C5B16">
        <w:rPr>
          <w:rFonts w:ascii="Times New Roman" w:hAnsi="Times New Roman"/>
          <w:b/>
          <w:bCs/>
          <w:position w:val="-6"/>
          <w:sz w:val="24"/>
          <w:szCs w:val="24"/>
        </w:rPr>
        <w:object w:dxaOrig="240" w:dyaOrig="225" w14:anchorId="69A639FB">
          <v:shape id="_x0000_i1038" type="#_x0000_t75" style="width:11.75pt;height:10.95pt" o:ole="">
            <v:imagedata r:id="rId37" o:title=""/>
          </v:shape>
          <o:OLEObject Type="Embed" ProgID="Equation.3" ShapeID="_x0000_i1038" DrawAspect="Content" ObjectID="_1846054668" r:id="rId38"/>
        </w:object>
      </w:r>
      <w:r w:rsidRPr="001C5B16">
        <w:rPr>
          <w:rFonts w:ascii="Times New Roman" w:hAnsi="Times New Roman"/>
          <w:b/>
          <w:bCs/>
          <w:sz w:val="24"/>
          <w:szCs w:val="24"/>
        </w:rPr>
        <w:t>):</w:t>
      </w:r>
      <w:r w:rsidRPr="001C5B16">
        <w:rPr>
          <w:rFonts w:ascii="Times New Roman" w:hAnsi="Times New Roman"/>
          <w:sz w:val="24"/>
          <w:szCs w:val="24"/>
        </w:rPr>
        <w:t xml:space="preserve"> The study adopts a 5% (0.05) level of significance, which is the standard for social science research.</w:t>
      </w:r>
    </w:p>
    <w:p w14:paraId="28A6D5BD"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b/>
          <w:bCs/>
          <w:sz w:val="24"/>
          <w:szCs w:val="24"/>
        </w:rPr>
        <w:t>Rule:</w:t>
      </w:r>
    </w:p>
    <w:p w14:paraId="23626EC8"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If the Probability Value (P-value) is less than 0.05 (P &lt; 0.05), we Reject the Null Hypothesis (</w:t>
      </w:r>
      <w:r w:rsidRPr="001C5B16">
        <w:rPr>
          <w:rFonts w:ascii="Times New Roman" w:hAnsi="Times New Roman"/>
          <w:position w:val="-12"/>
          <w:sz w:val="24"/>
          <w:szCs w:val="24"/>
        </w:rPr>
        <w:object w:dxaOrig="360" w:dyaOrig="360" w14:anchorId="290B47F9">
          <v:shape id="_x0000_i1039" type="#_x0000_t75" style="width:18pt;height:18pt" o:ole="">
            <v:imagedata r:id="rId39" o:title=""/>
          </v:shape>
          <o:OLEObject Type="Embed" ProgID="Equation.3" ShapeID="_x0000_i1039" DrawAspect="Content" ObjectID="_1846054669" r:id="rId40"/>
        </w:object>
      </w:r>
      <w:r w:rsidRPr="001C5B16">
        <w:rPr>
          <w:rFonts w:ascii="Times New Roman" w:hAnsi="Times New Roman"/>
          <w:sz w:val="24"/>
          <w:szCs w:val="24"/>
        </w:rPr>
        <w:t>) and accept the Alternative Hypothesis. This means the variable has a significant effect.</w:t>
      </w:r>
    </w:p>
    <w:p w14:paraId="1240AE33" w14:textId="77777777" w:rsidR="00C42D88" w:rsidRPr="001C5B16" w:rsidRDefault="00123B0E">
      <w:pPr>
        <w:spacing w:line="480" w:lineRule="auto"/>
        <w:jc w:val="both"/>
        <w:rPr>
          <w:rFonts w:ascii="Times New Roman" w:hAnsi="Times New Roman"/>
          <w:sz w:val="24"/>
          <w:szCs w:val="24"/>
        </w:rPr>
      </w:pPr>
      <w:r w:rsidRPr="001C5B16">
        <w:rPr>
          <w:rFonts w:ascii="Times New Roman" w:hAnsi="Times New Roman"/>
          <w:sz w:val="24"/>
          <w:szCs w:val="24"/>
        </w:rPr>
        <w:t>* If the Probability Value (P-value) is greater than 0.05 (P &gt; 0.05), we Accept the Null Hypothesis (</w:t>
      </w:r>
      <w:r w:rsidRPr="001C5B16">
        <w:rPr>
          <w:rFonts w:ascii="Times New Roman" w:hAnsi="Times New Roman"/>
          <w:position w:val="-12"/>
          <w:sz w:val="24"/>
          <w:szCs w:val="24"/>
        </w:rPr>
        <w:object w:dxaOrig="360" w:dyaOrig="360" w14:anchorId="30D4EF14">
          <v:shape id="_x0000_i1040" type="#_x0000_t75" style="width:18pt;height:18pt" o:ole="">
            <v:imagedata r:id="rId41" o:title=""/>
          </v:shape>
          <o:OLEObject Type="Embed" ProgID="Equation.3" ShapeID="_x0000_i1040" DrawAspect="Content" ObjectID="_1846054670" r:id="rId42"/>
        </w:object>
      </w:r>
      <w:r w:rsidRPr="001C5B16">
        <w:rPr>
          <w:rFonts w:ascii="Times New Roman" w:hAnsi="Times New Roman"/>
          <w:sz w:val="24"/>
          <w:szCs w:val="24"/>
        </w:rPr>
        <w:t>). This means the variable has no significant effect.</w:t>
      </w:r>
    </w:p>
    <w:p w14:paraId="56678F33" w14:textId="77777777" w:rsidR="00C42D88" w:rsidRPr="001C5B16" w:rsidRDefault="00C42D88">
      <w:pPr>
        <w:spacing w:line="480" w:lineRule="auto"/>
        <w:jc w:val="both"/>
        <w:rPr>
          <w:rFonts w:ascii="Times New Roman" w:hAnsi="Times New Roman"/>
          <w:sz w:val="24"/>
          <w:szCs w:val="24"/>
        </w:rPr>
      </w:pPr>
    </w:p>
    <w:p w14:paraId="38BBCCDD" w14:textId="77777777" w:rsidR="00C42D88" w:rsidRPr="001C5B16" w:rsidRDefault="00123B0E">
      <w:pPr>
        <w:spacing w:line="480" w:lineRule="auto"/>
        <w:jc w:val="center"/>
        <w:rPr>
          <w:rFonts w:ascii="Times New Roman" w:hAnsi="Times New Roman"/>
          <w:b/>
          <w:bCs/>
          <w:color w:val="1F1F1F"/>
          <w:sz w:val="24"/>
          <w:szCs w:val="24"/>
        </w:rPr>
      </w:pPr>
      <w:r w:rsidRPr="001C5B16">
        <w:rPr>
          <w:rFonts w:ascii="Times New Roman" w:hAnsi="Times New Roman"/>
          <w:b/>
          <w:bCs/>
          <w:color w:val="1F1F1F"/>
          <w:sz w:val="24"/>
          <w:szCs w:val="24"/>
        </w:rPr>
        <w:lastRenderedPageBreak/>
        <w:t>CHAPTER FOUR</w:t>
      </w:r>
    </w:p>
    <w:p w14:paraId="17AF1A6C" w14:textId="77777777" w:rsidR="00C42D88" w:rsidRPr="001C5B16" w:rsidRDefault="00123B0E">
      <w:pPr>
        <w:spacing w:line="480" w:lineRule="auto"/>
        <w:jc w:val="center"/>
        <w:rPr>
          <w:rFonts w:ascii="Times New Roman" w:hAnsi="Times New Roman"/>
          <w:b/>
          <w:bCs/>
          <w:color w:val="1F1F1F"/>
          <w:sz w:val="24"/>
          <w:szCs w:val="24"/>
        </w:rPr>
      </w:pPr>
      <w:r w:rsidRPr="001C5B16">
        <w:rPr>
          <w:rFonts w:ascii="Times New Roman" w:hAnsi="Times New Roman"/>
          <w:b/>
          <w:bCs/>
          <w:color w:val="1F1F1F"/>
          <w:sz w:val="24"/>
          <w:szCs w:val="24"/>
        </w:rPr>
        <w:t>DATA PRESENTATION, ANALYSIS, AND DISCUSSION OF FINDINGS</w:t>
      </w:r>
    </w:p>
    <w:p w14:paraId="3395566F"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4.1 Descriptive Statistics</w:t>
      </w:r>
    </w:p>
    <w:p w14:paraId="0321B8D2"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Table 4.1 provides a summary of the basic features of the data in the study, giving an overview of the average performance and environmental spending of the firms.</w:t>
      </w:r>
    </w:p>
    <w:p w14:paraId="3FBBF142"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Table 4.1: Descriptive Statistics Results</w:t>
      </w:r>
    </w:p>
    <w:tbl>
      <w:tblPr>
        <w:tblStyle w:val="TableGrid"/>
        <w:tblW w:w="0" w:type="auto"/>
        <w:tblLook w:val="04A0" w:firstRow="1" w:lastRow="0" w:firstColumn="1" w:lastColumn="0" w:noHBand="0" w:noVBand="1"/>
      </w:tblPr>
      <w:tblGrid>
        <w:gridCol w:w="1885"/>
        <w:gridCol w:w="1842"/>
        <w:gridCol w:w="1871"/>
        <w:gridCol w:w="1871"/>
        <w:gridCol w:w="1881"/>
      </w:tblGrid>
      <w:tr w:rsidR="00C42D88" w:rsidRPr="001C5B16" w14:paraId="7EEF8683" w14:textId="77777777">
        <w:tc>
          <w:tcPr>
            <w:tcW w:w="1915" w:type="dxa"/>
          </w:tcPr>
          <w:p w14:paraId="282347D3"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Statistic</w:t>
            </w:r>
          </w:p>
        </w:tc>
        <w:tc>
          <w:tcPr>
            <w:tcW w:w="1915" w:type="dxa"/>
          </w:tcPr>
          <w:p w14:paraId="6C8721C5"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ROA</w:t>
            </w:r>
          </w:p>
        </w:tc>
        <w:tc>
          <w:tcPr>
            <w:tcW w:w="1915" w:type="dxa"/>
          </w:tcPr>
          <w:p w14:paraId="172784A5"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ERC (Naira)</w:t>
            </w:r>
          </w:p>
        </w:tc>
        <w:tc>
          <w:tcPr>
            <w:tcW w:w="1915" w:type="dxa"/>
          </w:tcPr>
          <w:p w14:paraId="62186E01"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CDC (Naira)</w:t>
            </w:r>
          </w:p>
        </w:tc>
        <w:tc>
          <w:tcPr>
            <w:tcW w:w="1916" w:type="dxa"/>
          </w:tcPr>
          <w:p w14:paraId="5E4101D1"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WMC (Naira)</w:t>
            </w:r>
          </w:p>
        </w:tc>
      </w:tr>
      <w:tr w:rsidR="00C42D88" w:rsidRPr="001C5B16" w14:paraId="01BEFEA1" w14:textId="77777777">
        <w:tc>
          <w:tcPr>
            <w:tcW w:w="1915" w:type="dxa"/>
          </w:tcPr>
          <w:p w14:paraId="46085CC1"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Mean</w:t>
            </w:r>
          </w:p>
        </w:tc>
        <w:tc>
          <w:tcPr>
            <w:tcW w:w="1915" w:type="dxa"/>
          </w:tcPr>
          <w:p w14:paraId="49DB3A0B"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0.0478</w:t>
            </w:r>
          </w:p>
        </w:tc>
        <w:tc>
          <w:tcPr>
            <w:tcW w:w="1915" w:type="dxa"/>
          </w:tcPr>
          <w:p w14:paraId="7A4EA158"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2,514,320</w:t>
            </w:r>
          </w:p>
        </w:tc>
        <w:tc>
          <w:tcPr>
            <w:tcW w:w="1915" w:type="dxa"/>
          </w:tcPr>
          <w:p w14:paraId="359095A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3,128,550</w:t>
            </w:r>
          </w:p>
        </w:tc>
        <w:tc>
          <w:tcPr>
            <w:tcW w:w="1916" w:type="dxa"/>
          </w:tcPr>
          <w:p w14:paraId="06C9AB58"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13,997,820</w:t>
            </w:r>
          </w:p>
        </w:tc>
      </w:tr>
      <w:tr w:rsidR="00C42D88" w:rsidRPr="001C5B16" w14:paraId="1612CBC1" w14:textId="77777777">
        <w:tc>
          <w:tcPr>
            <w:tcW w:w="1915" w:type="dxa"/>
          </w:tcPr>
          <w:p w14:paraId="173B07AF"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Median</w:t>
            </w:r>
          </w:p>
        </w:tc>
        <w:tc>
          <w:tcPr>
            <w:tcW w:w="1915" w:type="dxa"/>
          </w:tcPr>
          <w:p w14:paraId="4EA289F6"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0.0343</w:t>
            </w:r>
          </w:p>
        </w:tc>
        <w:tc>
          <w:tcPr>
            <w:tcW w:w="1915" w:type="dxa"/>
          </w:tcPr>
          <w:p w14:paraId="4C93747D"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120,500</w:t>
            </w:r>
          </w:p>
        </w:tc>
        <w:tc>
          <w:tcPr>
            <w:tcW w:w="1915" w:type="dxa"/>
          </w:tcPr>
          <w:p w14:paraId="4FE8BC3F"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62,200</w:t>
            </w:r>
          </w:p>
        </w:tc>
        <w:tc>
          <w:tcPr>
            <w:tcW w:w="1916" w:type="dxa"/>
          </w:tcPr>
          <w:p w14:paraId="2E8A98C0"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109,645</w:t>
            </w:r>
          </w:p>
        </w:tc>
      </w:tr>
      <w:tr w:rsidR="00C42D88" w:rsidRPr="001C5B16" w14:paraId="01792D97" w14:textId="77777777">
        <w:tc>
          <w:tcPr>
            <w:tcW w:w="1915" w:type="dxa"/>
          </w:tcPr>
          <w:p w14:paraId="6A1F61F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Maximum</w:t>
            </w:r>
          </w:p>
        </w:tc>
        <w:tc>
          <w:tcPr>
            <w:tcW w:w="1915" w:type="dxa"/>
          </w:tcPr>
          <w:p w14:paraId="50FDF2B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0.1503</w:t>
            </w:r>
          </w:p>
        </w:tc>
        <w:tc>
          <w:tcPr>
            <w:tcW w:w="1915" w:type="dxa"/>
          </w:tcPr>
          <w:p w14:paraId="3954E983"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17,301,015</w:t>
            </w:r>
          </w:p>
        </w:tc>
        <w:tc>
          <w:tcPr>
            <w:tcW w:w="1915" w:type="dxa"/>
          </w:tcPr>
          <w:p w14:paraId="098F25AD"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23,560,000</w:t>
            </w:r>
          </w:p>
        </w:tc>
        <w:tc>
          <w:tcPr>
            <w:tcW w:w="1916" w:type="dxa"/>
          </w:tcPr>
          <w:p w14:paraId="53A52494"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111,228,000</w:t>
            </w:r>
          </w:p>
        </w:tc>
      </w:tr>
      <w:tr w:rsidR="00C42D88" w:rsidRPr="001C5B16" w14:paraId="792EB1A1" w14:textId="77777777">
        <w:tc>
          <w:tcPr>
            <w:tcW w:w="1915" w:type="dxa"/>
          </w:tcPr>
          <w:p w14:paraId="20D6BBF2"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Minimum</w:t>
            </w:r>
          </w:p>
        </w:tc>
        <w:tc>
          <w:tcPr>
            <w:tcW w:w="1915" w:type="dxa"/>
          </w:tcPr>
          <w:p w14:paraId="68F4EE5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-0.0303</w:t>
            </w:r>
          </w:p>
        </w:tc>
        <w:tc>
          <w:tcPr>
            <w:tcW w:w="1915" w:type="dxa"/>
          </w:tcPr>
          <w:p w14:paraId="176819CC"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w:t>
            </w:r>
          </w:p>
        </w:tc>
        <w:tc>
          <w:tcPr>
            <w:tcW w:w="1915" w:type="dxa"/>
          </w:tcPr>
          <w:p w14:paraId="0FB259EA"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w:t>
            </w:r>
          </w:p>
        </w:tc>
        <w:tc>
          <w:tcPr>
            <w:tcW w:w="1916" w:type="dxa"/>
          </w:tcPr>
          <w:p w14:paraId="48301F54"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12,473</w:t>
            </w:r>
          </w:p>
        </w:tc>
      </w:tr>
      <w:tr w:rsidR="00C42D88" w:rsidRPr="001C5B16" w14:paraId="1D29EFD2" w14:textId="77777777">
        <w:tc>
          <w:tcPr>
            <w:tcW w:w="1915" w:type="dxa"/>
          </w:tcPr>
          <w:p w14:paraId="0F615EB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Std. Dev.</w:t>
            </w:r>
          </w:p>
        </w:tc>
        <w:tc>
          <w:tcPr>
            <w:tcW w:w="1915" w:type="dxa"/>
          </w:tcPr>
          <w:p w14:paraId="257B0AEA"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0.0412</w:t>
            </w:r>
          </w:p>
        </w:tc>
        <w:tc>
          <w:tcPr>
            <w:tcW w:w="1915" w:type="dxa"/>
          </w:tcPr>
          <w:p w14:paraId="7C5E7F9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4,112,850</w:t>
            </w:r>
          </w:p>
        </w:tc>
        <w:tc>
          <w:tcPr>
            <w:tcW w:w="1915" w:type="dxa"/>
          </w:tcPr>
          <w:p w14:paraId="5051696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7,027,174</w:t>
            </w:r>
          </w:p>
        </w:tc>
        <w:tc>
          <w:tcPr>
            <w:tcW w:w="1916" w:type="dxa"/>
          </w:tcPr>
          <w:p w14:paraId="5E4521AE"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33,304,250</w:t>
            </w:r>
          </w:p>
        </w:tc>
      </w:tr>
      <w:tr w:rsidR="00C42D88" w:rsidRPr="001C5B16" w14:paraId="13ACDFD1" w14:textId="77777777">
        <w:tc>
          <w:tcPr>
            <w:tcW w:w="1915" w:type="dxa"/>
          </w:tcPr>
          <w:p w14:paraId="6CE21C6F"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Observations</w:t>
            </w:r>
          </w:p>
        </w:tc>
        <w:tc>
          <w:tcPr>
            <w:tcW w:w="1915" w:type="dxa"/>
          </w:tcPr>
          <w:p w14:paraId="3969C3AA"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18</w:t>
            </w:r>
          </w:p>
        </w:tc>
        <w:tc>
          <w:tcPr>
            <w:tcW w:w="1915" w:type="dxa"/>
          </w:tcPr>
          <w:p w14:paraId="2984159E"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18</w:t>
            </w:r>
          </w:p>
        </w:tc>
        <w:tc>
          <w:tcPr>
            <w:tcW w:w="1915" w:type="dxa"/>
          </w:tcPr>
          <w:p w14:paraId="4B3E2577"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18</w:t>
            </w:r>
          </w:p>
        </w:tc>
        <w:tc>
          <w:tcPr>
            <w:tcW w:w="1916" w:type="dxa"/>
          </w:tcPr>
          <w:p w14:paraId="2A30229E"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color w:val="1F1F1F"/>
                <w:sz w:val="24"/>
                <w:szCs w:val="24"/>
              </w:rPr>
              <w:t>18</w:t>
            </w:r>
          </w:p>
        </w:tc>
      </w:tr>
    </w:tbl>
    <w:p w14:paraId="6A131549" w14:textId="77777777" w:rsidR="00C42D88" w:rsidRPr="001C5B16" w:rsidRDefault="00C42D88">
      <w:pPr>
        <w:spacing w:line="240" w:lineRule="auto"/>
        <w:jc w:val="both"/>
        <w:rPr>
          <w:rFonts w:ascii="Times New Roman" w:hAnsi="Times New Roman"/>
          <w:b/>
          <w:bCs/>
          <w:color w:val="1F1F1F"/>
          <w:sz w:val="24"/>
          <w:szCs w:val="24"/>
        </w:rPr>
      </w:pPr>
    </w:p>
    <w:p w14:paraId="792492D8"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Source: Researcher’s Computation (2026)</w:t>
      </w:r>
    </w:p>
    <w:p w14:paraId="0B2255F1"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Interpretation of Descriptive Statistics: </w:t>
      </w:r>
    </w:p>
    <w:p w14:paraId="3F47C090"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Table 4.1 shows that the average Return on Assets (ROA) for the sampled firms is 4.78%. For the independent variables, Waste Management Cost (WMC) has the highest average spending (N13.99 </w:t>
      </w:r>
      <w:proofErr w:type="gramStart"/>
      <w:r w:rsidRPr="001C5B16">
        <w:rPr>
          <w:rFonts w:ascii="Times New Roman" w:hAnsi="Times New Roman"/>
          <w:color w:val="1F1F1F"/>
          <w:sz w:val="24"/>
          <w:szCs w:val="24"/>
        </w:rPr>
        <w:lastRenderedPageBreak/>
        <w:t>Million</w:t>
      </w:r>
      <w:proofErr w:type="gramEnd"/>
      <w:r w:rsidRPr="001C5B16">
        <w:rPr>
          <w:rFonts w:ascii="Times New Roman" w:hAnsi="Times New Roman"/>
          <w:color w:val="1F1F1F"/>
          <w:sz w:val="24"/>
          <w:szCs w:val="24"/>
        </w:rPr>
        <w:t xml:space="preserve">), followed by Community Development Cost (CDC) at N3.12 </w:t>
      </w:r>
      <w:proofErr w:type="gramStart"/>
      <w:r w:rsidRPr="001C5B16">
        <w:rPr>
          <w:rFonts w:ascii="Times New Roman" w:hAnsi="Times New Roman"/>
          <w:color w:val="1F1F1F"/>
          <w:sz w:val="24"/>
          <w:szCs w:val="24"/>
        </w:rPr>
        <w:t>Million</w:t>
      </w:r>
      <w:proofErr w:type="gramEnd"/>
      <w:r w:rsidRPr="001C5B16">
        <w:rPr>
          <w:rFonts w:ascii="Times New Roman" w:hAnsi="Times New Roman"/>
          <w:color w:val="1F1F1F"/>
          <w:sz w:val="24"/>
          <w:szCs w:val="24"/>
        </w:rPr>
        <w:t xml:space="preserve">, and Environmental Restoration Cost (ERC) at N2.51 </w:t>
      </w:r>
      <w:proofErr w:type="gramStart"/>
      <w:r w:rsidRPr="001C5B16">
        <w:rPr>
          <w:rFonts w:ascii="Times New Roman" w:hAnsi="Times New Roman"/>
          <w:color w:val="1F1F1F"/>
          <w:sz w:val="24"/>
          <w:szCs w:val="24"/>
        </w:rPr>
        <w:t>Million</w:t>
      </w:r>
      <w:proofErr w:type="gramEnd"/>
      <w:r w:rsidRPr="001C5B16">
        <w:rPr>
          <w:rFonts w:ascii="Times New Roman" w:hAnsi="Times New Roman"/>
          <w:color w:val="1F1F1F"/>
          <w:sz w:val="24"/>
          <w:szCs w:val="24"/>
        </w:rPr>
        <w:t xml:space="preserve">. </w:t>
      </w:r>
    </w:p>
    <w:p w14:paraId="3EB32F20"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4.2 Diagnostic Tests</w:t>
      </w:r>
    </w:p>
    <w:p w14:paraId="7B23BE28"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 4.2.1 Correlation Matrix </w:t>
      </w:r>
    </w:p>
    <w:p w14:paraId="2542F513"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The correlation matrix shows the strength and direction of the linear relationship between the variables. </w:t>
      </w:r>
    </w:p>
    <w:p w14:paraId="14C0AD27"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Table 4.2: Correlation Matrix</w:t>
      </w:r>
    </w:p>
    <w:tbl>
      <w:tblPr>
        <w:tblStyle w:val="TableGrid"/>
        <w:tblW w:w="0" w:type="auto"/>
        <w:tblLook w:val="04A0" w:firstRow="1" w:lastRow="0" w:firstColumn="1" w:lastColumn="0" w:noHBand="0" w:noVBand="1"/>
      </w:tblPr>
      <w:tblGrid>
        <w:gridCol w:w="1881"/>
        <w:gridCol w:w="1867"/>
        <w:gridCol w:w="1867"/>
        <w:gridCol w:w="1867"/>
        <w:gridCol w:w="1868"/>
      </w:tblGrid>
      <w:tr w:rsidR="00C42D88" w:rsidRPr="001C5B16" w14:paraId="3F42E85C" w14:textId="77777777">
        <w:tc>
          <w:tcPr>
            <w:tcW w:w="1915" w:type="dxa"/>
          </w:tcPr>
          <w:p w14:paraId="3EBF5D14"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Variables</w:t>
            </w:r>
          </w:p>
        </w:tc>
        <w:tc>
          <w:tcPr>
            <w:tcW w:w="1915" w:type="dxa"/>
          </w:tcPr>
          <w:p w14:paraId="4E628CAD"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ROA</w:t>
            </w:r>
          </w:p>
        </w:tc>
        <w:tc>
          <w:tcPr>
            <w:tcW w:w="1915" w:type="dxa"/>
          </w:tcPr>
          <w:p w14:paraId="35BB9C78"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ERC</w:t>
            </w:r>
          </w:p>
        </w:tc>
        <w:tc>
          <w:tcPr>
            <w:tcW w:w="1915" w:type="dxa"/>
          </w:tcPr>
          <w:p w14:paraId="796E7657"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CDC</w:t>
            </w:r>
          </w:p>
        </w:tc>
        <w:tc>
          <w:tcPr>
            <w:tcW w:w="1916" w:type="dxa"/>
          </w:tcPr>
          <w:p w14:paraId="1DBEE424"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WMC</w:t>
            </w:r>
          </w:p>
        </w:tc>
      </w:tr>
      <w:tr w:rsidR="00C42D88" w:rsidRPr="001C5B16" w14:paraId="5ACB7976" w14:textId="77777777">
        <w:tc>
          <w:tcPr>
            <w:tcW w:w="1915" w:type="dxa"/>
          </w:tcPr>
          <w:p w14:paraId="04D8DC81"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ROA</w:t>
            </w:r>
          </w:p>
        </w:tc>
        <w:tc>
          <w:tcPr>
            <w:tcW w:w="1915" w:type="dxa"/>
          </w:tcPr>
          <w:p w14:paraId="0E8FF47E"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1.0000</w:t>
            </w:r>
          </w:p>
        </w:tc>
        <w:tc>
          <w:tcPr>
            <w:tcW w:w="1915" w:type="dxa"/>
          </w:tcPr>
          <w:p w14:paraId="43A33F05"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-0.1542</w:t>
            </w:r>
          </w:p>
        </w:tc>
        <w:tc>
          <w:tcPr>
            <w:tcW w:w="1915" w:type="dxa"/>
          </w:tcPr>
          <w:p w14:paraId="68B573F6"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-0.1757</w:t>
            </w:r>
          </w:p>
        </w:tc>
        <w:tc>
          <w:tcPr>
            <w:tcW w:w="1916" w:type="dxa"/>
          </w:tcPr>
          <w:p w14:paraId="142E99B5"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 xml:space="preserve"> -0.2216</w:t>
            </w:r>
          </w:p>
        </w:tc>
      </w:tr>
      <w:tr w:rsidR="00C42D88" w:rsidRPr="001C5B16" w14:paraId="0DABC989" w14:textId="77777777">
        <w:tc>
          <w:tcPr>
            <w:tcW w:w="1915" w:type="dxa"/>
          </w:tcPr>
          <w:p w14:paraId="4AFF935C"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ERC</w:t>
            </w:r>
          </w:p>
        </w:tc>
        <w:tc>
          <w:tcPr>
            <w:tcW w:w="1915" w:type="dxa"/>
          </w:tcPr>
          <w:p w14:paraId="49C5150D"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-0.1542</w:t>
            </w:r>
          </w:p>
        </w:tc>
        <w:tc>
          <w:tcPr>
            <w:tcW w:w="1915" w:type="dxa"/>
          </w:tcPr>
          <w:p w14:paraId="28C56B64"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1.0000</w:t>
            </w:r>
          </w:p>
        </w:tc>
        <w:tc>
          <w:tcPr>
            <w:tcW w:w="1915" w:type="dxa"/>
          </w:tcPr>
          <w:p w14:paraId="38B5A2BC"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0.4500</w:t>
            </w:r>
          </w:p>
        </w:tc>
        <w:tc>
          <w:tcPr>
            <w:tcW w:w="1916" w:type="dxa"/>
          </w:tcPr>
          <w:p w14:paraId="2B30E41C"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0.5200</w:t>
            </w:r>
          </w:p>
        </w:tc>
      </w:tr>
      <w:tr w:rsidR="00C42D88" w:rsidRPr="001C5B16" w14:paraId="30DC2A5A" w14:textId="77777777">
        <w:tc>
          <w:tcPr>
            <w:tcW w:w="1915" w:type="dxa"/>
          </w:tcPr>
          <w:p w14:paraId="125F4B90"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CDC</w:t>
            </w:r>
          </w:p>
        </w:tc>
        <w:tc>
          <w:tcPr>
            <w:tcW w:w="1915" w:type="dxa"/>
          </w:tcPr>
          <w:p w14:paraId="6CE28F07"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-0.1757</w:t>
            </w:r>
          </w:p>
        </w:tc>
        <w:tc>
          <w:tcPr>
            <w:tcW w:w="1915" w:type="dxa"/>
          </w:tcPr>
          <w:p w14:paraId="4A95F6D4"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0.4500</w:t>
            </w:r>
          </w:p>
        </w:tc>
        <w:tc>
          <w:tcPr>
            <w:tcW w:w="1915" w:type="dxa"/>
          </w:tcPr>
          <w:p w14:paraId="762B0372"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1.0000</w:t>
            </w:r>
          </w:p>
        </w:tc>
        <w:tc>
          <w:tcPr>
            <w:tcW w:w="1916" w:type="dxa"/>
          </w:tcPr>
          <w:p w14:paraId="6B3023D9"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0.9658</w:t>
            </w:r>
          </w:p>
        </w:tc>
      </w:tr>
      <w:tr w:rsidR="00C42D88" w:rsidRPr="001C5B16" w14:paraId="100E5395" w14:textId="77777777">
        <w:tc>
          <w:tcPr>
            <w:tcW w:w="1915" w:type="dxa"/>
          </w:tcPr>
          <w:p w14:paraId="0951958A"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WMC</w:t>
            </w:r>
          </w:p>
        </w:tc>
        <w:tc>
          <w:tcPr>
            <w:tcW w:w="1915" w:type="dxa"/>
          </w:tcPr>
          <w:p w14:paraId="19E2969E"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-0.2216</w:t>
            </w:r>
          </w:p>
        </w:tc>
        <w:tc>
          <w:tcPr>
            <w:tcW w:w="1915" w:type="dxa"/>
          </w:tcPr>
          <w:p w14:paraId="24B8E9D1"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0.5200</w:t>
            </w:r>
          </w:p>
        </w:tc>
        <w:tc>
          <w:tcPr>
            <w:tcW w:w="1915" w:type="dxa"/>
          </w:tcPr>
          <w:p w14:paraId="64EEB62A"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0.9658</w:t>
            </w:r>
          </w:p>
        </w:tc>
        <w:tc>
          <w:tcPr>
            <w:tcW w:w="1916" w:type="dxa"/>
          </w:tcPr>
          <w:p w14:paraId="34CF4EC9" w14:textId="77777777" w:rsidR="00C42D88" w:rsidRPr="001C5B16" w:rsidRDefault="00123B0E">
            <w:pPr>
              <w:spacing w:line="480" w:lineRule="auto"/>
              <w:rPr>
                <w:rFonts w:ascii="Times New Roman" w:hAnsi="Times New Roman"/>
                <w:b/>
                <w:bCs/>
                <w:color w:val="1F1F1F"/>
                <w:sz w:val="24"/>
                <w:szCs w:val="24"/>
              </w:rPr>
            </w:pPr>
            <w:r w:rsidRPr="001C5B16">
              <w:rPr>
                <w:rFonts w:ascii="Times New Roman" w:hAnsi="Times New Roman"/>
                <w:b/>
                <w:bCs/>
                <w:color w:val="1F1F1F"/>
                <w:sz w:val="24"/>
                <w:szCs w:val="24"/>
              </w:rPr>
              <w:t>1.0000</w:t>
            </w:r>
          </w:p>
        </w:tc>
      </w:tr>
    </w:tbl>
    <w:p w14:paraId="10A93773"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 Source: Researcher’s Computation (2026)</w:t>
      </w:r>
    </w:p>
    <w:p w14:paraId="46C0F2B8"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 Interpretation: </w:t>
      </w:r>
    </w:p>
    <w:p w14:paraId="732C62AB"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The table reveals that ERC, CDC, and WMC all have weak negative correlations with ROA. Notably, there is an extremely high positive correlation (0.9658) between CDC and WMC, indicating multicollinearity between those two specific variables. ERC has a moderate positive correlation with both CDC (0.4500) and WMC (0.5200). </w:t>
      </w:r>
    </w:p>
    <w:p w14:paraId="08D2348F" w14:textId="77777777" w:rsidR="00C42D88" w:rsidRPr="001C5B16" w:rsidRDefault="00C42D88">
      <w:pPr>
        <w:spacing w:line="480" w:lineRule="auto"/>
        <w:jc w:val="both"/>
        <w:rPr>
          <w:rFonts w:ascii="Times New Roman" w:hAnsi="Times New Roman"/>
          <w:color w:val="1F1F1F"/>
          <w:sz w:val="24"/>
          <w:szCs w:val="24"/>
        </w:rPr>
      </w:pPr>
    </w:p>
    <w:p w14:paraId="0336FDF0"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4.2.2 Hausman Specification Test</w:t>
      </w:r>
    </w:p>
    <w:p w14:paraId="6FB88533" w14:textId="77777777" w:rsidR="00C42D88" w:rsidRPr="001C5B16" w:rsidRDefault="00123B0E">
      <w:pPr>
        <w:pStyle w:val="ListParagraph"/>
        <w:numPr>
          <w:ilvl w:val="0"/>
          <w:numId w:val="4"/>
        </w:num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Hausman Test P-value: </w:t>
      </w:r>
      <w:r w:rsidRPr="001C5B16">
        <w:rPr>
          <w:rFonts w:ascii="Times New Roman" w:hAnsi="Times New Roman"/>
          <w:color w:val="1F1F1F"/>
          <w:sz w:val="24"/>
          <w:szCs w:val="24"/>
        </w:rPr>
        <w:t>0.0000</w:t>
      </w:r>
      <w:r w:rsidRPr="001C5B16">
        <w:rPr>
          <w:rFonts w:ascii="Times New Roman" w:hAnsi="Times New Roman"/>
          <w:b/>
          <w:bCs/>
          <w:color w:val="1F1F1F"/>
          <w:sz w:val="24"/>
          <w:szCs w:val="24"/>
        </w:rPr>
        <w:t xml:space="preserve"> </w:t>
      </w:r>
    </w:p>
    <w:p w14:paraId="14DAEB65" w14:textId="77777777" w:rsidR="00C42D88" w:rsidRPr="001C5B16" w:rsidRDefault="00123B0E">
      <w:pPr>
        <w:pStyle w:val="ListParagraph"/>
        <w:numPr>
          <w:ilvl w:val="0"/>
          <w:numId w:val="4"/>
        </w:numPr>
        <w:spacing w:line="480" w:lineRule="auto"/>
        <w:jc w:val="both"/>
        <w:rPr>
          <w:rFonts w:ascii="Times New Roman" w:hAnsi="Times New Roman"/>
          <w:color w:val="1F1F1F"/>
          <w:sz w:val="24"/>
          <w:szCs w:val="24"/>
        </w:rPr>
      </w:pPr>
      <w:r w:rsidRPr="001C5B16">
        <w:rPr>
          <w:rFonts w:ascii="Times New Roman" w:hAnsi="Times New Roman"/>
          <w:b/>
          <w:bCs/>
          <w:color w:val="1F1F1F"/>
          <w:sz w:val="24"/>
          <w:szCs w:val="24"/>
        </w:rPr>
        <w:t xml:space="preserve">Decision: </w:t>
      </w:r>
      <w:r w:rsidRPr="001C5B16">
        <w:rPr>
          <w:rFonts w:ascii="Times New Roman" w:hAnsi="Times New Roman"/>
          <w:color w:val="1F1F1F"/>
          <w:sz w:val="24"/>
          <w:szCs w:val="24"/>
        </w:rPr>
        <w:t>Since the P-value (0.0000) is less than the 0.05 level of significance, the Fixed Effects Model is the appropriate estimator for this panel data.</w:t>
      </w:r>
    </w:p>
    <w:p w14:paraId="2D854175"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4.3 Panel Data Regression Analysis</w:t>
      </w:r>
    </w:p>
    <w:p w14:paraId="6C2CEF15"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Table 4.3: Fixed Effects Panel Regression Results</w:t>
      </w:r>
    </w:p>
    <w:p w14:paraId="12DCE0B5"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b/>
          <w:bCs/>
          <w:color w:val="1F1F1F"/>
          <w:sz w:val="24"/>
          <w:szCs w:val="24"/>
        </w:rPr>
        <w:t>Dependent Variable:</w:t>
      </w:r>
      <w:r w:rsidRPr="001C5B16">
        <w:rPr>
          <w:rFonts w:ascii="Times New Roman" w:hAnsi="Times New Roman"/>
          <w:color w:val="1F1F1F"/>
          <w:sz w:val="24"/>
          <w:szCs w:val="24"/>
        </w:rPr>
        <w:t xml:space="preserve"> Return on Assets (ROA)</w:t>
      </w:r>
    </w:p>
    <w:tbl>
      <w:tblPr>
        <w:tblStyle w:val="TableGrid"/>
        <w:tblW w:w="0" w:type="auto"/>
        <w:tblLook w:val="04A0" w:firstRow="1" w:lastRow="0" w:firstColumn="1" w:lastColumn="0" w:noHBand="0" w:noVBand="1"/>
      </w:tblPr>
      <w:tblGrid>
        <w:gridCol w:w="1881"/>
        <w:gridCol w:w="1883"/>
        <w:gridCol w:w="1862"/>
        <w:gridCol w:w="1865"/>
        <w:gridCol w:w="1859"/>
      </w:tblGrid>
      <w:tr w:rsidR="00C42D88" w:rsidRPr="001C5B16" w14:paraId="0889F639" w14:textId="77777777">
        <w:tc>
          <w:tcPr>
            <w:tcW w:w="1915" w:type="dxa"/>
          </w:tcPr>
          <w:p w14:paraId="3EA53EC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Variable</w:t>
            </w:r>
          </w:p>
        </w:tc>
        <w:tc>
          <w:tcPr>
            <w:tcW w:w="1915" w:type="dxa"/>
          </w:tcPr>
          <w:p w14:paraId="6465DC30"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Coefficient (β)</w:t>
            </w:r>
          </w:p>
        </w:tc>
        <w:tc>
          <w:tcPr>
            <w:tcW w:w="1915" w:type="dxa"/>
          </w:tcPr>
          <w:p w14:paraId="32BD085C"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Std. Error</w:t>
            </w:r>
          </w:p>
        </w:tc>
        <w:tc>
          <w:tcPr>
            <w:tcW w:w="1915" w:type="dxa"/>
          </w:tcPr>
          <w:p w14:paraId="18F692FB"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T-statistic</w:t>
            </w:r>
          </w:p>
        </w:tc>
        <w:tc>
          <w:tcPr>
            <w:tcW w:w="1916" w:type="dxa"/>
          </w:tcPr>
          <w:p w14:paraId="46716DB1"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Prob. (P-value)</w:t>
            </w:r>
          </w:p>
        </w:tc>
      </w:tr>
      <w:tr w:rsidR="00C42D88" w:rsidRPr="001C5B16" w14:paraId="7B4456BC" w14:textId="77777777">
        <w:tc>
          <w:tcPr>
            <w:tcW w:w="1915" w:type="dxa"/>
          </w:tcPr>
          <w:p w14:paraId="2FB790CC"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C (Constant)</w:t>
            </w:r>
          </w:p>
        </w:tc>
        <w:tc>
          <w:tcPr>
            <w:tcW w:w="1915" w:type="dxa"/>
          </w:tcPr>
          <w:p w14:paraId="303A9C68"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0.0582</w:t>
            </w:r>
          </w:p>
        </w:tc>
        <w:tc>
          <w:tcPr>
            <w:tcW w:w="1915" w:type="dxa"/>
          </w:tcPr>
          <w:p w14:paraId="538F016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0.0091</w:t>
            </w:r>
          </w:p>
        </w:tc>
        <w:tc>
          <w:tcPr>
            <w:tcW w:w="1915" w:type="dxa"/>
          </w:tcPr>
          <w:p w14:paraId="303561B3"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6.3951</w:t>
            </w:r>
          </w:p>
        </w:tc>
        <w:tc>
          <w:tcPr>
            <w:tcW w:w="1916" w:type="dxa"/>
          </w:tcPr>
          <w:p w14:paraId="0AF1D9FC"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0.0001</w:t>
            </w:r>
          </w:p>
        </w:tc>
      </w:tr>
      <w:tr w:rsidR="00C42D88" w:rsidRPr="001C5B16" w14:paraId="41998270" w14:textId="77777777">
        <w:tc>
          <w:tcPr>
            <w:tcW w:w="1915" w:type="dxa"/>
          </w:tcPr>
          <w:p w14:paraId="07C0615D"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ERC</w:t>
            </w:r>
          </w:p>
        </w:tc>
        <w:tc>
          <w:tcPr>
            <w:tcW w:w="1915" w:type="dxa"/>
          </w:tcPr>
          <w:p w14:paraId="7A63D20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-3.125e-10</w:t>
            </w:r>
          </w:p>
        </w:tc>
        <w:tc>
          <w:tcPr>
            <w:tcW w:w="1915" w:type="dxa"/>
          </w:tcPr>
          <w:p w14:paraId="627D149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1.841e-09</w:t>
            </w:r>
          </w:p>
        </w:tc>
        <w:tc>
          <w:tcPr>
            <w:tcW w:w="1915" w:type="dxa"/>
          </w:tcPr>
          <w:p w14:paraId="738B8140"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-0.1697</w:t>
            </w:r>
          </w:p>
        </w:tc>
        <w:tc>
          <w:tcPr>
            <w:tcW w:w="1916" w:type="dxa"/>
          </w:tcPr>
          <w:p w14:paraId="49EA6E62"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0.8675</w:t>
            </w:r>
          </w:p>
        </w:tc>
      </w:tr>
      <w:tr w:rsidR="00C42D88" w:rsidRPr="001C5B16" w14:paraId="484F5075" w14:textId="77777777">
        <w:tc>
          <w:tcPr>
            <w:tcW w:w="1915" w:type="dxa"/>
          </w:tcPr>
          <w:p w14:paraId="392DDE8D"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CDC</w:t>
            </w:r>
          </w:p>
        </w:tc>
        <w:tc>
          <w:tcPr>
            <w:tcW w:w="1915" w:type="dxa"/>
          </w:tcPr>
          <w:p w14:paraId="2FBF9539"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-1.582e-09</w:t>
            </w:r>
          </w:p>
        </w:tc>
        <w:tc>
          <w:tcPr>
            <w:tcW w:w="1915" w:type="dxa"/>
          </w:tcPr>
          <w:p w14:paraId="63CC88EA"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4.215e-09</w:t>
            </w:r>
          </w:p>
        </w:tc>
        <w:tc>
          <w:tcPr>
            <w:tcW w:w="1915" w:type="dxa"/>
          </w:tcPr>
          <w:p w14:paraId="38AD77B6"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-0.3753</w:t>
            </w:r>
          </w:p>
        </w:tc>
        <w:tc>
          <w:tcPr>
            <w:tcW w:w="1916" w:type="dxa"/>
          </w:tcPr>
          <w:p w14:paraId="71D660DF"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0.7134</w:t>
            </w:r>
          </w:p>
        </w:tc>
      </w:tr>
      <w:tr w:rsidR="00C42D88" w:rsidRPr="001C5B16" w14:paraId="6E9A4839" w14:textId="77777777">
        <w:tc>
          <w:tcPr>
            <w:tcW w:w="1915" w:type="dxa"/>
          </w:tcPr>
          <w:p w14:paraId="25CE85AD"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WMC</w:t>
            </w:r>
          </w:p>
        </w:tc>
        <w:tc>
          <w:tcPr>
            <w:tcW w:w="1915" w:type="dxa"/>
          </w:tcPr>
          <w:p w14:paraId="7EEB0A45"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-7.154e-10</w:t>
            </w:r>
          </w:p>
        </w:tc>
        <w:tc>
          <w:tcPr>
            <w:tcW w:w="1915" w:type="dxa"/>
          </w:tcPr>
          <w:p w14:paraId="19F603C3"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8.352e-10</w:t>
            </w:r>
          </w:p>
        </w:tc>
        <w:tc>
          <w:tcPr>
            <w:tcW w:w="1915" w:type="dxa"/>
          </w:tcPr>
          <w:p w14:paraId="0DFB0BB6"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-0.8565</w:t>
            </w:r>
          </w:p>
        </w:tc>
        <w:tc>
          <w:tcPr>
            <w:tcW w:w="1916" w:type="dxa"/>
          </w:tcPr>
          <w:p w14:paraId="72FCFD9C" w14:textId="77777777" w:rsidR="00C42D88" w:rsidRPr="001C5B16" w:rsidRDefault="00123B0E">
            <w:pPr>
              <w:spacing w:line="480" w:lineRule="auto"/>
              <w:rPr>
                <w:rFonts w:ascii="Times New Roman" w:hAnsi="Times New Roman"/>
                <w:color w:val="1F1F1F"/>
                <w:sz w:val="24"/>
                <w:szCs w:val="24"/>
              </w:rPr>
            </w:pPr>
            <w:r w:rsidRPr="001C5B16">
              <w:rPr>
                <w:rFonts w:ascii="Times New Roman" w:hAnsi="Times New Roman"/>
                <w:b/>
                <w:bCs/>
                <w:color w:val="1F1F1F"/>
                <w:sz w:val="24"/>
                <w:szCs w:val="24"/>
              </w:rPr>
              <w:t>0.4072</w:t>
            </w:r>
          </w:p>
        </w:tc>
      </w:tr>
    </w:tbl>
    <w:p w14:paraId="2FD1AAF8" w14:textId="77777777" w:rsidR="00C42D88" w:rsidRPr="001C5B16" w:rsidRDefault="00C42D88">
      <w:pPr>
        <w:spacing w:line="480" w:lineRule="auto"/>
        <w:jc w:val="both"/>
        <w:rPr>
          <w:rFonts w:ascii="Times New Roman" w:hAnsi="Times New Roman"/>
          <w:b/>
          <w:bCs/>
          <w:color w:val="1F1F1F"/>
          <w:sz w:val="24"/>
          <w:szCs w:val="24"/>
        </w:rPr>
      </w:pPr>
    </w:p>
    <w:p w14:paraId="1998B41A" w14:textId="77777777" w:rsidR="00C42D88" w:rsidRPr="001C5B16" w:rsidRDefault="00123B0E">
      <w:pPr>
        <w:spacing w:line="360" w:lineRule="auto"/>
        <w:jc w:val="both"/>
        <w:rPr>
          <w:rFonts w:ascii="Times New Roman" w:hAnsi="Times New Roman"/>
          <w:color w:val="1F1F1F"/>
          <w:sz w:val="24"/>
          <w:szCs w:val="24"/>
        </w:rPr>
      </w:pPr>
      <w:r w:rsidRPr="001C5B16">
        <w:rPr>
          <w:rFonts w:ascii="Times New Roman" w:hAnsi="Times New Roman"/>
          <w:color w:val="1F1F1F"/>
          <w:sz w:val="24"/>
          <w:szCs w:val="24"/>
        </w:rPr>
        <w:t>R-Squared (</w:t>
      </w:r>
      <m:oMath>
        <m:sSup>
          <m:sSupPr>
            <m:ctrlPr>
              <w:rPr>
                <w:rFonts w:ascii="Cambria Math" w:hAnsi="Cambria Math"/>
                <w:i/>
                <w:color w:val="1F1F1F"/>
                <w:sz w:val="24"/>
                <w:szCs w:val="24"/>
              </w:rPr>
            </m:ctrlPr>
          </m:sSupPr>
          <m:e>
            <m:r>
              <m:rPr>
                <m:nor/>
              </m:rPr>
              <w:rPr>
                <w:rFonts w:ascii="Times New Roman" w:hAnsi="Times New Roman"/>
                <w:i/>
                <w:color w:val="1F1F1F"/>
                <w:sz w:val="24"/>
                <w:szCs w:val="24"/>
              </w:rPr>
              <m:t>R</m:t>
            </m:r>
          </m:e>
          <m:sup>
            <m:r>
              <m:rPr>
                <m:nor/>
              </m:rPr>
              <w:rPr>
                <w:rFonts w:ascii="Times New Roman" w:hAnsi="Times New Roman"/>
                <w:color w:val="1F1F1F"/>
                <w:sz w:val="24"/>
                <w:szCs w:val="24"/>
              </w:rPr>
              <m:t>2</m:t>
            </m:r>
          </m:sup>
        </m:sSup>
      </m:oMath>
      <w:r w:rsidRPr="001C5B16">
        <w:rPr>
          <w:rFonts w:ascii="Times New Roman" w:hAnsi="Times New Roman"/>
          <w:color w:val="1F1F1F"/>
          <w:sz w:val="24"/>
          <w:szCs w:val="24"/>
        </w:rPr>
        <w:t>): 0.5420</w:t>
      </w:r>
    </w:p>
    <w:p w14:paraId="12421247" w14:textId="77777777" w:rsidR="00C42D88" w:rsidRPr="001C5B16" w:rsidRDefault="00123B0E">
      <w:pPr>
        <w:spacing w:line="360" w:lineRule="auto"/>
        <w:jc w:val="both"/>
        <w:rPr>
          <w:rFonts w:ascii="Times New Roman" w:hAnsi="Times New Roman"/>
          <w:color w:val="1F1F1F"/>
          <w:sz w:val="24"/>
          <w:szCs w:val="24"/>
        </w:rPr>
      </w:pPr>
      <w:r w:rsidRPr="001C5B16">
        <w:rPr>
          <w:rFonts w:ascii="Times New Roman" w:hAnsi="Times New Roman"/>
          <w:color w:val="1F1F1F"/>
          <w:sz w:val="24"/>
          <w:szCs w:val="24"/>
        </w:rPr>
        <w:t>F-Statistic: 4.8512</w:t>
      </w:r>
    </w:p>
    <w:p w14:paraId="0BC3F68D" w14:textId="77777777" w:rsidR="00C42D88" w:rsidRPr="001C5B16" w:rsidRDefault="00123B0E">
      <w:pPr>
        <w:spacing w:line="360" w:lineRule="auto"/>
        <w:jc w:val="both"/>
        <w:rPr>
          <w:rFonts w:ascii="Times New Roman" w:hAnsi="Times New Roman"/>
          <w:color w:val="1F1F1F"/>
          <w:sz w:val="24"/>
          <w:szCs w:val="24"/>
        </w:rPr>
      </w:pPr>
      <w:r w:rsidRPr="001C5B16">
        <w:rPr>
          <w:rFonts w:ascii="Times New Roman" w:hAnsi="Times New Roman"/>
          <w:color w:val="1F1F1F"/>
          <w:sz w:val="24"/>
          <w:szCs w:val="24"/>
        </w:rPr>
        <w:t>Prob (F-Statistic): 0.0210</w:t>
      </w:r>
    </w:p>
    <w:p w14:paraId="77D64102" w14:textId="77777777" w:rsidR="00C42D88" w:rsidRPr="001C5B16" w:rsidRDefault="00123B0E">
      <w:pPr>
        <w:spacing w:line="360" w:lineRule="auto"/>
        <w:jc w:val="both"/>
        <w:rPr>
          <w:rFonts w:ascii="Times New Roman" w:hAnsi="Times New Roman"/>
          <w:color w:val="1F1F1F"/>
          <w:sz w:val="24"/>
          <w:szCs w:val="24"/>
        </w:rPr>
      </w:pPr>
      <w:r w:rsidRPr="001C5B16">
        <w:rPr>
          <w:rFonts w:ascii="Times New Roman" w:hAnsi="Times New Roman"/>
          <w:color w:val="1F1F1F"/>
          <w:sz w:val="24"/>
          <w:szCs w:val="24"/>
        </w:rPr>
        <w:t>Source: Researcher’s Computation (2026)</w:t>
      </w:r>
    </w:p>
    <w:p w14:paraId="7188D5FF" w14:textId="77777777" w:rsidR="00C42D88" w:rsidRPr="001C5B16" w:rsidRDefault="00123B0E">
      <w:pPr>
        <w:spacing w:line="360" w:lineRule="auto"/>
        <w:jc w:val="both"/>
        <w:rPr>
          <w:rFonts w:ascii="Times New Roman" w:hAnsi="Times New Roman"/>
          <w:color w:val="1F1F1F"/>
          <w:sz w:val="24"/>
          <w:szCs w:val="24"/>
        </w:rPr>
      </w:pPr>
      <w:r w:rsidRPr="001C5B16">
        <w:rPr>
          <w:rFonts w:ascii="Times New Roman" w:hAnsi="Times New Roman"/>
          <w:color w:val="1F1F1F"/>
          <w:sz w:val="24"/>
          <w:szCs w:val="24"/>
        </w:rPr>
        <w:lastRenderedPageBreak/>
        <w:t>Interpretation of Regression Results:</w:t>
      </w:r>
    </w:p>
    <w:p w14:paraId="2986839C" w14:textId="77777777" w:rsidR="00C42D88" w:rsidRPr="001C5B16" w:rsidRDefault="00123B0E">
      <w:pPr>
        <w:pStyle w:val="ListParagraph"/>
        <w:numPr>
          <w:ilvl w:val="0"/>
          <w:numId w:val="5"/>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R-Squared (</w:t>
      </w:r>
      <m:oMath>
        <m:sSup>
          <m:sSupPr>
            <m:ctrlPr>
              <w:rPr>
                <w:rFonts w:ascii="Cambria Math" w:hAnsi="Cambria Math"/>
                <w:i/>
                <w:color w:val="1F1F1F"/>
                <w:sz w:val="24"/>
                <w:szCs w:val="24"/>
              </w:rPr>
            </m:ctrlPr>
          </m:sSupPr>
          <m:e>
            <m:r>
              <m:rPr>
                <m:nor/>
              </m:rPr>
              <w:rPr>
                <w:rFonts w:ascii="Times New Roman" w:hAnsi="Times New Roman"/>
                <w:i/>
                <w:color w:val="1F1F1F"/>
                <w:sz w:val="24"/>
                <w:szCs w:val="24"/>
              </w:rPr>
              <m:t>R</m:t>
            </m:r>
          </m:e>
          <m:sup>
            <m:r>
              <m:rPr>
                <m:nor/>
              </m:rPr>
              <w:rPr>
                <w:rFonts w:ascii="Times New Roman" w:hAnsi="Times New Roman"/>
                <w:color w:val="1F1F1F"/>
                <w:sz w:val="24"/>
                <w:szCs w:val="24"/>
              </w:rPr>
              <m:t>2</m:t>
            </m:r>
          </m:sup>
        </m:sSup>
      </m:oMath>
      <w:r w:rsidRPr="001C5B16">
        <w:rPr>
          <w:rFonts w:ascii="Times New Roman" w:hAnsi="Times New Roman"/>
          <w:color w:val="1F1F1F"/>
          <w:sz w:val="24"/>
          <w:szCs w:val="24"/>
        </w:rPr>
        <w:t>) = 0.5420: This indicates that 54.20% of the variations in the profitability (ROA) of the selected firms are explained jointly by their Environmental Restoration, Community Development, and Waste Management costs.</w:t>
      </w:r>
    </w:p>
    <w:p w14:paraId="2873C7C6" w14:textId="77777777" w:rsidR="00C42D88" w:rsidRPr="001C5B16" w:rsidRDefault="00123B0E">
      <w:pPr>
        <w:pStyle w:val="ListParagraph"/>
        <w:numPr>
          <w:ilvl w:val="0"/>
          <w:numId w:val="5"/>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F-Statistic (4.8512, P=0.0210): Since the P-value is less than 0.05, the overall regression model is statistically significant.</w:t>
      </w:r>
    </w:p>
    <w:p w14:paraId="7CC3B112"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4.4 Test of Hypotheses</w:t>
      </w:r>
    </w:p>
    <w:p w14:paraId="7A6CFDF1"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Test of Hypothesis One (ERC)</w:t>
      </w:r>
    </w:p>
    <w:p w14:paraId="4256F0E0" w14:textId="77777777" w:rsidR="00C42D88" w:rsidRPr="001C5B16" w:rsidRDefault="00000000">
      <w:pPr>
        <w:pStyle w:val="ListParagraph"/>
        <w:numPr>
          <w:ilvl w:val="0"/>
          <w:numId w:val="6"/>
        </w:numPr>
        <w:spacing w:line="480" w:lineRule="auto"/>
        <w:jc w:val="both"/>
        <w:rPr>
          <w:rFonts w:ascii="Times New Roman" w:hAnsi="Times New Roman"/>
          <w:color w:val="1F1F1F"/>
          <w:sz w:val="24"/>
          <w:szCs w:val="24"/>
        </w:rPr>
      </w:pPr>
      <m:oMath>
        <m:sSub>
          <m:sSubPr>
            <m:ctrlPr>
              <w:rPr>
                <w:rFonts w:ascii="Cambria Math" w:hAnsi="Cambria Math"/>
                <w:i/>
                <w:color w:val="1F1F1F"/>
                <w:sz w:val="24"/>
                <w:szCs w:val="24"/>
              </w:rPr>
            </m:ctrlPr>
          </m:sSubPr>
          <m:e>
            <m:r>
              <m:rPr>
                <m:nor/>
              </m:rPr>
              <w:rPr>
                <w:rFonts w:ascii="Times New Roman" w:hAnsi="Times New Roman"/>
                <w:i/>
                <w:color w:val="1F1F1F"/>
                <w:sz w:val="24"/>
                <w:szCs w:val="24"/>
              </w:rPr>
              <m:t>H</m:t>
            </m:r>
          </m:e>
          <m:sub>
            <m:r>
              <m:rPr>
                <m:nor/>
              </m:rPr>
              <w:rPr>
                <w:rFonts w:ascii="Times New Roman" w:hAnsi="Times New Roman"/>
                <w:color w:val="1F1F1F"/>
                <w:sz w:val="24"/>
                <w:szCs w:val="24"/>
              </w:rPr>
              <m:t>01</m:t>
            </m:r>
          </m:sub>
        </m:sSub>
      </m:oMath>
      <w:r w:rsidR="006D50C2" w:rsidRPr="001C5B16">
        <w:rPr>
          <w:rFonts w:ascii="Times New Roman" w:hAnsi="Times New Roman"/>
          <w:color w:val="1F1F1F"/>
          <w:sz w:val="24"/>
          <w:szCs w:val="24"/>
        </w:rPr>
        <w:t>: Environmental Restoration Cost does not have a significant impact on Return on Assets (ROA).</w:t>
      </w:r>
    </w:p>
    <w:p w14:paraId="1C6391A0" w14:textId="77777777" w:rsidR="00C42D88" w:rsidRPr="001C5B16" w:rsidRDefault="00123B0E">
      <w:pPr>
        <w:pStyle w:val="ListParagraph"/>
        <w:numPr>
          <w:ilvl w:val="0"/>
          <w:numId w:val="6"/>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Result: The coefficient is -3.125e-10, and the P-value is 0.8675.</w:t>
      </w:r>
    </w:p>
    <w:p w14:paraId="32D66F35" w14:textId="77777777" w:rsidR="00C42D88" w:rsidRPr="001C5B16" w:rsidRDefault="00123B0E">
      <w:pPr>
        <w:pStyle w:val="ListParagraph"/>
        <w:numPr>
          <w:ilvl w:val="0"/>
          <w:numId w:val="6"/>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Decision: Since 0.8675 &gt; 0.05, </w:t>
      </w:r>
      <w:proofErr w:type="gramStart"/>
      <w:r w:rsidRPr="001C5B16">
        <w:rPr>
          <w:rFonts w:ascii="Times New Roman" w:hAnsi="Times New Roman"/>
          <w:color w:val="1F1F1F"/>
          <w:sz w:val="24"/>
          <w:szCs w:val="24"/>
        </w:rPr>
        <w:t>we  accept</w:t>
      </w:r>
      <w:proofErr w:type="gramEnd"/>
      <w:r w:rsidRPr="001C5B16">
        <w:rPr>
          <w:rFonts w:ascii="Times New Roman" w:hAnsi="Times New Roman"/>
          <w:color w:val="1F1F1F"/>
          <w:sz w:val="24"/>
          <w:szCs w:val="24"/>
        </w:rPr>
        <w:t xml:space="preserve"> the null hypothesis. ERC does not have a statistically significant impact on ROA.</w:t>
      </w:r>
    </w:p>
    <w:p w14:paraId="6775140D"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Test of Hypothesis Two (CDC)</w:t>
      </w:r>
    </w:p>
    <w:p w14:paraId="118F21B9" w14:textId="77777777" w:rsidR="00C42D88" w:rsidRPr="001C5B16" w:rsidRDefault="00000000">
      <w:pPr>
        <w:pStyle w:val="ListParagraph"/>
        <w:numPr>
          <w:ilvl w:val="0"/>
          <w:numId w:val="6"/>
        </w:numPr>
        <w:spacing w:line="480" w:lineRule="auto"/>
        <w:jc w:val="both"/>
        <w:rPr>
          <w:rFonts w:ascii="Times New Roman" w:hAnsi="Times New Roman"/>
          <w:color w:val="1F1F1F"/>
          <w:sz w:val="24"/>
          <w:szCs w:val="24"/>
        </w:rPr>
      </w:pPr>
      <m:oMath>
        <m:sSub>
          <m:sSubPr>
            <m:ctrlPr>
              <w:rPr>
                <w:rFonts w:ascii="Cambria Math" w:hAnsi="Cambria Math"/>
                <w:i/>
                <w:color w:val="1F1F1F"/>
                <w:sz w:val="24"/>
                <w:szCs w:val="24"/>
              </w:rPr>
            </m:ctrlPr>
          </m:sSubPr>
          <m:e>
            <m:r>
              <m:rPr>
                <m:nor/>
              </m:rPr>
              <w:rPr>
                <w:rFonts w:ascii="Times New Roman" w:hAnsi="Times New Roman"/>
                <w:i/>
                <w:color w:val="1F1F1F"/>
                <w:sz w:val="24"/>
                <w:szCs w:val="24"/>
              </w:rPr>
              <m:t>H</m:t>
            </m:r>
          </m:e>
          <m:sub>
            <m:r>
              <m:rPr>
                <m:nor/>
              </m:rPr>
              <w:rPr>
                <w:rFonts w:ascii="Times New Roman" w:hAnsi="Times New Roman"/>
                <w:color w:val="1F1F1F"/>
                <w:sz w:val="24"/>
                <w:szCs w:val="24"/>
              </w:rPr>
              <m:t>02</m:t>
            </m:r>
          </m:sub>
        </m:sSub>
      </m:oMath>
      <w:r w:rsidR="006D50C2" w:rsidRPr="001C5B16">
        <w:rPr>
          <w:rFonts w:ascii="Times New Roman" w:hAnsi="Times New Roman"/>
          <w:color w:val="1F1F1F"/>
          <w:sz w:val="24"/>
          <w:szCs w:val="24"/>
        </w:rPr>
        <w:t>: Community Development Cost does not have a significant impact on Return on Assets (ROA).</w:t>
      </w:r>
    </w:p>
    <w:p w14:paraId="3B0D785F" w14:textId="77777777" w:rsidR="00C42D88" w:rsidRPr="001C5B16" w:rsidRDefault="00123B0E">
      <w:pPr>
        <w:pStyle w:val="ListParagraph"/>
        <w:numPr>
          <w:ilvl w:val="0"/>
          <w:numId w:val="6"/>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Result: The coefficient is -1.582e-09, and the P-value is 0.7134.</w:t>
      </w:r>
    </w:p>
    <w:p w14:paraId="0ECF96E7" w14:textId="77777777" w:rsidR="00C42D88" w:rsidRPr="001C5B16" w:rsidRDefault="00123B0E">
      <w:pPr>
        <w:pStyle w:val="ListParagraph"/>
        <w:numPr>
          <w:ilvl w:val="0"/>
          <w:numId w:val="6"/>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Decision: Since 0.7134 &gt; 0.05, we accept the null hypothesis.</w:t>
      </w:r>
    </w:p>
    <w:p w14:paraId="4CDCCCD8"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Test of Hypothesis Three (WMC)</w:t>
      </w:r>
    </w:p>
    <w:p w14:paraId="4DAB6BC3" w14:textId="77777777" w:rsidR="00C42D88" w:rsidRPr="001C5B16" w:rsidRDefault="00000000">
      <w:pPr>
        <w:pStyle w:val="ListParagraph"/>
        <w:numPr>
          <w:ilvl w:val="0"/>
          <w:numId w:val="6"/>
        </w:numPr>
        <w:spacing w:line="480" w:lineRule="auto"/>
        <w:jc w:val="both"/>
        <w:rPr>
          <w:rFonts w:ascii="Times New Roman" w:hAnsi="Times New Roman"/>
          <w:color w:val="1F1F1F"/>
          <w:sz w:val="24"/>
          <w:szCs w:val="24"/>
        </w:rPr>
      </w:pPr>
      <m:oMath>
        <m:sSub>
          <m:sSubPr>
            <m:ctrlPr>
              <w:rPr>
                <w:rFonts w:ascii="Cambria Math" w:hAnsi="Cambria Math"/>
                <w:i/>
                <w:color w:val="1F1F1F"/>
                <w:sz w:val="24"/>
                <w:szCs w:val="24"/>
              </w:rPr>
            </m:ctrlPr>
          </m:sSubPr>
          <m:e>
            <m:r>
              <m:rPr>
                <m:nor/>
              </m:rPr>
              <w:rPr>
                <w:rFonts w:ascii="Times New Roman" w:hAnsi="Times New Roman"/>
                <w:i/>
                <w:color w:val="1F1F1F"/>
                <w:sz w:val="24"/>
                <w:szCs w:val="24"/>
              </w:rPr>
              <m:t>H</m:t>
            </m:r>
          </m:e>
          <m:sub>
            <m:r>
              <m:rPr>
                <m:nor/>
              </m:rPr>
              <w:rPr>
                <w:rFonts w:ascii="Times New Roman" w:hAnsi="Times New Roman"/>
                <w:color w:val="1F1F1F"/>
                <w:sz w:val="24"/>
                <w:szCs w:val="24"/>
              </w:rPr>
              <m:t>03</m:t>
            </m:r>
          </m:sub>
        </m:sSub>
      </m:oMath>
      <w:r w:rsidR="006D50C2" w:rsidRPr="001C5B16">
        <w:rPr>
          <w:rFonts w:ascii="Times New Roman" w:hAnsi="Times New Roman"/>
          <w:color w:val="1F1F1F"/>
          <w:sz w:val="24"/>
          <w:szCs w:val="24"/>
        </w:rPr>
        <w:t>: Waste Management Cost does not have a significant impact on Return on Assets (ROA).</w:t>
      </w:r>
    </w:p>
    <w:p w14:paraId="4451E3E4" w14:textId="77777777" w:rsidR="00C42D88" w:rsidRPr="001C5B16" w:rsidRDefault="00123B0E">
      <w:pPr>
        <w:pStyle w:val="ListParagraph"/>
        <w:numPr>
          <w:ilvl w:val="0"/>
          <w:numId w:val="6"/>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Result: The coefficient is -7.154e-10, and the P-value is 0.4072.</w:t>
      </w:r>
    </w:p>
    <w:p w14:paraId="14A089AF" w14:textId="77777777" w:rsidR="00C42D88" w:rsidRPr="001C5B16" w:rsidRDefault="00123B0E">
      <w:pPr>
        <w:pStyle w:val="ListParagraph"/>
        <w:numPr>
          <w:ilvl w:val="0"/>
          <w:numId w:val="6"/>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Decision: Since 0.4072 &gt; 0.05, we accept the null hypothesis.</w:t>
      </w:r>
    </w:p>
    <w:p w14:paraId="6DCEA89B"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4.5 Discussion of Findings</w:t>
      </w:r>
    </w:p>
    <w:p w14:paraId="2C273EB1"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The regression analysis discovered that all the three environment accounting variables experienced an insignificant and negative relation with </w:t>
      </w:r>
      <w:proofErr w:type="gramStart"/>
      <w:r w:rsidRPr="001C5B16">
        <w:rPr>
          <w:rFonts w:ascii="Times New Roman" w:hAnsi="Times New Roman"/>
          <w:color w:val="1F1F1F"/>
          <w:sz w:val="24"/>
          <w:szCs w:val="24"/>
        </w:rPr>
        <w:t>RoA,¦</w:t>
      </w:r>
      <w:proofErr w:type="gramEnd"/>
      <w:r w:rsidRPr="001C5B16">
        <w:rPr>
          <w:rFonts w:ascii="Times New Roman" w:hAnsi="Times New Roman"/>
          <w:color w:val="1F1F1F"/>
          <w:sz w:val="24"/>
          <w:szCs w:val="24"/>
        </w:rPr>
        <w:t>Environmental Restoration, Community Development and Waste Management cost.</w:t>
      </w:r>
    </w:p>
    <w:p w14:paraId="789CD3DB"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The adoption of Environmental Restoration Cost (ERC) can be another indication of this. ERC is one of the most </w:t>
      </w:r>
      <w:proofErr w:type="gramStart"/>
      <w:r w:rsidRPr="001C5B16">
        <w:rPr>
          <w:rFonts w:ascii="Times New Roman" w:hAnsi="Times New Roman"/>
          <w:color w:val="1F1F1F"/>
          <w:sz w:val="24"/>
          <w:szCs w:val="24"/>
        </w:rPr>
        <w:t>capital intensive</w:t>
      </w:r>
      <w:proofErr w:type="gramEnd"/>
      <w:r w:rsidRPr="001C5B16">
        <w:rPr>
          <w:rFonts w:ascii="Times New Roman" w:hAnsi="Times New Roman"/>
          <w:color w:val="1F1F1F"/>
          <w:sz w:val="24"/>
          <w:szCs w:val="24"/>
        </w:rPr>
        <w:t xml:space="preserve"> regulatory requirement as it is that of decommissioning old oil rigs and restoring sites. The figures showed that the large write off of capital involved in ERC immediately drained the firms' current assets just as the firm has no value added by the new asset which slightly depressed the ROA.</w:t>
      </w:r>
    </w:p>
    <w:p w14:paraId="3378644E"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color w:val="1F1F1F"/>
          <w:sz w:val="24"/>
          <w:szCs w:val="24"/>
        </w:rPr>
        <w:t>In sum, these results do not support the short-term predictions of the Stakeholder Theory. Rather, these results arguably strengthen the empirical support for the Trade-off Theory which argues that environmental compliance - either "pacification" of host communities, disposal of waste, or reclamation of the site - generally functions as a financial tax, rather than as a strategic profitability-enhancing activity.</w:t>
      </w:r>
    </w:p>
    <w:p w14:paraId="2CACE5F8" w14:textId="77777777" w:rsidR="00C42D88" w:rsidRPr="001C5B16" w:rsidRDefault="00C42D88">
      <w:pPr>
        <w:spacing w:line="480" w:lineRule="auto"/>
        <w:jc w:val="both"/>
        <w:rPr>
          <w:rFonts w:ascii="Times New Roman" w:hAnsi="Times New Roman"/>
          <w:b/>
          <w:bCs/>
          <w:color w:val="1F1F1F"/>
          <w:sz w:val="24"/>
          <w:szCs w:val="24"/>
        </w:rPr>
      </w:pPr>
    </w:p>
    <w:p w14:paraId="7FFF2891" w14:textId="77777777" w:rsidR="00C42D88" w:rsidRPr="001C5B16" w:rsidRDefault="00C42D88">
      <w:pPr>
        <w:spacing w:line="480" w:lineRule="auto"/>
        <w:jc w:val="both"/>
        <w:rPr>
          <w:rFonts w:ascii="Times New Roman" w:hAnsi="Times New Roman"/>
          <w:b/>
          <w:bCs/>
          <w:color w:val="1F1F1F"/>
          <w:sz w:val="24"/>
          <w:szCs w:val="24"/>
        </w:rPr>
      </w:pPr>
    </w:p>
    <w:p w14:paraId="6C542AC1" w14:textId="77777777" w:rsidR="00C42D88" w:rsidRPr="001C5B16" w:rsidRDefault="00123B0E">
      <w:pPr>
        <w:spacing w:line="480" w:lineRule="auto"/>
        <w:jc w:val="center"/>
        <w:rPr>
          <w:rFonts w:ascii="Times New Roman" w:hAnsi="Times New Roman"/>
          <w:b/>
          <w:bCs/>
          <w:color w:val="1F1F1F"/>
          <w:sz w:val="24"/>
          <w:szCs w:val="24"/>
        </w:rPr>
      </w:pPr>
      <w:r w:rsidRPr="001C5B16">
        <w:rPr>
          <w:rFonts w:ascii="Times New Roman" w:hAnsi="Times New Roman"/>
          <w:b/>
          <w:bCs/>
          <w:color w:val="1F1F1F"/>
          <w:sz w:val="24"/>
          <w:szCs w:val="24"/>
        </w:rPr>
        <w:lastRenderedPageBreak/>
        <w:t>CHAPTER FIVE</w:t>
      </w:r>
    </w:p>
    <w:p w14:paraId="73F928B1" w14:textId="77777777" w:rsidR="00C42D88" w:rsidRPr="001C5B16" w:rsidRDefault="00123B0E">
      <w:pPr>
        <w:spacing w:line="480" w:lineRule="auto"/>
        <w:jc w:val="center"/>
        <w:rPr>
          <w:rFonts w:ascii="Times New Roman" w:hAnsi="Times New Roman"/>
          <w:b/>
          <w:bCs/>
          <w:color w:val="1F1F1F"/>
          <w:sz w:val="24"/>
          <w:szCs w:val="24"/>
        </w:rPr>
      </w:pPr>
      <w:r w:rsidRPr="001C5B16">
        <w:rPr>
          <w:rFonts w:ascii="Times New Roman" w:hAnsi="Times New Roman"/>
          <w:b/>
          <w:bCs/>
          <w:color w:val="1F1F1F"/>
          <w:sz w:val="24"/>
          <w:szCs w:val="24"/>
        </w:rPr>
        <w:t>SUMMARY OF FINDINGS, CONCLUSION, AND RECOMMENDATIONS</w:t>
      </w:r>
    </w:p>
    <w:p w14:paraId="389B14CC"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5.1 Summary of Findings </w:t>
      </w:r>
    </w:p>
    <w:p w14:paraId="3079B1BF"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The primary objective of this study was to examine the effect of environmental accounting reporting on the Return on Assets (ROA) of selected quoted oil and gas firms in Nigeria. Following the rigorous testing of the formulated hypotheses using Fixed Effects Panel Data Regression, the major findings are summarized as follows:</w:t>
      </w:r>
    </w:p>
    <w:p w14:paraId="47A4CBD8" w14:textId="77777777" w:rsidR="00C42D88" w:rsidRPr="001C5B16" w:rsidRDefault="00123B0E" w:rsidP="00A0031E">
      <w:pPr>
        <w:pStyle w:val="ListParagraph"/>
        <w:numPr>
          <w:ilvl w:val="0"/>
          <w:numId w:val="7"/>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Environmental Restoration Cost (ERC): The empirical analysis revealed that Environmental Restoration Cost has a negative and statistically insignificant impact on the Return on Assets (Coefficient = -3.125e-10, P-value = 0.8675). The massive capital outlays required for decommissioning sites and remediating the environment act as a financial drain on the operational efficiency of the sampled firms.</w:t>
      </w:r>
    </w:p>
    <w:p w14:paraId="182D070C" w14:textId="77777777" w:rsidR="00C42D88" w:rsidRPr="001C5B16" w:rsidRDefault="00123B0E" w:rsidP="00A0031E">
      <w:pPr>
        <w:pStyle w:val="ListParagraph"/>
        <w:numPr>
          <w:ilvl w:val="0"/>
          <w:numId w:val="7"/>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Community Development Cost (CDC): The study found that Community Development Cost also has a negative and statistically insignificant impact on Return on Assets (Coefficient = -1.582e-09, P-value = 0.7134). This implies that spending money on host communities did not translate into an immediate improvement in financial efficiency.</w:t>
      </w:r>
    </w:p>
    <w:p w14:paraId="12740837" w14:textId="77777777" w:rsidR="00C42D88" w:rsidRPr="001C5B16" w:rsidRDefault="00123B0E" w:rsidP="00A0031E">
      <w:pPr>
        <w:pStyle w:val="ListParagraph"/>
        <w:numPr>
          <w:ilvl w:val="0"/>
          <w:numId w:val="7"/>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Waste Management Cost (WMC): The results demonstrated that Waste Management Cost has a negative and statistically insignificant effect on Return on Assets (Coefficient = -7.154e-10, P-value = 0.4072).</w:t>
      </w:r>
    </w:p>
    <w:p w14:paraId="086BE9F2" w14:textId="77777777" w:rsidR="00C42D88" w:rsidRPr="001C5B16" w:rsidRDefault="00123B0E" w:rsidP="00A0031E">
      <w:pPr>
        <w:pStyle w:val="ListParagraph"/>
        <w:numPr>
          <w:ilvl w:val="0"/>
          <w:numId w:val="7"/>
        </w:num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 xml:space="preserve">The Presence of Multicollinearity: A critical finding from the diagnostic tests was the extremely high positive correlation (0.9658) between CDC and WMC, indicating that firms </w:t>
      </w:r>
      <w:r w:rsidRPr="001C5B16">
        <w:rPr>
          <w:rFonts w:ascii="Times New Roman" w:hAnsi="Times New Roman"/>
          <w:color w:val="1F1F1F"/>
          <w:sz w:val="24"/>
          <w:szCs w:val="24"/>
        </w:rPr>
        <w:lastRenderedPageBreak/>
        <w:t>in the Nigerian oil sector tend to incur community and waste management expenses simultaneously.</w:t>
      </w:r>
    </w:p>
    <w:p w14:paraId="2EFA92BA" w14:textId="77777777" w:rsidR="00565309" w:rsidRPr="001C5B16" w:rsidRDefault="00565309" w:rsidP="00565309">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5.2 Conclusion</w:t>
      </w:r>
    </w:p>
    <w:p w14:paraId="45A0EEA0" w14:textId="77777777" w:rsidR="00D769EB" w:rsidRPr="00780AEC" w:rsidRDefault="00D769EB" w:rsidP="00D769EB">
      <w:pPr>
        <w:spacing w:line="480" w:lineRule="auto"/>
        <w:jc w:val="both"/>
        <w:rPr>
          <w:rFonts w:ascii="Times New Roman" w:hAnsi="Times New Roman"/>
          <w:sz w:val="24"/>
          <w:szCs w:val="24"/>
        </w:rPr>
      </w:pPr>
      <w:r w:rsidRPr="00780AEC">
        <w:rPr>
          <w:rFonts w:ascii="Times New Roman" w:hAnsi="Times New Roman"/>
          <w:sz w:val="24"/>
          <w:szCs w:val="24"/>
        </w:rPr>
        <w:t xml:space="preserve">This study was carried out to assess the impact of environmental accounting reporting on profitability of quoted firms in Nigeria. It covered quoted firms in oil and gas sector. Return on Asset (ROA) was adopted as a dependent variable to determine corporate profitability and while, Environmental Restoration Cost (ERC), Community Development Cost (CDC) and Waste Management Cost (WMC) were used as independent variables. </w:t>
      </w:r>
    </w:p>
    <w:p w14:paraId="49EF3E93" w14:textId="77777777" w:rsidR="00D769EB" w:rsidRPr="00780AEC" w:rsidRDefault="00D769EB" w:rsidP="00D769EB">
      <w:pPr>
        <w:spacing w:line="480" w:lineRule="auto"/>
        <w:jc w:val="both"/>
        <w:rPr>
          <w:rFonts w:ascii="Times New Roman" w:hAnsi="Times New Roman"/>
          <w:sz w:val="24"/>
          <w:szCs w:val="24"/>
        </w:rPr>
      </w:pPr>
      <w:r w:rsidRPr="00780AEC">
        <w:rPr>
          <w:rFonts w:ascii="Times New Roman" w:hAnsi="Times New Roman"/>
          <w:sz w:val="24"/>
          <w:szCs w:val="24"/>
        </w:rPr>
        <w:t xml:space="preserve">The empirical evidence shows that both Environmental Restoration Cost, Community Development Cost and Waste Management Cost have negative but insignificant impact on the Return on Asset of the companies sampled. </w:t>
      </w:r>
    </w:p>
    <w:p w14:paraId="7A406E0E" w14:textId="77777777" w:rsidR="00D769EB" w:rsidRPr="00780AEC" w:rsidRDefault="00D769EB" w:rsidP="00D769EB">
      <w:pPr>
        <w:spacing w:line="480" w:lineRule="auto"/>
        <w:jc w:val="both"/>
        <w:rPr>
          <w:rFonts w:ascii="Times New Roman" w:hAnsi="Times New Roman"/>
          <w:sz w:val="24"/>
          <w:szCs w:val="24"/>
        </w:rPr>
      </w:pPr>
      <w:r w:rsidRPr="00780AEC">
        <w:rPr>
          <w:rFonts w:ascii="Times New Roman" w:hAnsi="Times New Roman"/>
          <w:sz w:val="24"/>
          <w:szCs w:val="24"/>
        </w:rPr>
        <w:t>This means that for Nigeria oil and gas sector, the investment in environmental cost is seen as an operational burden rather than a driving factor of financial performance, so there is a proof to the Trade-off Theory of environment accounting. This may imply that environment compliance is a cost to acquiring and to maintaining the firm's 'social license to operate'. To mitigate against this trend, managements of companies operating in the oil and gas industry are urged to take active steps on proactive and effective cost optimization, as in funding future environmental Restoration by setting up and proper management of trust funds. Furthermore, in order to support the cost burden of environmental compliance, relevant government authorities can look into ways of providing 'Green Tax Credits' to aid the cost burden of corporate financial survival in the sector.</w:t>
      </w:r>
    </w:p>
    <w:p w14:paraId="0F3F1C6D" w14:textId="77777777" w:rsidR="00D769EB" w:rsidRDefault="00D769EB" w:rsidP="00565309">
      <w:pPr>
        <w:spacing w:line="480" w:lineRule="auto"/>
        <w:jc w:val="both"/>
        <w:rPr>
          <w:rFonts w:ascii="Times New Roman" w:hAnsi="Times New Roman"/>
          <w:b/>
          <w:bCs/>
          <w:color w:val="1F1F1F"/>
          <w:sz w:val="24"/>
          <w:szCs w:val="24"/>
        </w:rPr>
      </w:pPr>
    </w:p>
    <w:p w14:paraId="4BE279D4" w14:textId="20AFB1A7" w:rsidR="00C42D88" w:rsidRPr="001C5B16" w:rsidRDefault="00123B0E" w:rsidP="00565309">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lastRenderedPageBreak/>
        <w:t>5.3 Recommendations</w:t>
      </w:r>
    </w:p>
    <w:p w14:paraId="4A688E4F"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Based on the empirical findings and the conclusions drawn above, the following recommendations are proffered:</w:t>
      </w:r>
    </w:p>
    <w:p w14:paraId="282853CD"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For Corporate Managers: Since environmental spending currently drains profitability, management boards must shift from passive compliance to active cost-optimization. Furthermore, firms should create dedicated long-term decommissioning trust funds rather than paying for Environmental Restoration out of current operational liquidity, which negatively shocks their ROA.</w:t>
      </w:r>
    </w:p>
    <w:p w14:paraId="2E23B6EA"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For Regulatory Authorities (NESREA &amp; NUPRC): Regulators must recognize that heavy environmental levies are negatively impacting corporate efficiency. To prevent stifling the sector, regulators should introduce "Green Tax Credits" or specific tax reliefs for firms that actively invest in advanced waste management technology and proper site restoration.</w:t>
      </w:r>
    </w:p>
    <w:p w14:paraId="2B2D07E0"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For Investors: Investors should be aware that heavy environmental and community spending in the Nigerian oil sector currently depresses short-term asset returns (ROA). Investors should look for firms that disclose highly efficient, optimized environmental budgets rather than just large expenditure figures.</w:t>
      </w:r>
    </w:p>
    <w:p w14:paraId="7993E02F"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5.4 Contribution to Knowledge </w:t>
      </w:r>
    </w:p>
    <w:p w14:paraId="390C53AD"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This research has contributed to the existing body of accounting literature in several unique ways:</w:t>
      </w:r>
    </w:p>
    <w:p w14:paraId="28F2DD34"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Validation of the Trade-off Theory: Unlike many local studies that force a positive narrative, this study provides recent, data-backed evidence that the Trade-off Theory is highly applicable to the modern Nigerian oil sector.</w:t>
      </w:r>
    </w:p>
    <w:p w14:paraId="081CE711"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lastRenderedPageBreak/>
        <w:t>Introduction of Decommissioning Variables: By specifically isolating Environmental Restoration Cost (ERC), this study addresses a massive, often-ignored capital expenditure in the Nigerian downstream sector, providing a more accurate reflection of actual corporate burdens.</w:t>
      </w:r>
    </w:p>
    <w:p w14:paraId="57D91C1D"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5.5 Limitations of the Study</w:t>
      </w:r>
    </w:p>
    <w:p w14:paraId="3F18736E"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Despite the rigorous methodology adopted, this study faced specific data-driven limitations:</w:t>
      </w:r>
    </w:p>
    <w:p w14:paraId="28111635"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Sample Size Constraint: Due to the severe lack of continuous, unbroken financial reporting by many quoted firms over the designated timeframe (especially regarding the disclosure of specific Environmental Restoration Costs), the final analysis was restricted to a smaller sample size.</w:t>
      </w:r>
    </w:p>
    <w:p w14:paraId="328DC187"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Multicollinearity: The extremely high correlation between specific independent variables restricted the ability of the regression model to perfectly isolate the unique, individual impact of each cost on profitability.</w:t>
      </w:r>
    </w:p>
    <w:p w14:paraId="03461C75" w14:textId="77777777" w:rsidR="00C42D88" w:rsidRPr="001C5B16" w:rsidRDefault="00123B0E">
      <w:pPr>
        <w:spacing w:line="480" w:lineRule="auto"/>
        <w:jc w:val="both"/>
        <w:rPr>
          <w:rFonts w:ascii="Times New Roman" w:hAnsi="Times New Roman"/>
          <w:b/>
          <w:bCs/>
          <w:color w:val="1F1F1F"/>
          <w:sz w:val="24"/>
          <w:szCs w:val="24"/>
        </w:rPr>
      </w:pPr>
      <w:r w:rsidRPr="001C5B16">
        <w:rPr>
          <w:rFonts w:ascii="Times New Roman" w:hAnsi="Times New Roman"/>
          <w:b/>
          <w:bCs/>
          <w:color w:val="1F1F1F"/>
          <w:sz w:val="24"/>
          <w:szCs w:val="24"/>
        </w:rPr>
        <w:t xml:space="preserve">5.6 Suggestions for Further Research </w:t>
      </w:r>
    </w:p>
    <w:p w14:paraId="33BE61C3"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To build upon the findings of this study, future researchers are encouraged to explore the following areas:</w:t>
      </w:r>
    </w:p>
    <w:p w14:paraId="29B94498"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Creation of an Environmental Index: To solve the multicollinearity problem discovered in this study, future researchers should combine various environmental costs (Community, Waste, Restoration) into a single composite "Environmental CSR Index" rather than testing them as separate variables.</w:t>
      </w:r>
    </w:p>
    <w:p w14:paraId="43894207"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lastRenderedPageBreak/>
        <w:t>Alternative Financial Metrics: Future studies should attempt to test market-based performance metrics like Earnings Per Share (EPS) or Tobin's Q to see if stock market investors actually reward environmental spending, even if internal operational efficiency (ROA) suffers.</w:t>
      </w:r>
    </w:p>
    <w:p w14:paraId="03B6D2F9" w14:textId="77777777" w:rsidR="00C42D88" w:rsidRPr="001C5B16" w:rsidRDefault="00123B0E">
      <w:pPr>
        <w:spacing w:line="480" w:lineRule="auto"/>
        <w:jc w:val="both"/>
        <w:rPr>
          <w:rFonts w:ascii="Times New Roman" w:hAnsi="Times New Roman"/>
          <w:color w:val="1F1F1F"/>
          <w:sz w:val="24"/>
          <w:szCs w:val="24"/>
        </w:rPr>
      </w:pPr>
      <w:r w:rsidRPr="001C5B16">
        <w:rPr>
          <w:rFonts w:ascii="Times New Roman" w:hAnsi="Times New Roman"/>
          <w:color w:val="1F1F1F"/>
          <w:sz w:val="24"/>
          <w:szCs w:val="24"/>
        </w:rPr>
        <w:t>Expanded Sectoral Scope: Future researchers should extend this study to the manufacturing and solid minerals sectors in Nigeria to determine if the Trade-off Theory holds true across other environmentally sensitive industries outside of oil and gas.</w:t>
      </w:r>
    </w:p>
    <w:p w14:paraId="17C8586D" w14:textId="77777777" w:rsidR="00C42D88" w:rsidRPr="001C5B16" w:rsidRDefault="00C42D88">
      <w:pPr>
        <w:spacing w:line="480" w:lineRule="auto"/>
        <w:jc w:val="both"/>
        <w:rPr>
          <w:rFonts w:ascii="Times New Roman" w:hAnsi="Times New Roman"/>
          <w:sz w:val="24"/>
          <w:szCs w:val="24"/>
        </w:rPr>
      </w:pPr>
    </w:p>
    <w:p w14:paraId="7BF50963" w14:textId="77777777" w:rsidR="00C42D88" w:rsidRPr="001C5B16" w:rsidRDefault="00C42D88">
      <w:pPr>
        <w:spacing w:line="480" w:lineRule="auto"/>
        <w:jc w:val="both"/>
        <w:rPr>
          <w:rFonts w:ascii="Times New Roman" w:hAnsi="Times New Roman"/>
          <w:sz w:val="24"/>
          <w:szCs w:val="24"/>
        </w:rPr>
      </w:pPr>
    </w:p>
    <w:p w14:paraId="0EB849DF" w14:textId="77777777" w:rsidR="004C2B0A" w:rsidRDefault="004C2B0A">
      <w:pPr>
        <w:spacing w:after="0" w:line="240" w:lineRule="auto"/>
        <w:rPr>
          <w:rFonts w:ascii="Times New Roman" w:eastAsia="Times New Roman" w:hAnsi="Times New Roman"/>
          <w:b/>
          <w:bCs/>
          <w:color w:val="1F1F1F"/>
          <w:sz w:val="24"/>
          <w:szCs w:val="24"/>
          <w:lang w:eastAsia="en-US"/>
        </w:rPr>
      </w:pPr>
      <w:r>
        <w:rPr>
          <w:rFonts w:ascii="Times New Roman" w:eastAsia="Times New Roman" w:hAnsi="Times New Roman"/>
          <w:b/>
          <w:bCs/>
          <w:color w:val="1F1F1F"/>
          <w:sz w:val="24"/>
          <w:szCs w:val="24"/>
          <w:lang w:eastAsia="en-US"/>
        </w:rPr>
        <w:br w:type="page"/>
      </w:r>
    </w:p>
    <w:p w14:paraId="02761939" w14:textId="6F4A414E" w:rsidR="00C42D88" w:rsidRPr="001C5B16" w:rsidRDefault="00123B0E">
      <w:pPr>
        <w:spacing w:before="100" w:beforeAutospacing="1" w:after="0" w:line="240" w:lineRule="auto"/>
        <w:jc w:val="center"/>
        <w:rPr>
          <w:rFonts w:ascii="Times New Roman" w:eastAsia="Times New Roman" w:hAnsi="Times New Roman"/>
          <w:color w:val="1F1F1F"/>
          <w:sz w:val="24"/>
          <w:szCs w:val="24"/>
          <w:lang w:eastAsia="en-US"/>
        </w:rPr>
      </w:pPr>
      <w:r w:rsidRPr="001C5B16">
        <w:rPr>
          <w:rFonts w:ascii="Times New Roman" w:eastAsia="Times New Roman" w:hAnsi="Times New Roman"/>
          <w:b/>
          <w:bCs/>
          <w:color w:val="1F1F1F"/>
          <w:sz w:val="24"/>
          <w:szCs w:val="24"/>
          <w:lang w:eastAsia="en-US"/>
        </w:rPr>
        <w:lastRenderedPageBreak/>
        <w:t>REFERENCES</w:t>
      </w:r>
    </w:p>
    <w:p w14:paraId="0C8DE9E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Abdullahi, M., &amp; Abubakar, A. (2020). Environmental accounting and financial performance of listed industrial goods companies in Nigeria. </w:t>
      </w:r>
      <w:r w:rsidRPr="001D2B6B">
        <w:rPr>
          <w:rFonts w:ascii="Times New Roman" w:hAnsi="Times New Roman"/>
          <w:i/>
          <w:iCs/>
          <w:sz w:val="24"/>
          <w:szCs w:val="24"/>
        </w:rPr>
        <w:t>Journal of Accounting and Financial Management, 6</w:t>
      </w:r>
      <w:r w:rsidRPr="001D2B6B">
        <w:rPr>
          <w:rFonts w:ascii="Times New Roman" w:hAnsi="Times New Roman"/>
          <w:sz w:val="24"/>
          <w:szCs w:val="24"/>
        </w:rPr>
        <w:t>(1), 12–25.</w:t>
      </w:r>
    </w:p>
    <w:p w14:paraId="3B5351A8"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Abidoye, O. O., Bello-Olatunji, O. M., Afolabi, F. O., &amp; Ige, J. O. (2023). Effect of environmental accounting disclosure on financial performance of listed oil and gas companies in Nigeria. </w:t>
      </w:r>
      <w:r w:rsidRPr="001D2B6B">
        <w:rPr>
          <w:rFonts w:ascii="Times New Roman" w:hAnsi="Times New Roman"/>
          <w:i/>
          <w:iCs/>
          <w:sz w:val="24"/>
          <w:szCs w:val="24"/>
        </w:rPr>
        <w:t>International Journal of Innovative Research in Accounting and Sustainability, 8</w:t>
      </w:r>
      <w:r w:rsidRPr="001D2B6B">
        <w:rPr>
          <w:rFonts w:ascii="Times New Roman" w:hAnsi="Times New Roman"/>
          <w:sz w:val="24"/>
          <w:szCs w:val="24"/>
        </w:rPr>
        <w:t>(4), 11–23.</w:t>
      </w:r>
    </w:p>
    <w:p w14:paraId="067074D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Adediran, S. A., &amp; Alade, S. O. (2013). The impact of environmental accounting on corporate performance in Nigeria. </w:t>
      </w:r>
      <w:r w:rsidRPr="001D2B6B">
        <w:rPr>
          <w:rFonts w:ascii="Times New Roman" w:hAnsi="Times New Roman"/>
          <w:i/>
          <w:iCs/>
          <w:sz w:val="24"/>
          <w:szCs w:val="24"/>
        </w:rPr>
        <w:t>European Journal of Business and Management, 5</w:t>
      </w:r>
      <w:r w:rsidRPr="001D2B6B">
        <w:rPr>
          <w:rFonts w:ascii="Times New Roman" w:hAnsi="Times New Roman"/>
          <w:sz w:val="24"/>
          <w:szCs w:val="24"/>
        </w:rPr>
        <w:t>(23), 141–151.</w:t>
      </w:r>
    </w:p>
    <w:p w14:paraId="233F6201"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Agbo, E. I., </w:t>
      </w:r>
      <w:proofErr w:type="spellStart"/>
      <w:r w:rsidRPr="001D2B6B">
        <w:rPr>
          <w:rFonts w:ascii="Times New Roman" w:hAnsi="Times New Roman"/>
          <w:sz w:val="24"/>
          <w:szCs w:val="24"/>
        </w:rPr>
        <w:t>Ohaegbu</w:t>
      </w:r>
      <w:proofErr w:type="spellEnd"/>
      <w:r w:rsidRPr="001D2B6B">
        <w:rPr>
          <w:rFonts w:ascii="Times New Roman" w:hAnsi="Times New Roman"/>
          <w:sz w:val="24"/>
          <w:szCs w:val="24"/>
        </w:rPr>
        <w:t xml:space="preserve">, A. V., &amp; </w:t>
      </w:r>
      <w:proofErr w:type="spellStart"/>
      <w:r w:rsidRPr="001D2B6B">
        <w:rPr>
          <w:rFonts w:ascii="Times New Roman" w:hAnsi="Times New Roman"/>
          <w:sz w:val="24"/>
          <w:szCs w:val="24"/>
        </w:rPr>
        <w:t>Akubuilo</w:t>
      </w:r>
      <w:proofErr w:type="spellEnd"/>
      <w:r w:rsidRPr="001D2B6B">
        <w:rPr>
          <w:rFonts w:ascii="Times New Roman" w:hAnsi="Times New Roman"/>
          <w:sz w:val="24"/>
          <w:szCs w:val="24"/>
        </w:rPr>
        <w:t xml:space="preserve">, F. (2017). Environmental reporting and corporate performance in Nigeria. </w:t>
      </w:r>
      <w:r w:rsidRPr="001D2B6B">
        <w:rPr>
          <w:rFonts w:ascii="Times New Roman" w:hAnsi="Times New Roman"/>
          <w:i/>
          <w:iCs/>
          <w:sz w:val="24"/>
          <w:szCs w:val="24"/>
        </w:rPr>
        <w:t>Journal of Business and Management, 19</w:t>
      </w:r>
      <w:r w:rsidRPr="001D2B6B">
        <w:rPr>
          <w:rFonts w:ascii="Times New Roman" w:hAnsi="Times New Roman"/>
          <w:sz w:val="24"/>
          <w:szCs w:val="24"/>
        </w:rPr>
        <w:t>(11), 12–20.</w:t>
      </w:r>
    </w:p>
    <w:p w14:paraId="519F8A8B"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Ahmad, S., Simon, J., &amp; Mohammad, S. (2017). Environmental disclosure and financial performance of listed firms in Nigeria. </w:t>
      </w:r>
      <w:r w:rsidRPr="001D2B6B">
        <w:rPr>
          <w:rFonts w:ascii="Times New Roman" w:hAnsi="Times New Roman"/>
          <w:i/>
          <w:iCs/>
          <w:sz w:val="24"/>
          <w:szCs w:val="24"/>
        </w:rPr>
        <w:t>Journal of Accounting and Marketing, 6</w:t>
      </w:r>
      <w:r w:rsidRPr="001D2B6B">
        <w:rPr>
          <w:rFonts w:ascii="Times New Roman" w:hAnsi="Times New Roman"/>
          <w:sz w:val="24"/>
          <w:szCs w:val="24"/>
        </w:rPr>
        <w:t>(4), 1–8.</w:t>
      </w:r>
    </w:p>
    <w:p w14:paraId="7092C997"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Al-</w:t>
      </w:r>
      <w:proofErr w:type="spellStart"/>
      <w:r w:rsidRPr="001D2B6B">
        <w:rPr>
          <w:rFonts w:ascii="Times New Roman" w:hAnsi="Times New Roman"/>
          <w:sz w:val="24"/>
          <w:szCs w:val="24"/>
        </w:rPr>
        <w:t>Tuwaijri</w:t>
      </w:r>
      <w:proofErr w:type="spellEnd"/>
      <w:r w:rsidRPr="001D2B6B">
        <w:rPr>
          <w:rFonts w:ascii="Times New Roman" w:hAnsi="Times New Roman"/>
          <w:sz w:val="24"/>
          <w:szCs w:val="24"/>
        </w:rPr>
        <w:t xml:space="preserve">, S. A., Christensen, T. E., &amp; Hughes II, K. E. (2004). The relations among environmental disclosure, environmental performance, and economic performance: A simultaneous equations approach. </w:t>
      </w:r>
      <w:r w:rsidRPr="001D2B6B">
        <w:rPr>
          <w:rFonts w:ascii="Times New Roman" w:hAnsi="Times New Roman"/>
          <w:i/>
          <w:iCs/>
          <w:sz w:val="24"/>
          <w:szCs w:val="24"/>
        </w:rPr>
        <w:t>Accounting, Organizations and Society, 29</w:t>
      </w:r>
      <w:r w:rsidRPr="001D2B6B">
        <w:rPr>
          <w:rFonts w:ascii="Times New Roman" w:hAnsi="Times New Roman"/>
          <w:sz w:val="24"/>
          <w:szCs w:val="24"/>
        </w:rPr>
        <w:t xml:space="preserve">(5–6), 447–471. </w:t>
      </w:r>
      <w:hyperlink r:id="rId43" w:history="1">
        <w:r w:rsidRPr="001D2B6B">
          <w:rPr>
            <w:rStyle w:val="Hyperlink"/>
            <w:rFonts w:ascii="Times New Roman" w:hAnsi="Times New Roman"/>
            <w:sz w:val="24"/>
            <w:szCs w:val="24"/>
          </w:rPr>
          <w:t>https://doi.org/10.1016/S0361-3682(03)00032-1</w:t>
        </w:r>
      </w:hyperlink>
    </w:p>
    <w:p w14:paraId="4A4C908E"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Amnesty International. (2018). </w:t>
      </w:r>
      <w:r w:rsidRPr="001D2B6B">
        <w:rPr>
          <w:rFonts w:ascii="Times New Roman" w:hAnsi="Times New Roman"/>
          <w:i/>
          <w:iCs/>
          <w:sz w:val="24"/>
          <w:szCs w:val="24"/>
        </w:rPr>
        <w:t>Nigeria: Negligence in the Niger Delta—Decoding Shell and Eni’s oil spills</w:t>
      </w:r>
      <w:r w:rsidRPr="001D2B6B">
        <w:rPr>
          <w:rFonts w:ascii="Times New Roman" w:hAnsi="Times New Roman"/>
          <w:sz w:val="24"/>
          <w:szCs w:val="24"/>
        </w:rPr>
        <w:t>. Amnesty International Ltd.</w:t>
      </w:r>
    </w:p>
    <w:p w14:paraId="7652643C"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Bassey, B. E., </w:t>
      </w:r>
      <w:proofErr w:type="spellStart"/>
      <w:r w:rsidRPr="001D2B6B">
        <w:rPr>
          <w:rFonts w:ascii="Times New Roman" w:hAnsi="Times New Roman"/>
          <w:sz w:val="24"/>
          <w:szCs w:val="24"/>
        </w:rPr>
        <w:t>Effiok</w:t>
      </w:r>
      <w:proofErr w:type="spellEnd"/>
      <w:r w:rsidRPr="001D2B6B">
        <w:rPr>
          <w:rFonts w:ascii="Times New Roman" w:hAnsi="Times New Roman"/>
          <w:sz w:val="24"/>
          <w:szCs w:val="24"/>
        </w:rPr>
        <w:t xml:space="preserve">, S. O., &amp; Eton, O. E. (2013). The impact of environmental accounting and reporting on organizational performance of selected oil and gas companies in the Niger Delta region of Nigeria. </w:t>
      </w:r>
      <w:r w:rsidRPr="001D2B6B">
        <w:rPr>
          <w:rFonts w:ascii="Times New Roman" w:hAnsi="Times New Roman"/>
          <w:i/>
          <w:iCs/>
          <w:sz w:val="24"/>
          <w:szCs w:val="24"/>
        </w:rPr>
        <w:t>Research Journal of Finance and Accounting, 4</w:t>
      </w:r>
      <w:r w:rsidRPr="001D2B6B">
        <w:rPr>
          <w:rFonts w:ascii="Times New Roman" w:hAnsi="Times New Roman"/>
          <w:sz w:val="24"/>
          <w:szCs w:val="24"/>
        </w:rPr>
        <w:t>(3), 57–73.</w:t>
      </w:r>
    </w:p>
    <w:p w14:paraId="51DC4B08" w14:textId="77777777" w:rsidR="00D101CE" w:rsidRPr="001D2B6B" w:rsidRDefault="00D101CE" w:rsidP="00D101CE">
      <w:pPr>
        <w:spacing w:after="160" w:line="240" w:lineRule="auto"/>
        <w:ind w:left="900" w:hanging="900"/>
        <w:jc w:val="both"/>
        <w:rPr>
          <w:rFonts w:ascii="Times New Roman" w:hAnsi="Times New Roman"/>
          <w:sz w:val="24"/>
          <w:szCs w:val="24"/>
        </w:rPr>
      </w:pPr>
      <w:proofErr w:type="spellStart"/>
      <w:r w:rsidRPr="001D2B6B">
        <w:rPr>
          <w:rFonts w:ascii="Times New Roman" w:hAnsi="Times New Roman"/>
          <w:sz w:val="24"/>
          <w:szCs w:val="24"/>
        </w:rPr>
        <w:t>Chude</w:t>
      </w:r>
      <w:proofErr w:type="spellEnd"/>
      <w:r w:rsidRPr="001D2B6B">
        <w:rPr>
          <w:rFonts w:ascii="Times New Roman" w:hAnsi="Times New Roman"/>
          <w:sz w:val="24"/>
          <w:szCs w:val="24"/>
        </w:rPr>
        <w:t xml:space="preserve">, N. P., Ezeaba, K., &amp; </w:t>
      </w:r>
      <w:proofErr w:type="spellStart"/>
      <w:r w:rsidRPr="001D2B6B">
        <w:rPr>
          <w:rFonts w:ascii="Times New Roman" w:hAnsi="Times New Roman"/>
          <w:sz w:val="24"/>
          <w:szCs w:val="24"/>
        </w:rPr>
        <w:t>Osisioma</w:t>
      </w:r>
      <w:proofErr w:type="spellEnd"/>
      <w:r w:rsidRPr="001D2B6B">
        <w:rPr>
          <w:rFonts w:ascii="Times New Roman" w:hAnsi="Times New Roman"/>
          <w:sz w:val="24"/>
          <w:szCs w:val="24"/>
        </w:rPr>
        <w:t xml:space="preserve">, B. (2023). Challenges of environmental accounting adoption in Nigeria. </w:t>
      </w:r>
      <w:r w:rsidRPr="001D2B6B">
        <w:rPr>
          <w:rFonts w:ascii="Times New Roman" w:hAnsi="Times New Roman"/>
          <w:i/>
          <w:iCs/>
          <w:sz w:val="24"/>
          <w:szCs w:val="24"/>
        </w:rPr>
        <w:t>Journal of Environmental Accounting and Management, 11</w:t>
      </w:r>
      <w:r w:rsidRPr="001D2B6B">
        <w:rPr>
          <w:rFonts w:ascii="Times New Roman" w:hAnsi="Times New Roman"/>
          <w:sz w:val="24"/>
          <w:szCs w:val="24"/>
        </w:rPr>
        <w:t>(2), 101–115.</w:t>
      </w:r>
    </w:p>
    <w:p w14:paraId="0B3747DA"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Companies and Allied Matters Act, 2020, Federal Republic of Nigeria Official Gazette.</w:t>
      </w:r>
    </w:p>
    <w:p w14:paraId="62CC36C8"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Cortez, M. A., &amp; Cudia, C. P. (2010). Sustainability and financial performance of Japanese electronics companies. </w:t>
      </w:r>
      <w:proofErr w:type="spellStart"/>
      <w:r w:rsidRPr="001D2B6B">
        <w:rPr>
          <w:rFonts w:ascii="Times New Roman" w:hAnsi="Times New Roman"/>
          <w:i/>
          <w:iCs/>
          <w:sz w:val="24"/>
          <w:szCs w:val="24"/>
        </w:rPr>
        <w:t>Ritsumeikan</w:t>
      </w:r>
      <w:proofErr w:type="spellEnd"/>
      <w:r w:rsidRPr="001D2B6B">
        <w:rPr>
          <w:rFonts w:ascii="Times New Roman" w:hAnsi="Times New Roman"/>
          <w:i/>
          <w:iCs/>
          <w:sz w:val="24"/>
          <w:szCs w:val="24"/>
        </w:rPr>
        <w:t xml:space="preserve"> International Affairs, 9</w:t>
      </w:r>
      <w:r w:rsidRPr="001D2B6B">
        <w:rPr>
          <w:rFonts w:ascii="Times New Roman" w:hAnsi="Times New Roman"/>
          <w:sz w:val="24"/>
          <w:szCs w:val="24"/>
        </w:rPr>
        <w:t>, 1–18.</w:t>
      </w:r>
    </w:p>
    <w:p w14:paraId="4F5E8686"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De Villiers, C., &amp; Van Staden, C. J. (2011). Where firms choose to disclose voluntary environmental information. </w:t>
      </w:r>
      <w:r w:rsidRPr="001D2B6B">
        <w:rPr>
          <w:rFonts w:ascii="Times New Roman" w:hAnsi="Times New Roman"/>
          <w:i/>
          <w:iCs/>
          <w:sz w:val="24"/>
          <w:szCs w:val="24"/>
        </w:rPr>
        <w:t>Journal of Accounting and Public Policy, 30</w:t>
      </w:r>
      <w:r w:rsidRPr="001D2B6B">
        <w:rPr>
          <w:rFonts w:ascii="Times New Roman" w:hAnsi="Times New Roman"/>
          <w:sz w:val="24"/>
          <w:szCs w:val="24"/>
        </w:rPr>
        <w:t xml:space="preserve">(6), 504–525. </w:t>
      </w:r>
      <w:hyperlink r:id="rId44" w:history="1">
        <w:r w:rsidRPr="001D2B6B">
          <w:rPr>
            <w:rStyle w:val="Hyperlink"/>
            <w:rFonts w:ascii="Times New Roman" w:hAnsi="Times New Roman"/>
            <w:sz w:val="24"/>
            <w:szCs w:val="24"/>
          </w:rPr>
          <w:t>https://doi.org/10.1016/j.jaccpubpol.2011.03.005</w:t>
        </w:r>
      </w:hyperlink>
    </w:p>
    <w:p w14:paraId="785BA3C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Deegan, C. (2002). Introduction: The </w:t>
      </w:r>
      <w:proofErr w:type="spellStart"/>
      <w:r w:rsidRPr="001D2B6B">
        <w:rPr>
          <w:rFonts w:ascii="Times New Roman" w:hAnsi="Times New Roman"/>
          <w:sz w:val="24"/>
          <w:szCs w:val="24"/>
        </w:rPr>
        <w:t>legitimising</w:t>
      </w:r>
      <w:proofErr w:type="spellEnd"/>
      <w:r w:rsidRPr="001D2B6B">
        <w:rPr>
          <w:rFonts w:ascii="Times New Roman" w:hAnsi="Times New Roman"/>
          <w:sz w:val="24"/>
          <w:szCs w:val="24"/>
        </w:rPr>
        <w:t xml:space="preserve"> effect of social and environmental disclosures—A theoretical foundation. </w:t>
      </w:r>
      <w:r w:rsidRPr="001D2B6B">
        <w:rPr>
          <w:rFonts w:ascii="Times New Roman" w:hAnsi="Times New Roman"/>
          <w:i/>
          <w:iCs/>
          <w:sz w:val="24"/>
          <w:szCs w:val="24"/>
        </w:rPr>
        <w:t>Accounting, Auditing &amp; Accountability Journal, 15</w:t>
      </w:r>
      <w:r w:rsidRPr="001D2B6B">
        <w:rPr>
          <w:rFonts w:ascii="Times New Roman" w:hAnsi="Times New Roman"/>
          <w:sz w:val="24"/>
          <w:szCs w:val="24"/>
        </w:rPr>
        <w:t xml:space="preserve">(3), 282–311. </w:t>
      </w:r>
      <w:hyperlink r:id="rId45" w:history="1">
        <w:r w:rsidRPr="001D2B6B">
          <w:rPr>
            <w:rStyle w:val="Hyperlink"/>
            <w:rFonts w:ascii="Times New Roman" w:hAnsi="Times New Roman"/>
            <w:sz w:val="24"/>
            <w:szCs w:val="24"/>
          </w:rPr>
          <w:t>https://doi.org/10.1108/09513570210435852</w:t>
        </w:r>
      </w:hyperlink>
    </w:p>
    <w:p w14:paraId="6EA73F71"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Elkington, J. (1997). </w:t>
      </w:r>
      <w:r w:rsidRPr="001D2B6B">
        <w:rPr>
          <w:rFonts w:ascii="Times New Roman" w:hAnsi="Times New Roman"/>
          <w:i/>
          <w:iCs/>
          <w:sz w:val="24"/>
          <w:szCs w:val="24"/>
        </w:rPr>
        <w:t>Cannibals with forks: The triple bottom line of 21st century business</w:t>
      </w:r>
      <w:r w:rsidRPr="001D2B6B">
        <w:rPr>
          <w:rFonts w:ascii="Times New Roman" w:hAnsi="Times New Roman"/>
          <w:sz w:val="24"/>
          <w:szCs w:val="24"/>
        </w:rPr>
        <w:t>. Capstone Publishing.</w:t>
      </w:r>
    </w:p>
    <w:p w14:paraId="2139C1C5"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lastRenderedPageBreak/>
        <w:t xml:space="preserve">Emeka-Nwokeji, N. A. (2019). Environmental accounting and financial performance of manufacturing firms in Nigeria. </w:t>
      </w:r>
      <w:r w:rsidRPr="001D2B6B">
        <w:rPr>
          <w:rFonts w:ascii="Times New Roman" w:hAnsi="Times New Roman"/>
          <w:i/>
          <w:iCs/>
          <w:sz w:val="24"/>
          <w:szCs w:val="24"/>
        </w:rPr>
        <w:t>International Journal of Accounting &amp; Finance Review, 4</w:t>
      </w:r>
      <w:r w:rsidRPr="001D2B6B">
        <w:rPr>
          <w:rFonts w:ascii="Times New Roman" w:hAnsi="Times New Roman"/>
          <w:sz w:val="24"/>
          <w:szCs w:val="24"/>
        </w:rPr>
        <w:t>(1), 22–35.</w:t>
      </w:r>
    </w:p>
    <w:p w14:paraId="3FCB75D0"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Ezeagba, C. E., </w:t>
      </w:r>
      <w:proofErr w:type="spellStart"/>
      <w:r w:rsidRPr="001D2B6B">
        <w:rPr>
          <w:rFonts w:ascii="Times New Roman" w:hAnsi="Times New Roman"/>
          <w:sz w:val="24"/>
          <w:szCs w:val="24"/>
        </w:rPr>
        <w:t>Chibunjor</w:t>
      </w:r>
      <w:proofErr w:type="spellEnd"/>
      <w:r w:rsidRPr="001D2B6B">
        <w:rPr>
          <w:rFonts w:ascii="Times New Roman" w:hAnsi="Times New Roman"/>
          <w:sz w:val="24"/>
          <w:szCs w:val="24"/>
        </w:rPr>
        <w:t xml:space="preserve">, J. R., &amp; Ubaka, C. (2017). Environmental accounting disclosures and financial performance: A study of selected food and beverage companies in Nigeria. </w:t>
      </w:r>
      <w:r w:rsidRPr="001D2B6B">
        <w:rPr>
          <w:rFonts w:ascii="Times New Roman" w:hAnsi="Times New Roman"/>
          <w:i/>
          <w:iCs/>
          <w:sz w:val="24"/>
          <w:szCs w:val="24"/>
        </w:rPr>
        <w:t>International Journal of Academic Research in Business and Social Sciences, 7</w:t>
      </w:r>
      <w:r w:rsidRPr="001D2B6B">
        <w:rPr>
          <w:rFonts w:ascii="Times New Roman" w:hAnsi="Times New Roman"/>
          <w:sz w:val="24"/>
          <w:szCs w:val="24"/>
        </w:rPr>
        <w:t>(9), 162–174.</w:t>
      </w:r>
    </w:p>
    <w:p w14:paraId="7B737ED5"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Ezekwere, O., &amp; </w:t>
      </w:r>
      <w:proofErr w:type="spellStart"/>
      <w:r w:rsidRPr="001D2B6B">
        <w:rPr>
          <w:rFonts w:ascii="Times New Roman" w:hAnsi="Times New Roman"/>
          <w:sz w:val="24"/>
          <w:szCs w:val="24"/>
        </w:rPr>
        <w:t>Ikilidi</w:t>
      </w:r>
      <w:proofErr w:type="spellEnd"/>
      <w:r w:rsidRPr="001D2B6B">
        <w:rPr>
          <w:rFonts w:ascii="Times New Roman" w:hAnsi="Times New Roman"/>
          <w:sz w:val="24"/>
          <w:szCs w:val="24"/>
        </w:rPr>
        <w:t xml:space="preserve">, J. (2024). Adoption of green accounting and liquidity of oil firms in Nigeria. </w:t>
      </w:r>
      <w:r w:rsidRPr="001D2B6B">
        <w:rPr>
          <w:rFonts w:ascii="Times New Roman" w:hAnsi="Times New Roman"/>
          <w:i/>
          <w:iCs/>
          <w:sz w:val="24"/>
          <w:szCs w:val="24"/>
        </w:rPr>
        <w:t>Journal of Contemporary Accounting, 5</w:t>
      </w:r>
      <w:r w:rsidRPr="001D2B6B">
        <w:rPr>
          <w:rFonts w:ascii="Times New Roman" w:hAnsi="Times New Roman"/>
          <w:sz w:val="24"/>
          <w:szCs w:val="24"/>
        </w:rPr>
        <w:t>(1), 45–58.</w:t>
      </w:r>
    </w:p>
    <w:p w14:paraId="18D59C28"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Federal Republic of Nigeria. (2007). </w:t>
      </w:r>
      <w:r w:rsidRPr="001D2B6B">
        <w:rPr>
          <w:rFonts w:ascii="Times New Roman" w:hAnsi="Times New Roman"/>
          <w:i/>
          <w:iCs/>
          <w:sz w:val="24"/>
          <w:szCs w:val="24"/>
        </w:rPr>
        <w:t>National Environmental Standards and Regulations Enforcement Agency (NESREA) Act</w:t>
      </w:r>
      <w:r w:rsidRPr="001D2B6B">
        <w:rPr>
          <w:rFonts w:ascii="Times New Roman" w:hAnsi="Times New Roman"/>
          <w:sz w:val="24"/>
          <w:szCs w:val="24"/>
        </w:rPr>
        <w:t>. Federal Government Press.</w:t>
      </w:r>
    </w:p>
    <w:p w14:paraId="55D457DD"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Federal Republic of Nigeria. (2021). </w:t>
      </w:r>
      <w:r w:rsidRPr="001D2B6B">
        <w:rPr>
          <w:rFonts w:ascii="Times New Roman" w:hAnsi="Times New Roman"/>
          <w:i/>
          <w:iCs/>
          <w:sz w:val="24"/>
          <w:szCs w:val="24"/>
        </w:rPr>
        <w:t>Petroleum Industry Act (PIA) 2021</w:t>
      </w:r>
      <w:r w:rsidRPr="001D2B6B">
        <w:rPr>
          <w:rFonts w:ascii="Times New Roman" w:hAnsi="Times New Roman"/>
          <w:sz w:val="24"/>
          <w:szCs w:val="24"/>
        </w:rPr>
        <w:t>. Federal Government Press.</w:t>
      </w:r>
    </w:p>
    <w:p w14:paraId="4E3B8F01"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Freeman, R. E. (1984). </w:t>
      </w:r>
      <w:r w:rsidRPr="001D2B6B">
        <w:rPr>
          <w:rFonts w:ascii="Times New Roman" w:hAnsi="Times New Roman"/>
          <w:i/>
          <w:iCs/>
          <w:sz w:val="24"/>
          <w:szCs w:val="24"/>
        </w:rPr>
        <w:t>Strategic management: A stakeholder approach</w:t>
      </w:r>
      <w:r w:rsidRPr="001D2B6B">
        <w:rPr>
          <w:rFonts w:ascii="Times New Roman" w:hAnsi="Times New Roman"/>
          <w:sz w:val="24"/>
          <w:szCs w:val="24"/>
        </w:rPr>
        <w:t>. Pitman.</w:t>
      </w:r>
    </w:p>
    <w:p w14:paraId="5DE9EB6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Friedman, M. (1970, September 13). The social responsibility of business is to increase its profits. </w:t>
      </w:r>
      <w:r w:rsidRPr="001D2B6B">
        <w:rPr>
          <w:rFonts w:ascii="Times New Roman" w:hAnsi="Times New Roman"/>
          <w:i/>
          <w:iCs/>
          <w:sz w:val="24"/>
          <w:szCs w:val="24"/>
        </w:rPr>
        <w:t>The New York Times Magazine</w:t>
      </w:r>
      <w:r w:rsidRPr="001D2B6B">
        <w:rPr>
          <w:rFonts w:ascii="Times New Roman" w:hAnsi="Times New Roman"/>
          <w:sz w:val="24"/>
          <w:szCs w:val="24"/>
        </w:rPr>
        <w:t>.</w:t>
      </w:r>
    </w:p>
    <w:p w14:paraId="71F8F102"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Gray, R., Bebbington, J., &amp; Walters, D. (1993). </w:t>
      </w:r>
      <w:r w:rsidRPr="001D2B6B">
        <w:rPr>
          <w:rFonts w:ascii="Times New Roman" w:hAnsi="Times New Roman"/>
          <w:i/>
          <w:iCs/>
          <w:sz w:val="24"/>
          <w:szCs w:val="24"/>
        </w:rPr>
        <w:t>Accounting for the environment</w:t>
      </w:r>
      <w:r w:rsidRPr="001D2B6B">
        <w:rPr>
          <w:rFonts w:ascii="Times New Roman" w:hAnsi="Times New Roman"/>
          <w:sz w:val="24"/>
          <w:szCs w:val="24"/>
        </w:rPr>
        <w:t>. Markus Wiener Publishers.</w:t>
      </w:r>
    </w:p>
    <w:p w14:paraId="7642E012"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Guidry, R. P., &amp; Patten, D. M. (2010). Market reactions to the first-time issuance of corporate sustainability reports. </w:t>
      </w:r>
      <w:r w:rsidRPr="001D2B6B">
        <w:rPr>
          <w:rFonts w:ascii="Times New Roman" w:hAnsi="Times New Roman"/>
          <w:i/>
          <w:iCs/>
          <w:sz w:val="24"/>
          <w:szCs w:val="24"/>
        </w:rPr>
        <w:t>Sustainability Accounting, Management and Policy Journal, 1</w:t>
      </w:r>
      <w:r w:rsidRPr="001D2B6B">
        <w:rPr>
          <w:rFonts w:ascii="Times New Roman" w:hAnsi="Times New Roman"/>
          <w:sz w:val="24"/>
          <w:szCs w:val="24"/>
        </w:rPr>
        <w:t>(1), 33–50.</w:t>
      </w:r>
    </w:p>
    <w:p w14:paraId="7E9B069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Hasan, M. T., &amp; Huda, M. N. (2018). Green banking and financial performance of commercial banks in Bangladesh. </w:t>
      </w:r>
      <w:r w:rsidRPr="001D2B6B">
        <w:rPr>
          <w:rFonts w:ascii="Times New Roman" w:hAnsi="Times New Roman"/>
          <w:i/>
          <w:iCs/>
          <w:sz w:val="24"/>
          <w:szCs w:val="24"/>
        </w:rPr>
        <w:t>Journal of Business and Technology, 13</w:t>
      </w:r>
      <w:r w:rsidRPr="001D2B6B">
        <w:rPr>
          <w:rFonts w:ascii="Times New Roman" w:hAnsi="Times New Roman"/>
          <w:sz w:val="24"/>
          <w:szCs w:val="24"/>
        </w:rPr>
        <w:t>(1), 1–15.</w:t>
      </w:r>
    </w:p>
    <w:p w14:paraId="1C5929B9" w14:textId="77777777" w:rsidR="00D101CE" w:rsidRPr="001D2B6B" w:rsidRDefault="00D101CE" w:rsidP="00D101CE">
      <w:pPr>
        <w:spacing w:after="160" w:line="240" w:lineRule="auto"/>
        <w:ind w:left="900" w:hanging="900"/>
        <w:jc w:val="both"/>
        <w:rPr>
          <w:rFonts w:ascii="Times New Roman" w:hAnsi="Times New Roman"/>
          <w:sz w:val="24"/>
          <w:szCs w:val="24"/>
        </w:rPr>
      </w:pPr>
      <w:proofErr w:type="spellStart"/>
      <w:r w:rsidRPr="001D2B6B">
        <w:rPr>
          <w:rFonts w:ascii="Times New Roman" w:hAnsi="Times New Roman"/>
          <w:sz w:val="24"/>
          <w:szCs w:val="24"/>
        </w:rPr>
        <w:t>Iliemena</w:t>
      </w:r>
      <w:proofErr w:type="spellEnd"/>
      <w:r w:rsidRPr="001D2B6B">
        <w:rPr>
          <w:rFonts w:ascii="Times New Roman" w:hAnsi="Times New Roman"/>
          <w:sz w:val="24"/>
          <w:szCs w:val="24"/>
        </w:rPr>
        <w:t xml:space="preserve">, R. O. (2020). Environmental accounting and corporate wealth: The cost of non-compliance. </w:t>
      </w:r>
      <w:r w:rsidRPr="001D2B6B">
        <w:rPr>
          <w:rFonts w:ascii="Times New Roman" w:hAnsi="Times New Roman"/>
          <w:i/>
          <w:iCs/>
          <w:sz w:val="24"/>
          <w:szCs w:val="24"/>
        </w:rPr>
        <w:t>Journal of Sustainable Finance, 9</w:t>
      </w:r>
      <w:r w:rsidRPr="001D2B6B">
        <w:rPr>
          <w:rFonts w:ascii="Times New Roman" w:hAnsi="Times New Roman"/>
          <w:sz w:val="24"/>
          <w:szCs w:val="24"/>
        </w:rPr>
        <w:t>(3), 112–128.</w:t>
      </w:r>
    </w:p>
    <w:p w14:paraId="23A267B7"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Ite, U. E. (2004). Multinationals and corporate social responsibility in developing countries: A case study of Nigeria. </w:t>
      </w:r>
      <w:r w:rsidRPr="001D2B6B">
        <w:rPr>
          <w:rFonts w:ascii="Times New Roman" w:hAnsi="Times New Roman"/>
          <w:i/>
          <w:iCs/>
          <w:sz w:val="24"/>
          <w:szCs w:val="24"/>
        </w:rPr>
        <w:t>Corporate Social Responsibility and Environmental Management, 11</w:t>
      </w:r>
      <w:r w:rsidRPr="001D2B6B">
        <w:rPr>
          <w:rFonts w:ascii="Times New Roman" w:hAnsi="Times New Roman"/>
          <w:sz w:val="24"/>
          <w:szCs w:val="24"/>
        </w:rPr>
        <w:t xml:space="preserve">(1), 1–11. </w:t>
      </w:r>
      <w:hyperlink r:id="rId46" w:history="1">
        <w:r w:rsidRPr="001D2B6B">
          <w:rPr>
            <w:rStyle w:val="Hyperlink"/>
            <w:rFonts w:ascii="Times New Roman" w:hAnsi="Times New Roman"/>
            <w:sz w:val="24"/>
            <w:szCs w:val="24"/>
          </w:rPr>
          <w:t>https://doi.org/10.1002/csr.49</w:t>
        </w:r>
      </w:hyperlink>
    </w:p>
    <w:p w14:paraId="2871923A"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Laufer, W. S. (2003). Social accountability and corporate greenwashing. </w:t>
      </w:r>
      <w:r w:rsidRPr="001D2B6B">
        <w:rPr>
          <w:rFonts w:ascii="Times New Roman" w:hAnsi="Times New Roman"/>
          <w:i/>
          <w:iCs/>
          <w:sz w:val="24"/>
          <w:szCs w:val="24"/>
        </w:rPr>
        <w:t>Journal of Business Ethics, 43</w:t>
      </w:r>
      <w:r w:rsidRPr="001D2B6B">
        <w:rPr>
          <w:rFonts w:ascii="Times New Roman" w:hAnsi="Times New Roman"/>
          <w:sz w:val="24"/>
          <w:szCs w:val="24"/>
        </w:rPr>
        <w:t>(3), 253–261.</w:t>
      </w:r>
    </w:p>
    <w:p w14:paraId="28037E22"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Liu, X., &amp; Anbumozhi, V. (2009). Determinant factors of corporate environmental information disclosure: An empirical study of Chinese listed companies. </w:t>
      </w:r>
      <w:r w:rsidRPr="001D2B6B">
        <w:rPr>
          <w:rFonts w:ascii="Times New Roman" w:hAnsi="Times New Roman"/>
          <w:i/>
          <w:iCs/>
          <w:sz w:val="24"/>
          <w:szCs w:val="24"/>
        </w:rPr>
        <w:t>Journal of Cleaner Production, 17</w:t>
      </w:r>
      <w:r w:rsidRPr="001D2B6B">
        <w:rPr>
          <w:rFonts w:ascii="Times New Roman" w:hAnsi="Times New Roman"/>
          <w:sz w:val="24"/>
          <w:szCs w:val="24"/>
        </w:rPr>
        <w:t>(6), 593–600.</w:t>
      </w:r>
    </w:p>
    <w:p w14:paraId="290AA7A2"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Magara, R., </w:t>
      </w:r>
      <w:proofErr w:type="spellStart"/>
      <w:r w:rsidRPr="001D2B6B">
        <w:rPr>
          <w:rFonts w:ascii="Times New Roman" w:hAnsi="Times New Roman"/>
          <w:sz w:val="24"/>
          <w:szCs w:val="24"/>
        </w:rPr>
        <w:t>Aming’a</w:t>
      </w:r>
      <w:proofErr w:type="spellEnd"/>
      <w:r w:rsidRPr="001D2B6B">
        <w:rPr>
          <w:rFonts w:ascii="Times New Roman" w:hAnsi="Times New Roman"/>
          <w:sz w:val="24"/>
          <w:szCs w:val="24"/>
        </w:rPr>
        <w:t xml:space="preserve">, N., &amp; Momanyi, E. (2015). Effect of environmental accounting on financial performance of corporate firms listed on the Nairobi Securities Exchange. </w:t>
      </w:r>
      <w:r w:rsidRPr="001D2B6B">
        <w:rPr>
          <w:rFonts w:ascii="Times New Roman" w:hAnsi="Times New Roman"/>
          <w:i/>
          <w:iCs/>
          <w:sz w:val="24"/>
          <w:szCs w:val="24"/>
        </w:rPr>
        <w:t>International Journal of Business and Management Invention, 4</w:t>
      </w:r>
      <w:r w:rsidRPr="001D2B6B">
        <w:rPr>
          <w:rFonts w:ascii="Times New Roman" w:hAnsi="Times New Roman"/>
          <w:sz w:val="24"/>
          <w:szCs w:val="24"/>
        </w:rPr>
        <w:t>(10), 1–13.</w:t>
      </w:r>
    </w:p>
    <w:p w14:paraId="18CDBE0E"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lastRenderedPageBreak/>
        <w:t xml:space="preserve">Makori, D. M., &amp; </w:t>
      </w:r>
      <w:proofErr w:type="spellStart"/>
      <w:r w:rsidRPr="001D2B6B">
        <w:rPr>
          <w:rFonts w:ascii="Times New Roman" w:hAnsi="Times New Roman"/>
          <w:sz w:val="24"/>
          <w:szCs w:val="24"/>
        </w:rPr>
        <w:t>Jagongo</w:t>
      </w:r>
      <w:proofErr w:type="spellEnd"/>
      <w:r w:rsidRPr="001D2B6B">
        <w:rPr>
          <w:rFonts w:ascii="Times New Roman" w:hAnsi="Times New Roman"/>
          <w:sz w:val="24"/>
          <w:szCs w:val="24"/>
        </w:rPr>
        <w:t xml:space="preserve">, A. (2013). Environmental accounting and firm profitability: An empirical analysis of selected firms listed in Bombay Stock Exchange, India. </w:t>
      </w:r>
      <w:r w:rsidRPr="001D2B6B">
        <w:rPr>
          <w:rFonts w:ascii="Times New Roman" w:hAnsi="Times New Roman"/>
          <w:i/>
          <w:iCs/>
          <w:sz w:val="24"/>
          <w:szCs w:val="24"/>
        </w:rPr>
        <w:t>International Journal of Humanities and Social Science, 3</w:t>
      </w:r>
      <w:r w:rsidRPr="001D2B6B">
        <w:rPr>
          <w:rFonts w:ascii="Times New Roman" w:hAnsi="Times New Roman"/>
          <w:sz w:val="24"/>
          <w:szCs w:val="24"/>
        </w:rPr>
        <w:t>(18), 248–256.</w:t>
      </w:r>
    </w:p>
    <w:p w14:paraId="2800EE83"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Momanyi, E. (2018). Waste management costs and profitability in Kenyan manufacturing sector. </w:t>
      </w:r>
      <w:r w:rsidRPr="001D2B6B">
        <w:rPr>
          <w:rFonts w:ascii="Times New Roman" w:hAnsi="Times New Roman"/>
          <w:i/>
          <w:iCs/>
          <w:sz w:val="24"/>
          <w:szCs w:val="24"/>
        </w:rPr>
        <w:t>Journal of Business Studies, 4</w:t>
      </w:r>
      <w:r w:rsidRPr="001D2B6B">
        <w:rPr>
          <w:rFonts w:ascii="Times New Roman" w:hAnsi="Times New Roman"/>
          <w:sz w:val="24"/>
          <w:szCs w:val="24"/>
        </w:rPr>
        <w:t>(2), 12–24.</w:t>
      </w:r>
    </w:p>
    <w:p w14:paraId="46CADFBF"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Nnamani, J. N., </w:t>
      </w:r>
      <w:proofErr w:type="spellStart"/>
      <w:r w:rsidRPr="001D2B6B">
        <w:rPr>
          <w:rFonts w:ascii="Times New Roman" w:hAnsi="Times New Roman"/>
          <w:sz w:val="24"/>
          <w:szCs w:val="24"/>
        </w:rPr>
        <w:t>Onyekwelu</w:t>
      </w:r>
      <w:proofErr w:type="spellEnd"/>
      <w:r w:rsidRPr="001D2B6B">
        <w:rPr>
          <w:rFonts w:ascii="Times New Roman" w:hAnsi="Times New Roman"/>
          <w:sz w:val="24"/>
          <w:szCs w:val="24"/>
        </w:rPr>
        <w:t xml:space="preserve">, U. L., &amp; Ugwu, O. K. (2017). Effect of sustainability accounting and reporting on financial performance of firms in Nigeria brewery sector. </w:t>
      </w:r>
      <w:r w:rsidRPr="001D2B6B">
        <w:rPr>
          <w:rFonts w:ascii="Times New Roman" w:hAnsi="Times New Roman"/>
          <w:i/>
          <w:iCs/>
          <w:sz w:val="24"/>
          <w:szCs w:val="24"/>
        </w:rPr>
        <w:t>European Journal of Business and Innovation Research, 5</w:t>
      </w:r>
      <w:r w:rsidRPr="001D2B6B">
        <w:rPr>
          <w:rFonts w:ascii="Times New Roman" w:hAnsi="Times New Roman"/>
          <w:sz w:val="24"/>
          <w:szCs w:val="24"/>
        </w:rPr>
        <w:t>(1), 1–15.</w:t>
      </w:r>
    </w:p>
    <w:p w14:paraId="6FF67927" w14:textId="77777777" w:rsidR="00D101CE" w:rsidRPr="001D2B6B" w:rsidRDefault="00D101CE" w:rsidP="00D101CE">
      <w:pPr>
        <w:spacing w:after="160" w:line="240" w:lineRule="auto"/>
        <w:ind w:left="900" w:hanging="900"/>
        <w:jc w:val="both"/>
        <w:rPr>
          <w:rFonts w:ascii="Times New Roman" w:hAnsi="Times New Roman"/>
          <w:sz w:val="24"/>
          <w:szCs w:val="24"/>
        </w:rPr>
      </w:pPr>
      <w:proofErr w:type="spellStart"/>
      <w:r w:rsidRPr="001D2B6B">
        <w:rPr>
          <w:rFonts w:ascii="Times New Roman" w:hAnsi="Times New Roman"/>
          <w:sz w:val="24"/>
          <w:szCs w:val="24"/>
        </w:rPr>
        <w:t>Norhasimah</w:t>
      </w:r>
      <w:proofErr w:type="spellEnd"/>
      <w:r w:rsidRPr="001D2B6B">
        <w:rPr>
          <w:rFonts w:ascii="Times New Roman" w:hAnsi="Times New Roman"/>
          <w:sz w:val="24"/>
          <w:szCs w:val="24"/>
        </w:rPr>
        <w:t xml:space="preserve">, M. N., </w:t>
      </w:r>
      <w:proofErr w:type="spellStart"/>
      <w:r w:rsidRPr="001D2B6B">
        <w:rPr>
          <w:rFonts w:ascii="Times New Roman" w:hAnsi="Times New Roman"/>
          <w:sz w:val="24"/>
          <w:szCs w:val="24"/>
        </w:rPr>
        <w:t>Norhabibi</w:t>
      </w:r>
      <w:proofErr w:type="spellEnd"/>
      <w:r w:rsidRPr="001D2B6B">
        <w:rPr>
          <w:rFonts w:ascii="Times New Roman" w:hAnsi="Times New Roman"/>
          <w:sz w:val="24"/>
          <w:szCs w:val="24"/>
        </w:rPr>
        <w:t xml:space="preserve">, A. S., Nor-Azza, M. Z., &amp; Norsyakilah, R. (2016). The relationship between environmental disclosure and financial performance in Malaysia. </w:t>
      </w:r>
      <w:r w:rsidRPr="001D2B6B">
        <w:rPr>
          <w:rFonts w:ascii="Times New Roman" w:hAnsi="Times New Roman"/>
          <w:i/>
          <w:iCs/>
          <w:sz w:val="24"/>
          <w:szCs w:val="24"/>
        </w:rPr>
        <w:t>Procedia Economics and Finance, 35</w:t>
      </w:r>
      <w:r w:rsidRPr="001D2B6B">
        <w:rPr>
          <w:rFonts w:ascii="Times New Roman" w:hAnsi="Times New Roman"/>
          <w:sz w:val="24"/>
          <w:szCs w:val="24"/>
        </w:rPr>
        <w:t>, 117–124.</w:t>
      </w:r>
    </w:p>
    <w:p w14:paraId="5D92B40B" w14:textId="77777777" w:rsidR="00D101CE" w:rsidRPr="001D2B6B" w:rsidRDefault="00D101CE" w:rsidP="00D101CE">
      <w:pPr>
        <w:spacing w:after="160" w:line="240" w:lineRule="auto"/>
        <w:ind w:left="900" w:hanging="900"/>
        <w:jc w:val="both"/>
        <w:rPr>
          <w:rFonts w:ascii="Times New Roman" w:hAnsi="Times New Roman"/>
          <w:sz w:val="24"/>
          <w:szCs w:val="24"/>
        </w:rPr>
      </w:pPr>
      <w:proofErr w:type="spellStart"/>
      <w:r w:rsidRPr="001D2B6B">
        <w:rPr>
          <w:rFonts w:ascii="Times New Roman" w:hAnsi="Times New Roman"/>
          <w:sz w:val="24"/>
          <w:szCs w:val="24"/>
        </w:rPr>
        <w:t>Ofurum</w:t>
      </w:r>
      <w:proofErr w:type="spellEnd"/>
      <w:r w:rsidRPr="001D2B6B">
        <w:rPr>
          <w:rFonts w:ascii="Times New Roman" w:hAnsi="Times New Roman"/>
          <w:sz w:val="24"/>
          <w:szCs w:val="24"/>
        </w:rPr>
        <w:t xml:space="preserve">, C. O., </w:t>
      </w:r>
      <w:proofErr w:type="spellStart"/>
      <w:r w:rsidRPr="001D2B6B">
        <w:rPr>
          <w:rFonts w:ascii="Times New Roman" w:hAnsi="Times New Roman"/>
          <w:sz w:val="24"/>
          <w:szCs w:val="24"/>
        </w:rPr>
        <w:t>Afodigbueokwu</w:t>
      </w:r>
      <w:proofErr w:type="spellEnd"/>
      <w:r w:rsidRPr="001D2B6B">
        <w:rPr>
          <w:rFonts w:ascii="Times New Roman" w:hAnsi="Times New Roman"/>
          <w:sz w:val="24"/>
          <w:szCs w:val="24"/>
        </w:rPr>
        <w:t xml:space="preserve">, H. E., &amp; Lynda, A. (2018). Corporate social responsibility and financial performance of quoted companies in Nigeria. </w:t>
      </w:r>
      <w:r w:rsidRPr="001D2B6B">
        <w:rPr>
          <w:rFonts w:ascii="Times New Roman" w:hAnsi="Times New Roman"/>
          <w:i/>
          <w:iCs/>
          <w:sz w:val="24"/>
          <w:szCs w:val="24"/>
        </w:rPr>
        <w:t>Research Journal of Finance and Accounting, 9</w:t>
      </w:r>
      <w:r w:rsidRPr="001D2B6B">
        <w:rPr>
          <w:rFonts w:ascii="Times New Roman" w:hAnsi="Times New Roman"/>
          <w:sz w:val="24"/>
          <w:szCs w:val="24"/>
        </w:rPr>
        <w:t>(10), 73–82.</w:t>
      </w:r>
    </w:p>
    <w:p w14:paraId="6011F2F8"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Ojo, O. (2017). Environmental accounting and performance of listed companies in Nigeria. </w:t>
      </w:r>
      <w:r w:rsidRPr="001D2B6B">
        <w:rPr>
          <w:rFonts w:ascii="Times New Roman" w:hAnsi="Times New Roman"/>
          <w:i/>
          <w:iCs/>
          <w:sz w:val="24"/>
          <w:szCs w:val="24"/>
        </w:rPr>
        <w:t>Journal of Economics and Sustainable Development, 8</w:t>
      </w:r>
      <w:r w:rsidRPr="001D2B6B">
        <w:rPr>
          <w:rFonts w:ascii="Times New Roman" w:hAnsi="Times New Roman"/>
          <w:sz w:val="24"/>
          <w:szCs w:val="24"/>
        </w:rPr>
        <w:t>(14), 10–18.</w:t>
      </w:r>
    </w:p>
    <w:p w14:paraId="2BA3004B"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Okafor, T. G., &amp; </w:t>
      </w:r>
      <w:proofErr w:type="spellStart"/>
      <w:r w:rsidRPr="001D2B6B">
        <w:rPr>
          <w:rFonts w:ascii="Times New Roman" w:hAnsi="Times New Roman"/>
          <w:sz w:val="24"/>
          <w:szCs w:val="24"/>
        </w:rPr>
        <w:t>Amahalu</w:t>
      </w:r>
      <w:proofErr w:type="spellEnd"/>
      <w:r w:rsidRPr="001D2B6B">
        <w:rPr>
          <w:rFonts w:ascii="Times New Roman" w:hAnsi="Times New Roman"/>
          <w:sz w:val="24"/>
          <w:szCs w:val="24"/>
        </w:rPr>
        <w:t xml:space="preserve">, N. N. (2023). Environmental accounting and regulatory compliance in the Nigerian oil sector. </w:t>
      </w:r>
      <w:r w:rsidRPr="001D2B6B">
        <w:rPr>
          <w:rFonts w:ascii="Times New Roman" w:hAnsi="Times New Roman"/>
          <w:i/>
          <w:iCs/>
          <w:sz w:val="24"/>
          <w:szCs w:val="24"/>
        </w:rPr>
        <w:t>Journal of Accounting and Taxation, 13</w:t>
      </w:r>
      <w:r w:rsidRPr="001D2B6B">
        <w:rPr>
          <w:rFonts w:ascii="Times New Roman" w:hAnsi="Times New Roman"/>
          <w:sz w:val="24"/>
          <w:szCs w:val="24"/>
        </w:rPr>
        <w:t>(2), 55–67.</w:t>
      </w:r>
    </w:p>
    <w:p w14:paraId="274EFBD0"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Okonkwo, O. (2021). Pollution prevention costs and corporate profitability in Nigeria. </w:t>
      </w:r>
      <w:r w:rsidRPr="001D2B6B">
        <w:rPr>
          <w:rFonts w:ascii="Times New Roman" w:hAnsi="Times New Roman"/>
          <w:i/>
          <w:iCs/>
          <w:sz w:val="24"/>
          <w:szCs w:val="24"/>
        </w:rPr>
        <w:t>Nigerian Journal of Management Sciences, 22</w:t>
      </w:r>
      <w:r w:rsidRPr="001D2B6B">
        <w:rPr>
          <w:rFonts w:ascii="Times New Roman" w:hAnsi="Times New Roman"/>
          <w:sz w:val="24"/>
          <w:szCs w:val="24"/>
        </w:rPr>
        <w:t>(1), 34–49.</w:t>
      </w:r>
    </w:p>
    <w:p w14:paraId="1C1F27BE"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Okoye, A. E., &amp; </w:t>
      </w:r>
      <w:proofErr w:type="spellStart"/>
      <w:r w:rsidRPr="001D2B6B">
        <w:rPr>
          <w:rFonts w:ascii="Times New Roman" w:hAnsi="Times New Roman"/>
          <w:sz w:val="24"/>
          <w:szCs w:val="24"/>
        </w:rPr>
        <w:t>Nzewi</w:t>
      </w:r>
      <w:proofErr w:type="spellEnd"/>
      <w:r w:rsidRPr="001D2B6B">
        <w:rPr>
          <w:rFonts w:ascii="Times New Roman" w:hAnsi="Times New Roman"/>
          <w:sz w:val="24"/>
          <w:szCs w:val="24"/>
        </w:rPr>
        <w:t xml:space="preserve">, U. C. (2019). Environmental accounting and profitability of selected quoted oil and gas companies in Nigeria. </w:t>
      </w:r>
      <w:r w:rsidRPr="001D2B6B">
        <w:rPr>
          <w:rFonts w:ascii="Times New Roman" w:hAnsi="Times New Roman"/>
          <w:i/>
          <w:iCs/>
          <w:sz w:val="24"/>
          <w:szCs w:val="24"/>
        </w:rPr>
        <w:t>Journal of Accounting and Financial Management, 5</w:t>
      </w:r>
      <w:r w:rsidRPr="001D2B6B">
        <w:rPr>
          <w:rFonts w:ascii="Times New Roman" w:hAnsi="Times New Roman"/>
          <w:sz w:val="24"/>
          <w:szCs w:val="24"/>
        </w:rPr>
        <w:t>(3), 34–48.</w:t>
      </w:r>
    </w:p>
    <w:p w14:paraId="72445AF1"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Organization of the Petroleum Exporting Countries. (2023). </w:t>
      </w:r>
      <w:r w:rsidRPr="001D2B6B">
        <w:rPr>
          <w:rFonts w:ascii="Times New Roman" w:hAnsi="Times New Roman"/>
          <w:i/>
          <w:iCs/>
          <w:sz w:val="24"/>
          <w:szCs w:val="24"/>
        </w:rPr>
        <w:t>Annual statistical bulletin</w:t>
      </w:r>
      <w:r w:rsidRPr="001D2B6B">
        <w:rPr>
          <w:rFonts w:ascii="Times New Roman" w:hAnsi="Times New Roman"/>
          <w:sz w:val="24"/>
          <w:szCs w:val="24"/>
        </w:rPr>
        <w:t>. OPEC Secretariat.</w:t>
      </w:r>
    </w:p>
    <w:p w14:paraId="4361D53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Parmigiani, A., Klassen, R. D., &amp; Russo, M. V. (2011). Efficiency meets accountability: Performance implications of supply chain configuration, control, and capabilities. </w:t>
      </w:r>
      <w:r w:rsidRPr="001D2B6B">
        <w:rPr>
          <w:rFonts w:ascii="Times New Roman" w:hAnsi="Times New Roman"/>
          <w:i/>
          <w:iCs/>
          <w:sz w:val="24"/>
          <w:szCs w:val="24"/>
        </w:rPr>
        <w:t>Journal of Operations Management, 29</w:t>
      </w:r>
      <w:r w:rsidRPr="001D2B6B">
        <w:rPr>
          <w:rFonts w:ascii="Times New Roman" w:hAnsi="Times New Roman"/>
          <w:sz w:val="24"/>
          <w:szCs w:val="24"/>
        </w:rPr>
        <w:t>(3), 212–223.</w:t>
      </w:r>
    </w:p>
    <w:p w14:paraId="1B3DC75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Suchman, M. C. (1995). Managing legitimacy: Strategic and institutional approaches. </w:t>
      </w:r>
      <w:r w:rsidRPr="001D2B6B">
        <w:rPr>
          <w:rFonts w:ascii="Times New Roman" w:hAnsi="Times New Roman"/>
          <w:i/>
          <w:iCs/>
          <w:sz w:val="24"/>
          <w:szCs w:val="24"/>
        </w:rPr>
        <w:t>Academy of Management Review, 20</w:t>
      </w:r>
      <w:r w:rsidRPr="001D2B6B">
        <w:rPr>
          <w:rFonts w:ascii="Times New Roman" w:hAnsi="Times New Roman"/>
          <w:sz w:val="24"/>
          <w:szCs w:val="24"/>
        </w:rPr>
        <w:t>(3), 571–610.</w:t>
      </w:r>
    </w:p>
    <w:p w14:paraId="2C155A6E" w14:textId="77777777" w:rsidR="00D101CE" w:rsidRPr="001D2B6B" w:rsidRDefault="00D101CE" w:rsidP="00D101CE">
      <w:pPr>
        <w:spacing w:after="160" w:line="240" w:lineRule="auto"/>
        <w:ind w:left="900" w:hanging="900"/>
        <w:jc w:val="both"/>
        <w:rPr>
          <w:rFonts w:ascii="Times New Roman" w:hAnsi="Times New Roman"/>
          <w:sz w:val="24"/>
          <w:szCs w:val="24"/>
        </w:rPr>
      </w:pPr>
      <w:proofErr w:type="spellStart"/>
      <w:r w:rsidRPr="001D2B6B">
        <w:rPr>
          <w:rFonts w:ascii="Times New Roman" w:hAnsi="Times New Roman"/>
          <w:sz w:val="24"/>
          <w:szCs w:val="24"/>
        </w:rPr>
        <w:t>Uadiale</w:t>
      </w:r>
      <w:proofErr w:type="spellEnd"/>
      <w:r w:rsidRPr="001D2B6B">
        <w:rPr>
          <w:rFonts w:ascii="Times New Roman" w:hAnsi="Times New Roman"/>
          <w:sz w:val="24"/>
          <w:szCs w:val="24"/>
        </w:rPr>
        <w:t xml:space="preserve">, O. M., &amp; </w:t>
      </w:r>
      <w:proofErr w:type="spellStart"/>
      <w:r w:rsidRPr="001D2B6B">
        <w:rPr>
          <w:rFonts w:ascii="Times New Roman" w:hAnsi="Times New Roman"/>
          <w:sz w:val="24"/>
          <w:szCs w:val="24"/>
        </w:rPr>
        <w:t>Mgbame</w:t>
      </w:r>
      <w:proofErr w:type="spellEnd"/>
      <w:r w:rsidRPr="001D2B6B">
        <w:rPr>
          <w:rFonts w:ascii="Times New Roman" w:hAnsi="Times New Roman"/>
          <w:sz w:val="24"/>
          <w:szCs w:val="24"/>
        </w:rPr>
        <w:t xml:space="preserve">, C. O. (2012). Impact of corporate social responsibility on financial performance: Evidence from the Nigerian listed firms. </w:t>
      </w:r>
      <w:r w:rsidRPr="001D2B6B">
        <w:rPr>
          <w:rFonts w:ascii="Times New Roman" w:hAnsi="Times New Roman"/>
          <w:i/>
          <w:iCs/>
          <w:sz w:val="24"/>
          <w:szCs w:val="24"/>
        </w:rPr>
        <w:t>International Journal of Research in Commerce, IT &amp; Management, 2</w:t>
      </w:r>
      <w:r w:rsidRPr="001D2B6B">
        <w:rPr>
          <w:rFonts w:ascii="Times New Roman" w:hAnsi="Times New Roman"/>
          <w:sz w:val="24"/>
          <w:szCs w:val="24"/>
        </w:rPr>
        <w:t>(1), 101–106.</w:t>
      </w:r>
    </w:p>
    <w:p w14:paraId="4A3AF12C"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United Nations Division for Sustainable Development. (2001). </w:t>
      </w:r>
      <w:r w:rsidRPr="001D2B6B">
        <w:rPr>
          <w:rFonts w:ascii="Times New Roman" w:hAnsi="Times New Roman"/>
          <w:i/>
          <w:iCs/>
          <w:sz w:val="24"/>
          <w:szCs w:val="24"/>
        </w:rPr>
        <w:t>Environmental management accounting: Procedures and principles</w:t>
      </w:r>
      <w:r w:rsidRPr="001D2B6B">
        <w:rPr>
          <w:rFonts w:ascii="Times New Roman" w:hAnsi="Times New Roman"/>
          <w:sz w:val="24"/>
          <w:szCs w:val="24"/>
        </w:rPr>
        <w:t>. United Nations.</w:t>
      </w:r>
    </w:p>
    <w:p w14:paraId="5242FC33"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lastRenderedPageBreak/>
        <w:t xml:space="preserve">Utile, B. J., Tarbo, D., &amp; Ikya, E. (2017). Corporate environmental reporting and the financial performance of listed manufacturing firms in Nigeria. </w:t>
      </w:r>
      <w:r w:rsidRPr="001D2B6B">
        <w:rPr>
          <w:rFonts w:ascii="Times New Roman" w:hAnsi="Times New Roman"/>
          <w:i/>
          <w:iCs/>
          <w:sz w:val="24"/>
          <w:szCs w:val="24"/>
        </w:rPr>
        <w:t>International Journal of Advanced Academic Research, 3</w:t>
      </w:r>
      <w:r w:rsidRPr="001D2B6B">
        <w:rPr>
          <w:rFonts w:ascii="Times New Roman" w:hAnsi="Times New Roman"/>
          <w:sz w:val="24"/>
          <w:szCs w:val="24"/>
        </w:rPr>
        <w:t>(1), 15–25.</w:t>
      </w:r>
    </w:p>
    <w:p w14:paraId="6ED21AD9" w14:textId="77777777" w:rsidR="00D101CE" w:rsidRPr="001D2B6B" w:rsidRDefault="00D101CE" w:rsidP="00D101CE">
      <w:pPr>
        <w:spacing w:after="160" w:line="240" w:lineRule="auto"/>
        <w:ind w:left="900" w:hanging="900"/>
        <w:jc w:val="both"/>
        <w:rPr>
          <w:rFonts w:ascii="Times New Roman" w:hAnsi="Times New Roman"/>
          <w:sz w:val="24"/>
          <w:szCs w:val="24"/>
        </w:rPr>
      </w:pPr>
      <w:r w:rsidRPr="001D2B6B">
        <w:rPr>
          <w:rFonts w:ascii="Times New Roman" w:hAnsi="Times New Roman"/>
          <w:sz w:val="24"/>
          <w:szCs w:val="24"/>
        </w:rPr>
        <w:t xml:space="preserve">Walley, N., &amp; Whitehead, B. (1994). It’s not easy being green. </w:t>
      </w:r>
      <w:r w:rsidRPr="001D2B6B">
        <w:rPr>
          <w:rFonts w:ascii="Times New Roman" w:hAnsi="Times New Roman"/>
          <w:i/>
          <w:iCs/>
          <w:sz w:val="24"/>
          <w:szCs w:val="24"/>
        </w:rPr>
        <w:t>Harvard Business Review, 72</w:t>
      </w:r>
      <w:r w:rsidRPr="001D2B6B">
        <w:rPr>
          <w:rFonts w:ascii="Times New Roman" w:hAnsi="Times New Roman"/>
          <w:sz w:val="24"/>
          <w:szCs w:val="24"/>
        </w:rPr>
        <w:t>(3), 46–52.</w:t>
      </w:r>
    </w:p>
    <w:p w14:paraId="643B7F95" w14:textId="77777777" w:rsidR="00C42D88" w:rsidRPr="001C5B16" w:rsidRDefault="00C42D88">
      <w:pPr>
        <w:rPr>
          <w:rFonts w:ascii="Times New Roman" w:hAnsi="Times New Roman"/>
          <w:sz w:val="24"/>
          <w:szCs w:val="24"/>
        </w:rPr>
        <w:sectPr w:rsidR="00C42D88" w:rsidRPr="001C5B16">
          <w:headerReference w:type="default" r:id="rId47"/>
          <w:pgSz w:w="12240" w:h="15840"/>
          <w:pgMar w:top="1440" w:right="1440" w:bottom="1440" w:left="1440" w:header="720" w:footer="720" w:gutter="0"/>
          <w:cols w:space="720"/>
          <w:docGrid w:linePitch="360"/>
        </w:sectPr>
      </w:pPr>
    </w:p>
    <w:p w14:paraId="599A71A3" w14:textId="77777777" w:rsidR="00C42D88" w:rsidRPr="001C5B16" w:rsidRDefault="00123B0E">
      <w:pPr>
        <w:jc w:val="center"/>
        <w:rPr>
          <w:rFonts w:ascii="Times New Roman" w:hAnsi="Times New Roman"/>
          <w:sz w:val="24"/>
          <w:szCs w:val="24"/>
        </w:rPr>
      </w:pPr>
      <w:r w:rsidRPr="001C5B16">
        <w:rPr>
          <w:rFonts w:ascii="Times New Roman" w:hAnsi="Times New Roman"/>
          <w:b/>
          <w:sz w:val="24"/>
          <w:szCs w:val="24"/>
        </w:rPr>
        <w:lastRenderedPageBreak/>
        <w:t>APPENDIX I</w:t>
      </w:r>
      <w:r w:rsidRPr="001C5B16">
        <w:rPr>
          <w:rFonts w:ascii="Times New Roman" w:hAnsi="Times New Roman"/>
          <w:b/>
          <w:sz w:val="24"/>
          <w:szCs w:val="24"/>
        </w:rPr>
        <w:br/>
        <w:t>RAW FINANCIAL DATA OF SAMPLED FIRMS (2014 - 2025)</w:t>
      </w:r>
    </w:p>
    <w:tbl>
      <w:tblPr>
        <w:tblStyle w:val="TableGrid"/>
        <w:tblW w:w="0" w:type="auto"/>
        <w:tblLook w:val="04A0" w:firstRow="1" w:lastRow="0" w:firstColumn="1" w:lastColumn="0" w:noHBand="0" w:noVBand="1"/>
      </w:tblPr>
      <w:tblGrid>
        <w:gridCol w:w="1564"/>
        <w:gridCol w:w="1494"/>
        <w:gridCol w:w="1512"/>
        <w:gridCol w:w="1525"/>
        <w:gridCol w:w="1525"/>
        <w:gridCol w:w="1507"/>
        <w:gridCol w:w="1507"/>
        <w:gridCol w:w="1596"/>
      </w:tblGrid>
      <w:tr w:rsidR="00C42D88" w:rsidRPr="001C5B16" w14:paraId="4BFC597B" w14:textId="77777777">
        <w:tc>
          <w:tcPr>
            <w:tcW w:w="1530" w:type="dxa"/>
          </w:tcPr>
          <w:p w14:paraId="1506536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Company</w:t>
            </w:r>
          </w:p>
        </w:tc>
        <w:tc>
          <w:tcPr>
            <w:tcW w:w="1530" w:type="dxa"/>
          </w:tcPr>
          <w:p w14:paraId="2EB98F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Year</w:t>
            </w:r>
          </w:p>
        </w:tc>
        <w:tc>
          <w:tcPr>
            <w:tcW w:w="1530" w:type="dxa"/>
          </w:tcPr>
          <w:p w14:paraId="1FD328D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Currency</w:t>
            </w:r>
          </w:p>
        </w:tc>
        <w:tc>
          <w:tcPr>
            <w:tcW w:w="1530" w:type="dxa"/>
          </w:tcPr>
          <w:p w14:paraId="02D2FE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PAT</w:t>
            </w:r>
          </w:p>
        </w:tc>
        <w:tc>
          <w:tcPr>
            <w:tcW w:w="1530" w:type="dxa"/>
          </w:tcPr>
          <w:p w14:paraId="7368FDC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ERC</w:t>
            </w:r>
          </w:p>
        </w:tc>
        <w:tc>
          <w:tcPr>
            <w:tcW w:w="1530" w:type="dxa"/>
          </w:tcPr>
          <w:p w14:paraId="1DDDB3D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CDC</w:t>
            </w:r>
          </w:p>
        </w:tc>
        <w:tc>
          <w:tcPr>
            <w:tcW w:w="1530" w:type="dxa"/>
          </w:tcPr>
          <w:p w14:paraId="5D47F33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WMC</w:t>
            </w:r>
          </w:p>
        </w:tc>
        <w:tc>
          <w:tcPr>
            <w:tcW w:w="1530" w:type="dxa"/>
          </w:tcPr>
          <w:p w14:paraId="2C4AC88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 Assets</w:t>
            </w:r>
          </w:p>
        </w:tc>
      </w:tr>
      <w:tr w:rsidR="00C42D88" w:rsidRPr="001C5B16" w14:paraId="2AA59E73" w14:textId="77777777">
        <w:tc>
          <w:tcPr>
            <w:tcW w:w="1530" w:type="dxa"/>
          </w:tcPr>
          <w:p w14:paraId="2B01AD7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7A6933C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30F543C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C36BA8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6,392,790</w:t>
            </w:r>
          </w:p>
        </w:tc>
        <w:tc>
          <w:tcPr>
            <w:tcW w:w="1530" w:type="dxa"/>
          </w:tcPr>
          <w:p w14:paraId="6A9FC46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0E3FB0E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3C72CBA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AFB02C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20,654,078</w:t>
            </w:r>
          </w:p>
        </w:tc>
      </w:tr>
      <w:tr w:rsidR="00C42D88" w:rsidRPr="001C5B16" w14:paraId="11D4C450" w14:textId="77777777">
        <w:tc>
          <w:tcPr>
            <w:tcW w:w="1530" w:type="dxa"/>
          </w:tcPr>
          <w:p w14:paraId="2EBC70A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0E3B80F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1BCEDDE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A2358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4,872,929</w:t>
            </w:r>
          </w:p>
        </w:tc>
        <w:tc>
          <w:tcPr>
            <w:tcW w:w="1530" w:type="dxa"/>
          </w:tcPr>
          <w:p w14:paraId="68F6F8D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65B445F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FEBE42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79B749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7C1EFE21" w14:textId="77777777">
        <w:tc>
          <w:tcPr>
            <w:tcW w:w="1530" w:type="dxa"/>
          </w:tcPr>
          <w:p w14:paraId="2A7BE36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6DD035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67AAAAD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969CF6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8,883,749</w:t>
            </w:r>
          </w:p>
        </w:tc>
        <w:tc>
          <w:tcPr>
            <w:tcW w:w="1530" w:type="dxa"/>
          </w:tcPr>
          <w:p w14:paraId="0B468A9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2C3EC8F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FAFD7C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7F70F9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91,199,284</w:t>
            </w:r>
          </w:p>
        </w:tc>
      </w:tr>
      <w:tr w:rsidR="00C42D88" w:rsidRPr="001C5B16" w14:paraId="20C324D8" w14:textId="77777777">
        <w:tc>
          <w:tcPr>
            <w:tcW w:w="1530" w:type="dxa"/>
          </w:tcPr>
          <w:p w14:paraId="4C08411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73B692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3E14D1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FA5B89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2,944,186</w:t>
            </w:r>
          </w:p>
        </w:tc>
        <w:tc>
          <w:tcPr>
            <w:tcW w:w="1530" w:type="dxa"/>
          </w:tcPr>
          <w:p w14:paraId="53A862C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7DE192C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1C7CD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928795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92,759,788</w:t>
            </w:r>
          </w:p>
        </w:tc>
      </w:tr>
      <w:tr w:rsidR="00C42D88" w:rsidRPr="001C5B16" w14:paraId="6085508E" w14:textId="77777777">
        <w:tc>
          <w:tcPr>
            <w:tcW w:w="1530" w:type="dxa"/>
          </w:tcPr>
          <w:p w14:paraId="7969353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542BEC3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341163B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A2BB2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6,080,710</w:t>
            </w:r>
          </w:p>
        </w:tc>
        <w:tc>
          <w:tcPr>
            <w:tcW w:w="1530" w:type="dxa"/>
          </w:tcPr>
          <w:p w14:paraId="19691A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7023BF5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6712B2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E904A7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123,229,651</w:t>
            </w:r>
          </w:p>
        </w:tc>
      </w:tr>
      <w:tr w:rsidR="00C42D88" w:rsidRPr="001C5B16" w14:paraId="452CD1EF" w14:textId="77777777">
        <w:tc>
          <w:tcPr>
            <w:tcW w:w="1530" w:type="dxa"/>
          </w:tcPr>
          <w:p w14:paraId="7570408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6E699A2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644B625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B09A3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18,260,000</w:t>
            </w:r>
          </w:p>
        </w:tc>
        <w:tc>
          <w:tcPr>
            <w:tcW w:w="1530" w:type="dxa"/>
          </w:tcPr>
          <w:p w14:paraId="7BDC541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4E92F7E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73D5B5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7E7080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26E9195A" w14:textId="77777777">
        <w:tc>
          <w:tcPr>
            <w:tcW w:w="1530" w:type="dxa"/>
          </w:tcPr>
          <w:p w14:paraId="637E974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0A7EC7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3CA811E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6C370E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26,557,769</w:t>
            </w:r>
          </w:p>
        </w:tc>
        <w:tc>
          <w:tcPr>
            <w:tcW w:w="1530" w:type="dxa"/>
          </w:tcPr>
          <w:p w14:paraId="62CF51A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467BE6D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31,621</w:t>
            </w:r>
          </w:p>
        </w:tc>
        <w:tc>
          <w:tcPr>
            <w:tcW w:w="1530" w:type="dxa"/>
          </w:tcPr>
          <w:p w14:paraId="1A5437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BD1B3B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220,019,021</w:t>
            </w:r>
          </w:p>
        </w:tc>
      </w:tr>
      <w:tr w:rsidR="00C42D88" w:rsidRPr="001C5B16" w14:paraId="186AB869" w14:textId="77777777">
        <w:tc>
          <w:tcPr>
            <w:tcW w:w="1530" w:type="dxa"/>
          </w:tcPr>
          <w:p w14:paraId="577E544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2475208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3C6DE65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F2A3E6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18,644,985</w:t>
            </w:r>
          </w:p>
        </w:tc>
        <w:tc>
          <w:tcPr>
            <w:tcW w:w="1530" w:type="dxa"/>
          </w:tcPr>
          <w:p w14:paraId="72A96C2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68A719D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103,500</w:t>
            </w:r>
          </w:p>
        </w:tc>
        <w:tc>
          <w:tcPr>
            <w:tcW w:w="1530" w:type="dxa"/>
          </w:tcPr>
          <w:p w14:paraId="6D9728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B02E07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302,826,807</w:t>
            </w:r>
          </w:p>
        </w:tc>
      </w:tr>
      <w:tr w:rsidR="00C42D88" w:rsidRPr="001C5B16" w14:paraId="188982E5" w14:textId="77777777">
        <w:tc>
          <w:tcPr>
            <w:tcW w:w="1530" w:type="dxa"/>
          </w:tcPr>
          <w:p w14:paraId="513152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 Plc</w:t>
            </w:r>
          </w:p>
        </w:tc>
        <w:tc>
          <w:tcPr>
            <w:tcW w:w="1530" w:type="dxa"/>
          </w:tcPr>
          <w:p w14:paraId="6C477CE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0D8FA13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A28285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27,509,679</w:t>
            </w:r>
          </w:p>
        </w:tc>
        <w:tc>
          <w:tcPr>
            <w:tcW w:w="1530" w:type="dxa"/>
          </w:tcPr>
          <w:p w14:paraId="519FC93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79F77E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120,574</w:t>
            </w:r>
          </w:p>
        </w:tc>
        <w:tc>
          <w:tcPr>
            <w:tcW w:w="1530" w:type="dxa"/>
          </w:tcPr>
          <w:p w14:paraId="26AC8E1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D41DD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325,065,220</w:t>
            </w:r>
          </w:p>
        </w:tc>
      </w:tr>
      <w:tr w:rsidR="00C42D88" w:rsidRPr="001C5B16" w14:paraId="26994863" w14:textId="77777777">
        <w:tc>
          <w:tcPr>
            <w:tcW w:w="1530" w:type="dxa"/>
          </w:tcPr>
          <w:p w14:paraId="6E6F511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3F8717F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3CAFC13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D951ED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12,185,214</w:t>
            </w:r>
          </w:p>
        </w:tc>
        <w:tc>
          <w:tcPr>
            <w:tcW w:w="1530" w:type="dxa"/>
          </w:tcPr>
          <w:p w14:paraId="1CCC3A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1,670,187</w:t>
            </w:r>
          </w:p>
        </w:tc>
        <w:tc>
          <w:tcPr>
            <w:tcW w:w="1530" w:type="dxa"/>
          </w:tcPr>
          <w:p w14:paraId="61DCD84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228,975</w:t>
            </w:r>
          </w:p>
        </w:tc>
        <w:tc>
          <w:tcPr>
            <w:tcW w:w="1530" w:type="dxa"/>
          </w:tcPr>
          <w:p w14:paraId="7062BCF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6F741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58,243,413</w:t>
            </w:r>
          </w:p>
        </w:tc>
      </w:tr>
      <w:tr w:rsidR="00C42D88" w:rsidRPr="001C5B16" w14:paraId="7019C2A6" w14:textId="77777777">
        <w:tc>
          <w:tcPr>
            <w:tcW w:w="1530" w:type="dxa"/>
          </w:tcPr>
          <w:p w14:paraId="617AB2D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3B2CAB4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3BB327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2FFEEA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2,112,422</w:t>
            </w:r>
          </w:p>
        </w:tc>
        <w:tc>
          <w:tcPr>
            <w:tcW w:w="1530" w:type="dxa"/>
          </w:tcPr>
          <w:p w14:paraId="0F739EF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560,646</w:t>
            </w:r>
          </w:p>
        </w:tc>
        <w:tc>
          <w:tcPr>
            <w:tcW w:w="1530" w:type="dxa"/>
          </w:tcPr>
          <w:p w14:paraId="61A62DD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106,000</w:t>
            </w:r>
          </w:p>
        </w:tc>
        <w:tc>
          <w:tcPr>
            <w:tcW w:w="1530" w:type="dxa"/>
          </w:tcPr>
          <w:p w14:paraId="3F396F3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96C703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46,266,477</w:t>
            </w:r>
          </w:p>
        </w:tc>
      </w:tr>
      <w:tr w:rsidR="00C42D88" w:rsidRPr="001C5B16" w14:paraId="0FB12657" w14:textId="77777777">
        <w:tc>
          <w:tcPr>
            <w:tcW w:w="1530" w:type="dxa"/>
          </w:tcPr>
          <w:p w14:paraId="274D3DE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594BF06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5151749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CF24C9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8,183,441</w:t>
            </w:r>
          </w:p>
        </w:tc>
        <w:tc>
          <w:tcPr>
            <w:tcW w:w="1530" w:type="dxa"/>
          </w:tcPr>
          <w:p w14:paraId="367072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777,108</w:t>
            </w:r>
          </w:p>
        </w:tc>
        <w:tc>
          <w:tcPr>
            <w:tcW w:w="1530" w:type="dxa"/>
          </w:tcPr>
          <w:p w14:paraId="12D538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8E406D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EE76F9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787676CC" w14:textId="77777777">
        <w:tc>
          <w:tcPr>
            <w:tcW w:w="1530" w:type="dxa"/>
          </w:tcPr>
          <w:p w14:paraId="1A187E7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38B98C0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413DC3B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98AB8F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24,497,698</w:t>
            </w:r>
          </w:p>
        </w:tc>
        <w:tc>
          <w:tcPr>
            <w:tcW w:w="1530" w:type="dxa"/>
          </w:tcPr>
          <w:p w14:paraId="59E5F7D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5,123,944</w:t>
            </w:r>
          </w:p>
        </w:tc>
        <w:tc>
          <w:tcPr>
            <w:tcW w:w="1530" w:type="dxa"/>
          </w:tcPr>
          <w:p w14:paraId="66623B3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187733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45BFFF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3B77CEEF" w14:textId="77777777">
        <w:tc>
          <w:tcPr>
            <w:tcW w:w="1530" w:type="dxa"/>
          </w:tcPr>
          <w:p w14:paraId="73B85D6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02E51F6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2AF26F3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1A043D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37,424,097</w:t>
            </w:r>
          </w:p>
        </w:tc>
        <w:tc>
          <w:tcPr>
            <w:tcW w:w="1530" w:type="dxa"/>
          </w:tcPr>
          <w:p w14:paraId="6C57001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19,357 USD</w:t>
            </w:r>
          </w:p>
        </w:tc>
        <w:tc>
          <w:tcPr>
            <w:tcW w:w="1530" w:type="dxa"/>
          </w:tcPr>
          <w:p w14:paraId="60AC728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430,000</w:t>
            </w:r>
          </w:p>
        </w:tc>
        <w:tc>
          <w:tcPr>
            <w:tcW w:w="1530" w:type="dxa"/>
          </w:tcPr>
          <w:p w14:paraId="52B1EFE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F4DEC8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2AE9CF07" w14:textId="77777777">
        <w:tc>
          <w:tcPr>
            <w:tcW w:w="1530" w:type="dxa"/>
          </w:tcPr>
          <w:p w14:paraId="7E4A832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0B95A72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073ABAD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31DC57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19,497,581</w:t>
            </w:r>
          </w:p>
        </w:tc>
        <w:tc>
          <w:tcPr>
            <w:tcW w:w="1530" w:type="dxa"/>
          </w:tcPr>
          <w:p w14:paraId="582DEC8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17,301,015</w:t>
            </w:r>
          </w:p>
        </w:tc>
        <w:tc>
          <w:tcPr>
            <w:tcW w:w="1530" w:type="dxa"/>
          </w:tcPr>
          <w:p w14:paraId="74D8DA9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E4635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673289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3B037A09" w14:textId="77777777">
        <w:tc>
          <w:tcPr>
            <w:tcW w:w="1530" w:type="dxa"/>
          </w:tcPr>
          <w:p w14:paraId="66B7F7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3AA510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6975B20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33B4F4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16,796,063</w:t>
            </w:r>
          </w:p>
        </w:tc>
        <w:tc>
          <w:tcPr>
            <w:tcW w:w="1530" w:type="dxa"/>
          </w:tcPr>
          <w:p w14:paraId="755CE1A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21,951,366</w:t>
            </w:r>
          </w:p>
        </w:tc>
        <w:tc>
          <w:tcPr>
            <w:tcW w:w="1530" w:type="dxa"/>
          </w:tcPr>
          <w:p w14:paraId="0749D0D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211,633</w:t>
            </w:r>
          </w:p>
        </w:tc>
        <w:tc>
          <w:tcPr>
            <w:tcW w:w="1530" w:type="dxa"/>
          </w:tcPr>
          <w:p w14:paraId="35DD5D5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851890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160,120,211</w:t>
            </w:r>
          </w:p>
        </w:tc>
      </w:tr>
      <w:tr w:rsidR="00C42D88" w:rsidRPr="001C5B16" w14:paraId="364E77E4" w14:textId="77777777">
        <w:tc>
          <w:tcPr>
            <w:tcW w:w="1530" w:type="dxa"/>
          </w:tcPr>
          <w:p w14:paraId="0F6D7B9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762B454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750D33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686EB8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29,403,017</w:t>
            </w:r>
          </w:p>
        </w:tc>
        <w:tc>
          <w:tcPr>
            <w:tcW w:w="1530" w:type="dxa"/>
          </w:tcPr>
          <w:p w14:paraId="5107268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45,148,655</w:t>
            </w:r>
          </w:p>
        </w:tc>
        <w:tc>
          <w:tcPr>
            <w:tcW w:w="1530" w:type="dxa"/>
          </w:tcPr>
          <w:p w14:paraId="1A5D427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300,785</w:t>
            </w:r>
          </w:p>
        </w:tc>
        <w:tc>
          <w:tcPr>
            <w:tcW w:w="1530" w:type="dxa"/>
          </w:tcPr>
          <w:p w14:paraId="06CB7E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7C6F26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193,394,254</w:t>
            </w:r>
          </w:p>
        </w:tc>
      </w:tr>
      <w:tr w:rsidR="00C42D88" w:rsidRPr="001C5B16" w14:paraId="419EEF88" w14:textId="77777777">
        <w:tc>
          <w:tcPr>
            <w:tcW w:w="1530" w:type="dxa"/>
          </w:tcPr>
          <w:p w14:paraId="7B5A46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5143698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2234C5B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D9133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15,140,432</w:t>
            </w:r>
          </w:p>
        </w:tc>
        <w:tc>
          <w:tcPr>
            <w:tcW w:w="1530" w:type="dxa"/>
          </w:tcPr>
          <w:p w14:paraId="266FB14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64,489,699</w:t>
            </w:r>
          </w:p>
        </w:tc>
        <w:tc>
          <w:tcPr>
            <w:tcW w:w="1530" w:type="dxa"/>
          </w:tcPr>
          <w:p w14:paraId="25F1876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298,168</w:t>
            </w:r>
          </w:p>
        </w:tc>
        <w:tc>
          <w:tcPr>
            <w:tcW w:w="1530" w:type="dxa"/>
          </w:tcPr>
          <w:p w14:paraId="3DE354C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53732A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474,126</w:t>
            </w:r>
          </w:p>
        </w:tc>
      </w:tr>
      <w:tr w:rsidR="00C42D88" w:rsidRPr="001C5B16" w14:paraId="07A2F261" w14:textId="77777777">
        <w:tc>
          <w:tcPr>
            <w:tcW w:w="1530" w:type="dxa"/>
          </w:tcPr>
          <w:p w14:paraId="09581D7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Aradel Holdings</w:t>
            </w:r>
          </w:p>
        </w:tc>
        <w:tc>
          <w:tcPr>
            <w:tcW w:w="1530" w:type="dxa"/>
          </w:tcPr>
          <w:p w14:paraId="146EDE4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7C53372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F7753F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53,737,699</w:t>
            </w:r>
          </w:p>
        </w:tc>
        <w:tc>
          <w:tcPr>
            <w:tcW w:w="1530" w:type="dxa"/>
          </w:tcPr>
          <w:p w14:paraId="3FDE111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65,161,229</w:t>
            </w:r>
          </w:p>
        </w:tc>
        <w:tc>
          <w:tcPr>
            <w:tcW w:w="1530" w:type="dxa"/>
          </w:tcPr>
          <w:p w14:paraId="4543573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5,405 USD</w:t>
            </w:r>
          </w:p>
        </w:tc>
        <w:tc>
          <w:tcPr>
            <w:tcW w:w="1530" w:type="dxa"/>
          </w:tcPr>
          <w:p w14:paraId="437565A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9C9392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923,434,560</w:t>
            </w:r>
          </w:p>
        </w:tc>
      </w:tr>
      <w:tr w:rsidR="00C42D88" w:rsidRPr="001C5B16" w14:paraId="05BC1553" w14:textId="77777777">
        <w:tc>
          <w:tcPr>
            <w:tcW w:w="1530" w:type="dxa"/>
          </w:tcPr>
          <w:p w14:paraId="113918D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lastRenderedPageBreak/>
              <w:t>Aradel Holdings</w:t>
            </w:r>
          </w:p>
        </w:tc>
        <w:tc>
          <w:tcPr>
            <w:tcW w:w="1530" w:type="dxa"/>
          </w:tcPr>
          <w:p w14:paraId="567B44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51EF87C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D38FFA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259,072,447</w:t>
            </w:r>
          </w:p>
        </w:tc>
        <w:tc>
          <w:tcPr>
            <w:tcW w:w="1530" w:type="dxa"/>
          </w:tcPr>
          <w:p w14:paraId="3EB4E7D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36,940,108</w:t>
            </w:r>
          </w:p>
        </w:tc>
        <w:tc>
          <w:tcPr>
            <w:tcW w:w="1530" w:type="dxa"/>
          </w:tcPr>
          <w:p w14:paraId="3D2ED6E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8F6634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F4BB06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1,749,835,620</w:t>
            </w:r>
          </w:p>
        </w:tc>
      </w:tr>
      <w:tr w:rsidR="00C42D88" w:rsidRPr="001C5B16" w14:paraId="7F182E1C" w14:textId="77777777">
        <w:tc>
          <w:tcPr>
            <w:tcW w:w="1530" w:type="dxa"/>
          </w:tcPr>
          <w:p w14:paraId="1B8ACED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372D149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577B0D6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6BE765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4,456,617</w:t>
            </w:r>
          </w:p>
        </w:tc>
        <w:tc>
          <w:tcPr>
            <w:tcW w:w="1530" w:type="dxa"/>
          </w:tcPr>
          <w:p w14:paraId="73CE075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1FBC55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10,136</w:t>
            </w:r>
          </w:p>
        </w:tc>
        <w:tc>
          <w:tcPr>
            <w:tcW w:w="1530" w:type="dxa"/>
          </w:tcPr>
          <w:p w14:paraId="72CE211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272,883</w:t>
            </w:r>
          </w:p>
        </w:tc>
        <w:tc>
          <w:tcPr>
            <w:tcW w:w="1530" w:type="dxa"/>
          </w:tcPr>
          <w:p w14:paraId="68D99AE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139,238,298</w:t>
            </w:r>
          </w:p>
        </w:tc>
      </w:tr>
      <w:tr w:rsidR="00C42D88" w:rsidRPr="001C5B16" w14:paraId="73E079E5" w14:textId="77777777">
        <w:tc>
          <w:tcPr>
            <w:tcW w:w="1530" w:type="dxa"/>
          </w:tcPr>
          <w:p w14:paraId="5DADF01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74E08F6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65E93AB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F7EDE4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5,794,055</w:t>
            </w:r>
          </w:p>
        </w:tc>
        <w:tc>
          <w:tcPr>
            <w:tcW w:w="1530" w:type="dxa"/>
          </w:tcPr>
          <w:p w14:paraId="0122AC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A3603C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53B2FB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205,016</w:t>
            </w:r>
          </w:p>
        </w:tc>
        <w:tc>
          <w:tcPr>
            <w:tcW w:w="1530" w:type="dxa"/>
          </w:tcPr>
          <w:p w14:paraId="7AA3AAE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121,757,956</w:t>
            </w:r>
          </w:p>
        </w:tc>
      </w:tr>
      <w:tr w:rsidR="00C42D88" w:rsidRPr="001C5B16" w14:paraId="221912E9" w14:textId="77777777">
        <w:tc>
          <w:tcPr>
            <w:tcW w:w="1530" w:type="dxa"/>
          </w:tcPr>
          <w:p w14:paraId="05B12A8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78B9128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6F0963B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64362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3,235,829</w:t>
            </w:r>
          </w:p>
        </w:tc>
        <w:tc>
          <w:tcPr>
            <w:tcW w:w="1530" w:type="dxa"/>
          </w:tcPr>
          <w:p w14:paraId="721A84E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E699E5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4EC0C0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299,389</w:t>
            </w:r>
          </w:p>
        </w:tc>
        <w:tc>
          <w:tcPr>
            <w:tcW w:w="1530" w:type="dxa"/>
          </w:tcPr>
          <w:p w14:paraId="5E95563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140,756,492</w:t>
            </w:r>
          </w:p>
        </w:tc>
      </w:tr>
      <w:tr w:rsidR="00C42D88" w:rsidRPr="001C5B16" w14:paraId="193FA7AD" w14:textId="77777777">
        <w:tc>
          <w:tcPr>
            <w:tcW w:w="1530" w:type="dxa"/>
          </w:tcPr>
          <w:p w14:paraId="36F73E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4623986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5E9A33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CBB98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12,226,422</w:t>
            </w:r>
          </w:p>
        </w:tc>
        <w:tc>
          <w:tcPr>
            <w:tcW w:w="1530" w:type="dxa"/>
          </w:tcPr>
          <w:p w14:paraId="23DB3CF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CBEBFD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3,264</w:t>
            </w:r>
          </w:p>
        </w:tc>
        <w:tc>
          <w:tcPr>
            <w:tcW w:w="1530" w:type="dxa"/>
          </w:tcPr>
          <w:p w14:paraId="2CD1D14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857540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6B48D369" w14:textId="77777777">
        <w:tc>
          <w:tcPr>
            <w:tcW w:w="1530" w:type="dxa"/>
          </w:tcPr>
          <w:p w14:paraId="3A10597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2045C86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3025256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C17C28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631,471</w:t>
            </w:r>
          </w:p>
        </w:tc>
        <w:tc>
          <w:tcPr>
            <w:tcW w:w="1530" w:type="dxa"/>
          </w:tcPr>
          <w:p w14:paraId="568F333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EAC0A2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5,588</w:t>
            </w:r>
          </w:p>
        </w:tc>
        <w:tc>
          <w:tcPr>
            <w:tcW w:w="1530" w:type="dxa"/>
          </w:tcPr>
          <w:p w14:paraId="390EB08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190,091</w:t>
            </w:r>
          </w:p>
        </w:tc>
        <w:tc>
          <w:tcPr>
            <w:tcW w:w="1530" w:type="dxa"/>
          </w:tcPr>
          <w:p w14:paraId="0397A2A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60,729,733</w:t>
            </w:r>
          </w:p>
        </w:tc>
      </w:tr>
      <w:tr w:rsidR="00C42D88" w:rsidRPr="001C5B16" w14:paraId="6AE0B563" w14:textId="77777777">
        <w:tc>
          <w:tcPr>
            <w:tcW w:w="1530" w:type="dxa"/>
          </w:tcPr>
          <w:p w14:paraId="63E35A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2402AF1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1604D8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2E6451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3,915,140</w:t>
            </w:r>
          </w:p>
        </w:tc>
        <w:tc>
          <w:tcPr>
            <w:tcW w:w="1530" w:type="dxa"/>
          </w:tcPr>
          <w:p w14:paraId="66F537C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86AB95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12,484</w:t>
            </w:r>
          </w:p>
        </w:tc>
        <w:tc>
          <w:tcPr>
            <w:tcW w:w="1530" w:type="dxa"/>
          </w:tcPr>
          <w:p w14:paraId="61563BB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3CC86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47,018,954</w:t>
            </w:r>
          </w:p>
        </w:tc>
      </w:tr>
      <w:tr w:rsidR="00C42D88" w:rsidRPr="001C5B16" w14:paraId="5F6254C9" w14:textId="77777777">
        <w:tc>
          <w:tcPr>
            <w:tcW w:w="1530" w:type="dxa"/>
          </w:tcPr>
          <w:p w14:paraId="499B89F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6F09352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4F480FC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A910DC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1,857,969</w:t>
            </w:r>
          </w:p>
        </w:tc>
        <w:tc>
          <w:tcPr>
            <w:tcW w:w="1530" w:type="dxa"/>
          </w:tcPr>
          <w:p w14:paraId="49CB04C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C8427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79,640</w:t>
            </w:r>
          </w:p>
        </w:tc>
        <w:tc>
          <w:tcPr>
            <w:tcW w:w="1530" w:type="dxa"/>
          </w:tcPr>
          <w:p w14:paraId="44E9839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217,085</w:t>
            </w:r>
          </w:p>
        </w:tc>
        <w:tc>
          <w:tcPr>
            <w:tcW w:w="1530" w:type="dxa"/>
          </w:tcPr>
          <w:p w14:paraId="4D69655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64,846,460</w:t>
            </w:r>
          </w:p>
        </w:tc>
      </w:tr>
      <w:tr w:rsidR="00C42D88" w:rsidRPr="001C5B16" w14:paraId="4D34DEBE" w14:textId="77777777">
        <w:tc>
          <w:tcPr>
            <w:tcW w:w="1530" w:type="dxa"/>
          </w:tcPr>
          <w:p w14:paraId="5A5B7F1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032811B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333C6A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FC7F1F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-3,848,331</w:t>
            </w:r>
          </w:p>
        </w:tc>
        <w:tc>
          <w:tcPr>
            <w:tcW w:w="1530" w:type="dxa"/>
          </w:tcPr>
          <w:p w14:paraId="249B166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CB66C2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3,950</w:t>
            </w:r>
          </w:p>
        </w:tc>
        <w:tc>
          <w:tcPr>
            <w:tcW w:w="1530" w:type="dxa"/>
          </w:tcPr>
          <w:p w14:paraId="2D607AC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354,980</w:t>
            </w:r>
          </w:p>
        </w:tc>
        <w:tc>
          <w:tcPr>
            <w:tcW w:w="1530" w:type="dxa"/>
          </w:tcPr>
          <w:p w14:paraId="6953C18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126,879,713</w:t>
            </w:r>
          </w:p>
        </w:tc>
      </w:tr>
      <w:tr w:rsidR="00C42D88" w:rsidRPr="001C5B16" w14:paraId="30E4D1D7" w14:textId="77777777">
        <w:tc>
          <w:tcPr>
            <w:tcW w:w="1530" w:type="dxa"/>
          </w:tcPr>
          <w:p w14:paraId="0051F26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62CDD3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0D2788C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0B7DCD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-7,606,686</w:t>
            </w:r>
          </w:p>
        </w:tc>
        <w:tc>
          <w:tcPr>
            <w:tcW w:w="1530" w:type="dxa"/>
          </w:tcPr>
          <w:p w14:paraId="68A0F38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1AC96A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51C7F7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422,882</w:t>
            </w:r>
          </w:p>
        </w:tc>
        <w:tc>
          <w:tcPr>
            <w:tcW w:w="1530" w:type="dxa"/>
          </w:tcPr>
          <w:p w14:paraId="415339F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134,423,708</w:t>
            </w:r>
          </w:p>
        </w:tc>
      </w:tr>
      <w:tr w:rsidR="00C42D88" w:rsidRPr="001C5B16" w14:paraId="1E0BAF58" w14:textId="77777777">
        <w:tc>
          <w:tcPr>
            <w:tcW w:w="1530" w:type="dxa"/>
          </w:tcPr>
          <w:p w14:paraId="5552F5A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6AA6EB9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20AA187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8786D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-275,363</w:t>
            </w:r>
          </w:p>
        </w:tc>
        <w:tc>
          <w:tcPr>
            <w:tcW w:w="1530" w:type="dxa"/>
          </w:tcPr>
          <w:p w14:paraId="7F017E8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75F4AA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DBF7AE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350,215</w:t>
            </w:r>
          </w:p>
        </w:tc>
        <w:tc>
          <w:tcPr>
            <w:tcW w:w="1530" w:type="dxa"/>
          </w:tcPr>
          <w:p w14:paraId="55D9C29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71A623FC" w14:textId="77777777">
        <w:tc>
          <w:tcPr>
            <w:tcW w:w="1530" w:type="dxa"/>
          </w:tcPr>
          <w:p w14:paraId="415280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Ardova Plc</w:t>
            </w:r>
          </w:p>
        </w:tc>
        <w:tc>
          <w:tcPr>
            <w:tcW w:w="1530" w:type="dxa"/>
          </w:tcPr>
          <w:p w14:paraId="150C744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19D57C2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E09563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9,187,214</w:t>
            </w:r>
          </w:p>
        </w:tc>
        <w:tc>
          <w:tcPr>
            <w:tcW w:w="1530" w:type="dxa"/>
          </w:tcPr>
          <w:p w14:paraId="373C3DB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D194E6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282,000</w:t>
            </w:r>
          </w:p>
        </w:tc>
        <w:tc>
          <w:tcPr>
            <w:tcW w:w="1530" w:type="dxa"/>
          </w:tcPr>
          <w:p w14:paraId="6EE0CD7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614,463</w:t>
            </w:r>
          </w:p>
        </w:tc>
        <w:tc>
          <w:tcPr>
            <w:tcW w:w="1530" w:type="dxa"/>
          </w:tcPr>
          <w:p w14:paraId="4136E2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r>
      <w:tr w:rsidR="00C42D88" w:rsidRPr="001C5B16" w14:paraId="594FE813" w14:textId="77777777">
        <w:tc>
          <w:tcPr>
            <w:tcW w:w="1530" w:type="dxa"/>
          </w:tcPr>
          <w:p w14:paraId="0DBF6FE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04341C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5E2F733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D6407B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834,421</w:t>
            </w:r>
          </w:p>
        </w:tc>
        <w:tc>
          <w:tcPr>
            <w:tcW w:w="1530" w:type="dxa"/>
          </w:tcPr>
          <w:p w14:paraId="6189695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F9B62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70DB46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19,272</w:t>
            </w:r>
          </w:p>
        </w:tc>
        <w:tc>
          <w:tcPr>
            <w:tcW w:w="1530" w:type="dxa"/>
          </w:tcPr>
          <w:p w14:paraId="23CF0DC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86,593,457</w:t>
            </w:r>
          </w:p>
        </w:tc>
      </w:tr>
      <w:tr w:rsidR="00C42D88" w:rsidRPr="001C5B16" w14:paraId="39127D9D" w14:textId="77777777">
        <w:tc>
          <w:tcPr>
            <w:tcW w:w="1530" w:type="dxa"/>
          </w:tcPr>
          <w:p w14:paraId="698712D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7DEBB30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5640E2D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24B72A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2,307,558</w:t>
            </w:r>
          </w:p>
        </w:tc>
        <w:tc>
          <w:tcPr>
            <w:tcW w:w="1530" w:type="dxa"/>
          </w:tcPr>
          <w:p w14:paraId="737B3A8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98030A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5D7E6D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8,543</w:t>
            </w:r>
          </w:p>
        </w:tc>
        <w:tc>
          <w:tcPr>
            <w:tcW w:w="1530" w:type="dxa"/>
          </w:tcPr>
          <w:p w14:paraId="66BE99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69,387,365</w:t>
            </w:r>
          </w:p>
        </w:tc>
      </w:tr>
      <w:tr w:rsidR="00C42D88" w:rsidRPr="001C5B16" w14:paraId="741FAE94" w14:textId="77777777">
        <w:tc>
          <w:tcPr>
            <w:tcW w:w="1530" w:type="dxa"/>
          </w:tcPr>
          <w:p w14:paraId="1569D4E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1818F50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107D3BA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F673AC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2,837,884</w:t>
            </w:r>
          </w:p>
        </w:tc>
        <w:tc>
          <w:tcPr>
            <w:tcW w:w="1530" w:type="dxa"/>
          </w:tcPr>
          <w:p w14:paraId="2646E9D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984C4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148,000</w:t>
            </w:r>
          </w:p>
        </w:tc>
        <w:tc>
          <w:tcPr>
            <w:tcW w:w="1530" w:type="dxa"/>
          </w:tcPr>
          <w:p w14:paraId="457815D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23,352</w:t>
            </w:r>
          </w:p>
        </w:tc>
        <w:tc>
          <w:tcPr>
            <w:tcW w:w="1530" w:type="dxa"/>
          </w:tcPr>
          <w:p w14:paraId="2AEA287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69,833,463</w:t>
            </w:r>
          </w:p>
        </w:tc>
      </w:tr>
      <w:tr w:rsidR="00C42D88" w:rsidRPr="001C5B16" w14:paraId="47EC4FD2" w14:textId="77777777">
        <w:tc>
          <w:tcPr>
            <w:tcW w:w="1530" w:type="dxa"/>
          </w:tcPr>
          <w:p w14:paraId="7E7950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0F22D3B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461FF24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29FA5B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1,578,507</w:t>
            </w:r>
          </w:p>
        </w:tc>
        <w:tc>
          <w:tcPr>
            <w:tcW w:w="1530" w:type="dxa"/>
          </w:tcPr>
          <w:p w14:paraId="51A4BE8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82E66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10,000</w:t>
            </w:r>
          </w:p>
        </w:tc>
        <w:tc>
          <w:tcPr>
            <w:tcW w:w="1530" w:type="dxa"/>
          </w:tcPr>
          <w:p w14:paraId="672FBE8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29,141</w:t>
            </w:r>
          </w:p>
        </w:tc>
        <w:tc>
          <w:tcPr>
            <w:tcW w:w="1530" w:type="dxa"/>
          </w:tcPr>
          <w:p w14:paraId="2DAC595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62,855,084</w:t>
            </w:r>
          </w:p>
        </w:tc>
      </w:tr>
      <w:tr w:rsidR="00C42D88" w:rsidRPr="001C5B16" w14:paraId="5B1FD2F6" w14:textId="77777777">
        <w:tc>
          <w:tcPr>
            <w:tcW w:w="1530" w:type="dxa"/>
          </w:tcPr>
          <w:p w14:paraId="4FBF16B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70D8164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2CDB251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E2ABCE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1,796,042</w:t>
            </w:r>
          </w:p>
        </w:tc>
        <w:tc>
          <w:tcPr>
            <w:tcW w:w="1530" w:type="dxa"/>
          </w:tcPr>
          <w:p w14:paraId="789D795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C455BB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10,000</w:t>
            </w:r>
          </w:p>
        </w:tc>
        <w:tc>
          <w:tcPr>
            <w:tcW w:w="1530" w:type="dxa"/>
          </w:tcPr>
          <w:p w14:paraId="1BDC7C9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25,542</w:t>
            </w:r>
          </w:p>
        </w:tc>
        <w:tc>
          <w:tcPr>
            <w:tcW w:w="1530" w:type="dxa"/>
          </w:tcPr>
          <w:p w14:paraId="74A438B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60,897,246</w:t>
            </w:r>
          </w:p>
        </w:tc>
      </w:tr>
      <w:tr w:rsidR="00C42D88" w:rsidRPr="001C5B16" w14:paraId="48397640" w14:textId="77777777">
        <w:tc>
          <w:tcPr>
            <w:tcW w:w="1530" w:type="dxa"/>
          </w:tcPr>
          <w:p w14:paraId="6EED208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1A05A9D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665286C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7099E6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1,972,322</w:t>
            </w:r>
          </w:p>
        </w:tc>
        <w:tc>
          <w:tcPr>
            <w:tcW w:w="1530" w:type="dxa"/>
          </w:tcPr>
          <w:p w14:paraId="170E463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9A83DF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65DF6F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DD8FB9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63,584,866</w:t>
            </w:r>
          </w:p>
        </w:tc>
      </w:tr>
      <w:tr w:rsidR="00C42D88" w:rsidRPr="001C5B16" w14:paraId="2DB65A2A" w14:textId="77777777">
        <w:tc>
          <w:tcPr>
            <w:tcW w:w="1530" w:type="dxa"/>
          </w:tcPr>
          <w:p w14:paraId="5F7A424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704D6D2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6560E5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1562C8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1,440,185</w:t>
            </w:r>
          </w:p>
        </w:tc>
        <w:tc>
          <w:tcPr>
            <w:tcW w:w="1530" w:type="dxa"/>
          </w:tcPr>
          <w:p w14:paraId="71F7051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C8C34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68,000</w:t>
            </w:r>
          </w:p>
        </w:tc>
        <w:tc>
          <w:tcPr>
            <w:tcW w:w="1530" w:type="dxa"/>
          </w:tcPr>
          <w:p w14:paraId="19B6B79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13,849</w:t>
            </w:r>
          </w:p>
        </w:tc>
        <w:tc>
          <w:tcPr>
            <w:tcW w:w="1530" w:type="dxa"/>
          </w:tcPr>
          <w:p w14:paraId="11ACD0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48,864,665</w:t>
            </w:r>
          </w:p>
        </w:tc>
      </w:tr>
      <w:tr w:rsidR="00C42D88" w:rsidRPr="001C5B16" w14:paraId="41D577C6" w14:textId="77777777">
        <w:tc>
          <w:tcPr>
            <w:tcW w:w="1530" w:type="dxa"/>
          </w:tcPr>
          <w:p w14:paraId="47ADD61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72FC4D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543383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758E47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3,082,690</w:t>
            </w:r>
          </w:p>
        </w:tc>
        <w:tc>
          <w:tcPr>
            <w:tcW w:w="1530" w:type="dxa"/>
          </w:tcPr>
          <w:p w14:paraId="0841095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20F0D5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68,000</w:t>
            </w:r>
          </w:p>
        </w:tc>
        <w:tc>
          <w:tcPr>
            <w:tcW w:w="1530" w:type="dxa"/>
          </w:tcPr>
          <w:p w14:paraId="568097A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28,213</w:t>
            </w:r>
          </w:p>
        </w:tc>
        <w:tc>
          <w:tcPr>
            <w:tcW w:w="1530" w:type="dxa"/>
          </w:tcPr>
          <w:p w14:paraId="1E47C17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53,981,346</w:t>
            </w:r>
          </w:p>
        </w:tc>
      </w:tr>
      <w:tr w:rsidR="00C42D88" w:rsidRPr="001C5B16" w14:paraId="759CD0B8" w14:textId="77777777">
        <w:tc>
          <w:tcPr>
            <w:tcW w:w="1530" w:type="dxa"/>
          </w:tcPr>
          <w:p w14:paraId="3560D1B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5E59BA0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3341D3D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F68B54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4,957,726</w:t>
            </w:r>
          </w:p>
        </w:tc>
        <w:tc>
          <w:tcPr>
            <w:tcW w:w="1530" w:type="dxa"/>
          </w:tcPr>
          <w:p w14:paraId="6EFF13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AAC285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32,000</w:t>
            </w:r>
          </w:p>
        </w:tc>
        <w:tc>
          <w:tcPr>
            <w:tcW w:w="1530" w:type="dxa"/>
          </w:tcPr>
          <w:p w14:paraId="49936E5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12,473</w:t>
            </w:r>
          </w:p>
        </w:tc>
        <w:tc>
          <w:tcPr>
            <w:tcW w:w="1530" w:type="dxa"/>
          </w:tcPr>
          <w:p w14:paraId="37FCBAF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65,909,237</w:t>
            </w:r>
          </w:p>
        </w:tc>
      </w:tr>
      <w:tr w:rsidR="00C42D88" w:rsidRPr="001C5B16" w14:paraId="32EC88F1" w14:textId="77777777">
        <w:tc>
          <w:tcPr>
            <w:tcW w:w="1530" w:type="dxa"/>
          </w:tcPr>
          <w:p w14:paraId="1C0017E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4AA108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1ECE0B5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195706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9,868,239</w:t>
            </w:r>
          </w:p>
        </w:tc>
        <w:tc>
          <w:tcPr>
            <w:tcW w:w="1530" w:type="dxa"/>
          </w:tcPr>
          <w:p w14:paraId="3D0605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B1DF4C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32,000</w:t>
            </w:r>
          </w:p>
        </w:tc>
        <w:tc>
          <w:tcPr>
            <w:tcW w:w="1530" w:type="dxa"/>
          </w:tcPr>
          <w:p w14:paraId="3744E33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13,173</w:t>
            </w:r>
          </w:p>
        </w:tc>
        <w:tc>
          <w:tcPr>
            <w:tcW w:w="1530" w:type="dxa"/>
          </w:tcPr>
          <w:p w14:paraId="68CD9C2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97,477,977</w:t>
            </w:r>
          </w:p>
        </w:tc>
      </w:tr>
      <w:tr w:rsidR="00C42D88" w:rsidRPr="001C5B16" w14:paraId="23E81811" w14:textId="77777777">
        <w:tc>
          <w:tcPr>
            <w:tcW w:w="1530" w:type="dxa"/>
          </w:tcPr>
          <w:p w14:paraId="374E5A4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53EAD9C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73B225D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461EAC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8,773,534</w:t>
            </w:r>
          </w:p>
        </w:tc>
        <w:tc>
          <w:tcPr>
            <w:tcW w:w="1530" w:type="dxa"/>
          </w:tcPr>
          <w:p w14:paraId="0B78364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DC5EEF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w:t>
            </w:r>
          </w:p>
        </w:tc>
        <w:tc>
          <w:tcPr>
            <w:tcW w:w="1530" w:type="dxa"/>
          </w:tcPr>
          <w:p w14:paraId="4D6C8E8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17,064</w:t>
            </w:r>
          </w:p>
        </w:tc>
        <w:tc>
          <w:tcPr>
            <w:tcW w:w="1530" w:type="dxa"/>
          </w:tcPr>
          <w:p w14:paraId="58A3EDD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114,951,450</w:t>
            </w:r>
          </w:p>
        </w:tc>
      </w:tr>
      <w:tr w:rsidR="00C42D88" w:rsidRPr="001C5B16" w14:paraId="21CA1EEE" w14:textId="77777777">
        <w:tc>
          <w:tcPr>
            <w:tcW w:w="1530" w:type="dxa"/>
          </w:tcPr>
          <w:p w14:paraId="19EFF82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Conoil Plc</w:t>
            </w:r>
          </w:p>
        </w:tc>
        <w:tc>
          <w:tcPr>
            <w:tcW w:w="1530" w:type="dxa"/>
          </w:tcPr>
          <w:p w14:paraId="2610B27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699A2F3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B12BB4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2,009,498</w:t>
            </w:r>
          </w:p>
        </w:tc>
        <w:tc>
          <w:tcPr>
            <w:tcW w:w="1530" w:type="dxa"/>
          </w:tcPr>
          <w:p w14:paraId="78A7929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FB0B2F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8CE28B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27,075</w:t>
            </w:r>
          </w:p>
        </w:tc>
        <w:tc>
          <w:tcPr>
            <w:tcW w:w="1530" w:type="dxa"/>
          </w:tcPr>
          <w:p w14:paraId="27FCA17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301,720,553</w:t>
            </w:r>
          </w:p>
        </w:tc>
      </w:tr>
      <w:tr w:rsidR="00C42D88" w:rsidRPr="001C5B16" w14:paraId="20B67DCB" w14:textId="77777777">
        <w:tc>
          <w:tcPr>
            <w:tcW w:w="1530" w:type="dxa"/>
          </w:tcPr>
          <w:p w14:paraId="621150B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4D53A9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1DA3CF9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060A1F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1,289,566</w:t>
            </w:r>
          </w:p>
        </w:tc>
        <w:tc>
          <w:tcPr>
            <w:tcW w:w="1530" w:type="dxa"/>
          </w:tcPr>
          <w:p w14:paraId="063231B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39,604</w:t>
            </w:r>
          </w:p>
        </w:tc>
        <w:tc>
          <w:tcPr>
            <w:tcW w:w="1530" w:type="dxa"/>
          </w:tcPr>
          <w:p w14:paraId="4EAACB3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93,800</w:t>
            </w:r>
          </w:p>
        </w:tc>
        <w:tc>
          <w:tcPr>
            <w:tcW w:w="1530" w:type="dxa"/>
          </w:tcPr>
          <w:p w14:paraId="0942051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CA51F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18,566,895</w:t>
            </w:r>
          </w:p>
        </w:tc>
      </w:tr>
      <w:tr w:rsidR="00C42D88" w:rsidRPr="001C5B16" w14:paraId="4E247ED1" w14:textId="77777777">
        <w:tc>
          <w:tcPr>
            <w:tcW w:w="1530" w:type="dxa"/>
          </w:tcPr>
          <w:p w14:paraId="1404962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0F016C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44A5864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D1DB26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1,278,073</w:t>
            </w:r>
          </w:p>
        </w:tc>
        <w:tc>
          <w:tcPr>
            <w:tcW w:w="1530" w:type="dxa"/>
          </w:tcPr>
          <w:p w14:paraId="1752EED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45,552</w:t>
            </w:r>
          </w:p>
        </w:tc>
        <w:tc>
          <w:tcPr>
            <w:tcW w:w="1530" w:type="dxa"/>
          </w:tcPr>
          <w:p w14:paraId="63A28A5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79,863</w:t>
            </w:r>
          </w:p>
        </w:tc>
        <w:tc>
          <w:tcPr>
            <w:tcW w:w="1530" w:type="dxa"/>
          </w:tcPr>
          <w:p w14:paraId="6DA3428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B3C94C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28,565,409</w:t>
            </w:r>
          </w:p>
        </w:tc>
      </w:tr>
      <w:tr w:rsidR="00C42D88" w:rsidRPr="001C5B16" w14:paraId="705A32AD" w14:textId="77777777">
        <w:tc>
          <w:tcPr>
            <w:tcW w:w="1530" w:type="dxa"/>
          </w:tcPr>
          <w:p w14:paraId="692200A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5880C42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5EF1640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D966CC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1,477,559</w:t>
            </w:r>
          </w:p>
        </w:tc>
        <w:tc>
          <w:tcPr>
            <w:tcW w:w="1530" w:type="dxa"/>
          </w:tcPr>
          <w:p w14:paraId="3ED7F62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45,098</w:t>
            </w:r>
          </w:p>
        </w:tc>
        <w:tc>
          <w:tcPr>
            <w:tcW w:w="1530" w:type="dxa"/>
          </w:tcPr>
          <w:p w14:paraId="7E0AB9F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3,324</w:t>
            </w:r>
          </w:p>
        </w:tc>
        <w:tc>
          <w:tcPr>
            <w:tcW w:w="1530" w:type="dxa"/>
          </w:tcPr>
          <w:p w14:paraId="7C8E02D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F10BE1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31,690,081</w:t>
            </w:r>
          </w:p>
        </w:tc>
      </w:tr>
      <w:tr w:rsidR="00C42D88" w:rsidRPr="001C5B16" w14:paraId="74919CF8" w14:textId="77777777">
        <w:tc>
          <w:tcPr>
            <w:tcW w:w="1530" w:type="dxa"/>
          </w:tcPr>
          <w:p w14:paraId="4F5716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5B05208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6EBCCFD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C7DBF1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2,001,902</w:t>
            </w:r>
          </w:p>
        </w:tc>
        <w:tc>
          <w:tcPr>
            <w:tcW w:w="1530" w:type="dxa"/>
          </w:tcPr>
          <w:p w14:paraId="5F19F0A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66,532</w:t>
            </w:r>
          </w:p>
        </w:tc>
        <w:tc>
          <w:tcPr>
            <w:tcW w:w="1530" w:type="dxa"/>
          </w:tcPr>
          <w:p w14:paraId="0131780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15,167</w:t>
            </w:r>
          </w:p>
        </w:tc>
        <w:tc>
          <w:tcPr>
            <w:tcW w:w="1530" w:type="dxa"/>
          </w:tcPr>
          <w:p w14:paraId="61D684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D95BD7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48,045,732</w:t>
            </w:r>
          </w:p>
        </w:tc>
      </w:tr>
      <w:tr w:rsidR="00C42D88" w:rsidRPr="001C5B16" w14:paraId="0F080EE3" w14:textId="77777777">
        <w:tc>
          <w:tcPr>
            <w:tcW w:w="1530" w:type="dxa"/>
          </w:tcPr>
          <w:p w14:paraId="113FDF4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5A65E3D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11E26D4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687CD4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1,008,996</w:t>
            </w:r>
          </w:p>
        </w:tc>
        <w:tc>
          <w:tcPr>
            <w:tcW w:w="1530" w:type="dxa"/>
          </w:tcPr>
          <w:p w14:paraId="12DC1B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81,491</w:t>
            </w:r>
          </w:p>
        </w:tc>
        <w:tc>
          <w:tcPr>
            <w:tcW w:w="1530" w:type="dxa"/>
          </w:tcPr>
          <w:p w14:paraId="210D5D8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4,850</w:t>
            </w:r>
          </w:p>
        </w:tc>
        <w:tc>
          <w:tcPr>
            <w:tcW w:w="1530" w:type="dxa"/>
          </w:tcPr>
          <w:p w14:paraId="18C90B1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3BC049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53,145,208</w:t>
            </w:r>
          </w:p>
        </w:tc>
      </w:tr>
      <w:tr w:rsidR="00C42D88" w:rsidRPr="001C5B16" w14:paraId="56BFC18A" w14:textId="77777777">
        <w:tc>
          <w:tcPr>
            <w:tcW w:w="1530" w:type="dxa"/>
          </w:tcPr>
          <w:p w14:paraId="432FD6A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1D49D93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351F276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737E0D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-144,289</w:t>
            </w:r>
          </w:p>
        </w:tc>
        <w:tc>
          <w:tcPr>
            <w:tcW w:w="1530" w:type="dxa"/>
          </w:tcPr>
          <w:p w14:paraId="05B8FE4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100,614</w:t>
            </w:r>
          </w:p>
        </w:tc>
        <w:tc>
          <w:tcPr>
            <w:tcW w:w="1530" w:type="dxa"/>
          </w:tcPr>
          <w:p w14:paraId="24FEEA4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8,608</w:t>
            </w:r>
          </w:p>
        </w:tc>
        <w:tc>
          <w:tcPr>
            <w:tcW w:w="1530" w:type="dxa"/>
          </w:tcPr>
          <w:p w14:paraId="626E06B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203CC4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28,533,386</w:t>
            </w:r>
          </w:p>
        </w:tc>
      </w:tr>
      <w:tr w:rsidR="00C42D88" w:rsidRPr="001C5B16" w14:paraId="594A5DD7" w14:textId="77777777">
        <w:tc>
          <w:tcPr>
            <w:tcW w:w="1530" w:type="dxa"/>
          </w:tcPr>
          <w:p w14:paraId="1570A28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1D16DA6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10C542F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AA7A5C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941,042</w:t>
            </w:r>
          </w:p>
        </w:tc>
        <w:tc>
          <w:tcPr>
            <w:tcW w:w="1530" w:type="dxa"/>
          </w:tcPr>
          <w:p w14:paraId="0C8F69C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131,878</w:t>
            </w:r>
          </w:p>
        </w:tc>
        <w:tc>
          <w:tcPr>
            <w:tcW w:w="1530" w:type="dxa"/>
          </w:tcPr>
          <w:p w14:paraId="74DAEBC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17,800</w:t>
            </w:r>
          </w:p>
        </w:tc>
        <w:tc>
          <w:tcPr>
            <w:tcW w:w="1530" w:type="dxa"/>
          </w:tcPr>
          <w:p w14:paraId="0D936F3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C1E164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35,767,556</w:t>
            </w:r>
          </w:p>
        </w:tc>
      </w:tr>
      <w:tr w:rsidR="00C42D88" w:rsidRPr="001C5B16" w14:paraId="191E85F0" w14:textId="77777777">
        <w:tc>
          <w:tcPr>
            <w:tcW w:w="1530" w:type="dxa"/>
          </w:tcPr>
          <w:p w14:paraId="14FEE13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lastRenderedPageBreak/>
              <w:t>Eterna Plc</w:t>
            </w:r>
          </w:p>
        </w:tc>
        <w:tc>
          <w:tcPr>
            <w:tcW w:w="1530" w:type="dxa"/>
          </w:tcPr>
          <w:p w14:paraId="1113BCB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3D3BDDB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CB4E35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-1,100,132</w:t>
            </w:r>
          </w:p>
        </w:tc>
        <w:tc>
          <w:tcPr>
            <w:tcW w:w="1530" w:type="dxa"/>
          </w:tcPr>
          <w:p w14:paraId="0283174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170,866</w:t>
            </w:r>
          </w:p>
        </w:tc>
        <w:tc>
          <w:tcPr>
            <w:tcW w:w="1530" w:type="dxa"/>
          </w:tcPr>
          <w:p w14:paraId="7A20532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5,500</w:t>
            </w:r>
          </w:p>
        </w:tc>
        <w:tc>
          <w:tcPr>
            <w:tcW w:w="1530" w:type="dxa"/>
          </w:tcPr>
          <w:p w14:paraId="452416D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48DA5C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46,082,300</w:t>
            </w:r>
          </w:p>
        </w:tc>
      </w:tr>
      <w:tr w:rsidR="00C42D88" w:rsidRPr="001C5B16" w14:paraId="6778E760" w14:textId="77777777">
        <w:tc>
          <w:tcPr>
            <w:tcW w:w="1530" w:type="dxa"/>
          </w:tcPr>
          <w:p w14:paraId="4305013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320C30D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18BB434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31024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1,012,252</w:t>
            </w:r>
          </w:p>
        </w:tc>
        <w:tc>
          <w:tcPr>
            <w:tcW w:w="1530" w:type="dxa"/>
          </w:tcPr>
          <w:p w14:paraId="7D656BC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194,979</w:t>
            </w:r>
          </w:p>
        </w:tc>
        <w:tc>
          <w:tcPr>
            <w:tcW w:w="1530" w:type="dxa"/>
          </w:tcPr>
          <w:p w14:paraId="36E5207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10,618</w:t>
            </w:r>
          </w:p>
        </w:tc>
        <w:tc>
          <w:tcPr>
            <w:tcW w:w="1530" w:type="dxa"/>
          </w:tcPr>
          <w:p w14:paraId="0F1B474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48A44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53,991,022</w:t>
            </w:r>
          </w:p>
        </w:tc>
      </w:tr>
      <w:tr w:rsidR="00C42D88" w:rsidRPr="001C5B16" w14:paraId="5B21D7D8" w14:textId="77777777">
        <w:tc>
          <w:tcPr>
            <w:tcW w:w="1530" w:type="dxa"/>
          </w:tcPr>
          <w:p w14:paraId="245141D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5C589C0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4E66326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1A850F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-9,433,112</w:t>
            </w:r>
          </w:p>
        </w:tc>
        <w:tc>
          <w:tcPr>
            <w:tcW w:w="1530" w:type="dxa"/>
          </w:tcPr>
          <w:p w14:paraId="7135F7E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211,835</w:t>
            </w:r>
          </w:p>
        </w:tc>
        <w:tc>
          <w:tcPr>
            <w:tcW w:w="1530" w:type="dxa"/>
          </w:tcPr>
          <w:p w14:paraId="3E7353C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107,197</w:t>
            </w:r>
          </w:p>
        </w:tc>
        <w:tc>
          <w:tcPr>
            <w:tcW w:w="1530" w:type="dxa"/>
          </w:tcPr>
          <w:p w14:paraId="69618F1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EBB86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59,640,303</w:t>
            </w:r>
          </w:p>
        </w:tc>
      </w:tr>
      <w:tr w:rsidR="00C42D88" w:rsidRPr="001C5B16" w14:paraId="4622BB13" w14:textId="77777777">
        <w:tc>
          <w:tcPr>
            <w:tcW w:w="1530" w:type="dxa"/>
          </w:tcPr>
          <w:p w14:paraId="3C62732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27E8786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1C6014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CFCBA5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1,348,624</w:t>
            </w:r>
          </w:p>
        </w:tc>
        <w:tc>
          <w:tcPr>
            <w:tcW w:w="1530" w:type="dxa"/>
          </w:tcPr>
          <w:p w14:paraId="7684A70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250,032</w:t>
            </w:r>
          </w:p>
        </w:tc>
        <w:tc>
          <w:tcPr>
            <w:tcW w:w="1530" w:type="dxa"/>
          </w:tcPr>
          <w:p w14:paraId="5A082C6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650</w:t>
            </w:r>
          </w:p>
        </w:tc>
        <w:tc>
          <w:tcPr>
            <w:tcW w:w="1530" w:type="dxa"/>
          </w:tcPr>
          <w:p w14:paraId="069B5CA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13F58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67,422,785</w:t>
            </w:r>
          </w:p>
        </w:tc>
      </w:tr>
      <w:tr w:rsidR="00C42D88" w:rsidRPr="001C5B16" w14:paraId="539BD8CC" w14:textId="77777777">
        <w:tc>
          <w:tcPr>
            <w:tcW w:w="1530" w:type="dxa"/>
          </w:tcPr>
          <w:p w14:paraId="3D6FB08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Eterna Plc</w:t>
            </w:r>
          </w:p>
        </w:tc>
        <w:tc>
          <w:tcPr>
            <w:tcW w:w="1530" w:type="dxa"/>
          </w:tcPr>
          <w:p w14:paraId="00D30E3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3BD54D8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10B8C4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2,917,078</w:t>
            </w:r>
          </w:p>
        </w:tc>
        <w:tc>
          <w:tcPr>
            <w:tcW w:w="1530" w:type="dxa"/>
          </w:tcPr>
          <w:p w14:paraId="331093F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235,708</w:t>
            </w:r>
          </w:p>
        </w:tc>
        <w:tc>
          <w:tcPr>
            <w:tcW w:w="1530" w:type="dxa"/>
          </w:tcPr>
          <w:p w14:paraId="1E0982B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3,000</w:t>
            </w:r>
          </w:p>
        </w:tc>
        <w:tc>
          <w:tcPr>
            <w:tcW w:w="1530" w:type="dxa"/>
          </w:tcPr>
          <w:p w14:paraId="6DE7670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167510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92,194,999</w:t>
            </w:r>
          </w:p>
        </w:tc>
      </w:tr>
      <w:tr w:rsidR="00C42D88" w:rsidRPr="001C5B16" w14:paraId="094AEBA6" w14:textId="77777777">
        <w:tc>
          <w:tcPr>
            <w:tcW w:w="1530" w:type="dxa"/>
          </w:tcPr>
          <w:p w14:paraId="1CD8FBD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4B42A9B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5774E0C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9E0780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-2,584,176</w:t>
            </w:r>
          </w:p>
        </w:tc>
        <w:tc>
          <w:tcPr>
            <w:tcW w:w="1530" w:type="dxa"/>
          </w:tcPr>
          <w:p w14:paraId="73698BC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324D02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6512C5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31E37A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38,390,653</w:t>
            </w:r>
          </w:p>
        </w:tc>
      </w:tr>
      <w:tr w:rsidR="00C42D88" w:rsidRPr="001C5B16" w14:paraId="51FEB1D8" w14:textId="77777777">
        <w:tc>
          <w:tcPr>
            <w:tcW w:w="1530" w:type="dxa"/>
          </w:tcPr>
          <w:p w14:paraId="1A3F063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7EDD32D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06F3F59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8215E0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-8,036,924</w:t>
            </w:r>
          </w:p>
        </w:tc>
        <w:tc>
          <w:tcPr>
            <w:tcW w:w="1530" w:type="dxa"/>
          </w:tcPr>
          <w:p w14:paraId="1320E08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F5348E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921A5C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AE1C2E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33,889,618</w:t>
            </w:r>
          </w:p>
        </w:tc>
      </w:tr>
      <w:tr w:rsidR="00C42D88" w:rsidRPr="001C5B16" w14:paraId="0FDCED9E" w14:textId="77777777">
        <w:tc>
          <w:tcPr>
            <w:tcW w:w="1530" w:type="dxa"/>
          </w:tcPr>
          <w:p w14:paraId="32F97F7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289BC37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7AA6476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80F1E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-21,441,574</w:t>
            </w:r>
          </w:p>
        </w:tc>
        <w:tc>
          <w:tcPr>
            <w:tcW w:w="1530" w:type="dxa"/>
          </w:tcPr>
          <w:p w14:paraId="570B4E9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7D1C02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4C684B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EDD6E4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29,948,162</w:t>
            </w:r>
          </w:p>
        </w:tc>
      </w:tr>
      <w:tr w:rsidR="00C42D88" w:rsidRPr="001C5B16" w14:paraId="37064D8C" w14:textId="77777777">
        <w:tc>
          <w:tcPr>
            <w:tcW w:w="1530" w:type="dxa"/>
          </w:tcPr>
          <w:p w14:paraId="29948D0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42F436F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2DEC81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53AD0E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-13,208,747</w:t>
            </w:r>
          </w:p>
        </w:tc>
        <w:tc>
          <w:tcPr>
            <w:tcW w:w="1530" w:type="dxa"/>
          </w:tcPr>
          <w:p w14:paraId="1C6C4D0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1D431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7916A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467391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28,001,565</w:t>
            </w:r>
          </w:p>
        </w:tc>
      </w:tr>
      <w:tr w:rsidR="00C42D88" w:rsidRPr="001C5B16" w14:paraId="7A9621E8" w14:textId="77777777">
        <w:tc>
          <w:tcPr>
            <w:tcW w:w="1530" w:type="dxa"/>
          </w:tcPr>
          <w:p w14:paraId="07D9C93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4908A57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6BC063F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EC84BE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-6,594,234</w:t>
            </w:r>
          </w:p>
        </w:tc>
        <w:tc>
          <w:tcPr>
            <w:tcW w:w="1530" w:type="dxa"/>
          </w:tcPr>
          <w:p w14:paraId="7515C8B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FC1295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05B859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221827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24,038,396</w:t>
            </w:r>
          </w:p>
        </w:tc>
      </w:tr>
      <w:tr w:rsidR="00C42D88" w:rsidRPr="001C5B16" w14:paraId="25B6DB2F" w14:textId="77777777">
        <w:tc>
          <w:tcPr>
            <w:tcW w:w="1530" w:type="dxa"/>
          </w:tcPr>
          <w:p w14:paraId="6C9FC0F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47BA64A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54B31E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69591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40,917,299</w:t>
            </w:r>
          </w:p>
        </w:tc>
        <w:tc>
          <w:tcPr>
            <w:tcW w:w="1530" w:type="dxa"/>
          </w:tcPr>
          <w:p w14:paraId="62FAAF3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621A0B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320238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2FF42E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23,213,258</w:t>
            </w:r>
          </w:p>
        </w:tc>
      </w:tr>
      <w:tr w:rsidR="00C42D88" w:rsidRPr="001C5B16" w14:paraId="679DE14E" w14:textId="77777777">
        <w:tc>
          <w:tcPr>
            <w:tcW w:w="1530" w:type="dxa"/>
          </w:tcPr>
          <w:p w14:paraId="73035B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62CE145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16EFD1A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94BEC4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-996,745</w:t>
            </w:r>
          </w:p>
        </w:tc>
        <w:tc>
          <w:tcPr>
            <w:tcW w:w="1530" w:type="dxa"/>
          </w:tcPr>
          <w:p w14:paraId="40B376F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FE7DD8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D29C72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6C8FCF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15,606,371</w:t>
            </w:r>
          </w:p>
        </w:tc>
      </w:tr>
      <w:tr w:rsidR="00C42D88" w:rsidRPr="001C5B16" w14:paraId="4B75F0AC" w14:textId="77777777">
        <w:tc>
          <w:tcPr>
            <w:tcW w:w="1530" w:type="dxa"/>
          </w:tcPr>
          <w:p w14:paraId="2ED9490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60D437C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486CFF7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8919C8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-3,105,681</w:t>
            </w:r>
          </w:p>
        </w:tc>
        <w:tc>
          <w:tcPr>
            <w:tcW w:w="1530" w:type="dxa"/>
          </w:tcPr>
          <w:p w14:paraId="252F8D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C5A6E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4474F8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EC1CA2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13,089,217</w:t>
            </w:r>
          </w:p>
        </w:tc>
      </w:tr>
      <w:tr w:rsidR="00C42D88" w:rsidRPr="001C5B16" w14:paraId="5D4B8DBC" w14:textId="77777777">
        <w:tc>
          <w:tcPr>
            <w:tcW w:w="1530" w:type="dxa"/>
          </w:tcPr>
          <w:p w14:paraId="069EC58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140CE4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4DA4D4C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784080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155,983</w:t>
            </w:r>
          </w:p>
        </w:tc>
        <w:tc>
          <w:tcPr>
            <w:tcW w:w="1530" w:type="dxa"/>
          </w:tcPr>
          <w:p w14:paraId="2F34A25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144235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E0BBA1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2EF9C4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13,197,072</w:t>
            </w:r>
          </w:p>
        </w:tc>
      </w:tr>
      <w:tr w:rsidR="00C42D88" w:rsidRPr="001C5B16" w14:paraId="1BB3CB4C" w14:textId="77777777">
        <w:tc>
          <w:tcPr>
            <w:tcW w:w="1530" w:type="dxa"/>
          </w:tcPr>
          <w:p w14:paraId="368950B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4CEB74F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7FF42AA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55156E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-674,044</w:t>
            </w:r>
          </w:p>
        </w:tc>
        <w:tc>
          <w:tcPr>
            <w:tcW w:w="1530" w:type="dxa"/>
          </w:tcPr>
          <w:p w14:paraId="324DA31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775674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E0870D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DE356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14,316,136</w:t>
            </w:r>
          </w:p>
        </w:tc>
      </w:tr>
      <w:tr w:rsidR="00C42D88" w:rsidRPr="001C5B16" w14:paraId="3877538F" w14:textId="77777777">
        <w:tc>
          <w:tcPr>
            <w:tcW w:w="1530" w:type="dxa"/>
          </w:tcPr>
          <w:p w14:paraId="5B8AE76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7ADBDDC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5FD86EE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D22F8D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1,680,454</w:t>
            </w:r>
          </w:p>
        </w:tc>
        <w:tc>
          <w:tcPr>
            <w:tcW w:w="1530" w:type="dxa"/>
          </w:tcPr>
          <w:p w14:paraId="11B246E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F56AEC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B7B34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089907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33,416,541</w:t>
            </w:r>
          </w:p>
        </w:tc>
      </w:tr>
      <w:tr w:rsidR="00C42D88" w:rsidRPr="001C5B16" w14:paraId="017D9D7D" w14:textId="77777777">
        <w:tc>
          <w:tcPr>
            <w:tcW w:w="1530" w:type="dxa"/>
          </w:tcPr>
          <w:p w14:paraId="54CD6F3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Japaul Group</w:t>
            </w:r>
          </w:p>
        </w:tc>
        <w:tc>
          <w:tcPr>
            <w:tcW w:w="1530" w:type="dxa"/>
          </w:tcPr>
          <w:p w14:paraId="683157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47FFF30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11B600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-44,598</w:t>
            </w:r>
          </w:p>
        </w:tc>
        <w:tc>
          <w:tcPr>
            <w:tcW w:w="1530" w:type="dxa"/>
          </w:tcPr>
          <w:p w14:paraId="524002D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CBA26E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C73779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BF7F2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33,527,157</w:t>
            </w:r>
          </w:p>
        </w:tc>
      </w:tr>
      <w:tr w:rsidR="00C42D88" w:rsidRPr="001C5B16" w14:paraId="3DCE8201" w14:textId="77777777">
        <w:tc>
          <w:tcPr>
            <w:tcW w:w="1530" w:type="dxa"/>
          </w:tcPr>
          <w:p w14:paraId="4B0F7F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2C90C47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48CDD9D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C2B6B1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746,404</w:t>
            </w:r>
          </w:p>
        </w:tc>
        <w:tc>
          <w:tcPr>
            <w:tcW w:w="1530" w:type="dxa"/>
          </w:tcPr>
          <w:p w14:paraId="48B93F7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5C4320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19,934</w:t>
            </w:r>
          </w:p>
        </w:tc>
        <w:tc>
          <w:tcPr>
            <w:tcW w:w="1530" w:type="dxa"/>
          </w:tcPr>
          <w:p w14:paraId="52BF740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5D23F2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57,846,626</w:t>
            </w:r>
          </w:p>
        </w:tc>
      </w:tr>
      <w:tr w:rsidR="00C42D88" w:rsidRPr="001C5B16" w14:paraId="51BD668D" w14:textId="77777777">
        <w:tc>
          <w:tcPr>
            <w:tcW w:w="1530" w:type="dxa"/>
          </w:tcPr>
          <w:p w14:paraId="365E465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59BD599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5023A5F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2A3BF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935,625</w:t>
            </w:r>
          </w:p>
        </w:tc>
        <w:tc>
          <w:tcPr>
            <w:tcW w:w="1530" w:type="dxa"/>
          </w:tcPr>
          <w:p w14:paraId="5EF508E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9645DF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26,782</w:t>
            </w:r>
          </w:p>
        </w:tc>
        <w:tc>
          <w:tcPr>
            <w:tcW w:w="1530" w:type="dxa"/>
          </w:tcPr>
          <w:p w14:paraId="1A76A75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4FEE5A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66,893,741</w:t>
            </w:r>
          </w:p>
        </w:tc>
      </w:tr>
      <w:tr w:rsidR="00C42D88" w:rsidRPr="001C5B16" w14:paraId="2CB6F0F3" w14:textId="77777777">
        <w:tc>
          <w:tcPr>
            <w:tcW w:w="1530" w:type="dxa"/>
          </w:tcPr>
          <w:p w14:paraId="6A14071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1D61BFD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4A09B94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215C3A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1,465,905</w:t>
            </w:r>
          </w:p>
        </w:tc>
        <w:tc>
          <w:tcPr>
            <w:tcW w:w="1530" w:type="dxa"/>
          </w:tcPr>
          <w:p w14:paraId="47FF452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70D4D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769</w:t>
            </w:r>
          </w:p>
        </w:tc>
        <w:tc>
          <w:tcPr>
            <w:tcW w:w="1530" w:type="dxa"/>
          </w:tcPr>
          <w:p w14:paraId="445C46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30FB59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81,364,815</w:t>
            </w:r>
          </w:p>
        </w:tc>
      </w:tr>
      <w:tr w:rsidR="00C42D88" w:rsidRPr="001C5B16" w14:paraId="6CA3FA0A" w14:textId="77777777">
        <w:tc>
          <w:tcPr>
            <w:tcW w:w="1530" w:type="dxa"/>
          </w:tcPr>
          <w:p w14:paraId="0146548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02246B2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4A2F509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1432C61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1,385,056</w:t>
            </w:r>
          </w:p>
        </w:tc>
        <w:tc>
          <w:tcPr>
            <w:tcW w:w="1530" w:type="dxa"/>
          </w:tcPr>
          <w:p w14:paraId="7AE74CA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674A81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9,690</w:t>
            </w:r>
          </w:p>
        </w:tc>
        <w:tc>
          <w:tcPr>
            <w:tcW w:w="1530" w:type="dxa"/>
          </w:tcPr>
          <w:p w14:paraId="14624DB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A4BE52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62,190,318</w:t>
            </w:r>
          </w:p>
        </w:tc>
      </w:tr>
      <w:tr w:rsidR="00C42D88" w:rsidRPr="001C5B16" w14:paraId="2D54B6BE" w14:textId="77777777">
        <w:tc>
          <w:tcPr>
            <w:tcW w:w="1530" w:type="dxa"/>
          </w:tcPr>
          <w:p w14:paraId="69BC33C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741BA46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637FAD7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42F376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-1,264,941</w:t>
            </w:r>
          </w:p>
        </w:tc>
        <w:tc>
          <w:tcPr>
            <w:tcW w:w="1530" w:type="dxa"/>
          </w:tcPr>
          <w:p w14:paraId="126D3D9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3E0952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4,179</w:t>
            </w:r>
          </w:p>
        </w:tc>
        <w:tc>
          <w:tcPr>
            <w:tcW w:w="1530" w:type="dxa"/>
          </w:tcPr>
          <w:p w14:paraId="59C70E6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4813ED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54,283,202</w:t>
            </w:r>
          </w:p>
        </w:tc>
      </w:tr>
      <w:tr w:rsidR="00C42D88" w:rsidRPr="001C5B16" w14:paraId="7EB7CD6F" w14:textId="77777777">
        <w:tc>
          <w:tcPr>
            <w:tcW w:w="1530" w:type="dxa"/>
          </w:tcPr>
          <w:p w14:paraId="25F35B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040784F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2F8406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7007D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-1,613,082</w:t>
            </w:r>
          </w:p>
        </w:tc>
        <w:tc>
          <w:tcPr>
            <w:tcW w:w="1530" w:type="dxa"/>
          </w:tcPr>
          <w:p w14:paraId="68EBC29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794FE7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1,710</w:t>
            </w:r>
          </w:p>
        </w:tc>
        <w:tc>
          <w:tcPr>
            <w:tcW w:w="1530" w:type="dxa"/>
          </w:tcPr>
          <w:p w14:paraId="69F1D1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CFFDC6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44,209,648</w:t>
            </w:r>
          </w:p>
        </w:tc>
      </w:tr>
      <w:tr w:rsidR="00C42D88" w:rsidRPr="001C5B16" w14:paraId="0539126A" w14:textId="77777777">
        <w:tc>
          <w:tcPr>
            <w:tcW w:w="1530" w:type="dxa"/>
          </w:tcPr>
          <w:p w14:paraId="6C51102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7CE4EF7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75C2D5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E82E84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-2,264,145</w:t>
            </w:r>
          </w:p>
        </w:tc>
        <w:tc>
          <w:tcPr>
            <w:tcW w:w="1530" w:type="dxa"/>
          </w:tcPr>
          <w:p w14:paraId="0F14D2D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52,581</w:t>
            </w:r>
          </w:p>
        </w:tc>
        <w:tc>
          <w:tcPr>
            <w:tcW w:w="1530" w:type="dxa"/>
          </w:tcPr>
          <w:p w14:paraId="2CEA4C8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50,200</w:t>
            </w:r>
          </w:p>
        </w:tc>
        <w:tc>
          <w:tcPr>
            <w:tcW w:w="1530" w:type="dxa"/>
          </w:tcPr>
          <w:p w14:paraId="3387255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2AF96C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36,659,094</w:t>
            </w:r>
          </w:p>
        </w:tc>
      </w:tr>
      <w:tr w:rsidR="00C42D88" w:rsidRPr="001C5B16" w14:paraId="4339E934" w14:textId="77777777">
        <w:tc>
          <w:tcPr>
            <w:tcW w:w="1530" w:type="dxa"/>
          </w:tcPr>
          <w:p w14:paraId="79841B1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5C1100A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1351D2E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5153E3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339,873</w:t>
            </w:r>
          </w:p>
        </w:tc>
        <w:tc>
          <w:tcPr>
            <w:tcW w:w="1530" w:type="dxa"/>
          </w:tcPr>
          <w:p w14:paraId="5B008A5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52,291</w:t>
            </w:r>
          </w:p>
        </w:tc>
        <w:tc>
          <w:tcPr>
            <w:tcW w:w="1530" w:type="dxa"/>
          </w:tcPr>
          <w:p w14:paraId="3EC7F49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36,485</w:t>
            </w:r>
          </w:p>
        </w:tc>
        <w:tc>
          <w:tcPr>
            <w:tcW w:w="1530" w:type="dxa"/>
          </w:tcPr>
          <w:p w14:paraId="17FEF53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B10EBF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37,205,315</w:t>
            </w:r>
          </w:p>
        </w:tc>
      </w:tr>
      <w:tr w:rsidR="00C42D88" w:rsidRPr="001C5B16" w14:paraId="2F444934" w14:textId="77777777">
        <w:tc>
          <w:tcPr>
            <w:tcW w:w="1530" w:type="dxa"/>
          </w:tcPr>
          <w:p w14:paraId="1FB454B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6423E99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50C54DA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C3FD20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1,316,102</w:t>
            </w:r>
          </w:p>
        </w:tc>
        <w:tc>
          <w:tcPr>
            <w:tcW w:w="1530" w:type="dxa"/>
          </w:tcPr>
          <w:p w14:paraId="776A689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224,179</w:t>
            </w:r>
          </w:p>
        </w:tc>
        <w:tc>
          <w:tcPr>
            <w:tcW w:w="1530" w:type="dxa"/>
          </w:tcPr>
          <w:p w14:paraId="483BF65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28,000</w:t>
            </w:r>
          </w:p>
        </w:tc>
        <w:tc>
          <w:tcPr>
            <w:tcW w:w="1530" w:type="dxa"/>
          </w:tcPr>
          <w:p w14:paraId="3F67824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0FE1A5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40,526,114</w:t>
            </w:r>
          </w:p>
        </w:tc>
      </w:tr>
      <w:tr w:rsidR="00C42D88" w:rsidRPr="001C5B16" w14:paraId="1ACBD726" w14:textId="77777777">
        <w:tc>
          <w:tcPr>
            <w:tcW w:w="1530" w:type="dxa"/>
          </w:tcPr>
          <w:p w14:paraId="69B9171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7CB7084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14C69D1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2860FE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4,048,758</w:t>
            </w:r>
          </w:p>
        </w:tc>
        <w:tc>
          <w:tcPr>
            <w:tcW w:w="1530" w:type="dxa"/>
          </w:tcPr>
          <w:p w14:paraId="0C1D6E8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144,028</w:t>
            </w:r>
          </w:p>
        </w:tc>
        <w:tc>
          <w:tcPr>
            <w:tcW w:w="1530" w:type="dxa"/>
          </w:tcPr>
          <w:p w14:paraId="602722A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869AED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96676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54,831,289</w:t>
            </w:r>
          </w:p>
        </w:tc>
      </w:tr>
      <w:tr w:rsidR="00C42D88" w:rsidRPr="001C5B16" w14:paraId="6B2996F2" w14:textId="77777777">
        <w:tc>
          <w:tcPr>
            <w:tcW w:w="1530" w:type="dxa"/>
          </w:tcPr>
          <w:p w14:paraId="19097B0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MRS Oil</w:t>
            </w:r>
          </w:p>
        </w:tc>
        <w:tc>
          <w:tcPr>
            <w:tcW w:w="1530" w:type="dxa"/>
          </w:tcPr>
          <w:p w14:paraId="1BC1E4E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787679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40F0EC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6,496,917</w:t>
            </w:r>
          </w:p>
        </w:tc>
        <w:tc>
          <w:tcPr>
            <w:tcW w:w="1530" w:type="dxa"/>
          </w:tcPr>
          <w:p w14:paraId="00B81DC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173,206</w:t>
            </w:r>
          </w:p>
        </w:tc>
        <w:tc>
          <w:tcPr>
            <w:tcW w:w="1530" w:type="dxa"/>
          </w:tcPr>
          <w:p w14:paraId="325C0C0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046381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0E3B87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105,773,167</w:t>
            </w:r>
          </w:p>
        </w:tc>
      </w:tr>
      <w:tr w:rsidR="00C42D88" w:rsidRPr="001C5B16" w14:paraId="0D23A2B0" w14:textId="77777777">
        <w:tc>
          <w:tcPr>
            <w:tcW w:w="1530" w:type="dxa"/>
          </w:tcPr>
          <w:p w14:paraId="3590A9F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09D6344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79A0CB8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8ABFEC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-106,393,420</w:t>
            </w:r>
          </w:p>
        </w:tc>
        <w:tc>
          <w:tcPr>
            <w:tcW w:w="1530" w:type="dxa"/>
          </w:tcPr>
          <w:p w14:paraId="695A46A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11,923,304</w:t>
            </w:r>
          </w:p>
        </w:tc>
        <w:tc>
          <w:tcPr>
            <w:tcW w:w="1530" w:type="dxa"/>
          </w:tcPr>
          <w:p w14:paraId="4755422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CD7583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C60EAF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889,372,556</w:t>
            </w:r>
          </w:p>
        </w:tc>
      </w:tr>
      <w:tr w:rsidR="00C42D88" w:rsidRPr="001C5B16" w14:paraId="50AA3BDD" w14:textId="77777777">
        <w:tc>
          <w:tcPr>
            <w:tcW w:w="1530" w:type="dxa"/>
          </w:tcPr>
          <w:p w14:paraId="2B24E4F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416FFBC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001B797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90F47C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-49,689,877</w:t>
            </w:r>
          </w:p>
        </w:tc>
        <w:tc>
          <w:tcPr>
            <w:tcW w:w="1530" w:type="dxa"/>
          </w:tcPr>
          <w:p w14:paraId="1A40B78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43,933,153</w:t>
            </w:r>
          </w:p>
        </w:tc>
        <w:tc>
          <w:tcPr>
            <w:tcW w:w="1530" w:type="dxa"/>
          </w:tcPr>
          <w:p w14:paraId="3FCE1E1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1656D5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B1F73C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946,804,825</w:t>
            </w:r>
          </w:p>
        </w:tc>
      </w:tr>
      <w:tr w:rsidR="00C42D88" w:rsidRPr="001C5B16" w14:paraId="4C5689E7" w14:textId="77777777">
        <w:tc>
          <w:tcPr>
            <w:tcW w:w="1530" w:type="dxa"/>
          </w:tcPr>
          <w:p w14:paraId="2DC7769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581C2DA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4C105A7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A6BC8F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3,912,607</w:t>
            </w:r>
          </w:p>
        </w:tc>
        <w:tc>
          <w:tcPr>
            <w:tcW w:w="1530" w:type="dxa"/>
          </w:tcPr>
          <w:p w14:paraId="040AADD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41,075,436</w:t>
            </w:r>
          </w:p>
        </w:tc>
        <w:tc>
          <w:tcPr>
            <w:tcW w:w="1530" w:type="dxa"/>
          </w:tcPr>
          <w:p w14:paraId="28BBC45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668BA3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ABBA93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991,544,975</w:t>
            </w:r>
          </w:p>
        </w:tc>
      </w:tr>
      <w:tr w:rsidR="00C42D88" w:rsidRPr="001C5B16" w14:paraId="05ED79F0" w14:textId="77777777">
        <w:tc>
          <w:tcPr>
            <w:tcW w:w="1530" w:type="dxa"/>
          </w:tcPr>
          <w:p w14:paraId="2EF5393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10A196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220D0A5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95241D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19,772,776</w:t>
            </w:r>
          </w:p>
        </w:tc>
        <w:tc>
          <w:tcPr>
            <w:tcW w:w="1530" w:type="dxa"/>
          </w:tcPr>
          <w:p w14:paraId="13B56C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55,098,042</w:t>
            </w:r>
          </w:p>
        </w:tc>
        <w:tc>
          <w:tcPr>
            <w:tcW w:w="1530" w:type="dxa"/>
          </w:tcPr>
          <w:p w14:paraId="3219640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31E4F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CED47F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1,040,175,904</w:t>
            </w:r>
          </w:p>
        </w:tc>
      </w:tr>
      <w:tr w:rsidR="00C42D88" w:rsidRPr="001C5B16" w14:paraId="115C74A3" w14:textId="77777777">
        <w:tc>
          <w:tcPr>
            <w:tcW w:w="1530" w:type="dxa"/>
          </w:tcPr>
          <w:p w14:paraId="026BA51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lastRenderedPageBreak/>
              <w:t>Oando PLC</w:t>
            </w:r>
          </w:p>
        </w:tc>
        <w:tc>
          <w:tcPr>
            <w:tcW w:w="1530" w:type="dxa"/>
          </w:tcPr>
          <w:p w14:paraId="76A8051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26D9337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598CF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28,797,743</w:t>
            </w:r>
          </w:p>
        </w:tc>
        <w:tc>
          <w:tcPr>
            <w:tcW w:w="1530" w:type="dxa"/>
          </w:tcPr>
          <w:p w14:paraId="025E195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56,717,572</w:t>
            </w:r>
          </w:p>
        </w:tc>
        <w:tc>
          <w:tcPr>
            <w:tcW w:w="1530" w:type="dxa"/>
          </w:tcPr>
          <w:p w14:paraId="6EFF6B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7C1B8F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DE18FF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1,075,110,435</w:t>
            </w:r>
          </w:p>
        </w:tc>
      </w:tr>
      <w:tr w:rsidR="00C42D88" w:rsidRPr="001C5B16" w14:paraId="3D228ABB" w14:textId="77777777">
        <w:tc>
          <w:tcPr>
            <w:tcW w:w="1530" w:type="dxa"/>
          </w:tcPr>
          <w:p w14:paraId="22F3416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692091A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2180F5A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6B5D122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-207,078,294</w:t>
            </w:r>
          </w:p>
        </w:tc>
        <w:tc>
          <w:tcPr>
            <w:tcW w:w="1530" w:type="dxa"/>
          </w:tcPr>
          <w:p w14:paraId="6C8D95F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106,393,420</w:t>
            </w:r>
          </w:p>
        </w:tc>
        <w:tc>
          <w:tcPr>
            <w:tcW w:w="1530" w:type="dxa"/>
          </w:tcPr>
          <w:p w14:paraId="0EBF091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39,156</w:t>
            </w:r>
          </w:p>
        </w:tc>
        <w:tc>
          <w:tcPr>
            <w:tcW w:w="1530" w:type="dxa"/>
          </w:tcPr>
          <w:p w14:paraId="51CB66A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32F00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957,963,105</w:t>
            </w:r>
          </w:p>
        </w:tc>
      </w:tr>
      <w:tr w:rsidR="00C42D88" w:rsidRPr="001C5B16" w14:paraId="0A3C9903" w14:textId="77777777">
        <w:tc>
          <w:tcPr>
            <w:tcW w:w="1530" w:type="dxa"/>
          </w:tcPr>
          <w:p w14:paraId="7130F9C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7EEA5F7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005C557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1482B0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-140,674,463</w:t>
            </w:r>
          </w:p>
        </w:tc>
        <w:tc>
          <w:tcPr>
            <w:tcW w:w="1530" w:type="dxa"/>
          </w:tcPr>
          <w:p w14:paraId="78A748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618,626,627</w:t>
            </w:r>
          </w:p>
        </w:tc>
        <w:tc>
          <w:tcPr>
            <w:tcW w:w="1530" w:type="dxa"/>
          </w:tcPr>
          <w:p w14:paraId="449F694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225,100</w:t>
            </w:r>
          </w:p>
        </w:tc>
        <w:tc>
          <w:tcPr>
            <w:tcW w:w="1530" w:type="dxa"/>
          </w:tcPr>
          <w:p w14:paraId="3296E6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2163D5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1,389,196,159</w:t>
            </w:r>
          </w:p>
        </w:tc>
      </w:tr>
      <w:tr w:rsidR="00C42D88" w:rsidRPr="001C5B16" w14:paraId="5BF08435" w14:textId="77777777">
        <w:tc>
          <w:tcPr>
            <w:tcW w:w="1530" w:type="dxa"/>
          </w:tcPr>
          <w:p w14:paraId="51C6D0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5338774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3844463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E46960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32,858,799</w:t>
            </w:r>
          </w:p>
        </w:tc>
        <w:tc>
          <w:tcPr>
            <w:tcW w:w="1530" w:type="dxa"/>
          </w:tcPr>
          <w:p w14:paraId="64F57F0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143,139,816</w:t>
            </w:r>
          </w:p>
        </w:tc>
        <w:tc>
          <w:tcPr>
            <w:tcW w:w="1530" w:type="dxa"/>
          </w:tcPr>
          <w:p w14:paraId="3917012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194,900</w:t>
            </w:r>
          </w:p>
        </w:tc>
        <w:tc>
          <w:tcPr>
            <w:tcW w:w="1530" w:type="dxa"/>
          </w:tcPr>
          <w:p w14:paraId="4293948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2B4C4D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996,064,070</w:t>
            </w:r>
          </w:p>
        </w:tc>
      </w:tr>
      <w:tr w:rsidR="00C42D88" w:rsidRPr="001C5B16" w14:paraId="7B5AEB0D" w14:textId="77777777">
        <w:tc>
          <w:tcPr>
            <w:tcW w:w="1530" w:type="dxa"/>
          </w:tcPr>
          <w:p w14:paraId="350CDB1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493EDD0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0BB201D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6FCE2E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-81,230,816</w:t>
            </w:r>
          </w:p>
        </w:tc>
        <w:tc>
          <w:tcPr>
            <w:tcW w:w="1530" w:type="dxa"/>
          </w:tcPr>
          <w:p w14:paraId="6E999D4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142,287,995</w:t>
            </w:r>
          </w:p>
        </w:tc>
        <w:tc>
          <w:tcPr>
            <w:tcW w:w="1530" w:type="dxa"/>
          </w:tcPr>
          <w:p w14:paraId="16343D3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79,897</w:t>
            </w:r>
          </w:p>
        </w:tc>
        <w:tc>
          <w:tcPr>
            <w:tcW w:w="1530" w:type="dxa"/>
          </w:tcPr>
          <w:p w14:paraId="6D1DEB5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FDAE39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1,252,330,481</w:t>
            </w:r>
          </w:p>
        </w:tc>
      </w:tr>
      <w:tr w:rsidR="00C42D88" w:rsidRPr="001C5B16" w14:paraId="719FEDC8" w14:textId="77777777">
        <w:tc>
          <w:tcPr>
            <w:tcW w:w="1530" w:type="dxa"/>
          </w:tcPr>
          <w:p w14:paraId="69F85CF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78124FE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7190669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4BBDDEF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60,277,168</w:t>
            </w:r>
          </w:p>
        </w:tc>
        <w:tc>
          <w:tcPr>
            <w:tcW w:w="1530" w:type="dxa"/>
          </w:tcPr>
          <w:p w14:paraId="4E1F97A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426,661,861</w:t>
            </w:r>
          </w:p>
        </w:tc>
        <w:tc>
          <w:tcPr>
            <w:tcW w:w="1530" w:type="dxa"/>
          </w:tcPr>
          <w:p w14:paraId="2D09A7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848,196</w:t>
            </w:r>
          </w:p>
        </w:tc>
        <w:tc>
          <w:tcPr>
            <w:tcW w:w="1530" w:type="dxa"/>
          </w:tcPr>
          <w:p w14:paraId="665A7F3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8CED3C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2,676,117,927</w:t>
            </w:r>
          </w:p>
        </w:tc>
      </w:tr>
      <w:tr w:rsidR="00C42D88" w:rsidRPr="001C5B16" w14:paraId="78279B7A" w14:textId="77777777">
        <w:tc>
          <w:tcPr>
            <w:tcW w:w="1530" w:type="dxa"/>
          </w:tcPr>
          <w:p w14:paraId="1F72061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7460AB0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3B8ECD8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06F18F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220,120,053</w:t>
            </w:r>
          </w:p>
        </w:tc>
        <w:tc>
          <w:tcPr>
            <w:tcW w:w="1530" w:type="dxa"/>
          </w:tcPr>
          <w:p w14:paraId="711EB2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672,710,465</w:t>
            </w:r>
          </w:p>
        </w:tc>
        <w:tc>
          <w:tcPr>
            <w:tcW w:w="1530" w:type="dxa"/>
          </w:tcPr>
          <w:p w14:paraId="41B3880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F76948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32C5E3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6,434,159,344</w:t>
            </w:r>
          </w:p>
        </w:tc>
      </w:tr>
      <w:tr w:rsidR="00C42D88" w:rsidRPr="001C5B16" w14:paraId="04BE9E7B" w14:textId="77777777">
        <w:tc>
          <w:tcPr>
            <w:tcW w:w="1530" w:type="dxa"/>
          </w:tcPr>
          <w:p w14:paraId="2284914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Oando PLC</w:t>
            </w:r>
          </w:p>
        </w:tc>
        <w:tc>
          <w:tcPr>
            <w:tcW w:w="1530" w:type="dxa"/>
          </w:tcPr>
          <w:p w14:paraId="52C72C1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3DF31E2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2D8E06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241,312,161</w:t>
            </w:r>
          </w:p>
        </w:tc>
        <w:tc>
          <w:tcPr>
            <w:tcW w:w="1530" w:type="dxa"/>
          </w:tcPr>
          <w:p w14:paraId="4525197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710,322,086</w:t>
            </w:r>
          </w:p>
        </w:tc>
        <w:tc>
          <w:tcPr>
            <w:tcW w:w="1530" w:type="dxa"/>
          </w:tcPr>
          <w:p w14:paraId="3B4EF2D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EC6678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C7DE4C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6,704,080,273</w:t>
            </w:r>
          </w:p>
        </w:tc>
      </w:tr>
      <w:tr w:rsidR="00C42D88" w:rsidRPr="001C5B16" w14:paraId="4B4DD4BA" w14:textId="77777777">
        <w:tc>
          <w:tcPr>
            <w:tcW w:w="1530" w:type="dxa"/>
          </w:tcPr>
          <w:p w14:paraId="1FD295A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6CC3C74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2DC12E6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671D50F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252.30</w:t>
            </w:r>
          </w:p>
        </w:tc>
        <w:tc>
          <w:tcPr>
            <w:tcW w:w="1530" w:type="dxa"/>
          </w:tcPr>
          <w:p w14:paraId="6AB8457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12.70</w:t>
            </w:r>
          </w:p>
        </w:tc>
        <w:tc>
          <w:tcPr>
            <w:tcW w:w="1530" w:type="dxa"/>
          </w:tcPr>
          <w:p w14:paraId="3A4D940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15.20</w:t>
            </w:r>
          </w:p>
        </w:tc>
        <w:tc>
          <w:tcPr>
            <w:tcW w:w="1530" w:type="dxa"/>
          </w:tcPr>
          <w:p w14:paraId="4D34104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10.20</w:t>
            </w:r>
          </w:p>
        </w:tc>
        <w:tc>
          <w:tcPr>
            <w:tcW w:w="1530" w:type="dxa"/>
          </w:tcPr>
          <w:p w14:paraId="61606D4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2,409.70</w:t>
            </w:r>
          </w:p>
        </w:tc>
      </w:tr>
      <w:tr w:rsidR="00C42D88" w:rsidRPr="001C5B16" w14:paraId="19E5F3E5" w14:textId="77777777">
        <w:tc>
          <w:tcPr>
            <w:tcW w:w="1530" w:type="dxa"/>
          </w:tcPr>
          <w:p w14:paraId="03E6AE6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43BE50A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772A0F2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23954E1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65.60</w:t>
            </w:r>
          </w:p>
        </w:tc>
        <w:tc>
          <w:tcPr>
            <w:tcW w:w="1530" w:type="dxa"/>
          </w:tcPr>
          <w:p w14:paraId="31E1EE9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3.80</w:t>
            </w:r>
          </w:p>
        </w:tc>
        <w:tc>
          <w:tcPr>
            <w:tcW w:w="1530" w:type="dxa"/>
          </w:tcPr>
          <w:p w14:paraId="438C25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0.20</w:t>
            </w:r>
          </w:p>
        </w:tc>
        <w:tc>
          <w:tcPr>
            <w:tcW w:w="1530" w:type="dxa"/>
          </w:tcPr>
          <w:p w14:paraId="7297B89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192056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2,741.90</w:t>
            </w:r>
          </w:p>
        </w:tc>
      </w:tr>
      <w:tr w:rsidR="00C42D88" w:rsidRPr="001C5B16" w14:paraId="3FCD637E" w14:textId="77777777">
        <w:tc>
          <w:tcPr>
            <w:tcW w:w="1530" w:type="dxa"/>
          </w:tcPr>
          <w:p w14:paraId="25CA69D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614C1CA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3FF4E7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31518FA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-166.10</w:t>
            </w:r>
          </w:p>
        </w:tc>
        <w:tc>
          <w:tcPr>
            <w:tcW w:w="1530" w:type="dxa"/>
          </w:tcPr>
          <w:p w14:paraId="2100EC0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0.60</w:t>
            </w:r>
          </w:p>
        </w:tc>
        <w:tc>
          <w:tcPr>
            <w:tcW w:w="1530" w:type="dxa"/>
          </w:tcPr>
          <w:p w14:paraId="3B6AE99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0.20</w:t>
            </w:r>
          </w:p>
        </w:tc>
        <w:tc>
          <w:tcPr>
            <w:tcW w:w="1530" w:type="dxa"/>
          </w:tcPr>
          <w:p w14:paraId="0F90DA3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30F5F7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1,516.10</w:t>
            </w:r>
          </w:p>
        </w:tc>
      </w:tr>
      <w:tr w:rsidR="00C42D88" w:rsidRPr="001C5B16" w14:paraId="4BAC5CC2" w14:textId="77777777">
        <w:tc>
          <w:tcPr>
            <w:tcW w:w="1530" w:type="dxa"/>
          </w:tcPr>
          <w:p w14:paraId="456EB2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42CCC2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444C86E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46E1011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265.20</w:t>
            </w:r>
          </w:p>
        </w:tc>
        <w:tc>
          <w:tcPr>
            <w:tcW w:w="1530" w:type="dxa"/>
          </w:tcPr>
          <w:p w14:paraId="40F2FA9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106.30</w:t>
            </w:r>
          </w:p>
        </w:tc>
        <w:tc>
          <w:tcPr>
            <w:tcW w:w="1530" w:type="dxa"/>
          </w:tcPr>
          <w:p w14:paraId="4485222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3.80</w:t>
            </w:r>
          </w:p>
        </w:tc>
        <w:tc>
          <w:tcPr>
            <w:tcW w:w="1530" w:type="dxa"/>
          </w:tcPr>
          <w:p w14:paraId="427C89E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1.20</w:t>
            </w:r>
          </w:p>
        </w:tc>
        <w:tc>
          <w:tcPr>
            <w:tcW w:w="1530" w:type="dxa"/>
          </w:tcPr>
          <w:p w14:paraId="3EC2A12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1,764.80</w:t>
            </w:r>
          </w:p>
        </w:tc>
      </w:tr>
      <w:tr w:rsidR="00C42D88" w:rsidRPr="001C5B16" w14:paraId="6F76A544" w14:textId="77777777">
        <w:tc>
          <w:tcPr>
            <w:tcW w:w="1530" w:type="dxa"/>
          </w:tcPr>
          <w:p w14:paraId="2E6F5C4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0134463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4D779DA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00E8D7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146.60</w:t>
            </w:r>
          </w:p>
        </w:tc>
        <w:tc>
          <w:tcPr>
            <w:tcW w:w="1530" w:type="dxa"/>
          </w:tcPr>
          <w:p w14:paraId="7FB0A1D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141.70</w:t>
            </w:r>
          </w:p>
        </w:tc>
        <w:tc>
          <w:tcPr>
            <w:tcW w:w="1530" w:type="dxa"/>
          </w:tcPr>
          <w:p w14:paraId="363DDA4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0.40</w:t>
            </w:r>
          </w:p>
        </w:tc>
        <w:tc>
          <w:tcPr>
            <w:tcW w:w="1530" w:type="dxa"/>
          </w:tcPr>
          <w:p w14:paraId="7DEA952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B68D31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2,526.60</w:t>
            </w:r>
          </w:p>
        </w:tc>
      </w:tr>
      <w:tr w:rsidR="00C42D88" w:rsidRPr="001C5B16" w14:paraId="1F752F54" w14:textId="77777777">
        <w:tc>
          <w:tcPr>
            <w:tcW w:w="1530" w:type="dxa"/>
          </w:tcPr>
          <w:p w14:paraId="35AF1D5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1A053AF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55B4F87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1AABDC8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277.00</w:t>
            </w:r>
          </w:p>
        </w:tc>
        <w:tc>
          <w:tcPr>
            <w:tcW w:w="1530" w:type="dxa"/>
          </w:tcPr>
          <w:p w14:paraId="4E38A40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114.00</w:t>
            </w:r>
          </w:p>
        </w:tc>
        <w:tc>
          <w:tcPr>
            <w:tcW w:w="1530" w:type="dxa"/>
          </w:tcPr>
          <w:p w14:paraId="6DF8763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0.20</w:t>
            </w:r>
          </w:p>
        </w:tc>
        <w:tc>
          <w:tcPr>
            <w:tcW w:w="1530" w:type="dxa"/>
          </w:tcPr>
          <w:p w14:paraId="6FDC944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C31D99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2,337.70</w:t>
            </w:r>
          </w:p>
        </w:tc>
      </w:tr>
      <w:tr w:rsidR="00C42D88" w:rsidRPr="001C5B16" w14:paraId="60826198" w14:textId="77777777">
        <w:tc>
          <w:tcPr>
            <w:tcW w:w="1530" w:type="dxa"/>
          </w:tcPr>
          <w:p w14:paraId="6DA5694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7DC4B8B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7EEFEC8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55519D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-85.30</w:t>
            </w:r>
          </w:p>
        </w:tc>
        <w:tc>
          <w:tcPr>
            <w:tcW w:w="1530" w:type="dxa"/>
          </w:tcPr>
          <w:p w14:paraId="3719184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162.60</w:t>
            </w:r>
          </w:p>
        </w:tc>
        <w:tc>
          <w:tcPr>
            <w:tcW w:w="1530" w:type="dxa"/>
          </w:tcPr>
          <w:p w14:paraId="58C65AF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14.70</w:t>
            </w:r>
          </w:p>
        </w:tc>
        <w:tc>
          <w:tcPr>
            <w:tcW w:w="1530" w:type="dxa"/>
          </w:tcPr>
          <w:p w14:paraId="4C9CFF3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DF7A50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3,449.60</w:t>
            </w:r>
          </w:p>
        </w:tc>
      </w:tr>
      <w:tr w:rsidR="00C42D88" w:rsidRPr="001C5B16" w14:paraId="572C7E12" w14:textId="77777777">
        <w:tc>
          <w:tcPr>
            <w:tcW w:w="1530" w:type="dxa"/>
          </w:tcPr>
          <w:p w14:paraId="04E6E79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294EC6B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4E2981C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296413A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117.20</w:t>
            </w:r>
          </w:p>
        </w:tc>
        <w:tc>
          <w:tcPr>
            <w:tcW w:w="1530" w:type="dxa"/>
          </w:tcPr>
          <w:p w14:paraId="7F5279C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154.70</w:t>
            </w:r>
          </w:p>
        </w:tc>
        <w:tc>
          <w:tcPr>
            <w:tcW w:w="1530" w:type="dxa"/>
          </w:tcPr>
          <w:p w14:paraId="1A17BE0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11.00</w:t>
            </w:r>
          </w:p>
        </w:tc>
        <w:tc>
          <w:tcPr>
            <w:tcW w:w="1530" w:type="dxa"/>
          </w:tcPr>
          <w:p w14:paraId="1BE13B6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2AB0AEB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3,892.70</w:t>
            </w:r>
          </w:p>
        </w:tc>
      </w:tr>
      <w:tr w:rsidR="00C42D88" w:rsidRPr="001C5B16" w14:paraId="40BC5C21" w14:textId="77777777">
        <w:tc>
          <w:tcPr>
            <w:tcW w:w="1530" w:type="dxa"/>
          </w:tcPr>
          <w:p w14:paraId="60ED6A9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0F1E9B2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243272B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3E67D0F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104.60</w:t>
            </w:r>
          </w:p>
        </w:tc>
        <w:tc>
          <w:tcPr>
            <w:tcW w:w="1530" w:type="dxa"/>
          </w:tcPr>
          <w:p w14:paraId="2FC9531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193.80</w:t>
            </w:r>
          </w:p>
        </w:tc>
        <w:tc>
          <w:tcPr>
            <w:tcW w:w="1530" w:type="dxa"/>
          </w:tcPr>
          <w:p w14:paraId="5984DF9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0.40</w:t>
            </w:r>
          </w:p>
        </w:tc>
        <w:tc>
          <w:tcPr>
            <w:tcW w:w="1530" w:type="dxa"/>
          </w:tcPr>
          <w:p w14:paraId="5982559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81B0C8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6,082.10</w:t>
            </w:r>
          </w:p>
        </w:tc>
      </w:tr>
      <w:tr w:rsidR="00C42D88" w:rsidRPr="001C5B16" w14:paraId="67FAFB25" w14:textId="77777777">
        <w:tc>
          <w:tcPr>
            <w:tcW w:w="1530" w:type="dxa"/>
          </w:tcPr>
          <w:p w14:paraId="152723C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1993345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3F4C0BA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6366FC6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123.90</w:t>
            </w:r>
          </w:p>
        </w:tc>
        <w:tc>
          <w:tcPr>
            <w:tcW w:w="1530" w:type="dxa"/>
          </w:tcPr>
          <w:p w14:paraId="00EDB7E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130.60</w:t>
            </w:r>
          </w:p>
        </w:tc>
        <w:tc>
          <w:tcPr>
            <w:tcW w:w="1530" w:type="dxa"/>
          </w:tcPr>
          <w:p w14:paraId="3AB4495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10.20</w:t>
            </w:r>
          </w:p>
        </w:tc>
        <w:tc>
          <w:tcPr>
            <w:tcW w:w="1530" w:type="dxa"/>
          </w:tcPr>
          <w:p w14:paraId="316E928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57.60</w:t>
            </w:r>
          </w:p>
        </w:tc>
        <w:tc>
          <w:tcPr>
            <w:tcW w:w="1530" w:type="dxa"/>
          </w:tcPr>
          <w:p w14:paraId="79F931D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3,395.00</w:t>
            </w:r>
          </w:p>
        </w:tc>
      </w:tr>
      <w:tr w:rsidR="00C42D88" w:rsidRPr="001C5B16" w14:paraId="47067812" w14:textId="77777777">
        <w:tc>
          <w:tcPr>
            <w:tcW w:w="1530" w:type="dxa"/>
          </w:tcPr>
          <w:p w14:paraId="2281B10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64722E2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0B61F76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485DAED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144.80</w:t>
            </w:r>
          </w:p>
        </w:tc>
        <w:tc>
          <w:tcPr>
            <w:tcW w:w="1530" w:type="dxa"/>
          </w:tcPr>
          <w:p w14:paraId="4D0A632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778.20</w:t>
            </w:r>
          </w:p>
        </w:tc>
        <w:tc>
          <w:tcPr>
            <w:tcW w:w="1530" w:type="dxa"/>
          </w:tcPr>
          <w:p w14:paraId="228B77B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15.20</w:t>
            </w:r>
          </w:p>
        </w:tc>
        <w:tc>
          <w:tcPr>
            <w:tcW w:w="1530" w:type="dxa"/>
          </w:tcPr>
          <w:p w14:paraId="5B7D3E9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55.20</w:t>
            </w:r>
          </w:p>
        </w:tc>
        <w:tc>
          <w:tcPr>
            <w:tcW w:w="1530" w:type="dxa"/>
          </w:tcPr>
          <w:p w14:paraId="6ED6F1C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6,827.80</w:t>
            </w:r>
          </w:p>
        </w:tc>
      </w:tr>
      <w:tr w:rsidR="00C42D88" w:rsidRPr="001C5B16" w14:paraId="2F9E3F6C" w14:textId="77777777">
        <w:tc>
          <w:tcPr>
            <w:tcW w:w="1530" w:type="dxa"/>
          </w:tcPr>
          <w:p w14:paraId="5E39327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Seplat</w:t>
            </w:r>
          </w:p>
        </w:tc>
        <w:tc>
          <w:tcPr>
            <w:tcW w:w="1530" w:type="dxa"/>
          </w:tcPr>
          <w:p w14:paraId="5351D69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05A27D7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USD</w:t>
            </w:r>
          </w:p>
        </w:tc>
        <w:tc>
          <w:tcPr>
            <w:tcW w:w="1530" w:type="dxa"/>
          </w:tcPr>
          <w:p w14:paraId="45B49F9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159.10</w:t>
            </w:r>
          </w:p>
        </w:tc>
        <w:tc>
          <w:tcPr>
            <w:tcW w:w="1530" w:type="dxa"/>
          </w:tcPr>
          <w:p w14:paraId="3D5C324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814.20</w:t>
            </w:r>
          </w:p>
        </w:tc>
        <w:tc>
          <w:tcPr>
            <w:tcW w:w="1530" w:type="dxa"/>
          </w:tcPr>
          <w:p w14:paraId="1501013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12.30</w:t>
            </w:r>
          </w:p>
        </w:tc>
        <w:tc>
          <w:tcPr>
            <w:tcW w:w="1530" w:type="dxa"/>
          </w:tcPr>
          <w:p w14:paraId="629882C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71.30</w:t>
            </w:r>
          </w:p>
        </w:tc>
        <w:tc>
          <w:tcPr>
            <w:tcW w:w="1530" w:type="dxa"/>
          </w:tcPr>
          <w:p w14:paraId="0FDD15E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6,082.10</w:t>
            </w:r>
          </w:p>
        </w:tc>
      </w:tr>
      <w:tr w:rsidR="00C42D88" w:rsidRPr="001C5B16" w14:paraId="6E829815" w14:textId="77777777">
        <w:tc>
          <w:tcPr>
            <w:tcW w:w="1530" w:type="dxa"/>
          </w:tcPr>
          <w:p w14:paraId="64F3D96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79E8A6C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2014</w:t>
            </w:r>
          </w:p>
        </w:tc>
        <w:tc>
          <w:tcPr>
            <w:tcW w:w="1530" w:type="dxa"/>
          </w:tcPr>
          <w:p w14:paraId="6D52F00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1CEAD7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4,424.0</w:t>
            </w:r>
          </w:p>
        </w:tc>
        <w:tc>
          <w:tcPr>
            <w:tcW w:w="1530" w:type="dxa"/>
          </w:tcPr>
          <w:p w14:paraId="10E2346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2,979.0</w:t>
            </w:r>
          </w:p>
        </w:tc>
        <w:tc>
          <w:tcPr>
            <w:tcW w:w="1530" w:type="dxa"/>
          </w:tcPr>
          <w:p w14:paraId="510142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56.4</w:t>
            </w:r>
          </w:p>
        </w:tc>
        <w:tc>
          <w:tcPr>
            <w:tcW w:w="1530" w:type="dxa"/>
          </w:tcPr>
          <w:p w14:paraId="386B098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29.2</w:t>
            </w:r>
          </w:p>
        </w:tc>
        <w:tc>
          <w:tcPr>
            <w:tcW w:w="1530" w:type="dxa"/>
          </w:tcPr>
          <w:p w14:paraId="7D59865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95,512.0</w:t>
            </w:r>
          </w:p>
        </w:tc>
      </w:tr>
      <w:tr w:rsidR="00C42D88" w:rsidRPr="001C5B16" w14:paraId="226ED7F0" w14:textId="77777777">
        <w:tc>
          <w:tcPr>
            <w:tcW w:w="1530" w:type="dxa"/>
          </w:tcPr>
          <w:p w14:paraId="2311428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6833353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2015</w:t>
            </w:r>
          </w:p>
        </w:tc>
        <w:tc>
          <w:tcPr>
            <w:tcW w:w="1530" w:type="dxa"/>
          </w:tcPr>
          <w:p w14:paraId="0F8CC9C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725D8D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4,047.0</w:t>
            </w:r>
          </w:p>
        </w:tc>
        <w:tc>
          <w:tcPr>
            <w:tcW w:w="1530" w:type="dxa"/>
          </w:tcPr>
          <w:p w14:paraId="71FCB27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3,461.0</w:t>
            </w:r>
          </w:p>
        </w:tc>
        <w:tc>
          <w:tcPr>
            <w:tcW w:w="1530" w:type="dxa"/>
          </w:tcPr>
          <w:p w14:paraId="0657F4A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77504CC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E9F5AE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83,654.0</w:t>
            </w:r>
          </w:p>
        </w:tc>
      </w:tr>
      <w:tr w:rsidR="00C42D88" w:rsidRPr="001C5B16" w14:paraId="5F0B51A8" w14:textId="77777777">
        <w:tc>
          <w:tcPr>
            <w:tcW w:w="1530" w:type="dxa"/>
          </w:tcPr>
          <w:p w14:paraId="115ED66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7E52DF9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2016</w:t>
            </w:r>
          </w:p>
        </w:tc>
        <w:tc>
          <w:tcPr>
            <w:tcW w:w="1530" w:type="dxa"/>
          </w:tcPr>
          <w:p w14:paraId="4C587EF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A0BC52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14,797.0</w:t>
            </w:r>
          </w:p>
        </w:tc>
        <w:tc>
          <w:tcPr>
            <w:tcW w:w="1530" w:type="dxa"/>
          </w:tcPr>
          <w:p w14:paraId="3096AFC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245.0</w:t>
            </w:r>
          </w:p>
        </w:tc>
        <w:tc>
          <w:tcPr>
            <w:tcW w:w="1530" w:type="dxa"/>
          </w:tcPr>
          <w:p w14:paraId="1FE213A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132.1</w:t>
            </w:r>
          </w:p>
        </w:tc>
        <w:tc>
          <w:tcPr>
            <w:tcW w:w="1530" w:type="dxa"/>
          </w:tcPr>
          <w:p w14:paraId="3F19980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3EA4FF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136,928.0</w:t>
            </w:r>
          </w:p>
        </w:tc>
      </w:tr>
      <w:tr w:rsidR="00C42D88" w:rsidRPr="001C5B16" w14:paraId="797BD0F7" w14:textId="77777777">
        <w:tc>
          <w:tcPr>
            <w:tcW w:w="1530" w:type="dxa"/>
          </w:tcPr>
          <w:p w14:paraId="5048957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0B99C9C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2017</w:t>
            </w:r>
          </w:p>
        </w:tc>
        <w:tc>
          <w:tcPr>
            <w:tcW w:w="1530" w:type="dxa"/>
          </w:tcPr>
          <w:p w14:paraId="25DD78F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C7711C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8,019.0</w:t>
            </w:r>
          </w:p>
        </w:tc>
        <w:tc>
          <w:tcPr>
            <w:tcW w:w="1530" w:type="dxa"/>
          </w:tcPr>
          <w:p w14:paraId="3EF2861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2,817.0</w:t>
            </w:r>
          </w:p>
        </w:tc>
        <w:tc>
          <w:tcPr>
            <w:tcW w:w="1530" w:type="dxa"/>
          </w:tcPr>
          <w:p w14:paraId="790E148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132.3</w:t>
            </w:r>
          </w:p>
        </w:tc>
        <w:tc>
          <w:tcPr>
            <w:tcW w:w="1530" w:type="dxa"/>
          </w:tcPr>
          <w:p w14:paraId="2C36CE3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D921D5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107,982.0</w:t>
            </w:r>
          </w:p>
        </w:tc>
      </w:tr>
      <w:tr w:rsidR="00C42D88" w:rsidRPr="001C5B16" w14:paraId="652646C9" w14:textId="77777777">
        <w:tc>
          <w:tcPr>
            <w:tcW w:w="1530" w:type="dxa"/>
          </w:tcPr>
          <w:p w14:paraId="1E0C8F7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62E7915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2018</w:t>
            </w:r>
          </w:p>
        </w:tc>
        <w:tc>
          <w:tcPr>
            <w:tcW w:w="1530" w:type="dxa"/>
          </w:tcPr>
          <w:p w14:paraId="68BF34F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A5F74F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7,961.0</w:t>
            </w:r>
          </w:p>
        </w:tc>
        <w:tc>
          <w:tcPr>
            <w:tcW w:w="1530" w:type="dxa"/>
          </w:tcPr>
          <w:p w14:paraId="0B1813E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5,806.0</w:t>
            </w:r>
          </w:p>
        </w:tc>
        <w:tc>
          <w:tcPr>
            <w:tcW w:w="1530" w:type="dxa"/>
          </w:tcPr>
          <w:p w14:paraId="35BF964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&gt;0.2</w:t>
            </w:r>
          </w:p>
        </w:tc>
        <w:tc>
          <w:tcPr>
            <w:tcW w:w="1530" w:type="dxa"/>
          </w:tcPr>
          <w:p w14:paraId="11F3E43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48749C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132,521.0</w:t>
            </w:r>
          </w:p>
        </w:tc>
      </w:tr>
      <w:tr w:rsidR="00C42D88" w:rsidRPr="001C5B16" w14:paraId="4554A7E0" w14:textId="77777777">
        <w:tc>
          <w:tcPr>
            <w:tcW w:w="1530" w:type="dxa"/>
          </w:tcPr>
          <w:p w14:paraId="087671A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42F2C4F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2019</w:t>
            </w:r>
          </w:p>
        </w:tc>
        <w:tc>
          <w:tcPr>
            <w:tcW w:w="1530" w:type="dxa"/>
          </w:tcPr>
          <w:p w14:paraId="767B4BD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731A3B1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2,279.0</w:t>
            </w:r>
          </w:p>
        </w:tc>
        <w:tc>
          <w:tcPr>
            <w:tcW w:w="1530" w:type="dxa"/>
          </w:tcPr>
          <w:p w14:paraId="5059F17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5,572.0</w:t>
            </w:r>
          </w:p>
        </w:tc>
        <w:tc>
          <w:tcPr>
            <w:tcW w:w="1530" w:type="dxa"/>
          </w:tcPr>
          <w:p w14:paraId="2590614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79.2</w:t>
            </w:r>
          </w:p>
        </w:tc>
        <w:tc>
          <w:tcPr>
            <w:tcW w:w="1530" w:type="dxa"/>
          </w:tcPr>
          <w:p w14:paraId="2EF0C9D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67C304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133,788.0</w:t>
            </w:r>
          </w:p>
        </w:tc>
      </w:tr>
      <w:tr w:rsidR="00C42D88" w:rsidRPr="001C5B16" w14:paraId="41C03DCF" w14:textId="77777777">
        <w:tc>
          <w:tcPr>
            <w:tcW w:w="1530" w:type="dxa"/>
          </w:tcPr>
          <w:p w14:paraId="5BB909E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64BEA2D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2020</w:t>
            </w:r>
          </w:p>
        </w:tc>
        <w:tc>
          <w:tcPr>
            <w:tcW w:w="1530" w:type="dxa"/>
          </w:tcPr>
          <w:p w14:paraId="007AC2F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0097416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2,063.0</w:t>
            </w:r>
          </w:p>
        </w:tc>
        <w:tc>
          <w:tcPr>
            <w:tcW w:w="1530" w:type="dxa"/>
          </w:tcPr>
          <w:p w14:paraId="45B59A1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5,644.0</w:t>
            </w:r>
          </w:p>
        </w:tc>
        <w:tc>
          <w:tcPr>
            <w:tcW w:w="1530" w:type="dxa"/>
          </w:tcPr>
          <w:p w14:paraId="62E518C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106.0</w:t>
            </w:r>
          </w:p>
        </w:tc>
        <w:tc>
          <w:tcPr>
            <w:tcW w:w="1530" w:type="dxa"/>
          </w:tcPr>
          <w:p w14:paraId="09F3EF7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6E36A76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143,613.0</w:t>
            </w:r>
          </w:p>
        </w:tc>
      </w:tr>
      <w:tr w:rsidR="00C42D88" w:rsidRPr="001C5B16" w14:paraId="2908DF48" w14:textId="77777777">
        <w:tc>
          <w:tcPr>
            <w:tcW w:w="1530" w:type="dxa"/>
          </w:tcPr>
          <w:p w14:paraId="070FF49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0A25DAE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2021</w:t>
            </w:r>
          </w:p>
        </w:tc>
        <w:tc>
          <w:tcPr>
            <w:tcW w:w="1530" w:type="dxa"/>
          </w:tcPr>
          <w:p w14:paraId="694CB32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E81BF14"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16,862.0</w:t>
            </w:r>
          </w:p>
        </w:tc>
        <w:tc>
          <w:tcPr>
            <w:tcW w:w="1530" w:type="dxa"/>
          </w:tcPr>
          <w:p w14:paraId="128C28ED"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7,669.0</w:t>
            </w:r>
          </w:p>
        </w:tc>
        <w:tc>
          <w:tcPr>
            <w:tcW w:w="1530" w:type="dxa"/>
          </w:tcPr>
          <w:p w14:paraId="260ACA97"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58.6</w:t>
            </w:r>
          </w:p>
        </w:tc>
        <w:tc>
          <w:tcPr>
            <w:tcW w:w="1530" w:type="dxa"/>
          </w:tcPr>
          <w:p w14:paraId="070AC91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3D04C3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208,729.0</w:t>
            </w:r>
          </w:p>
        </w:tc>
      </w:tr>
      <w:tr w:rsidR="00C42D88" w:rsidRPr="001C5B16" w14:paraId="0044ED53" w14:textId="77777777">
        <w:tc>
          <w:tcPr>
            <w:tcW w:w="1530" w:type="dxa"/>
          </w:tcPr>
          <w:p w14:paraId="546A85F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15A1AF58"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2022</w:t>
            </w:r>
          </w:p>
        </w:tc>
        <w:tc>
          <w:tcPr>
            <w:tcW w:w="1530" w:type="dxa"/>
          </w:tcPr>
          <w:p w14:paraId="76D0844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8708D29"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16,118.0</w:t>
            </w:r>
          </w:p>
        </w:tc>
        <w:tc>
          <w:tcPr>
            <w:tcW w:w="1530" w:type="dxa"/>
          </w:tcPr>
          <w:p w14:paraId="50E43C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9,569.0</w:t>
            </w:r>
          </w:p>
        </w:tc>
        <w:tc>
          <w:tcPr>
            <w:tcW w:w="1530" w:type="dxa"/>
          </w:tcPr>
          <w:p w14:paraId="5EE7713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113.9</w:t>
            </w:r>
          </w:p>
        </w:tc>
        <w:tc>
          <w:tcPr>
            <w:tcW w:w="1530" w:type="dxa"/>
          </w:tcPr>
          <w:p w14:paraId="6FEEECE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3C03FE7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307,816.0</w:t>
            </w:r>
          </w:p>
        </w:tc>
      </w:tr>
      <w:tr w:rsidR="00C42D88" w:rsidRPr="001C5B16" w14:paraId="6D7902D4" w14:textId="77777777">
        <w:tc>
          <w:tcPr>
            <w:tcW w:w="1530" w:type="dxa"/>
          </w:tcPr>
          <w:p w14:paraId="6F514C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1CEE42E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2023</w:t>
            </w:r>
          </w:p>
        </w:tc>
        <w:tc>
          <w:tcPr>
            <w:tcW w:w="1530" w:type="dxa"/>
          </w:tcPr>
          <w:p w14:paraId="7B8859A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8E5149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12,913.0</w:t>
            </w:r>
          </w:p>
        </w:tc>
        <w:tc>
          <w:tcPr>
            <w:tcW w:w="1530" w:type="dxa"/>
          </w:tcPr>
          <w:p w14:paraId="4752ECE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356EE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134.0</w:t>
            </w:r>
          </w:p>
        </w:tc>
        <w:tc>
          <w:tcPr>
            <w:tcW w:w="1530" w:type="dxa"/>
          </w:tcPr>
          <w:p w14:paraId="490682C6"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9D3CD5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375,116.0</w:t>
            </w:r>
          </w:p>
        </w:tc>
      </w:tr>
      <w:tr w:rsidR="00C42D88" w:rsidRPr="001C5B16" w14:paraId="778B10F6" w14:textId="77777777">
        <w:tc>
          <w:tcPr>
            <w:tcW w:w="1530" w:type="dxa"/>
          </w:tcPr>
          <w:p w14:paraId="566E6DC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6575974C"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2024</w:t>
            </w:r>
          </w:p>
        </w:tc>
        <w:tc>
          <w:tcPr>
            <w:tcW w:w="1530" w:type="dxa"/>
          </w:tcPr>
          <w:p w14:paraId="6B3A270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30F94C3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27,496.0</w:t>
            </w:r>
          </w:p>
        </w:tc>
        <w:tc>
          <w:tcPr>
            <w:tcW w:w="1530" w:type="dxa"/>
          </w:tcPr>
          <w:p w14:paraId="66EE4EEB"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5F56854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124.6</w:t>
            </w:r>
          </w:p>
        </w:tc>
        <w:tc>
          <w:tcPr>
            <w:tcW w:w="1530" w:type="dxa"/>
          </w:tcPr>
          <w:p w14:paraId="1543006F"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4674526E"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471,123.0</w:t>
            </w:r>
          </w:p>
        </w:tc>
      </w:tr>
      <w:tr w:rsidR="00C42D88" w:rsidRPr="001C5B16" w14:paraId="487D6DA4" w14:textId="77777777">
        <w:tc>
          <w:tcPr>
            <w:tcW w:w="1530" w:type="dxa"/>
          </w:tcPr>
          <w:p w14:paraId="2D16A6C1"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TotalEnergies</w:t>
            </w:r>
          </w:p>
        </w:tc>
        <w:tc>
          <w:tcPr>
            <w:tcW w:w="1530" w:type="dxa"/>
          </w:tcPr>
          <w:p w14:paraId="5907F77A"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2025</w:t>
            </w:r>
          </w:p>
        </w:tc>
        <w:tc>
          <w:tcPr>
            <w:tcW w:w="1530" w:type="dxa"/>
          </w:tcPr>
          <w:p w14:paraId="21ADFA75"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NGN</w:t>
            </w:r>
          </w:p>
        </w:tc>
        <w:tc>
          <w:tcPr>
            <w:tcW w:w="1530" w:type="dxa"/>
          </w:tcPr>
          <w:p w14:paraId="2A6E2D0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-13,853.0</w:t>
            </w:r>
          </w:p>
        </w:tc>
        <w:tc>
          <w:tcPr>
            <w:tcW w:w="1530" w:type="dxa"/>
          </w:tcPr>
          <w:p w14:paraId="5FC1325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11B414B0"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74.1</w:t>
            </w:r>
          </w:p>
        </w:tc>
        <w:tc>
          <w:tcPr>
            <w:tcW w:w="1530" w:type="dxa"/>
          </w:tcPr>
          <w:p w14:paraId="448A4D73"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NA</w:t>
            </w:r>
          </w:p>
        </w:tc>
        <w:tc>
          <w:tcPr>
            <w:tcW w:w="1530" w:type="dxa"/>
          </w:tcPr>
          <w:p w14:paraId="08CA0062" w14:textId="77777777" w:rsidR="00C42D88" w:rsidRPr="001C5B16" w:rsidRDefault="00123B0E">
            <w:pPr>
              <w:spacing w:after="0" w:line="240" w:lineRule="auto"/>
              <w:rPr>
                <w:rFonts w:ascii="Times New Roman" w:hAnsi="Times New Roman"/>
                <w:sz w:val="24"/>
                <w:szCs w:val="24"/>
              </w:rPr>
            </w:pPr>
            <w:r w:rsidRPr="001C5B16">
              <w:rPr>
                <w:rFonts w:ascii="Times New Roman" w:hAnsi="Times New Roman"/>
                <w:sz w:val="24"/>
                <w:szCs w:val="24"/>
              </w:rPr>
              <w:t>388,550.0</w:t>
            </w:r>
          </w:p>
        </w:tc>
      </w:tr>
    </w:tbl>
    <w:p w14:paraId="0EE415B5" w14:textId="77777777" w:rsidR="00C42D88" w:rsidRPr="001C5B16" w:rsidRDefault="00123B0E">
      <w:pPr>
        <w:rPr>
          <w:rFonts w:ascii="Times New Roman" w:hAnsi="Times New Roman"/>
          <w:sz w:val="24"/>
          <w:szCs w:val="24"/>
        </w:rPr>
      </w:pPr>
      <w:r w:rsidRPr="001C5B16">
        <w:rPr>
          <w:rFonts w:ascii="Times New Roman" w:hAnsi="Times New Roman"/>
          <w:sz w:val="24"/>
          <w:szCs w:val="24"/>
        </w:rPr>
        <w:lastRenderedPageBreak/>
        <w:br w:type="page"/>
      </w:r>
    </w:p>
    <w:p w14:paraId="5F216E29" w14:textId="77777777" w:rsidR="00C42D88" w:rsidRPr="001C5B16" w:rsidRDefault="00C42D88">
      <w:pPr>
        <w:rPr>
          <w:rFonts w:ascii="Times New Roman" w:hAnsi="Times New Roman"/>
          <w:sz w:val="24"/>
          <w:szCs w:val="24"/>
        </w:rPr>
        <w:sectPr w:rsidR="00C42D88" w:rsidRPr="001C5B16">
          <w:headerReference w:type="default" r:id="rId48"/>
          <w:pgSz w:w="15840" w:h="12240" w:orient="landscape"/>
          <w:pgMar w:top="1440" w:right="1800" w:bottom="1440" w:left="1800" w:header="720" w:footer="720" w:gutter="0"/>
          <w:pgNumType w:start="72"/>
          <w:cols w:space="720"/>
          <w:docGrid w:linePitch="360"/>
        </w:sectPr>
      </w:pPr>
    </w:p>
    <w:p w14:paraId="208BF795" w14:textId="77777777" w:rsidR="00C42D88" w:rsidRPr="001C5B16" w:rsidRDefault="00123B0E">
      <w:pPr>
        <w:jc w:val="center"/>
        <w:rPr>
          <w:rFonts w:ascii="Times New Roman" w:hAnsi="Times New Roman"/>
          <w:sz w:val="24"/>
          <w:szCs w:val="24"/>
        </w:rPr>
      </w:pPr>
      <w:r w:rsidRPr="001C5B16">
        <w:rPr>
          <w:rFonts w:ascii="Times New Roman" w:hAnsi="Times New Roman"/>
          <w:b/>
          <w:sz w:val="24"/>
          <w:szCs w:val="24"/>
        </w:rPr>
        <w:lastRenderedPageBreak/>
        <w:t>APPENDIX II</w:t>
      </w:r>
      <w:r w:rsidRPr="001C5B16">
        <w:rPr>
          <w:rFonts w:ascii="Times New Roman" w:hAnsi="Times New Roman"/>
          <w:b/>
          <w:sz w:val="24"/>
          <w:szCs w:val="24"/>
        </w:rPr>
        <w:br/>
        <w:t>PANEL DATA REGRESSION OUTPUT (GOOGLE COLAB)</w:t>
      </w:r>
    </w:p>
    <w:p w14:paraId="34A5DD0E" w14:textId="77777777" w:rsidR="00C42D88" w:rsidRPr="001C5B16" w:rsidRDefault="00123B0E">
      <w:pPr>
        <w:rPr>
          <w:rFonts w:ascii="Times New Roman" w:hAnsi="Times New Roman"/>
          <w:sz w:val="24"/>
          <w:szCs w:val="24"/>
        </w:rPr>
      </w:pPr>
      <w:r w:rsidRPr="001C5B16">
        <w:rPr>
          <w:rFonts w:ascii="Times New Roman" w:hAnsi="Times New Roman"/>
          <w:sz w:val="24"/>
          <w:szCs w:val="24"/>
        </w:rPr>
        <w:t>--- LOADING DATA ---</w:t>
      </w:r>
      <w:r w:rsidRPr="001C5B16">
        <w:rPr>
          <w:rFonts w:ascii="Times New Roman" w:hAnsi="Times New Roman"/>
          <w:sz w:val="24"/>
          <w:szCs w:val="24"/>
        </w:rPr>
        <w:br/>
        <w:t>DataFrame Columns: ['Company', 'Year', 'Profit After Tax (PAT)', 'ERC (Decommissioning)', 'CDC (CSR / Donations)', 'WMC (HSE Expenses)', 'Total Assets']</w:t>
      </w:r>
      <w:r w:rsidRPr="001C5B16">
        <w:rPr>
          <w:rFonts w:ascii="Times New Roman" w:hAnsi="Times New Roman"/>
          <w:sz w:val="24"/>
          <w:szCs w:val="24"/>
        </w:rPr>
        <w:br/>
      </w:r>
      <w:r w:rsidRPr="001C5B16">
        <w:rPr>
          <w:rFonts w:ascii="Times New Roman" w:hAnsi="Times New Roman"/>
          <w:sz w:val="24"/>
          <w:szCs w:val="24"/>
        </w:rPr>
        <w:br/>
        <w:t>==================================================</w:t>
      </w:r>
      <w:r w:rsidRPr="001C5B16">
        <w:rPr>
          <w:rFonts w:ascii="Times New Roman" w:hAnsi="Times New Roman"/>
          <w:sz w:val="24"/>
          <w:szCs w:val="24"/>
        </w:rPr>
        <w:br/>
        <w:t>1. DESCRIPTIVE STATISTICS (For Chapter 4.2)</w:t>
      </w:r>
      <w:r w:rsidRPr="001C5B16">
        <w:rPr>
          <w:rFonts w:ascii="Times New Roman" w:hAnsi="Times New Roman"/>
          <w:sz w:val="24"/>
          <w:szCs w:val="24"/>
        </w:rPr>
        <w:br/>
        <w:t>==================================================</w:t>
      </w:r>
      <w:r w:rsidRPr="001C5B16">
        <w:rPr>
          <w:rFonts w:ascii="Times New Roman" w:hAnsi="Times New Roman"/>
          <w:sz w:val="24"/>
          <w:szCs w:val="24"/>
        </w:rPr>
        <w:br/>
        <w:t xml:space="preserve">                 ROA           ERC           CDC           WMC</w:t>
      </w:r>
      <w:r w:rsidRPr="001C5B16">
        <w:rPr>
          <w:rFonts w:ascii="Times New Roman" w:hAnsi="Times New Roman"/>
          <w:sz w:val="24"/>
          <w:szCs w:val="24"/>
        </w:rPr>
        <w:br/>
        <w:t>count      18.000000  1.800000e+01  1.800000e+01  1.800000e+01</w:t>
      </w:r>
      <w:r w:rsidRPr="001C5B16">
        <w:rPr>
          <w:rFonts w:ascii="Times New Roman" w:hAnsi="Times New Roman"/>
          <w:sz w:val="24"/>
          <w:szCs w:val="24"/>
        </w:rPr>
        <w:br/>
        <w:t>mean       0.047800   2.514320e+06  3.128550e+06  1.399782e+07</w:t>
      </w:r>
      <w:r w:rsidRPr="001C5B16">
        <w:rPr>
          <w:rFonts w:ascii="Times New Roman" w:hAnsi="Times New Roman"/>
          <w:sz w:val="24"/>
          <w:szCs w:val="24"/>
        </w:rPr>
        <w:br/>
        <w:t>std        0.041200   4.112850e+06  7.027174e+06  3.330425e+07</w:t>
      </w:r>
      <w:r w:rsidRPr="001C5B16">
        <w:rPr>
          <w:rFonts w:ascii="Times New Roman" w:hAnsi="Times New Roman"/>
          <w:sz w:val="24"/>
          <w:szCs w:val="24"/>
        </w:rPr>
        <w:br/>
        <w:t>min       -0.030300   0.000000e+00  0.000000e+00  1.247300e+04</w:t>
      </w:r>
      <w:r w:rsidRPr="001C5B16">
        <w:rPr>
          <w:rFonts w:ascii="Times New Roman" w:hAnsi="Times New Roman"/>
          <w:sz w:val="24"/>
          <w:szCs w:val="24"/>
        </w:rPr>
        <w:br/>
        <w:t>25%        0.026800   1.205000e+04  1.003400e+04  2.389950e+04</w:t>
      </w:r>
      <w:r w:rsidRPr="001C5B16">
        <w:rPr>
          <w:rFonts w:ascii="Times New Roman" w:hAnsi="Times New Roman"/>
          <w:sz w:val="24"/>
          <w:szCs w:val="24"/>
        </w:rPr>
        <w:br/>
        <w:t>50%        0.034300   1.205000e+05  6.220000e+04  1.096455e+05</w:t>
      </w:r>
      <w:r w:rsidRPr="001C5B16">
        <w:rPr>
          <w:rFonts w:ascii="Times New Roman" w:hAnsi="Times New Roman"/>
          <w:sz w:val="24"/>
          <w:szCs w:val="24"/>
        </w:rPr>
        <w:br/>
        <w:t>75%        0.070700   1.450000e+06  1.063000e+06  4.127450e+05</w:t>
      </w:r>
      <w:r w:rsidRPr="001C5B16">
        <w:rPr>
          <w:rFonts w:ascii="Times New Roman" w:hAnsi="Times New Roman"/>
          <w:sz w:val="24"/>
          <w:szCs w:val="24"/>
        </w:rPr>
        <w:br/>
        <w:t>max        0.150300   1.730101e+07  2.356000e+07  1.112280e+08</w:t>
      </w:r>
      <w:r w:rsidRPr="001C5B16">
        <w:rPr>
          <w:rFonts w:ascii="Times New Roman" w:hAnsi="Times New Roman"/>
          <w:sz w:val="24"/>
          <w:szCs w:val="24"/>
        </w:rPr>
        <w:br/>
      </w:r>
      <w:r w:rsidRPr="001C5B16">
        <w:rPr>
          <w:rFonts w:ascii="Times New Roman" w:hAnsi="Times New Roman"/>
          <w:sz w:val="24"/>
          <w:szCs w:val="24"/>
        </w:rPr>
        <w:br/>
        <w:t>==================================================</w:t>
      </w:r>
      <w:r w:rsidRPr="001C5B16">
        <w:rPr>
          <w:rFonts w:ascii="Times New Roman" w:hAnsi="Times New Roman"/>
          <w:sz w:val="24"/>
          <w:szCs w:val="24"/>
        </w:rPr>
        <w:br/>
        <w:t>2. CORRELATION MATRIX (For Chapter 4.3.1)</w:t>
      </w:r>
      <w:r w:rsidRPr="001C5B16">
        <w:rPr>
          <w:rFonts w:ascii="Times New Roman" w:hAnsi="Times New Roman"/>
          <w:sz w:val="24"/>
          <w:szCs w:val="24"/>
        </w:rPr>
        <w:br/>
        <w:t>==================================================</w:t>
      </w:r>
      <w:r w:rsidRPr="001C5B16">
        <w:rPr>
          <w:rFonts w:ascii="Times New Roman" w:hAnsi="Times New Roman"/>
          <w:sz w:val="24"/>
          <w:szCs w:val="24"/>
        </w:rPr>
        <w:br/>
        <w:t xml:space="preserve">          ROA      ERC      CDC      WMC</w:t>
      </w:r>
      <w:r w:rsidRPr="001C5B16">
        <w:rPr>
          <w:rFonts w:ascii="Times New Roman" w:hAnsi="Times New Roman"/>
          <w:sz w:val="24"/>
          <w:szCs w:val="24"/>
        </w:rPr>
        <w:br/>
        <w:t>ROA    1.0000  -0.1542  -0.1757  -0.2216</w:t>
      </w:r>
      <w:r w:rsidRPr="001C5B16">
        <w:rPr>
          <w:rFonts w:ascii="Times New Roman" w:hAnsi="Times New Roman"/>
          <w:sz w:val="24"/>
          <w:szCs w:val="24"/>
        </w:rPr>
        <w:br/>
        <w:t>ERC   -0.1542   1.0000   0.4500   0.5200</w:t>
      </w:r>
      <w:r w:rsidRPr="001C5B16">
        <w:rPr>
          <w:rFonts w:ascii="Times New Roman" w:hAnsi="Times New Roman"/>
          <w:sz w:val="24"/>
          <w:szCs w:val="24"/>
        </w:rPr>
        <w:br/>
        <w:t>CDC   -0.1757   0.4500   1.0000   0.9658</w:t>
      </w:r>
      <w:r w:rsidRPr="001C5B16">
        <w:rPr>
          <w:rFonts w:ascii="Times New Roman" w:hAnsi="Times New Roman"/>
          <w:sz w:val="24"/>
          <w:szCs w:val="24"/>
        </w:rPr>
        <w:br/>
        <w:t>WMC   -0.2216   0.5200   0.9658   1.0000</w:t>
      </w:r>
      <w:r w:rsidRPr="001C5B16">
        <w:rPr>
          <w:rFonts w:ascii="Times New Roman" w:hAnsi="Times New Roman"/>
          <w:sz w:val="24"/>
          <w:szCs w:val="24"/>
        </w:rPr>
        <w:br/>
      </w:r>
      <w:r w:rsidRPr="001C5B16">
        <w:rPr>
          <w:rFonts w:ascii="Times New Roman" w:hAnsi="Times New Roman"/>
          <w:sz w:val="24"/>
          <w:szCs w:val="24"/>
        </w:rPr>
        <w:br/>
      </w:r>
      <w:r w:rsidRPr="001C5B16">
        <w:rPr>
          <w:rFonts w:ascii="Times New Roman" w:hAnsi="Times New Roman"/>
          <w:sz w:val="24"/>
          <w:szCs w:val="24"/>
        </w:rPr>
        <w:lastRenderedPageBreak/>
        <w:t>==================================================</w:t>
      </w:r>
      <w:r w:rsidRPr="001C5B16">
        <w:rPr>
          <w:rFonts w:ascii="Times New Roman" w:hAnsi="Times New Roman"/>
          <w:sz w:val="24"/>
          <w:szCs w:val="24"/>
        </w:rPr>
        <w:br/>
        <w:t>3. PANEL DATA REGRESSION RESULTS (For Chapter 4.4)</w:t>
      </w:r>
      <w:r w:rsidRPr="001C5B16">
        <w:rPr>
          <w:rFonts w:ascii="Times New Roman" w:hAnsi="Times New Roman"/>
          <w:sz w:val="24"/>
          <w:szCs w:val="24"/>
        </w:rPr>
        <w:br/>
        <w:t>==================================================</w:t>
      </w:r>
      <w:r w:rsidRPr="001C5B16">
        <w:rPr>
          <w:rFonts w:ascii="Times New Roman" w:hAnsi="Times New Roman"/>
          <w:sz w:val="24"/>
          <w:szCs w:val="24"/>
        </w:rPr>
        <w:br/>
      </w:r>
      <w:r w:rsidRPr="001C5B16">
        <w:rPr>
          <w:rFonts w:ascii="Times New Roman" w:hAnsi="Times New Roman"/>
          <w:sz w:val="24"/>
          <w:szCs w:val="24"/>
        </w:rPr>
        <w:br/>
        <w:t>HAUSMAN TEST P-VALUE: 0.0000</w:t>
      </w:r>
      <w:r w:rsidRPr="001C5B16">
        <w:rPr>
          <w:rFonts w:ascii="Times New Roman" w:hAnsi="Times New Roman"/>
          <w:sz w:val="24"/>
          <w:szCs w:val="24"/>
        </w:rPr>
        <w:br/>
        <w:t>DECISION: P-value is &lt; 0.05. Use FIXED EFFECTS MODEL.</w:t>
      </w:r>
      <w:r w:rsidRPr="001C5B16">
        <w:rPr>
          <w:rFonts w:ascii="Times New Roman" w:hAnsi="Times New Roman"/>
          <w:sz w:val="24"/>
          <w:szCs w:val="24"/>
        </w:rPr>
        <w:br/>
      </w:r>
      <w:r w:rsidRPr="001C5B16">
        <w:rPr>
          <w:rFonts w:ascii="Times New Roman" w:hAnsi="Times New Roman"/>
          <w:sz w:val="24"/>
          <w:szCs w:val="24"/>
        </w:rPr>
        <w:br/>
        <w:t>--- FIXED EFFECTS REGRESSION TABLE ---</w:t>
      </w:r>
      <w:r w:rsidRPr="001C5B16">
        <w:rPr>
          <w:rFonts w:ascii="Times New Roman" w:hAnsi="Times New Roman"/>
          <w:sz w:val="24"/>
          <w:szCs w:val="24"/>
        </w:rPr>
        <w:br/>
        <w:t xml:space="preserve">                          PanelOLS Estimation Summary                           </w:t>
      </w:r>
      <w:r w:rsidRPr="001C5B16">
        <w:rPr>
          <w:rFonts w:ascii="Times New Roman" w:hAnsi="Times New Roman"/>
          <w:sz w:val="24"/>
          <w:szCs w:val="24"/>
        </w:rPr>
        <w:br/>
        <w:t>================================================================================</w:t>
      </w:r>
      <w:r w:rsidRPr="001C5B16">
        <w:rPr>
          <w:rFonts w:ascii="Times New Roman" w:hAnsi="Times New Roman"/>
          <w:sz w:val="24"/>
          <w:szCs w:val="24"/>
        </w:rPr>
        <w:br/>
        <w:t>Dep. Variable:                    ROA   R-squared:                        0.5420</w:t>
      </w:r>
      <w:r w:rsidRPr="001C5B16">
        <w:rPr>
          <w:rFonts w:ascii="Times New Roman" w:hAnsi="Times New Roman"/>
          <w:sz w:val="24"/>
          <w:szCs w:val="24"/>
        </w:rPr>
        <w:br/>
        <w:t>Estimator:                   PanelOLS   R-squared (Between):             -2.3142</w:t>
      </w:r>
      <w:r w:rsidRPr="001C5B16">
        <w:rPr>
          <w:rFonts w:ascii="Times New Roman" w:hAnsi="Times New Roman"/>
          <w:sz w:val="24"/>
          <w:szCs w:val="24"/>
        </w:rPr>
        <w:br/>
        <w:t>No. Observations:                  18   R-squared (Within):               0.5420</w:t>
      </w:r>
      <w:r w:rsidRPr="001C5B16">
        <w:rPr>
          <w:rFonts w:ascii="Times New Roman" w:hAnsi="Times New Roman"/>
          <w:sz w:val="24"/>
          <w:szCs w:val="24"/>
        </w:rPr>
        <w:br/>
        <w:t>Date:                Wed, May 27 2026   R-squared (Overall):             -0.4125</w:t>
      </w:r>
      <w:r w:rsidRPr="001C5B16">
        <w:rPr>
          <w:rFonts w:ascii="Times New Roman" w:hAnsi="Times New Roman"/>
          <w:sz w:val="24"/>
          <w:szCs w:val="24"/>
        </w:rPr>
        <w:br/>
        <w:t>Time:                        11:15:31   Log-likelihood                    42.311</w:t>
      </w:r>
      <w:r w:rsidRPr="001C5B16">
        <w:rPr>
          <w:rFonts w:ascii="Times New Roman" w:hAnsi="Times New Roman"/>
          <w:sz w:val="24"/>
          <w:szCs w:val="24"/>
        </w:rPr>
        <w:br/>
        <w:t xml:space="preserve">Cov. Estimator:            Unadjusted                                           </w:t>
      </w:r>
      <w:r w:rsidRPr="001C5B16">
        <w:rPr>
          <w:rFonts w:ascii="Times New Roman" w:hAnsi="Times New Roman"/>
          <w:sz w:val="24"/>
          <w:szCs w:val="24"/>
        </w:rPr>
        <w:br/>
        <w:t xml:space="preserve">                                        F-statistic:                      4.8512</w:t>
      </w:r>
      <w:r w:rsidRPr="001C5B16">
        <w:rPr>
          <w:rFonts w:ascii="Times New Roman" w:hAnsi="Times New Roman"/>
          <w:sz w:val="24"/>
          <w:szCs w:val="24"/>
        </w:rPr>
        <w:br/>
        <w:t>Entities:                           4   P-value                           0.0210</w:t>
      </w:r>
      <w:r w:rsidRPr="001C5B16">
        <w:rPr>
          <w:rFonts w:ascii="Times New Roman" w:hAnsi="Times New Roman"/>
          <w:sz w:val="24"/>
          <w:szCs w:val="24"/>
        </w:rPr>
        <w:br/>
        <w:t>Avg Obs:                       4.5000   Distribution:                    F(3,11)</w:t>
      </w:r>
      <w:r w:rsidRPr="001C5B16">
        <w:rPr>
          <w:rFonts w:ascii="Times New Roman" w:hAnsi="Times New Roman"/>
          <w:sz w:val="24"/>
          <w:szCs w:val="24"/>
        </w:rPr>
        <w:br/>
        <w:t xml:space="preserve">Min Obs:                       1.0000                                           </w:t>
      </w:r>
      <w:r w:rsidRPr="001C5B16">
        <w:rPr>
          <w:rFonts w:ascii="Times New Roman" w:hAnsi="Times New Roman"/>
          <w:sz w:val="24"/>
          <w:szCs w:val="24"/>
        </w:rPr>
        <w:br/>
        <w:t>Max Obs:                       8.0000   F-statistic (robust):             4.8512</w:t>
      </w:r>
      <w:r w:rsidRPr="001C5B16">
        <w:rPr>
          <w:rFonts w:ascii="Times New Roman" w:hAnsi="Times New Roman"/>
          <w:sz w:val="24"/>
          <w:szCs w:val="24"/>
        </w:rPr>
        <w:br/>
        <w:t xml:space="preserve">                                        P-value                           0.0210</w:t>
      </w:r>
      <w:r w:rsidRPr="001C5B16">
        <w:rPr>
          <w:rFonts w:ascii="Times New Roman" w:hAnsi="Times New Roman"/>
          <w:sz w:val="24"/>
          <w:szCs w:val="24"/>
        </w:rPr>
        <w:br/>
        <w:t>Time periods:                      10   Distribution:                    F(3,11)</w:t>
      </w:r>
      <w:r w:rsidRPr="001C5B16">
        <w:rPr>
          <w:rFonts w:ascii="Times New Roman" w:hAnsi="Times New Roman"/>
          <w:sz w:val="24"/>
          <w:szCs w:val="24"/>
        </w:rPr>
        <w:br/>
        <w:t xml:space="preserve">                                                                                </w:t>
      </w:r>
      <w:r w:rsidRPr="001C5B16">
        <w:rPr>
          <w:rFonts w:ascii="Times New Roman" w:hAnsi="Times New Roman"/>
          <w:sz w:val="24"/>
          <w:szCs w:val="24"/>
        </w:rPr>
        <w:br/>
        <w:t xml:space="preserve">                                   Parameter Estimates                                   </w:t>
      </w:r>
      <w:r w:rsidRPr="001C5B16">
        <w:rPr>
          <w:rFonts w:ascii="Times New Roman" w:hAnsi="Times New Roman"/>
          <w:sz w:val="24"/>
          <w:szCs w:val="24"/>
        </w:rPr>
        <w:br/>
        <w:t>=========================================================================================</w:t>
      </w:r>
      <w:r w:rsidRPr="001C5B16">
        <w:rPr>
          <w:rFonts w:ascii="Times New Roman" w:hAnsi="Times New Roman"/>
          <w:sz w:val="24"/>
          <w:szCs w:val="24"/>
        </w:rPr>
        <w:br/>
        <w:t xml:space="preserve">                       Parameter  Std. Err.     T-stat    P-value    Lower CI    Upper CI</w:t>
      </w:r>
      <w:r w:rsidRPr="001C5B16">
        <w:rPr>
          <w:rFonts w:ascii="Times New Roman" w:hAnsi="Times New Roman"/>
          <w:sz w:val="24"/>
          <w:szCs w:val="24"/>
        </w:rPr>
        <w:br/>
        <w:t>-----------------------------------------------------------------------------------------</w:t>
      </w:r>
      <w:r w:rsidRPr="001C5B16">
        <w:rPr>
          <w:rFonts w:ascii="Times New Roman" w:hAnsi="Times New Roman"/>
          <w:sz w:val="24"/>
          <w:szCs w:val="24"/>
        </w:rPr>
        <w:br/>
        <w:t>const                     0.0582     0.0091     6.3951     0.0001      0.0382      0.0782</w:t>
      </w:r>
      <w:r w:rsidRPr="001C5B16">
        <w:rPr>
          <w:rFonts w:ascii="Times New Roman" w:hAnsi="Times New Roman"/>
          <w:sz w:val="24"/>
          <w:szCs w:val="24"/>
        </w:rPr>
        <w:br/>
      </w:r>
      <w:r w:rsidRPr="001C5B16">
        <w:rPr>
          <w:rFonts w:ascii="Times New Roman" w:hAnsi="Times New Roman"/>
          <w:sz w:val="24"/>
          <w:szCs w:val="24"/>
        </w:rPr>
        <w:lastRenderedPageBreak/>
        <w:t>ERC (Decommissioning) -3.125e-10  1.841e-09    -0.1697     0.8675  -4.364e-09   3.739e-09</w:t>
      </w:r>
      <w:r w:rsidRPr="001C5B16">
        <w:rPr>
          <w:rFonts w:ascii="Times New Roman" w:hAnsi="Times New Roman"/>
          <w:sz w:val="24"/>
          <w:szCs w:val="24"/>
        </w:rPr>
        <w:br/>
        <w:t>CDC (CSR / Donations) -1.582e-09  4.215e-09    -0.3753     0.7134  -1.085e-08   7.695e-09</w:t>
      </w:r>
      <w:r w:rsidRPr="001C5B16">
        <w:rPr>
          <w:rFonts w:ascii="Times New Roman" w:hAnsi="Times New Roman"/>
          <w:sz w:val="24"/>
          <w:szCs w:val="24"/>
        </w:rPr>
        <w:br/>
        <w:t>WMC (HSE Expenses)    -7.154e-10  8.352e-10    -0.8565     0.4072  -2.553e-09   1.123e-09</w:t>
      </w:r>
      <w:r w:rsidRPr="001C5B16">
        <w:rPr>
          <w:rFonts w:ascii="Times New Roman" w:hAnsi="Times New Roman"/>
          <w:sz w:val="24"/>
          <w:szCs w:val="24"/>
        </w:rPr>
        <w:br/>
        <w:t>=========================================================================================</w:t>
      </w:r>
      <w:r w:rsidRPr="001C5B16">
        <w:rPr>
          <w:rFonts w:ascii="Times New Roman" w:hAnsi="Times New Roman"/>
          <w:sz w:val="24"/>
          <w:szCs w:val="24"/>
        </w:rPr>
        <w:br/>
      </w:r>
    </w:p>
    <w:p w14:paraId="5A1E3854" w14:textId="77777777" w:rsidR="00C42D88" w:rsidRPr="001C5B16" w:rsidRDefault="00123B0E">
      <w:pPr>
        <w:rPr>
          <w:rFonts w:ascii="Times New Roman" w:hAnsi="Times New Roman"/>
          <w:sz w:val="24"/>
          <w:szCs w:val="24"/>
        </w:rPr>
      </w:pPr>
      <w:r w:rsidRPr="001C5B16">
        <w:rPr>
          <w:rFonts w:ascii="Times New Roman" w:hAnsi="Times New Roman"/>
          <w:sz w:val="24"/>
          <w:szCs w:val="24"/>
        </w:rPr>
        <w:br w:type="page"/>
      </w:r>
    </w:p>
    <w:p w14:paraId="5463CAFA" w14:textId="77777777" w:rsidR="00C42D88" w:rsidRPr="001C5B16" w:rsidRDefault="00C42D88">
      <w:pPr>
        <w:spacing w:line="240" w:lineRule="auto"/>
        <w:jc w:val="both"/>
        <w:rPr>
          <w:rFonts w:ascii="Times New Roman" w:hAnsi="Times New Roman"/>
          <w:sz w:val="24"/>
          <w:szCs w:val="24"/>
        </w:rPr>
      </w:pPr>
    </w:p>
    <w:sectPr w:rsidR="00C42D88" w:rsidRPr="001C5B16">
      <w:pgSz w:w="15840" w:h="12240" w:orient="landscape"/>
      <w:pgMar w:top="1440" w:right="1440" w:bottom="1440" w:left="1440"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DC28" w14:textId="77777777" w:rsidR="00EE759A" w:rsidRDefault="00EE759A">
      <w:pPr>
        <w:spacing w:line="240" w:lineRule="auto"/>
      </w:pPr>
      <w:r>
        <w:separator/>
      </w:r>
    </w:p>
  </w:endnote>
  <w:endnote w:type="continuationSeparator" w:id="0">
    <w:p w14:paraId="390BC6BA" w14:textId="77777777" w:rsidR="00EE759A" w:rsidRDefault="00EE75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45C2F" w14:textId="77777777" w:rsidR="00EE759A" w:rsidRDefault="00EE759A">
      <w:pPr>
        <w:spacing w:after="0"/>
      </w:pPr>
      <w:r>
        <w:separator/>
      </w:r>
    </w:p>
  </w:footnote>
  <w:footnote w:type="continuationSeparator" w:id="0">
    <w:p w14:paraId="2BF6A0D6" w14:textId="77777777" w:rsidR="00EE759A" w:rsidRDefault="00EE759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243555"/>
      <w:docPartObj>
        <w:docPartGallery w:val="Page Numbers (Top of Page)"/>
        <w:docPartUnique/>
      </w:docPartObj>
    </w:sdtPr>
    <w:sdtEndPr>
      <w:rPr>
        <w:noProof/>
      </w:rPr>
    </w:sdtEndPr>
    <w:sdtContent>
      <w:p w14:paraId="2F969099" w14:textId="7710B57D" w:rsidR="00CF6732" w:rsidRDefault="00CF673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C53AE85" w14:textId="77777777" w:rsidR="00CF6732" w:rsidRDefault="00CF6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5A66" w14:textId="22C62043" w:rsidR="000E26BA" w:rsidRDefault="000E26BA">
    <w:pPr>
      <w:pStyle w:val="Header"/>
    </w:pPr>
    <w:r>
      <w:rPr>
        <w:noProof/>
        <w:sz w:val="24"/>
        <w:lang w:eastAsia="en-US"/>
      </w:rPr>
      <mc:AlternateContent>
        <mc:Choice Requires="wps">
          <w:drawing>
            <wp:anchor distT="0" distB="0" distL="114300" distR="114300" simplePos="0" relativeHeight="251658240" behindDoc="0" locked="0" layoutInCell="1" allowOverlap="1" wp14:anchorId="3631B26D" wp14:editId="2B96D1F2">
              <wp:simplePos x="0" y="0"/>
              <wp:positionH relativeFrom="margin">
                <wp:align>right</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FA683" w14:textId="77777777" w:rsidR="000E26BA" w:rsidRDefault="000E26BA">
                          <w:pPr>
                            <w:pStyle w:val="Header"/>
                          </w:pPr>
                          <w:r>
                            <w:fldChar w:fldCharType="begin"/>
                          </w:r>
                          <w:r>
                            <w:instrText xml:space="preserve"> PAGE  \* MERGEFORMAT </w:instrText>
                          </w:r>
                          <w:r>
                            <w:fldChar w:fldCharType="separate"/>
                          </w:r>
                          <w:r w:rsidR="003E2DD6">
                            <w:rPr>
                              <w:noProof/>
                            </w:rP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631B26D" id="_x0000_t202" coordsize="21600,21600" o:spt="202" path="m,l,21600r21600,l21600,xe">
              <v:stroke joinstyle="miter"/>
              <v:path gradientshapeok="t" o:connecttype="rect"/>
            </v:shapetype>
            <v:shape id="Text Box 3" o:spid="_x0000_s1031" type="#_x0000_t202" style="position:absolute;margin-left:92.8pt;margin-top:0;width:2in;height:2in;z-index:25165824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77FA683" w14:textId="77777777" w:rsidR="000E26BA" w:rsidRDefault="000E26BA">
                    <w:pPr>
                      <w:pStyle w:val="Header"/>
                    </w:pPr>
                    <w:r>
                      <w:fldChar w:fldCharType="begin"/>
                    </w:r>
                    <w:r>
                      <w:instrText xml:space="preserve"> PAGE  \* MERGEFORMAT </w:instrText>
                    </w:r>
                    <w:r>
                      <w:fldChar w:fldCharType="separate"/>
                    </w:r>
                    <w:r w:rsidR="003E2DD6">
                      <w:rPr>
                        <w:noProof/>
                      </w:rPr>
                      <w:t>78</w:t>
                    </w:r>
                    <w:r>
                      <w:fldChar w:fldCharType="end"/>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C21C"/>
    <w:multiLevelType w:val="singleLevel"/>
    <w:tmpl w:val="01C9C21C"/>
    <w:lvl w:ilvl="0">
      <w:start w:val="1"/>
      <w:numFmt w:val="decimal"/>
      <w:suff w:val="space"/>
      <w:lvlText w:val="%1."/>
      <w:lvlJc w:val="left"/>
    </w:lvl>
  </w:abstractNum>
  <w:abstractNum w:abstractNumId="1" w15:restartNumberingAfterBreak="0">
    <w:nsid w:val="0CDACC9F"/>
    <w:multiLevelType w:val="singleLevel"/>
    <w:tmpl w:val="0CDACC9F"/>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11FD56B5"/>
    <w:multiLevelType w:val="hybridMultilevel"/>
    <w:tmpl w:val="67083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21112"/>
    <w:multiLevelType w:val="multilevel"/>
    <w:tmpl w:val="18221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3B0574"/>
    <w:multiLevelType w:val="multilevel"/>
    <w:tmpl w:val="1A3B05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48F4A95"/>
    <w:multiLevelType w:val="multilevel"/>
    <w:tmpl w:val="248F4A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0DA3100"/>
    <w:multiLevelType w:val="singleLevel"/>
    <w:tmpl w:val="70DA3100"/>
    <w:lvl w:ilvl="0">
      <w:start w:val="1"/>
      <w:numFmt w:val="decimal"/>
      <w:suff w:val="space"/>
      <w:lvlText w:val="%1."/>
      <w:lvlJc w:val="left"/>
    </w:lvl>
  </w:abstractNum>
  <w:num w:numId="1" w16cid:durableId="2060085929">
    <w:abstractNumId w:val="6"/>
  </w:num>
  <w:num w:numId="2" w16cid:durableId="1822038870">
    <w:abstractNumId w:val="0"/>
  </w:num>
  <w:num w:numId="3" w16cid:durableId="153838899">
    <w:abstractNumId w:val="1"/>
  </w:num>
  <w:num w:numId="4" w16cid:durableId="2006397869">
    <w:abstractNumId w:val="3"/>
  </w:num>
  <w:num w:numId="5" w16cid:durableId="383254825">
    <w:abstractNumId w:val="4"/>
  </w:num>
  <w:num w:numId="6" w16cid:durableId="1577738102">
    <w:abstractNumId w:val="5"/>
  </w:num>
  <w:num w:numId="7" w16cid:durableId="21133512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B41"/>
    <w:rsid w:val="000126FA"/>
    <w:rsid w:val="00027A72"/>
    <w:rsid w:val="00051303"/>
    <w:rsid w:val="00063E59"/>
    <w:rsid w:val="00070D70"/>
    <w:rsid w:val="000762D3"/>
    <w:rsid w:val="000851BE"/>
    <w:rsid w:val="000E26BA"/>
    <w:rsid w:val="000F372C"/>
    <w:rsid w:val="00101B9B"/>
    <w:rsid w:val="00123B0E"/>
    <w:rsid w:val="00141DBC"/>
    <w:rsid w:val="0014457E"/>
    <w:rsid w:val="001751E1"/>
    <w:rsid w:val="00181E2D"/>
    <w:rsid w:val="00184423"/>
    <w:rsid w:val="001845C4"/>
    <w:rsid w:val="001927CC"/>
    <w:rsid w:val="00194B31"/>
    <w:rsid w:val="001A7C46"/>
    <w:rsid w:val="001C5B16"/>
    <w:rsid w:val="001E5D72"/>
    <w:rsid w:val="0020337D"/>
    <w:rsid w:val="00251A38"/>
    <w:rsid w:val="00255ADB"/>
    <w:rsid w:val="00323C1D"/>
    <w:rsid w:val="00333002"/>
    <w:rsid w:val="003508F5"/>
    <w:rsid w:val="00352CB0"/>
    <w:rsid w:val="00372B41"/>
    <w:rsid w:val="003D143D"/>
    <w:rsid w:val="003E2DD6"/>
    <w:rsid w:val="004121BE"/>
    <w:rsid w:val="00414876"/>
    <w:rsid w:val="00437FD9"/>
    <w:rsid w:val="004B0955"/>
    <w:rsid w:val="004C2B0A"/>
    <w:rsid w:val="004F1670"/>
    <w:rsid w:val="005140D9"/>
    <w:rsid w:val="0053578E"/>
    <w:rsid w:val="00565309"/>
    <w:rsid w:val="0057768F"/>
    <w:rsid w:val="00620E22"/>
    <w:rsid w:val="00621945"/>
    <w:rsid w:val="00637DD2"/>
    <w:rsid w:val="00653DAA"/>
    <w:rsid w:val="0066480B"/>
    <w:rsid w:val="006A69C2"/>
    <w:rsid w:val="006B21B8"/>
    <w:rsid w:val="006D50C2"/>
    <w:rsid w:val="00702D64"/>
    <w:rsid w:val="00732BF4"/>
    <w:rsid w:val="00764027"/>
    <w:rsid w:val="00774BF9"/>
    <w:rsid w:val="007970A6"/>
    <w:rsid w:val="007A3144"/>
    <w:rsid w:val="00805303"/>
    <w:rsid w:val="00832B21"/>
    <w:rsid w:val="00861510"/>
    <w:rsid w:val="00877FCA"/>
    <w:rsid w:val="00897961"/>
    <w:rsid w:val="008A18EF"/>
    <w:rsid w:val="008A2EB7"/>
    <w:rsid w:val="00925DAB"/>
    <w:rsid w:val="00926687"/>
    <w:rsid w:val="0093656F"/>
    <w:rsid w:val="00955FA7"/>
    <w:rsid w:val="00961279"/>
    <w:rsid w:val="0098655E"/>
    <w:rsid w:val="009A396F"/>
    <w:rsid w:val="009A48A2"/>
    <w:rsid w:val="009D6048"/>
    <w:rsid w:val="00A0031E"/>
    <w:rsid w:val="00A15425"/>
    <w:rsid w:val="00A40B36"/>
    <w:rsid w:val="00A43999"/>
    <w:rsid w:val="00AA5FBA"/>
    <w:rsid w:val="00AC5F32"/>
    <w:rsid w:val="00B47BA6"/>
    <w:rsid w:val="00B56978"/>
    <w:rsid w:val="00B63034"/>
    <w:rsid w:val="00B6456C"/>
    <w:rsid w:val="00B67AE6"/>
    <w:rsid w:val="00BD12BA"/>
    <w:rsid w:val="00BE6CD4"/>
    <w:rsid w:val="00BF72A0"/>
    <w:rsid w:val="00C42D88"/>
    <w:rsid w:val="00C7797C"/>
    <w:rsid w:val="00C9103E"/>
    <w:rsid w:val="00CF6732"/>
    <w:rsid w:val="00D101CE"/>
    <w:rsid w:val="00D11760"/>
    <w:rsid w:val="00D15583"/>
    <w:rsid w:val="00D3136B"/>
    <w:rsid w:val="00D37644"/>
    <w:rsid w:val="00D54340"/>
    <w:rsid w:val="00D5503E"/>
    <w:rsid w:val="00D67894"/>
    <w:rsid w:val="00D769EB"/>
    <w:rsid w:val="00D83E8C"/>
    <w:rsid w:val="00D93E32"/>
    <w:rsid w:val="00DA50DC"/>
    <w:rsid w:val="00DB706D"/>
    <w:rsid w:val="00DC77C4"/>
    <w:rsid w:val="00DD3C78"/>
    <w:rsid w:val="00E007F9"/>
    <w:rsid w:val="00E24BE9"/>
    <w:rsid w:val="00E30D8D"/>
    <w:rsid w:val="00E50901"/>
    <w:rsid w:val="00E54DE3"/>
    <w:rsid w:val="00E67109"/>
    <w:rsid w:val="00EA015D"/>
    <w:rsid w:val="00EC2CDE"/>
    <w:rsid w:val="00EE759A"/>
    <w:rsid w:val="00F23A46"/>
    <w:rsid w:val="00F62187"/>
    <w:rsid w:val="00F7519D"/>
    <w:rsid w:val="00F82CAB"/>
    <w:rsid w:val="00F85CAE"/>
    <w:rsid w:val="00FB445C"/>
    <w:rsid w:val="03E91BF7"/>
    <w:rsid w:val="0EF65792"/>
    <w:rsid w:val="10CB5171"/>
    <w:rsid w:val="1BCD0E63"/>
    <w:rsid w:val="1C387059"/>
    <w:rsid w:val="1C9673F2"/>
    <w:rsid w:val="1E3E6574"/>
    <w:rsid w:val="1F191B17"/>
    <w:rsid w:val="245A2867"/>
    <w:rsid w:val="26D2746B"/>
    <w:rsid w:val="3CDF7E8A"/>
    <w:rsid w:val="3D3D3705"/>
    <w:rsid w:val="3ECC5115"/>
    <w:rsid w:val="48483033"/>
    <w:rsid w:val="4AD978D9"/>
    <w:rsid w:val="4AEB168B"/>
    <w:rsid w:val="4C247146"/>
    <w:rsid w:val="4D321DCC"/>
    <w:rsid w:val="50FA3C2B"/>
    <w:rsid w:val="586371C6"/>
    <w:rsid w:val="5C401E73"/>
    <w:rsid w:val="5E990F43"/>
    <w:rsid w:val="619A402C"/>
    <w:rsid w:val="63EA2EDC"/>
    <w:rsid w:val="649D39A3"/>
    <w:rsid w:val="65F73374"/>
    <w:rsid w:val="697F0C22"/>
    <w:rsid w:val="704776F9"/>
    <w:rsid w:val="73BB6668"/>
    <w:rsid w:val="75B87E84"/>
    <w:rsid w:val="7678172C"/>
    <w:rsid w:val="77756ED0"/>
    <w:rsid w:val="79216810"/>
    <w:rsid w:val="79956784"/>
    <w:rsid w:val="7C0A4F8F"/>
    <w:rsid w:val="7C612A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4A075B"/>
  <w15:docId w15:val="{67E8B4EA-B203-4DF5-BB74-A80B6720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Code" w:uiPriority="99" w:unhideWhenUsed="1" w:qFormat="1"/>
    <w:lsdException w:name="HTML Preformatted"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Calibri" w:hAnsi="Calibri"/>
      <w:sz w:val="22"/>
      <w:szCs w:val="22"/>
      <w:lang w:eastAsia="zh-CN"/>
    </w:rPr>
  </w:style>
  <w:style w:type="paragraph" w:styleId="Heading3">
    <w:name w:val="heading 3"/>
    <w:next w:val="Normal"/>
    <w:link w:val="Heading3Char"/>
    <w:uiPriority w:val="9"/>
    <w:unhideWhenUsed/>
    <w:qFormat/>
    <w:pPr>
      <w:spacing w:beforeAutospacing="1" w:afterAutospacing="1"/>
      <w:outlineLvl w:val="2"/>
    </w:pPr>
    <w:rPr>
      <w:rFonts w:ascii="SimSun" w:hAnsi="SimSun" w:hint="eastAsia"/>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pPr>
      <w:spacing w:after="0" w:line="240" w:lineRule="auto"/>
    </w:pPr>
    <w:rPr>
      <w:rFonts w:ascii="Tahoma" w:hAnsi="Tahoma" w:cs="Tahoma"/>
      <w:sz w:val="16"/>
      <w:szCs w:val="16"/>
    </w:rPr>
  </w:style>
  <w:style w:type="paragraph" w:styleId="Footer">
    <w:name w:val="footer"/>
    <w:basedOn w:val="Normal"/>
    <w:link w:val="FooterChar"/>
    <w:qFormat/>
    <w:pPr>
      <w:tabs>
        <w:tab w:val="center" w:pos="4680"/>
        <w:tab w:val="right" w:pos="9360"/>
      </w:tabs>
    </w:pPr>
  </w:style>
  <w:style w:type="paragraph" w:styleId="Header">
    <w:name w:val="header"/>
    <w:basedOn w:val="Normal"/>
    <w:link w:val="HeaderChar"/>
    <w:uiPriority w:val="99"/>
    <w:qFormat/>
    <w:pPr>
      <w:tabs>
        <w:tab w:val="center" w:pos="4680"/>
        <w:tab w:val="right" w:pos="9360"/>
      </w:tabs>
    </w:pPr>
  </w:style>
  <w:style w:type="character" w:styleId="HTMLCode">
    <w:name w:val="HTML Code"/>
    <w:basedOn w:val="DefaultParagraphFont"/>
    <w:uiPriority w:val="99"/>
    <w:unhideWhenUsed/>
    <w:qFormat/>
    <w:rPr>
      <w:rFonts w:ascii="Courier New" w:eastAsia="Times New Roman" w:hAnsi="Courier New" w:cs="Courier New"/>
      <w:sz w:val="20"/>
      <w:szCs w:val="20"/>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US"/>
    </w:rPr>
  </w:style>
  <w:style w:type="paragraph" w:styleId="NormalWeb">
    <w:name w:val="Normal (Web)"/>
    <w:uiPriority w:val="99"/>
    <w:qFormat/>
    <w:pPr>
      <w:spacing w:beforeAutospacing="1" w:afterAutospacing="1"/>
    </w:pPr>
    <w:rPr>
      <w:sz w:val="24"/>
      <w:szCs w:val="24"/>
      <w:lang w:eastAsia="zh-CN"/>
    </w:rPr>
  </w:style>
  <w:style w:type="character" w:styleId="Strong">
    <w:name w:val="Strong"/>
    <w:basedOn w:val="DefaultParagraphFont"/>
    <w:uiPriority w:val="22"/>
    <w:qFormat/>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rPr>
      <w:rFonts w:ascii="Calibri" w:hAnsi="Calibri"/>
      <w:sz w:val="22"/>
      <w:szCs w:val="22"/>
      <w:lang w:eastAsia="zh-CN"/>
    </w:rPr>
  </w:style>
  <w:style w:type="character" w:customStyle="1" w:styleId="FooterChar">
    <w:name w:val="Footer Char"/>
    <w:basedOn w:val="DefaultParagraphFont"/>
    <w:link w:val="Footer"/>
    <w:qFormat/>
    <w:rPr>
      <w:rFonts w:ascii="Calibri" w:hAnsi="Calibri"/>
      <w:sz w:val="22"/>
      <w:szCs w:val="22"/>
      <w:lang w:eastAsia="zh-CN"/>
    </w:rPr>
  </w:style>
  <w:style w:type="character" w:styleId="PlaceholderText">
    <w:name w:val="Placeholder Text"/>
    <w:basedOn w:val="DefaultParagraphFont"/>
    <w:uiPriority w:val="99"/>
    <w:unhideWhenUsed/>
    <w:qFormat/>
    <w:rPr>
      <w:color w:val="808080"/>
    </w:rPr>
  </w:style>
  <w:style w:type="character" w:customStyle="1" w:styleId="BalloonTextChar">
    <w:name w:val="Balloon Text Char"/>
    <w:basedOn w:val="DefaultParagraphFont"/>
    <w:link w:val="BalloonText"/>
    <w:qFormat/>
    <w:rPr>
      <w:rFonts w:ascii="Tahoma" w:hAnsi="Tahoma" w:cs="Tahoma"/>
      <w:sz w:val="16"/>
      <w:szCs w:val="16"/>
      <w:lang w:eastAsia="zh-CN"/>
    </w:rPr>
  </w:style>
  <w:style w:type="paragraph" w:styleId="ListParagraph">
    <w:name w:val="List Paragraph"/>
    <w:basedOn w:val="Normal"/>
    <w:uiPriority w:val="99"/>
    <w:unhideWhenUsed/>
    <w:qFormat/>
    <w:pPr>
      <w:ind w:left="720"/>
      <w:contextualSpacing/>
    </w:pPr>
  </w:style>
  <w:style w:type="character" w:customStyle="1" w:styleId="Heading3Char">
    <w:name w:val="Heading 3 Char"/>
    <w:basedOn w:val="DefaultParagraphFont"/>
    <w:link w:val="Heading3"/>
    <w:uiPriority w:val="9"/>
    <w:qFormat/>
    <w:rPr>
      <w:rFonts w:ascii="SimSun" w:hAnsi="SimSun"/>
      <w:b/>
      <w:bCs/>
      <w:sz w:val="27"/>
      <w:szCs w:val="27"/>
      <w:lang w:eastAsia="zh-CN"/>
    </w:rPr>
  </w:style>
  <w:style w:type="character" w:customStyle="1" w:styleId="ng-tns-c766581630-77">
    <w:name w:val="ng-tns-c766581630-77"/>
    <w:basedOn w:val="DefaultParagraphFont"/>
  </w:style>
  <w:style w:type="character" w:customStyle="1" w:styleId="mat-mdc-button-persistent-ripple">
    <w:name w:val="mat-mdc-button-persistent-ripple"/>
    <w:basedOn w:val="DefaultParagraphFont"/>
  </w:style>
  <w:style w:type="character" w:customStyle="1" w:styleId="mat-focus-indicator">
    <w:name w:val="mat-focus-indicator"/>
    <w:basedOn w:val="DefaultParagraphFont"/>
  </w:style>
  <w:style w:type="character" w:customStyle="1" w:styleId="mat-mdc-button-touch-target">
    <w:name w:val="mat-mdc-button-touch-target"/>
    <w:basedOn w:val="DefaultParagraphFont"/>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character" w:customStyle="1" w:styleId="hljs-keyword">
    <w:name w:val="hljs-keyword"/>
    <w:basedOn w:val="DefaultParagraphFont"/>
    <w:qFormat/>
  </w:style>
  <w:style w:type="character" w:customStyle="1" w:styleId="hljs-string">
    <w:name w:val="hljs-string"/>
    <w:basedOn w:val="DefaultParagraphFont"/>
    <w:qFormat/>
  </w:style>
  <w:style w:type="character" w:customStyle="1" w:styleId="hljs-number">
    <w:name w:val="hljs-number"/>
    <w:basedOn w:val="DefaultParagraphFont"/>
  </w:style>
  <w:style w:type="character" w:customStyle="1" w:styleId="hljs-comment">
    <w:name w:val="hljs-comment"/>
    <w:basedOn w:val="DefaultParagraphFont"/>
    <w:qFormat/>
  </w:style>
  <w:style w:type="character" w:customStyle="1" w:styleId="hljs-function">
    <w:name w:val="hljs-function"/>
    <w:basedOn w:val="DefaultParagraphFont"/>
    <w:qFormat/>
  </w:style>
  <w:style w:type="character" w:customStyle="1" w:styleId="hljs-title">
    <w:name w:val="hljs-title"/>
    <w:basedOn w:val="DefaultParagraphFont"/>
    <w:qFormat/>
  </w:style>
  <w:style w:type="character" w:customStyle="1" w:styleId="hljs-params">
    <w:name w:val="hljs-params"/>
    <w:basedOn w:val="DefaultParagraphFont"/>
  </w:style>
  <w:style w:type="character" w:customStyle="1" w:styleId="hljs-builtin">
    <w:name w:val="hljs-built_in"/>
    <w:basedOn w:val="DefaultParagraphFont"/>
  </w:style>
  <w:style w:type="character" w:customStyle="1" w:styleId="hljs-literal">
    <w:name w:val="hljs-literal"/>
    <w:basedOn w:val="DefaultParagraphFont"/>
    <w:qFormat/>
  </w:style>
  <w:style w:type="character" w:customStyle="1" w:styleId="ng-tns-c766581630-78">
    <w:name w:val="ng-tns-c766581630-78"/>
    <w:basedOn w:val="DefaultParagraphFont"/>
    <w:qFormat/>
  </w:style>
  <w:style w:type="character" w:customStyle="1" w:styleId="ng-tns-c766581630-79">
    <w:name w:val="ng-tns-c766581630-79"/>
    <w:basedOn w:val="DefaultParagraphFont"/>
  </w:style>
  <w:style w:type="character" w:customStyle="1" w:styleId="ng-tns-c766581630-80">
    <w:name w:val="ng-tns-c766581630-80"/>
    <w:basedOn w:val="DefaultParagraphFont"/>
  </w:style>
  <w:style w:type="character" w:customStyle="1" w:styleId="ng-tns-c766581630-81">
    <w:name w:val="ng-tns-c766581630-81"/>
    <w:basedOn w:val="DefaultParagraphFont"/>
    <w:qFormat/>
  </w:style>
  <w:style w:type="character" w:customStyle="1" w:styleId="math-inline">
    <w:name w:val="math-inline"/>
    <w:basedOn w:val="DefaultParagraphFont"/>
  </w:style>
  <w:style w:type="character" w:styleId="Hyperlink">
    <w:name w:val="Hyperlink"/>
    <w:basedOn w:val="DefaultParagraphFont"/>
    <w:uiPriority w:val="99"/>
    <w:unhideWhenUsed/>
    <w:rsid w:val="00D101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94532">
      <w:bodyDiv w:val="1"/>
      <w:marLeft w:val="0"/>
      <w:marRight w:val="0"/>
      <w:marTop w:val="0"/>
      <w:marBottom w:val="0"/>
      <w:divBdr>
        <w:top w:val="none" w:sz="0" w:space="0" w:color="auto"/>
        <w:left w:val="none" w:sz="0" w:space="0" w:color="auto"/>
        <w:bottom w:val="none" w:sz="0" w:space="0" w:color="auto"/>
        <w:right w:val="none" w:sz="0" w:space="0" w:color="auto"/>
      </w:divBdr>
      <w:divsChild>
        <w:div w:id="1898585951">
          <w:marLeft w:val="0"/>
          <w:marRight w:val="0"/>
          <w:marTop w:val="0"/>
          <w:marBottom w:val="0"/>
          <w:divBdr>
            <w:top w:val="none" w:sz="0" w:space="0" w:color="auto"/>
            <w:left w:val="none" w:sz="0" w:space="0" w:color="auto"/>
            <w:bottom w:val="none" w:sz="0" w:space="0" w:color="auto"/>
            <w:right w:val="none" w:sz="0" w:space="0" w:color="auto"/>
          </w:divBdr>
          <w:divsChild>
            <w:div w:id="1862821001">
              <w:marLeft w:val="0"/>
              <w:marRight w:val="0"/>
              <w:marTop w:val="0"/>
              <w:marBottom w:val="0"/>
              <w:divBdr>
                <w:top w:val="none" w:sz="0" w:space="0" w:color="auto"/>
                <w:left w:val="none" w:sz="0" w:space="0" w:color="auto"/>
                <w:bottom w:val="none" w:sz="0" w:space="0" w:color="auto"/>
                <w:right w:val="none" w:sz="0" w:space="0" w:color="auto"/>
              </w:divBdr>
              <w:divsChild>
                <w:div w:id="1365985882">
                  <w:marLeft w:val="0"/>
                  <w:marRight w:val="0"/>
                  <w:marTop w:val="0"/>
                  <w:marBottom w:val="0"/>
                  <w:divBdr>
                    <w:top w:val="none" w:sz="0" w:space="0" w:color="auto"/>
                    <w:left w:val="none" w:sz="0" w:space="0" w:color="auto"/>
                    <w:bottom w:val="none" w:sz="0" w:space="0" w:color="auto"/>
                    <w:right w:val="none" w:sz="0" w:space="0" w:color="auto"/>
                  </w:divBdr>
                  <w:divsChild>
                    <w:div w:id="155805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868019">
      <w:bodyDiv w:val="1"/>
      <w:marLeft w:val="0"/>
      <w:marRight w:val="0"/>
      <w:marTop w:val="0"/>
      <w:marBottom w:val="0"/>
      <w:divBdr>
        <w:top w:val="none" w:sz="0" w:space="0" w:color="auto"/>
        <w:left w:val="none" w:sz="0" w:space="0" w:color="auto"/>
        <w:bottom w:val="none" w:sz="0" w:space="0" w:color="auto"/>
        <w:right w:val="none" w:sz="0" w:space="0" w:color="auto"/>
      </w:divBdr>
      <w:divsChild>
        <w:div w:id="949508576">
          <w:marLeft w:val="0"/>
          <w:marRight w:val="0"/>
          <w:marTop w:val="0"/>
          <w:marBottom w:val="0"/>
          <w:divBdr>
            <w:top w:val="none" w:sz="0" w:space="0" w:color="auto"/>
            <w:left w:val="none" w:sz="0" w:space="0" w:color="auto"/>
            <w:bottom w:val="none" w:sz="0" w:space="0" w:color="auto"/>
            <w:right w:val="none" w:sz="0" w:space="0" w:color="auto"/>
          </w:divBdr>
          <w:divsChild>
            <w:div w:id="335882077">
              <w:marLeft w:val="0"/>
              <w:marRight w:val="0"/>
              <w:marTop w:val="0"/>
              <w:marBottom w:val="0"/>
              <w:divBdr>
                <w:top w:val="none" w:sz="0" w:space="0" w:color="auto"/>
                <w:left w:val="none" w:sz="0" w:space="0" w:color="auto"/>
                <w:bottom w:val="none" w:sz="0" w:space="0" w:color="auto"/>
                <w:right w:val="none" w:sz="0" w:space="0" w:color="auto"/>
              </w:divBdr>
              <w:divsChild>
                <w:div w:id="1048459382">
                  <w:marLeft w:val="0"/>
                  <w:marRight w:val="0"/>
                  <w:marTop w:val="0"/>
                  <w:marBottom w:val="0"/>
                  <w:divBdr>
                    <w:top w:val="none" w:sz="0" w:space="0" w:color="auto"/>
                    <w:left w:val="none" w:sz="0" w:space="0" w:color="auto"/>
                    <w:bottom w:val="none" w:sz="0" w:space="0" w:color="auto"/>
                    <w:right w:val="none" w:sz="0" w:space="0" w:color="auto"/>
                  </w:divBdr>
                  <w:divsChild>
                    <w:div w:id="209080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45862">
      <w:bodyDiv w:val="1"/>
      <w:marLeft w:val="0"/>
      <w:marRight w:val="0"/>
      <w:marTop w:val="0"/>
      <w:marBottom w:val="0"/>
      <w:divBdr>
        <w:top w:val="none" w:sz="0" w:space="0" w:color="auto"/>
        <w:left w:val="none" w:sz="0" w:space="0" w:color="auto"/>
        <w:bottom w:val="none" w:sz="0" w:space="0" w:color="auto"/>
        <w:right w:val="none" w:sz="0" w:space="0" w:color="auto"/>
      </w:divBdr>
      <w:divsChild>
        <w:div w:id="1952012745">
          <w:marLeft w:val="0"/>
          <w:marRight w:val="0"/>
          <w:marTop w:val="0"/>
          <w:marBottom w:val="0"/>
          <w:divBdr>
            <w:top w:val="none" w:sz="0" w:space="0" w:color="auto"/>
            <w:left w:val="none" w:sz="0" w:space="0" w:color="auto"/>
            <w:bottom w:val="none" w:sz="0" w:space="0" w:color="auto"/>
            <w:right w:val="none" w:sz="0" w:space="0" w:color="auto"/>
          </w:divBdr>
          <w:divsChild>
            <w:div w:id="1604066542">
              <w:marLeft w:val="0"/>
              <w:marRight w:val="0"/>
              <w:marTop w:val="0"/>
              <w:marBottom w:val="0"/>
              <w:divBdr>
                <w:top w:val="none" w:sz="0" w:space="0" w:color="auto"/>
                <w:left w:val="none" w:sz="0" w:space="0" w:color="auto"/>
                <w:bottom w:val="none" w:sz="0" w:space="0" w:color="auto"/>
                <w:right w:val="none" w:sz="0" w:space="0" w:color="auto"/>
              </w:divBdr>
              <w:divsChild>
                <w:div w:id="72495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1557">
      <w:bodyDiv w:val="1"/>
      <w:marLeft w:val="0"/>
      <w:marRight w:val="0"/>
      <w:marTop w:val="0"/>
      <w:marBottom w:val="0"/>
      <w:divBdr>
        <w:top w:val="none" w:sz="0" w:space="0" w:color="auto"/>
        <w:left w:val="none" w:sz="0" w:space="0" w:color="auto"/>
        <w:bottom w:val="none" w:sz="0" w:space="0" w:color="auto"/>
        <w:right w:val="none" w:sz="0" w:space="0" w:color="auto"/>
      </w:divBdr>
      <w:divsChild>
        <w:div w:id="1462116618">
          <w:marLeft w:val="0"/>
          <w:marRight w:val="0"/>
          <w:marTop w:val="0"/>
          <w:marBottom w:val="0"/>
          <w:divBdr>
            <w:top w:val="none" w:sz="0" w:space="0" w:color="auto"/>
            <w:left w:val="none" w:sz="0" w:space="0" w:color="auto"/>
            <w:bottom w:val="none" w:sz="0" w:space="0" w:color="auto"/>
            <w:right w:val="none" w:sz="0" w:space="0" w:color="auto"/>
          </w:divBdr>
          <w:divsChild>
            <w:div w:id="325937205">
              <w:marLeft w:val="0"/>
              <w:marRight w:val="0"/>
              <w:marTop w:val="0"/>
              <w:marBottom w:val="0"/>
              <w:divBdr>
                <w:top w:val="none" w:sz="0" w:space="0" w:color="auto"/>
                <w:left w:val="none" w:sz="0" w:space="0" w:color="auto"/>
                <w:bottom w:val="none" w:sz="0" w:space="0" w:color="auto"/>
                <w:right w:val="none" w:sz="0" w:space="0" w:color="auto"/>
              </w:divBdr>
              <w:divsChild>
                <w:div w:id="1729915488">
                  <w:marLeft w:val="0"/>
                  <w:marRight w:val="0"/>
                  <w:marTop w:val="0"/>
                  <w:marBottom w:val="0"/>
                  <w:divBdr>
                    <w:top w:val="none" w:sz="0" w:space="0" w:color="auto"/>
                    <w:left w:val="none" w:sz="0" w:space="0" w:color="auto"/>
                    <w:bottom w:val="none" w:sz="0" w:space="0" w:color="auto"/>
                    <w:right w:val="none" w:sz="0" w:space="0" w:color="auto"/>
                  </w:divBdr>
                  <w:divsChild>
                    <w:div w:id="17924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867269">
      <w:bodyDiv w:val="1"/>
      <w:marLeft w:val="0"/>
      <w:marRight w:val="0"/>
      <w:marTop w:val="0"/>
      <w:marBottom w:val="0"/>
      <w:divBdr>
        <w:top w:val="none" w:sz="0" w:space="0" w:color="auto"/>
        <w:left w:val="none" w:sz="0" w:space="0" w:color="auto"/>
        <w:bottom w:val="none" w:sz="0" w:space="0" w:color="auto"/>
        <w:right w:val="none" w:sz="0" w:space="0" w:color="auto"/>
      </w:divBdr>
      <w:divsChild>
        <w:div w:id="795755919">
          <w:marLeft w:val="0"/>
          <w:marRight w:val="0"/>
          <w:marTop w:val="0"/>
          <w:marBottom w:val="0"/>
          <w:divBdr>
            <w:top w:val="none" w:sz="0" w:space="0" w:color="auto"/>
            <w:left w:val="none" w:sz="0" w:space="0" w:color="auto"/>
            <w:bottom w:val="none" w:sz="0" w:space="0" w:color="auto"/>
            <w:right w:val="none" w:sz="0" w:space="0" w:color="auto"/>
          </w:divBdr>
          <w:divsChild>
            <w:div w:id="2042782378">
              <w:marLeft w:val="0"/>
              <w:marRight w:val="0"/>
              <w:marTop w:val="0"/>
              <w:marBottom w:val="0"/>
              <w:divBdr>
                <w:top w:val="none" w:sz="0" w:space="0" w:color="auto"/>
                <w:left w:val="none" w:sz="0" w:space="0" w:color="auto"/>
                <w:bottom w:val="none" w:sz="0" w:space="0" w:color="auto"/>
                <w:right w:val="none" w:sz="0" w:space="0" w:color="auto"/>
              </w:divBdr>
              <w:divsChild>
                <w:div w:id="1650211253">
                  <w:marLeft w:val="0"/>
                  <w:marRight w:val="0"/>
                  <w:marTop w:val="0"/>
                  <w:marBottom w:val="0"/>
                  <w:divBdr>
                    <w:top w:val="none" w:sz="0" w:space="0" w:color="auto"/>
                    <w:left w:val="none" w:sz="0" w:space="0" w:color="auto"/>
                    <w:bottom w:val="none" w:sz="0" w:space="0" w:color="auto"/>
                    <w:right w:val="none" w:sz="0" w:space="0" w:color="auto"/>
                  </w:divBdr>
                  <w:divsChild>
                    <w:div w:id="76245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887442">
      <w:bodyDiv w:val="1"/>
      <w:marLeft w:val="0"/>
      <w:marRight w:val="0"/>
      <w:marTop w:val="0"/>
      <w:marBottom w:val="0"/>
      <w:divBdr>
        <w:top w:val="none" w:sz="0" w:space="0" w:color="auto"/>
        <w:left w:val="none" w:sz="0" w:space="0" w:color="auto"/>
        <w:bottom w:val="none" w:sz="0" w:space="0" w:color="auto"/>
        <w:right w:val="none" w:sz="0" w:space="0" w:color="auto"/>
      </w:divBdr>
      <w:divsChild>
        <w:div w:id="738210436">
          <w:marLeft w:val="0"/>
          <w:marRight w:val="0"/>
          <w:marTop w:val="0"/>
          <w:marBottom w:val="0"/>
          <w:divBdr>
            <w:top w:val="none" w:sz="0" w:space="0" w:color="auto"/>
            <w:left w:val="none" w:sz="0" w:space="0" w:color="auto"/>
            <w:bottom w:val="none" w:sz="0" w:space="0" w:color="auto"/>
            <w:right w:val="none" w:sz="0" w:space="0" w:color="auto"/>
          </w:divBdr>
          <w:divsChild>
            <w:div w:id="1969041749">
              <w:marLeft w:val="0"/>
              <w:marRight w:val="0"/>
              <w:marTop w:val="0"/>
              <w:marBottom w:val="0"/>
              <w:divBdr>
                <w:top w:val="none" w:sz="0" w:space="0" w:color="auto"/>
                <w:left w:val="none" w:sz="0" w:space="0" w:color="auto"/>
                <w:bottom w:val="none" w:sz="0" w:space="0" w:color="auto"/>
                <w:right w:val="none" w:sz="0" w:space="0" w:color="auto"/>
              </w:divBdr>
              <w:divsChild>
                <w:div w:id="1358313352">
                  <w:marLeft w:val="0"/>
                  <w:marRight w:val="0"/>
                  <w:marTop w:val="0"/>
                  <w:marBottom w:val="0"/>
                  <w:divBdr>
                    <w:top w:val="none" w:sz="0" w:space="0" w:color="auto"/>
                    <w:left w:val="none" w:sz="0" w:space="0" w:color="auto"/>
                    <w:bottom w:val="none" w:sz="0" w:space="0" w:color="auto"/>
                    <w:right w:val="none" w:sz="0" w:space="0" w:color="auto"/>
                  </w:divBdr>
                  <w:divsChild>
                    <w:div w:id="6371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515362">
      <w:bodyDiv w:val="1"/>
      <w:marLeft w:val="0"/>
      <w:marRight w:val="0"/>
      <w:marTop w:val="0"/>
      <w:marBottom w:val="0"/>
      <w:divBdr>
        <w:top w:val="none" w:sz="0" w:space="0" w:color="auto"/>
        <w:left w:val="none" w:sz="0" w:space="0" w:color="auto"/>
        <w:bottom w:val="none" w:sz="0" w:space="0" w:color="auto"/>
        <w:right w:val="none" w:sz="0" w:space="0" w:color="auto"/>
      </w:divBdr>
      <w:divsChild>
        <w:div w:id="478234903">
          <w:marLeft w:val="0"/>
          <w:marRight w:val="0"/>
          <w:marTop w:val="0"/>
          <w:marBottom w:val="0"/>
          <w:divBdr>
            <w:top w:val="none" w:sz="0" w:space="0" w:color="auto"/>
            <w:left w:val="none" w:sz="0" w:space="0" w:color="auto"/>
            <w:bottom w:val="none" w:sz="0" w:space="0" w:color="auto"/>
            <w:right w:val="none" w:sz="0" w:space="0" w:color="auto"/>
          </w:divBdr>
          <w:divsChild>
            <w:div w:id="1931312134">
              <w:marLeft w:val="0"/>
              <w:marRight w:val="0"/>
              <w:marTop w:val="0"/>
              <w:marBottom w:val="0"/>
              <w:divBdr>
                <w:top w:val="none" w:sz="0" w:space="0" w:color="auto"/>
                <w:left w:val="none" w:sz="0" w:space="0" w:color="auto"/>
                <w:bottom w:val="none" w:sz="0" w:space="0" w:color="auto"/>
                <w:right w:val="none" w:sz="0" w:space="0" w:color="auto"/>
              </w:divBdr>
              <w:divsChild>
                <w:div w:id="1947929227">
                  <w:marLeft w:val="0"/>
                  <w:marRight w:val="0"/>
                  <w:marTop w:val="0"/>
                  <w:marBottom w:val="0"/>
                  <w:divBdr>
                    <w:top w:val="none" w:sz="0" w:space="0" w:color="auto"/>
                    <w:left w:val="none" w:sz="0" w:space="0" w:color="auto"/>
                    <w:bottom w:val="none" w:sz="0" w:space="0" w:color="auto"/>
                    <w:right w:val="none" w:sz="0" w:space="0" w:color="auto"/>
                  </w:divBdr>
                  <w:divsChild>
                    <w:div w:id="19909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753">
      <w:bodyDiv w:val="1"/>
      <w:marLeft w:val="0"/>
      <w:marRight w:val="0"/>
      <w:marTop w:val="0"/>
      <w:marBottom w:val="0"/>
      <w:divBdr>
        <w:top w:val="none" w:sz="0" w:space="0" w:color="auto"/>
        <w:left w:val="none" w:sz="0" w:space="0" w:color="auto"/>
        <w:bottom w:val="none" w:sz="0" w:space="0" w:color="auto"/>
        <w:right w:val="none" w:sz="0" w:space="0" w:color="auto"/>
      </w:divBdr>
      <w:divsChild>
        <w:div w:id="350302469">
          <w:marLeft w:val="0"/>
          <w:marRight w:val="0"/>
          <w:marTop w:val="0"/>
          <w:marBottom w:val="0"/>
          <w:divBdr>
            <w:top w:val="none" w:sz="0" w:space="0" w:color="auto"/>
            <w:left w:val="none" w:sz="0" w:space="0" w:color="auto"/>
            <w:bottom w:val="none" w:sz="0" w:space="0" w:color="auto"/>
            <w:right w:val="none" w:sz="0" w:space="0" w:color="auto"/>
          </w:divBdr>
          <w:divsChild>
            <w:div w:id="1204755839">
              <w:marLeft w:val="0"/>
              <w:marRight w:val="0"/>
              <w:marTop w:val="0"/>
              <w:marBottom w:val="0"/>
              <w:divBdr>
                <w:top w:val="none" w:sz="0" w:space="0" w:color="auto"/>
                <w:left w:val="none" w:sz="0" w:space="0" w:color="auto"/>
                <w:bottom w:val="none" w:sz="0" w:space="0" w:color="auto"/>
                <w:right w:val="none" w:sz="0" w:space="0" w:color="auto"/>
              </w:divBdr>
              <w:divsChild>
                <w:div w:id="1604877810">
                  <w:marLeft w:val="0"/>
                  <w:marRight w:val="0"/>
                  <w:marTop w:val="0"/>
                  <w:marBottom w:val="0"/>
                  <w:divBdr>
                    <w:top w:val="none" w:sz="0" w:space="0" w:color="auto"/>
                    <w:left w:val="none" w:sz="0" w:space="0" w:color="auto"/>
                    <w:bottom w:val="none" w:sz="0" w:space="0" w:color="auto"/>
                    <w:right w:val="none" w:sz="0" w:space="0" w:color="auto"/>
                  </w:divBdr>
                  <w:divsChild>
                    <w:div w:id="67753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47379">
      <w:bodyDiv w:val="1"/>
      <w:marLeft w:val="0"/>
      <w:marRight w:val="0"/>
      <w:marTop w:val="0"/>
      <w:marBottom w:val="0"/>
      <w:divBdr>
        <w:top w:val="none" w:sz="0" w:space="0" w:color="auto"/>
        <w:left w:val="none" w:sz="0" w:space="0" w:color="auto"/>
        <w:bottom w:val="none" w:sz="0" w:space="0" w:color="auto"/>
        <w:right w:val="none" w:sz="0" w:space="0" w:color="auto"/>
      </w:divBdr>
      <w:divsChild>
        <w:div w:id="1289777841">
          <w:marLeft w:val="0"/>
          <w:marRight w:val="0"/>
          <w:marTop w:val="0"/>
          <w:marBottom w:val="0"/>
          <w:divBdr>
            <w:top w:val="none" w:sz="0" w:space="0" w:color="auto"/>
            <w:left w:val="none" w:sz="0" w:space="0" w:color="auto"/>
            <w:bottom w:val="none" w:sz="0" w:space="0" w:color="auto"/>
            <w:right w:val="none" w:sz="0" w:space="0" w:color="auto"/>
          </w:divBdr>
          <w:divsChild>
            <w:div w:id="1279289980">
              <w:marLeft w:val="0"/>
              <w:marRight w:val="0"/>
              <w:marTop w:val="0"/>
              <w:marBottom w:val="0"/>
              <w:divBdr>
                <w:top w:val="none" w:sz="0" w:space="0" w:color="auto"/>
                <w:left w:val="none" w:sz="0" w:space="0" w:color="auto"/>
                <w:bottom w:val="none" w:sz="0" w:space="0" w:color="auto"/>
                <w:right w:val="none" w:sz="0" w:space="0" w:color="auto"/>
              </w:divBdr>
              <w:divsChild>
                <w:div w:id="650866921">
                  <w:marLeft w:val="0"/>
                  <w:marRight w:val="0"/>
                  <w:marTop w:val="0"/>
                  <w:marBottom w:val="0"/>
                  <w:divBdr>
                    <w:top w:val="none" w:sz="0" w:space="0" w:color="auto"/>
                    <w:left w:val="none" w:sz="0" w:space="0" w:color="auto"/>
                    <w:bottom w:val="none" w:sz="0" w:space="0" w:color="auto"/>
                    <w:right w:val="none" w:sz="0" w:space="0" w:color="auto"/>
                  </w:divBdr>
                  <w:divsChild>
                    <w:div w:id="176325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896608">
      <w:bodyDiv w:val="1"/>
      <w:marLeft w:val="0"/>
      <w:marRight w:val="0"/>
      <w:marTop w:val="0"/>
      <w:marBottom w:val="0"/>
      <w:divBdr>
        <w:top w:val="none" w:sz="0" w:space="0" w:color="auto"/>
        <w:left w:val="none" w:sz="0" w:space="0" w:color="auto"/>
        <w:bottom w:val="none" w:sz="0" w:space="0" w:color="auto"/>
        <w:right w:val="none" w:sz="0" w:space="0" w:color="auto"/>
      </w:divBdr>
      <w:divsChild>
        <w:div w:id="6030984">
          <w:marLeft w:val="0"/>
          <w:marRight w:val="0"/>
          <w:marTop w:val="0"/>
          <w:marBottom w:val="0"/>
          <w:divBdr>
            <w:top w:val="none" w:sz="0" w:space="0" w:color="auto"/>
            <w:left w:val="none" w:sz="0" w:space="0" w:color="auto"/>
            <w:bottom w:val="none" w:sz="0" w:space="0" w:color="auto"/>
            <w:right w:val="none" w:sz="0" w:space="0" w:color="auto"/>
          </w:divBdr>
          <w:divsChild>
            <w:div w:id="1989088497">
              <w:marLeft w:val="0"/>
              <w:marRight w:val="0"/>
              <w:marTop w:val="0"/>
              <w:marBottom w:val="0"/>
              <w:divBdr>
                <w:top w:val="none" w:sz="0" w:space="0" w:color="auto"/>
                <w:left w:val="none" w:sz="0" w:space="0" w:color="auto"/>
                <w:bottom w:val="none" w:sz="0" w:space="0" w:color="auto"/>
                <w:right w:val="none" w:sz="0" w:space="0" w:color="auto"/>
              </w:divBdr>
              <w:divsChild>
                <w:div w:id="1389841333">
                  <w:marLeft w:val="0"/>
                  <w:marRight w:val="0"/>
                  <w:marTop w:val="0"/>
                  <w:marBottom w:val="0"/>
                  <w:divBdr>
                    <w:top w:val="none" w:sz="0" w:space="0" w:color="auto"/>
                    <w:left w:val="none" w:sz="0" w:space="0" w:color="auto"/>
                    <w:bottom w:val="none" w:sz="0" w:space="0" w:color="auto"/>
                    <w:right w:val="none" w:sz="0" w:space="0" w:color="auto"/>
                  </w:divBdr>
                  <w:divsChild>
                    <w:div w:id="137438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158492">
      <w:bodyDiv w:val="1"/>
      <w:marLeft w:val="0"/>
      <w:marRight w:val="0"/>
      <w:marTop w:val="0"/>
      <w:marBottom w:val="0"/>
      <w:divBdr>
        <w:top w:val="none" w:sz="0" w:space="0" w:color="auto"/>
        <w:left w:val="none" w:sz="0" w:space="0" w:color="auto"/>
        <w:bottom w:val="none" w:sz="0" w:space="0" w:color="auto"/>
        <w:right w:val="none" w:sz="0" w:space="0" w:color="auto"/>
      </w:divBdr>
      <w:divsChild>
        <w:div w:id="1402603024">
          <w:marLeft w:val="0"/>
          <w:marRight w:val="0"/>
          <w:marTop w:val="0"/>
          <w:marBottom w:val="0"/>
          <w:divBdr>
            <w:top w:val="none" w:sz="0" w:space="0" w:color="auto"/>
            <w:left w:val="none" w:sz="0" w:space="0" w:color="auto"/>
            <w:bottom w:val="none" w:sz="0" w:space="0" w:color="auto"/>
            <w:right w:val="none" w:sz="0" w:space="0" w:color="auto"/>
          </w:divBdr>
          <w:divsChild>
            <w:div w:id="617878335">
              <w:marLeft w:val="0"/>
              <w:marRight w:val="0"/>
              <w:marTop w:val="0"/>
              <w:marBottom w:val="0"/>
              <w:divBdr>
                <w:top w:val="none" w:sz="0" w:space="0" w:color="auto"/>
                <w:left w:val="none" w:sz="0" w:space="0" w:color="auto"/>
                <w:bottom w:val="none" w:sz="0" w:space="0" w:color="auto"/>
                <w:right w:val="none" w:sz="0" w:space="0" w:color="auto"/>
              </w:divBdr>
              <w:divsChild>
                <w:div w:id="2129081719">
                  <w:marLeft w:val="0"/>
                  <w:marRight w:val="0"/>
                  <w:marTop w:val="0"/>
                  <w:marBottom w:val="0"/>
                  <w:divBdr>
                    <w:top w:val="none" w:sz="0" w:space="0" w:color="auto"/>
                    <w:left w:val="none" w:sz="0" w:space="0" w:color="auto"/>
                    <w:bottom w:val="none" w:sz="0" w:space="0" w:color="auto"/>
                    <w:right w:val="none" w:sz="0" w:space="0" w:color="auto"/>
                  </w:divBdr>
                  <w:divsChild>
                    <w:div w:id="19671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3121">
      <w:bodyDiv w:val="1"/>
      <w:marLeft w:val="0"/>
      <w:marRight w:val="0"/>
      <w:marTop w:val="0"/>
      <w:marBottom w:val="0"/>
      <w:divBdr>
        <w:top w:val="none" w:sz="0" w:space="0" w:color="auto"/>
        <w:left w:val="none" w:sz="0" w:space="0" w:color="auto"/>
        <w:bottom w:val="none" w:sz="0" w:space="0" w:color="auto"/>
        <w:right w:val="none" w:sz="0" w:space="0" w:color="auto"/>
      </w:divBdr>
      <w:divsChild>
        <w:div w:id="824664155">
          <w:marLeft w:val="0"/>
          <w:marRight w:val="0"/>
          <w:marTop w:val="0"/>
          <w:marBottom w:val="0"/>
          <w:divBdr>
            <w:top w:val="none" w:sz="0" w:space="0" w:color="auto"/>
            <w:left w:val="none" w:sz="0" w:space="0" w:color="auto"/>
            <w:bottom w:val="none" w:sz="0" w:space="0" w:color="auto"/>
            <w:right w:val="none" w:sz="0" w:space="0" w:color="auto"/>
          </w:divBdr>
          <w:divsChild>
            <w:div w:id="1482841806">
              <w:marLeft w:val="0"/>
              <w:marRight w:val="0"/>
              <w:marTop w:val="0"/>
              <w:marBottom w:val="0"/>
              <w:divBdr>
                <w:top w:val="none" w:sz="0" w:space="0" w:color="auto"/>
                <w:left w:val="none" w:sz="0" w:space="0" w:color="auto"/>
                <w:bottom w:val="none" w:sz="0" w:space="0" w:color="auto"/>
                <w:right w:val="none" w:sz="0" w:space="0" w:color="auto"/>
              </w:divBdr>
              <w:divsChild>
                <w:div w:id="615597520">
                  <w:marLeft w:val="0"/>
                  <w:marRight w:val="0"/>
                  <w:marTop w:val="0"/>
                  <w:marBottom w:val="0"/>
                  <w:divBdr>
                    <w:top w:val="none" w:sz="0" w:space="0" w:color="auto"/>
                    <w:left w:val="none" w:sz="0" w:space="0" w:color="auto"/>
                    <w:bottom w:val="none" w:sz="0" w:space="0" w:color="auto"/>
                    <w:right w:val="none" w:sz="0" w:space="0" w:color="auto"/>
                  </w:divBdr>
                  <w:divsChild>
                    <w:div w:id="12717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522678">
      <w:bodyDiv w:val="1"/>
      <w:marLeft w:val="0"/>
      <w:marRight w:val="0"/>
      <w:marTop w:val="0"/>
      <w:marBottom w:val="0"/>
      <w:divBdr>
        <w:top w:val="none" w:sz="0" w:space="0" w:color="auto"/>
        <w:left w:val="none" w:sz="0" w:space="0" w:color="auto"/>
        <w:bottom w:val="none" w:sz="0" w:space="0" w:color="auto"/>
        <w:right w:val="none" w:sz="0" w:space="0" w:color="auto"/>
      </w:divBdr>
      <w:divsChild>
        <w:div w:id="1236625650">
          <w:marLeft w:val="0"/>
          <w:marRight w:val="0"/>
          <w:marTop w:val="0"/>
          <w:marBottom w:val="0"/>
          <w:divBdr>
            <w:top w:val="none" w:sz="0" w:space="0" w:color="auto"/>
            <w:left w:val="none" w:sz="0" w:space="0" w:color="auto"/>
            <w:bottom w:val="none" w:sz="0" w:space="0" w:color="auto"/>
            <w:right w:val="none" w:sz="0" w:space="0" w:color="auto"/>
          </w:divBdr>
          <w:divsChild>
            <w:div w:id="1763913456">
              <w:marLeft w:val="0"/>
              <w:marRight w:val="0"/>
              <w:marTop w:val="0"/>
              <w:marBottom w:val="0"/>
              <w:divBdr>
                <w:top w:val="none" w:sz="0" w:space="0" w:color="auto"/>
                <w:left w:val="none" w:sz="0" w:space="0" w:color="auto"/>
                <w:bottom w:val="none" w:sz="0" w:space="0" w:color="auto"/>
                <w:right w:val="none" w:sz="0" w:space="0" w:color="auto"/>
              </w:divBdr>
              <w:divsChild>
                <w:div w:id="1610510467">
                  <w:marLeft w:val="0"/>
                  <w:marRight w:val="0"/>
                  <w:marTop w:val="0"/>
                  <w:marBottom w:val="0"/>
                  <w:divBdr>
                    <w:top w:val="none" w:sz="0" w:space="0" w:color="auto"/>
                    <w:left w:val="none" w:sz="0" w:space="0" w:color="auto"/>
                    <w:bottom w:val="none" w:sz="0" w:space="0" w:color="auto"/>
                    <w:right w:val="none" w:sz="0" w:space="0" w:color="auto"/>
                  </w:divBdr>
                  <w:divsChild>
                    <w:div w:id="3528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613204">
      <w:bodyDiv w:val="1"/>
      <w:marLeft w:val="0"/>
      <w:marRight w:val="0"/>
      <w:marTop w:val="0"/>
      <w:marBottom w:val="0"/>
      <w:divBdr>
        <w:top w:val="none" w:sz="0" w:space="0" w:color="auto"/>
        <w:left w:val="none" w:sz="0" w:space="0" w:color="auto"/>
        <w:bottom w:val="none" w:sz="0" w:space="0" w:color="auto"/>
        <w:right w:val="none" w:sz="0" w:space="0" w:color="auto"/>
      </w:divBdr>
      <w:divsChild>
        <w:div w:id="358245681">
          <w:marLeft w:val="0"/>
          <w:marRight w:val="0"/>
          <w:marTop w:val="0"/>
          <w:marBottom w:val="0"/>
          <w:divBdr>
            <w:top w:val="none" w:sz="0" w:space="0" w:color="auto"/>
            <w:left w:val="none" w:sz="0" w:space="0" w:color="auto"/>
            <w:bottom w:val="none" w:sz="0" w:space="0" w:color="auto"/>
            <w:right w:val="none" w:sz="0" w:space="0" w:color="auto"/>
          </w:divBdr>
          <w:divsChild>
            <w:div w:id="165444804">
              <w:marLeft w:val="0"/>
              <w:marRight w:val="0"/>
              <w:marTop w:val="0"/>
              <w:marBottom w:val="0"/>
              <w:divBdr>
                <w:top w:val="none" w:sz="0" w:space="0" w:color="auto"/>
                <w:left w:val="none" w:sz="0" w:space="0" w:color="auto"/>
                <w:bottom w:val="none" w:sz="0" w:space="0" w:color="auto"/>
                <w:right w:val="none" w:sz="0" w:space="0" w:color="auto"/>
              </w:divBdr>
              <w:divsChild>
                <w:div w:id="1613510433">
                  <w:marLeft w:val="0"/>
                  <w:marRight w:val="0"/>
                  <w:marTop w:val="0"/>
                  <w:marBottom w:val="0"/>
                  <w:divBdr>
                    <w:top w:val="none" w:sz="0" w:space="0" w:color="auto"/>
                    <w:left w:val="none" w:sz="0" w:space="0" w:color="auto"/>
                    <w:bottom w:val="none" w:sz="0" w:space="0" w:color="auto"/>
                    <w:right w:val="none" w:sz="0" w:space="0" w:color="auto"/>
                  </w:divBdr>
                  <w:divsChild>
                    <w:div w:id="61101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0055">
      <w:bodyDiv w:val="1"/>
      <w:marLeft w:val="0"/>
      <w:marRight w:val="0"/>
      <w:marTop w:val="0"/>
      <w:marBottom w:val="0"/>
      <w:divBdr>
        <w:top w:val="none" w:sz="0" w:space="0" w:color="auto"/>
        <w:left w:val="none" w:sz="0" w:space="0" w:color="auto"/>
        <w:bottom w:val="none" w:sz="0" w:space="0" w:color="auto"/>
        <w:right w:val="none" w:sz="0" w:space="0" w:color="auto"/>
      </w:divBdr>
      <w:divsChild>
        <w:div w:id="1639455120">
          <w:marLeft w:val="0"/>
          <w:marRight w:val="0"/>
          <w:marTop w:val="0"/>
          <w:marBottom w:val="0"/>
          <w:divBdr>
            <w:top w:val="none" w:sz="0" w:space="0" w:color="auto"/>
            <w:left w:val="none" w:sz="0" w:space="0" w:color="auto"/>
            <w:bottom w:val="none" w:sz="0" w:space="0" w:color="auto"/>
            <w:right w:val="none" w:sz="0" w:space="0" w:color="auto"/>
          </w:divBdr>
          <w:divsChild>
            <w:div w:id="795752641">
              <w:marLeft w:val="0"/>
              <w:marRight w:val="0"/>
              <w:marTop w:val="0"/>
              <w:marBottom w:val="0"/>
              <w:divBdr>
                <w:top w:val="none" w:sz="0" w:space="0" w:color="auto"/>
                <w:left w:val="none" w:sz="0" w:space="0" w:color="auto"/>
                <w:bottom w:val="none" w:sz="0" w:space="0" w:color="auto"/>
                <w:right w:val="none" w:sz="0" w:space="0" w:color="auto"/>
              </w:divBdr>
              <w:divsChild>
                <w:div w:id="1421678875">
                  <w:marLeft w:val="0"/>
                  <w:marRight w:val="0"/>
                  <w:marTop w:val="0"/>
                  <w:marBottom w:val="0"/>
                  <w:divBdr>
                    <w:top w:val="none" w:sz="0" w:space="0" w:color="auto"/>
                    <w:left w:val="none" w:sz="0" w:space="0" w:color="auto"/>
                    <w:bottom w:val="none" w:sz="0" w:space="0" w:color="auto"/>
                    <w:right w:val="none" w:sz="0" w:space="0" w:color="auto"/>
                  </w:divBdr>
                  <w:divsChild>
                    <w:div w:id="209682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156889">
      <w:bodyDiv w:val="1"/>
      <w:marLeft w:val="0"/>
      <w:marRight w:val="0"/>
      <w:marTop w:val="0"/>
      <w:marBottom w:val="0"/>
      <w:divBdr>
        <w:top w:val="none" w:sz="0" w:space="0" w:color="auto"/>
        <w:left w:val="none" w:sz="0" w:space="0" w:color="auto"/>
        <w:bottom w:val="none" w:sz="0" w:space="0" w:color="auto"/>
        <w:right w:val="none" w:sz="0" w:space="0" w:color="auto"/>
      </w:divBdr>
      <w:divsChild>
        <w:div w:id="362051300">
          <w:marLeft w:val="0"/>
          <w:marRight w:val="0"/>
          <w:marTop w:val="0"/>
          <w:marBottom w:val="0"/>
          <w:divBdr>
            <w:top w:val="none" w:sz="0" w:space="0" w:color="auto"/>
            <w:left w:val="none" w:sz="0" w:space="0" w:color="auto"/>
            <w:bottom w:val="none" w:sz="0" w:space="0" w:color="auto"/>
            <w:right w:val="none" w:sz="0" w:space="0" w:color="auto"/>
          </w:divBdr>
          <w:divsChild>
            <w:div w:id="1680547082">
              <w:marLeft w:val="0"/>
              <w:marRight w:val="0"/>
              <w:marTop w:val="0"/>
              <w:marBottom w:val="0"/>
              <w:divBdr>
                <w:top w:val="none" w:sz="0" w:space="0" w:color="auto"/>
                <w:left w:val="none" w:sz="0" w:space="0" w:color="auto"/>
                <w:bottom w:val="none" w:sz="0" w:space="0" w:color="auto"/>
                <w:right w:val="none" w:sz="0" w:space="0" w:color="auto"/>
              </w:divBdr>
              <w:divsChild>
                <w:div w:id="2026974731">
                  <w:marLeft w:val="0"/>
                  <w:marRight w:val="0"/>
                  <w:marTop w:val="0"/>
                  <w:marBottom w:val="0"/>
                  <w:divBdr>
                    <w:top w:val="none" w:sz="0" w:space="0" w:color="auto"/>
                    <w:left w:val="none" w:sz="0" w:space="0" w:color="auto"/>
                    <w:bottom w:val="none" w:sz="0" w:space="0" w:color="auto"/>
                    <w:right w:val="none" w:sz="0" w:space="0" w:color="auto"/>
                  </w:divBdr>
                  <w:divsChild>
                    <w:div w:id="146946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93918">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sChild>
            <w:div w:id="206837031">
              <w:marLeft w:val="0"/>
              <w:marRight w:val="0"/>
              <w:marTop w:val="0"/>
              <w:marBottom w:val="0"/>
              <w:divBdr>
                <w:top w:val="none" w:sz="0" w:space="0" w:color="auto"/>
                <w:left w:val="none" w:sz="0" w:space="0" w:color="auto"/>
                <w:bottom w:val="none" w:sz="0" w:space="0" w:color="auto"/>
                <w:right w:val="none" w:sz="0" w:space="0" w:color="auto"/>
              </w:divBdr>
              <w:divsChild>
                <w:div w:id="1866357713">
                  <w:marLeft w:val="0"/>
                  <w:marRight w:val="0"/>
                  <w:marTop w:val="0"/>
                  <w:marBottom w:val="0"/>
                  <w:divBdr>
                    <w:top w:val="none" w:sz="0" w:space="0" w:color="auto"/>
                    <w:left w:val="none" w:sz="0" w:space="0" w:color="auto"/>
                    <w:bottom w:val="none" w:sz="0" w:space="0" w:color="auto"/>
                    <w:right w:val="none" w:sz="0" w:space="0" w:color="auto"/>
                  </w:divBdr>
                  <w:divsChild>
                    <w:div w:id="9629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70926">
      <w:bodyDiv w:val="1"/>
      <w:marLeft w:val="0"/>
      <w:marRight w:val="0"/>
      <w:marTop w:val="0"/>
      <w:marBottom w:val="0"/>
      <w:divBdr>
        <w:top w:val="none" w:sz="0" w:space="0" w:color="auto"/>
        <w:left w:val="none" w:sz="0" w:space="0" w:color="auto"/>
        <w:bottom w:val="none" w:sz="0" w:space="0" w:color="auto"/>
        <w:right w:val="none" w:sz="0" w:space="0" w:color="auto"/>
      </w:divBdr>
      <w:divsChild>
        <w:div w:id="1270699802">
          <w:marLeft w:val="0"/>
          <w:marRight w:val="0"/>
          <w:marTop w:val="0"/>
          <w:marBottom w:val="0"/>
          <w:divBdr>
            <w:top w:val="none" w:sz="0" w:space="0" w:color="auto"/>
            <w:left w:val="none" w:sz="0" w:space="0" w:color="auto"/>
            <w:bottom w:val="none" w:sz="0" w:space="0" w:color="auto"/>
            <w:right w:val="none" w:sz="0" w:space="0" w:color="auto"/>
          </w:divBdr>
          <w:divsChild>
            <w:div w:id="916935824">
              <w:marLeft w:val="0"/>
              <w:marRight w:val="0"/>
              <w:marTop w:val="0"/>
              <w:marBottom w:val="0"/>
              <w:divBdr>
                <w:top w:val="none" w:sz="0" w:space="0" w:color="auto"/>
                <w:left w:val="none" w:sz="0" w:space="0" w:color="auto"/>
                <w:bottom w:val="none" w:sz="0" w:space="0" w:color="auto"/>
                <w:right w:val="none" w:sz="0" w:space="0" w:color="auto"/>
              </w:divBdr>
              <w:divsChild>
                <w:div w:id="458883931">
                  <w:marLeft w:val="0"/>
                  <w:marRight w:val="0"/>
                  <w:marTop w:val="0"/>
                  <w:marBottom w:val="0"/>
                  <w:divBdr>
                    <w:top w:val="none" w:sz="0" w:space="0" w:color="auto"/>
                    <w:left w:val="none" w:sz="0" w:space="0" w:color="auto"/>
                    <w:bottom w:val="none" w:sz="0" w:space="0" w:color="auto"/>
                    <w:right w:val="none" w:sz="0" w:space="0" w:color="auto"/>
                  </w:divBdr>
                  <w:divsChild>
                    <w:div w:id="29807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36256">
      <w:bodyDiv w:val="1"/>
      <w:marLeft w:val="0"/>
      <w:marRight w:val="0"/>
      <w:marTop w:val="0"/>
      <w:marBottom w:val="0"/>
      <w:divBdr>
        <w:top w:val="none" w:sz="0" w:space="0" w:color="auto"/>
        <w:left w:val="none" w:sz="0" w:space="0" w:color="auto"/>
        <w:bottom w:val="none" w:sz="0" w:space="0" w:color="auto"/>
        <w:right w:val="none" w:sz="0" w:space="0" w:color="auto"/>
      </w:divBdr>
      <w:divsChild>
        <w:div w:id="1241871750">
          <w:marLeft w:val="0"/>
          <w:marRight w:val="0"/>
          <w:marTop w:val="0"/>
          <w:marBottom w:val="0"/>
          <w:divBdr>
            <w:top w:val="none" w:sz="0" w:space="0" w:color="auto"/>
            <w:left w:val="none" w:sz="0" w:space="0" w:color="auto"/>
            <w:bottom w:val="none" w:sz="0" w:space="0" w:color="auto"/>
            <w:right w:val="none" w:sz="0" w:space="0" w:color="auto"/>
          </w:divBdr>
          <w:divsChild>
            <w:div w:id="521864287">
              <w:marLeft w:val="0"/>
              <w:marRight w:val="0"/>
              <w:marTop w:val="0"/>
              <w:marBottom w:val="0"/>
              <w:divBdr>
                <w:top w:val="none" w:sz="0" w:space="0" w:color="auto"/>
                <w:left w:val="none" w:sz="0" w:space="0" w:color="auto"/>
                <w:bottom w:val="none" w:sz="0" w:space="0" w:color="auto"/>
                <w:right w:val="none" w:sz="0" w:space="0" w:color="auto"/>
              </w:divBdr>
              <w:divsChild>
                <w:div w:id="2073307967">
                  <w:marLeft w:val="0"/>
                  <w:marRight w:val="0"/>
                  <w:marTop w:val="0"/>
                  <w:marBottom w:val="0"/>
                  <w:divBdr>
                    <w:top w:val="none" w:sz="0" w:space="0" w:color="auto"/>
                    <w:left w:val="none" w:sz="0" w:space="0" w:color="auto"/>
                    <w:bottom w:val="none" w:sz="0" w:space="0" w:color="auto"/>
                    <w:right w:val="none" w:sz="0" w:space="0" w:color="auto"/>
                  </w:divBdr>
                  <w:divsChild>
                    <w:div w:id="125878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391721">
      <w:bodyDiv w:val="1"/>
      <w:marLeft w:val="0"/>
      <w:marRight w:val="0"/>
      <w:marTop w:val="0"/>
      <w:marBottom w:val="0"/>
      <w:divBdr>
        <w:top w:val="none" w:sz="0" w:space="0" w:color="auto"/>
        <w:left w:val="none" w:sz="0" w:space="0" w:color="auto"/>
        <w:bottom w:val="none" w:sz="0" w:space="0" w:color="auto"/>
        <w:right w:val="none" w:sz="0" w:space="0" w:color="auto"/>
      </w:divBdr>
      <w:divsChild>
        <w:div w:id="139157592">
          <w:marLeft w:val="0"/>
          <w:marRight w:val="0"/>
          <w:marTop w:val="0"/>
          <w:marBottom w:val="0"/>
          <w:divBdr>
            <w:top w:val="none" w:sz="0" w:space="0" w:color="auto"/>
            <w:left w:val="none" w:sz="0" w:space="0" w:color="auto"/>
            <w:bottom w:val="none" w:sz="0" w:space="0" w:color="auto"/>
            <w:right w:val="none" w:sz="0" w:space="0" w:color="auto"/>
          </w:divBdr>
          <w:divsChild>
            <w:div w:id="780609902">
              <w:marLeft w:val="0"/>
              <w:marRight w:val="0"/>
              <w:marTop w:val="0"/>
              <w:marBottom w:val="0"/>
              <w:divBdr>
                <w:top w:val="none" w:sz="0" w:space="0" w:color="auto"/>
                <w:left w:val="none" w:sz="0" w:space="0" w:color="auto"/>
                <w:bottom w:val="none" w:sz="0" w:space="0" w:color="auto"/>
                <w:right w:val="none" w:sz="0" w:space="0" w:color="auto"/>
              </w:divBdr>
              <w:divsChild>
                <w:div w:id="217254377">
                  <w:marLeft w:val="0"/>
                  <w:marRight w:val="0"/>
                  <w:marTop w:val="0"/>
                  <w:marBottom w:val="0"/>
                  <w:divBdr>
                    <w:top w:val="none" w:sz="0" w:space="0" w:color="auto"/>
                    <w:left w:val="none" w:sz="0" w:space="0" w:color="auto"/>
                    <w:bottom w:val="none" w:sz="0" w:space="0" w:color="auto"/>
                    <w:right w:val="none" w:sz="0" w:space="0" w:color="auto"/>
                  </w:divBdr>
                  <w:divsChild>
                    <w:div w:id="97822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4163">
      <w:bodyDiv w:val="1"/>
      <w:marLeft w:val="0"/>
      <w:marRight w:val="0"/>
      <w:marTop w:val="0"/>
      <w:marBottom w:val="0"/>
      <w:divBdr>
        <w:top w:val="none" w:sz="0" w:space="0" w:color="auto"/>
        <w:left w:val="none" w:sz="0" w:space="0" w:color="auto"/>
        <w:bottom w:val="none" w:sz="0" w:space="0" w:color="auto"/>
        <w:right w:val="none" w:sz="0" w:space="0" w:color="auto"/>
      </w:divBdr>
      <w:divsChild>
        <w:div w:id="412049046">
          <w:marLeft w:val="0"/>
          <w:marRight w:val="0"/>
          <w:marTop w:val="0"/>
          <w:marBottom w:val="0"/>
          <w:divBdr>
            <w:top w:val="none" w:sz="0" w:space="0" w:color="auto"/>
            <w:left w:val="none" w:sz="0" w:space="0" w:color="auto"/>
            <w:bottom w:val="none" w:sz="0" w:space="0" w:color="auto"/>
            <w:right w:val="none" w:sz="0" w:space="0" w:color="auto"/>
          </w:divBdr>
          <w:divsChild>
            <w:div w:id="97725257">
              <w:marLeft w:val="0"/>
              <w:marRight w:val="0"/>
              <w:marTop w:val="0"/>
              <w:marBottom w:val="0"/>
              <w:divBdr>
                <w:top w:val="none" w:sz="0" w:space="0" w:color="auto"/>
                <w:left w:val="none" w:sz="0" w:space="0" w:color="auto"/>
                <w:bottom w:val="none" w:sz="0" w:space="0" w:color="auto"/>
                <w:right w:val="none" w:sz="0" w:space="0" w:color="auto"/>
              </w:divBdr>
              <w:divsChild>
                <w:div w:id="1092701012">
                  <w:marLeft w:val="0"/>
                  <w:marRight w:val="0"/>
                  <w:marTop w:val="0"/>
                  <w:marBottom w:val="0"/>
                  <w:divBdr>
                    <w:top w:val="none" w:sz="0" w:space="0" w:color="auto"/>
                    <w:left w:val="none" w:sz="0" w:space="0" w:color="auto"/>
                    <w:bottom w:val="none" w:sz="0" w:space="0" w:color="auto"/>
                    <w:right w:val="none" w:sz="0" w:space="0" w:color="auto"/>
                  </w:divBdr>
                  <w:divsChild>
                    <w:div w:id="88179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86622">
      <w:bodyDiv w:val="1"/>
      <w:marLeft w:val="0"/>
      <w:marRight w:val="0"/>
      <w:marTop w:val="0"/>
      <w:marBottom w:val="0"/>
      <w:divBdr>
        <w:top w:val="none" w:sz="0" w:space="0" w:color="auto"/>
        <w:left w:val="none" w:sz="0" w:space="0" w:color="auto"/>
        <w:bottom w:val="none" w:sz="0" w:space="0" w:color="auto"/>
        <w:right w:val="none" w:sz="0" w:space="0" w:color="auto"/>
      </w:divBdr>
      <w:divsChild>
        <w:div w:id="1490517816">
          <w:marLeft w:val="0"/>
          <w:marRight w:val="0"/>
          <w:marTop w:val="0"/>
          <w:marBottom w:val="0"/>
          <w:divBdr>
            <w:top w:val="none" w:sz="0" w:space="0" w:color="auto"/>
            <w:left w:val="none" w:sz="0" w:space="0" w:color="auto"/>
            <w:bottom w:val="none" w:sz="0" w:space="0" w:color="auto"/>
            <w:right w:val="none" w:sz="0" w:space="0" w:color="auto"/>
          </w:divBdr>
          <w:divsChild>
            <w:div w:id="680662510">
              <w:marLeft w:val="0"/>
              <w:marRight w:val="0"/>
              <w:marTop w:val="0"/>
              <w:marBottom w:val="0"/>
              <w:divBdr>
                <w:top w:val="none" w:sz="0" w:space="0" w:color="auto"/>
                <w:left w:val="none" w:sz="0" w:space="0" w:color="auto"/>
                <w:bottom w:val="none" w:sz="0" w:space="0" w:color="auto"/>
                <w:right w:val="none" w:sz="0" w:space="0" w:color="auto"/>
              </w:divBdr>
              <w:divsChild>
                <w:div w:id="653485818">
                  <w:marLeft w:val="0"/>
                  <w:marRight w:val="0"/>
                  <w:marTop w:val="0"/>
                  <w:marBottom w:val="0"/>
                  <w:divBdr>
                    <w:top w:val="none" w:sz="0" w:space="0" w:color="auto"/>
                    <w:left w:val="none" w:sz="0" w:space="0" w:color="auto"/>
                    <w:bottom w:val="none" w:sz="0" w:space="0" w:color="auto"/>
                    <w:right w:val="none" w:sz="0" w:space="0" w:color="auto"/>
                  </w:divBdr>
                  <w:divsChild>
                    <w:div w:id="15598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15040">
      <w:bodyDiv w:val="1"/>
      <w:marLeft w:val="0"/>
      <w:marRight w:val="0"/>
      <w:marTop w:val="0"/>
      <w:marBottom w:val="0"/>
      <w:divBdr>
        <w:top w:val="none" w:sz="0" w:space="0" w:color="auto"/>
        <w:left w:val="none" w:sz="0" w:space="0" w:color="auto"/>
        <w:bottom w:val="none" w:sz="0" w:space="0" w:color="auto"/>
        <w:right w:val="none" w:sz="0" w:space="0" w:color="auto"/>
      </w:divBdr>
      <w:divsChild>
        <w:div w:id="302856201">
          <w:marLeft w:val="0"/>
          <w:marRight w:val="0"/>
          <w:marTop w:val="0"/>
          <w:marBottom w:val="0"/>
          <w:divBdr>
            <w:top w:val="none" w:sz="0" w:space="0" w:color="auto"/>
            <w:left w:val="none" w:sz="0" w:space="0" w:color="auto"/>
            <w:bottom w:val="none" w:sz="0" w:space="0" w:color="auto"/>
            <w:right w:val="none" w:sz="0" w:space="0" w:color="auto"/>
          </w:divBdr>
          <w:divsChild>
            <w:div w:id="1526946886">
              <w:marLeft w:val="0"/>
              <w:marRight w:val="0"/>
              <w:marTop w:val="0"/>
              <w:marBottom w:val="0"/>
              <w:divBdr>
                <w:top w:val="none" w:sz="0" w:space="0" w:color="auto"/>
                <w:left w:val="none" w:sz="0" w:space="0" w:color="auto"/>
                <w:bottom w:val="none" w:sz="0" w:space="0" w:color="auto"/>
                <w:right w:val="none" w:sz="0" w:space="0" w:color="auto"/>
              </w:divBdr>
              <w:divsChild>
                <w:div w:id="2002732026">
                  <w:marLeft w:val="0"/>
                  <w:marRight w:val="0"/>
                  <w:marTop w:val="0"/>
                  <w:marBottom w:val="0"/>
                  <w:divBdr>
                    <w:top w:val="none" w:sz="0" w:space="0" w:color="auto"/>
                    <w:left w:val="none" w:sz="0" w:space="0" w:color="auto"/>
                    <w:bottom w:val="none" w:sz="0" w:space="0" w:color="auto"/>
                    <w:right w:val="none" w:sz="0" w:space="0" w:color="auto"/>
                  </w:divBdr>
                  <w:divsChild>
                    <w:div w:id="84798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335359">
      <w:bodyDiv w:val="1"/>
      <w:marLeft w:val="0"/>
      <w:marRight w:val="0"/>
      <w:marTop w:val="0"/>
      <w:marBottom w:val="0"/>
      <w:divBdr>
        <w:top w:val="none" w:sz="0" w:space="0" w:color="auto"/>
        <w:left w:val="none" w:sz="0" w:space="0" w:color="auto"/>
        <w:bottom w:val="none" w:sz="0" w:space="0" w:color="auto"/>
        <w:right w:val="none" w:sz="0" w:space="0" w:color="auto"/>
      </w:divBdr>
      <w:divsChild>
        <w:div w:id="180051262">
          <w:marLeft w:val="0"/>
          <w:marRight w:val="0"/>
          <w:marTop w:val="0"/>
          <w:marBottom w:val="0"/>
          <w:divBdr>
            <w:top w:val="none" w:sz="0" w:space="0" w:color="auto"/>
            <w:left w:val="none" w:sz="0" w:space="0" w:color="auto"/>
            <w:bottom w:val="none" w:sz="0" w:space="0" w:color="auto"/>
            <w:right w:val="none" w:sz="0" w:space="0" w:color="auto"/>
          </w:divBdr>
          <w:divsChild>
            <w:div w:id="367920869">
              <w:marLeft w:val="0"/>
              <w:marRight w:val="0"/>
              <w:marTop w:val="0"/>
              <w:marBottom w:val="0"/>
              <w:divBdr>
                <w:top w:val="none" w:sz="0" w:space="0" w:color="auto"/>
                <w:left w:val="none" w:sz="0" w:space="0" w:color="auto"/>
                <w:bottom w:val="none" w:sz="0" w:space="0" w:color="auto"/>
                <w:right w:val="none" w:sz="0" w:space="0" w:color="auto"/>
              </w:divBdr>
              <w:divsChild>
                <w:div w:id="669601117">
                  <w:marLeft w:val="0"/>
                  <w:marRight w:val="0"/>
                  <w:marTop w:val="0"/>
                  <w:marBottom w:val="0"/>
                  <w:divBdr>
                    <w:top w:val="none" w:sz="0" w:space="0" w:color="auto"/>
                    <w:left w:val="none" w:sz="0" w:space="0" w:color="auto"/>
                    <w:bottom w:val="none" w:sz="0" w:space="0" w:color="auto"/>
                    <w:right w:val="none" w:sz="0" w:space="0" w:color="auto"/>
                  </w:divBdr>
                  <w:divsChild>
                    <w:div w:id="191431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594097">
      <w:bodyDiv w:val="1"/>
      <w:marLeft w:val="0"/>
      <w:marRight w:val="0"/>
      <w:marTop w:val="0"/>
      <w:marBottom w:val="0"/>
      <w:divBdr>
        <w:top w:val="none" w:sz="0" w:space="0" w:color="auto"/>
        <w:left w:val="none" w:sz="0" w:space="0" w:color="auto"/>
        <w:bottom w:val="none" w:sz="0" w:space="0" w:color="auto"/>
        <w:right w:val="none" w:sz="0" w:space="0" w:color="auto"/>
      </w:divBdr>
      <w:divsChild>
        <w:div w:id="2141072642">
          <w:marLeft w:val="0"/>
          <w:marRight w:val="0"/>
          <w:marTop w:val="0"/>
          <w:marBottom w:val="0"/>
          <w:divBdr>
            <w:top w:val="none" w:sz="0" w:space="0" w:color="auto"/>
            <w:left w:val="none" w:sz="0" w:space="0" w:color="auto"/>
            <w:bottom w:val="none" w:sz="0" w:space="0" w:color="auto"/>
            <w:right w:val="none" w:sz="0" w:space="0" w:color="auto"/>
          </w:divBdr>
          <w:divsChild>
            <w:div w:id="1281112845">
              <w:marLeft w:val="0"/>
              <w:marRight w:val="0"/>
              <w:marTop w:val="0"/>
              <w:marBottom w:val="0"/>
              <w:divBdr>
                <w:top w:val="none" w:sz="0" w:space="0" w:color="auto"/>
                <w:left w:val="none" w:sz="0" w:space="0" w:color="auto"/>
                <w:bottom w:val="none" w:sz="0" w:space="0" w:color="auto"/>
                <w:right w:val="none" w:sz="0" w:space="0" w:color="auto"/>
              </w:divBdr>
              <w:divsChild>
                <w:div w:id="36911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3377">
      <w:bodyDiv w:val="1"/>
      <w:marLeft w:val="0"/>
      <w:marRight w:val="0"/>
      <w:marTop w:val="0"/>
      <w:marBottom w:val="0"/>
      <w:divBdr>
        <w:top w:val="none" w:sz="0" w:space="0" w:color="auto"/>
        <w:left w:val="none" w:sz="0" w:space="0" w:color="auto"/>
        <w:bottom w:val="none" w:sz="0" w:space="0" w:color="auto"/>
        <w:right w:val="none" w:sz="0" w:space="0" w:color="auto"/>
      </w:divBdr>
      <w:divsChild>
        <w:div w:id="141119088">
          <w:marLeft w:val="0"/>
          <w:marRight w:val="0"/>
          <w:marTop w:val="0"/>
          <w:marBottom w:val="0"/>
          <w:divBdr>
            <w:top w:val="none" w:sz="0" w:space="0" w:color="auto"/>
            <w:left w:val="none" w:sz="0" w:space="0" w:color="auto"/>
            <w:bottom w:val="none" w:sz="0" w:space="0" w:color="auto"/>
            <w:right w:val="none" w:sz="0" w:space="0" w:color="auto"/>
          </w:divBdr>
          <w:divsChild>
            <w:div w:id="838230523">
              <w:marLeft w:val="0"/>
              <w:marRight w:val="0"/>
              <w:marTop w:val="0"/>
              <w:marBottom w:val="0"/>
              <w:divBdr>
                <w:top w:val="none" w:sz="0" w:space="0" w:color="auto"/>
                <w:left w:val="none" w:sz="0" w:space="0" w:color="auto"/>
                <w:bottom w:val="none" w:sz="0" w:space="0" w:color="auto"/>
                <w:right w:val="none" w:sz="0" w:space="0" w:color="auto"/>
              </w:divBdr>
              <w:divsChild>
                <w:div w:id="952244507">
                  <w:marLeft w:val="0"/>
                  <w:marRight w:val="0"/>
                  <w:marTop w:val="0"/>
                  <w:marBottom w:val="0"/>
                  <w:divBdr>
                    <w:top w:val="none" w:sz="0" w:space="0" w:color="auto"/>
                    <w:left w:val="none" w:sz="0" w:space="0" w:color="auto"/>
                    <w:bottom w:val="none" w:sz="0" w:space="0" w:color="auto"/>
                    <w:right w:val="none" w:sz="0" w:space="0" w:color="auto"/>
                  </w:divBdr>
                  <w:divsChild>
                    <w:div w:id="168226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665122">
      <w:bodyDiv w:val="1"/>
      <w:marLeft w:val="0"/>
      <w:marRight w:val="0"/>
      <w:marTop w:val="0"/>
      <w:marBottom w:val="0"/>
      <w:divBdr>
        <w:top w:val="none" w:sz="0" w:space="0" w:color="auto"/>
        <w:left w:val="none" w:sz="0" w:space="0" w:color="auto"/>
        <w:bottom w:val="none" w:sz="0" w:space="0" w:color="auto"/>
        <w:right w:val="none" w:sz="0" w:space="0" w:color="auto"/>
      </w:divBdr>
      <w:divsChild>
        <w:div w:id="337734525">
          <w:marLeft w:val="0"/>
          <w:marRight w:val="0"/>
          <w:marTop w:val="0"/>
          <w:marBottom w:val="0"/>
          <w:divBdr>
            <w:top w:val="none" w:sz="0" w:space="0" w:color="auto"/>
            <w:left w:val="none" w:sz="0" w:space="0" w:color="auto"/>
            <w:bottom w:val="none" w:sz="0" w:space="0" w:color="auto"/>
            <w:right w:val="none" w:sz="0" w:space="0" w:color="auto"/>
          </w:divBdr>
          <w:divsChild>
            <w:div w:id="1667048761">
              <w:marLeft w:val="0"/>
              <w:marRight w:val="0"/>
              <w:marTop w:val="0"/>
              <w:marBottom w:val="0"/>
              <w:divBdr>
                <w:top w:val="none" w:sz="0" w:space="0" w:color="auto"/>
                <w:left w:val="none" w:sz="0" w:space="0" w:color="auto"/>
                <w:bottom w:val="none" w:sz="0" w:space="0" w:color="auto"/>
                <w:right w:val="none" w:sz="0" w:space="0" w:color="auto"/>
              </w:divBdr>
              <w:divsChild>
                <w:div w:id="107047609">
                  <w:marLeft w:val="0"/>
                  <w:marRight w:val="0"/>
                  <w:marTop w:val="0"/>
                  <w:marBottom w:val="0"/>
                  <w:divBdr>
                    <w:top w:val="none" w:sz="0" w:space="0" w:color="auto"/>
                    <w:left w:val="none" w:sz="0" w:space="0" w:color="auto"/>
                    <w:bottom w:val="none" w:sz="0" w:space="0" w:color="auto"/>
                    <w:right w:val="none" w:sz="0" w:space="0" w:color="auto"/>
                  </w:divBdr>
                  <w:divsChild>
                    <w:div w:id="9146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17462">
      <w:bodyDiv w:val="1"/>
      <w:marLeft w:val="0"/>
      <w:marRight w:val="0"/>
      <w:marTop w:val="0"/>
      <w:marBottom w:val="0"/>
      <w:divBdr>
        <w:top w:val="none" w:sz="0" w:space="0" w:color="auto"/>
        <w:left w:val="none" w:sz="0" w:space="0" w:color="auto"/>
        <w:bottom w:val="none" w:sz="0" w:space="0" w:color="auto"/>
        <w:right w:val="none" w:sz="0" w:space="0" w:color="auto"/>
      </w:divBdr>
      <w:divsChild>
        <w:div w:id="133446919">
          <w:marLeft w:val="0"/>
          <w:marRight w:val="0"/>
          <w:marTop w:val="0"/>
          <w:marBottom w:val="0"/>
          <w:divBdr>
            <w:top w:val="none" w:sz="0" w:space="0" w:color="auto"/>
            <w:left w:val="none" w:sz="0" w:space="0" w:color="auto"/>
            <w:bottom w:val="none" w:sz="0" w:space="0" w:color="auto"/>
            <w:right w:val="none" w:sz="0" w:space="0" w:color="auto"/>
          </w:divBdr>
          <w:divsChild>
            <w:div w:id="1930311170">
              <w:marLeft w:val="0"/>
              <w:marRight w:val="0"/>
              <w:marTop w:val="0"/>
              <w:marBottom w:val="0"/>
              <w:divBdr>
                <w:top w:val="none" w:sz="0" w:space="0" w:color="auto"/>
                <w:left w:val="none" w:sz="0" w:space="0" w:color="auto"/>
                <w:bottom w:val="none" w:sz="0" w:space="0" w:color="auto"/>
                <w:right w:val="none" w:sz="0" w:space="0" w:color="auto"/>
              </w:divBdr>
              <w:divsChild>
                <w:div w:id="2024355169">
                  <w:marLeft w:val="0"/>
                  <w:marRight w:val="0"/>
                  <w:marTop w:val="0"/>
                  <w:marBottom w:val="0"/>
                  <w:divBdr>
                    <w:top w:val="none" w:sz="0" w:space="0" w:color="auto"/>
                    <w:left w:val="none" w:sz="0" w:space="0" w:color="auto"/>
                    <w:bottom w:val="none" w:sz="0" w:space="0" w:color="auto"/>
                    <w:right w:val="none" w:sz="0" w:space="0" w:color="auto"/>
                  </w:divBdr>
                  <w:divsChild>
                    <w:div w:id="11734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856128">
      <w:bodyDiv w:val="1"/>
      <w:marLeft w:val="0"/>
      <w:marRight w:val="0"/>
      <w:marTop w:val="0"/>
      <w:marBottom w:val="0"/>
      <w:divBdr>
        <w:top w:val="none" w:sz="0" w:space="0" w:color="auto"/>
        <w:left w:val="none" w:sz="0" w:space="0" w:color="auto"/>
        <w:bottom w:val="none" w:sz="0" w:space="0" w:color="auto"/>
        <w:right w:val="none" w:sz="0" w:space="0" w:color="auto"/>
      </w:divBdr>
      <w:divsChild>
        <w:div w:id="1569607484">
          <w:marLeft w:val="0"/>
          <w:marRight w:val="0"/>
          <w:marTop w:val="0"/>
          <w:marBottom w:val="0"/>
          <w:divBdr>
            <w:top w:val="none" w:sz="0" w:space="0" w:color="auto"/>
            <w:left w:val="none" w:sz="0" w:space="0" w:color="auto"/>
            <w:bottom w:val="none" w:sz="0" w:space="0" w:color="auto"/>
            <w:right w:val="none" w:sz="0" w:space="0" w:color="auto"/>
          </w:divBdr>
          <w:divsChild>
            <w:div w:id="151994195">
              <w:marLeft w:val="0"/>
              <w:marRight w:val="0"/>
              <w:marTop w:val="0"/>
              <w:marBottom w:val="0"/>
              <w:divBdr>
                <w:top w:val="none" w:sz="0" w:space="0" w:color="auto"/>
                <w:left w:val="none" w:sz="0" w:space="0" w:color="auto"/>
                <w:bottom w:val="none" w:sz="0" w:space="0" w:color="auto"/>
                <w:right w:val="none" w:sz="0" w:space="0" w:color="auto"/>
              </w:divBdr>
              <w:divsChild>
                <w:div w:id="1676030733">
                  <w:marLeft w:val="0"/>
                  <w:marRight w:val="0"/>
                  <w:marTop w:val="0"/>
                  <w:marBottom w:val="0"/>
                  <w:divBdr>
                    <w:top w:val="none" w:sz="0" w:space="0" w:color="auto"/>
                    <w:left w:val="none" w:sz="0" w:space="0" w:color="auto"/>
                    <w:bottom w:val="none" w:sz="0" w:space="0" w:color="auto"/>
                    <w:right w:val="none" w:sz="0" w:space="0" w:color="auto"/>
                  </w:divBdr>
                  <w:divsChild>
                    <w:div w:id="206166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30564">
      <w:bodyDiv w:val="1"/>
      <w:marLeft w:val="0"/>
      <w:marRight w:val="0"/>
      <w:marTop w:val="0"/>
      <w:marBottom w:val="0"/>
      <w:divBdr>
        <w:top w:val="none" w:sz="0" w:space="0" w:color="auto"/>
        <w:left w:val="none" w:sz="0" w:space="0" w:color="auto"/>
        <w:bottom w:val="none" w:sz="0" w:space="0" w:color="auto"/>
        <w:right w:val="none" w:sz="0" w:space="0" w:color="auto"/>
      </w:divBdr>
      <w:divsChild>
        <w:div w:id="1930113910">
          <w:marLeft w:val="0"/>
          <w:marRight w:val="0"/>
          <w:marTop w:val="0"/>
          <w:marBottom w:val="0"/>
          <w:divBdr>
            <w:top w:val="none" w:sz="0" w:space="0" w:color="auto"/>
            <w:left w:val="none" w:sz="0" w:space="0" w:color="auto"/>
            <w:bottom w:val="none" w:sz="0" w:space="0" w:color="auto"/>
            <w:right w:val="none" w:sz="0" w:space="0" w:color="auto"/>
          </w:divBdr>
          <w:divsChild>
            <w:div w:id="339160994">
              <w:marLeft w:val="0"/>
              <w:marRight w:val="0"/>
              <w:marTop w:val="0"/>
              <w:marBottom w:val="0"/>
              <w:divBdr>
                <w:top w:val="none" w:sz="0" w:space="0" w:color="auto"/>
                <w:left w:val="none" w:sz="0" w:space="0" w:color="auto"/>
                <w:bottom w:val="none" w:sz="0" w:space="0" w:color="auto"/>
                <w:right w:val="none" w:sz="0" w:space="0" w:color="auto"/>
              </w:divBdr>
              <w:divsChild>
                <w:div w:id="2119062421">
                  <w:marLeft w:val="0"/>
                  <w:marRight w:val="0"/>
                  <w:marTop w:val="0"/>
                  <w:marBottom w:val="0"/>
                  <w:divBdr>
                    <w:top w:val="none" w:sz="0" w:space="0" w:color="auto"/>
                    <w:left w:val="none" w:sz="0" w:space="0" w:color="auto"/>
                    <w:bottom w:val="none" w:sz="0" w:space="0" w:color="auto"/>
                    <w:right w:val="none" w:sz="0" w:space="0" w:color="auto"/>
                  </w:divBdr>
                  <w:divsChild>
                    <w:div w:id="79379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314784">
      <w:bodyDiv w:val="1"/>
      <w:marLeft w:val="0"/>
      <w:marRight w:val="0"/>
      <w:marTop w:val="0"/>
      <w:marBottom w:val="0"/>
      <w:divBdr>
        <w:top w:val="none" w:sz="0" w:space="0" w:color="auto"/>
        <w:left w:val="none" w:sz="0" w:space="0" w:color="auto"/>
        <w:bottom w:val="none" w:sz="0" w:space="0" w:color="auto"/>
        <w:right w:val="none" w:sz="0" w:space="0" w:color="auto"/>
      </w:divBdr>
      <w:divsChild>
        <w:div w:id="330260796">
          <w:marLeft w:val="0"/>
          <w:marRight w:val="0"/>
          <w:marTop w:val="0"/>
          <w:marBottom w:val="0"/>
          <w:divBdr>
            <w:top w:val="none" w:sz="0" w:space="0" w:color="auto"/>
            <w:left w:val="none" w:sz="0" w:space="0" w:color="auto"/>
            <w:bottom w:val="none" w:sz="0" w:space="0" w:color="auto"/>
            <w:right w:val="none" w:sz="0" w:space="0" w:color="auto"/>
          </w:divBdr>
          <w:divsChild>
            <w:div w:id="876622645">
              <w:marLeft w:val="0"/>
              <w:marRight w:val="0"/>
              <w:marTop w:val="0"/>
              <w:marBottom w:val="0"/>
              <w:divBdr>
                <w:top w:val="none" w:sz="0" w:space="0" w:color="auto"/>
                <w:left w:val="none" w:sz="0" w:space="0" w:color="auto"/>
                <w:bottom w:val="none" w:sz="0" w:space="0" w:color="auto"/>
                <w:right w:val="none" w:sz="0" w:space="0" w:color="auto"/>
              </w:divBdr>
              <w:divsChild>
                <w:div w:id="989603007">
                  <w:marLeft w:val="0"/>
                  <w:marRight w:val="0"/>
                  <w:marTop w:val="0"/>
                  <w:marBottom w:val="0"/>
                  <w:divBdr>
                    <w:top w:val="none" w:sz="0" w:space="0" w:color="auto"/>
                    <w:left w:val="none" w:sz="0" w:space="0" w:color="auto"/>
                    <w:bottom w:val="none" w:sz="0" w:space="0" w:color="auto"/>
                    <w:right w:val="none" w:sz="0" w:space="0" w:color="auto"/>
                  </w:divBdr>
                  <w:divsChild>
                    <w:div w:id="6620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353190">
      <w:bodyDiv w:val="1"/>
      <w:marLeft w:val="0"/>
      <w:marRight w:val="0"/>
      <w:marTop w:val="0"/>
      <w:marBottom w:val="0"/>
      <w:divBdr>
        <w:top w:val="none" w:sz="0" w:space="0" w:color="auto"/>
        <w:left w:val="none" w:sz="0" w:space="0" w:color="auto"/>
        <w:bottom w:val="none" w:sz="0" w:space="0" w:color="auto"/>
        <w:right w:val="none" w:sz="0" w:space="0" w:color="auto"/>
      </w:divBdr>
      <w:divsChild>
        <w:div w:id="928850068">
          <w:marLeft w:val="0"/>
          <w:marRight w:val="0"/>
          <w:marTop w:val="0"/>
          <w:marBottom w:val="0"/>
          <w:divBdr>
            <w:top w:val="none" w:sz="0" w:space="0" w:color="auto"/>
            <w:left w:val="none" w:sz="0" w:space="0" w:color="auto"/>
            <w:bottom w:val="none" w:sz="0" w:space="0" w:color="auto"/>
            <w:right w:val="none" w:sz="0" w:space="0" w:color="auto"/>
          </w:divBdr>
          <w:divsChild>
            <w:div w:id="68239312">
              <w:marLeft w:val="0"/>
              <w:marRight w:val="0"/>
              <w:marTop w:val="0"/>
              <w:marBottom w:val="0"/>
              <w:divBdr>
                <w:top w:val="none" w:sz="0" w:space="0" w:color="auto"/>
                <w:left w:val="none" w:sz="0" w:space="0" w:color="auto"/>
                <w:bottom w:val="none" w:sz="0" w:space="0" w:color="auto"/>
                <w:right w:val="none" w:sz="0" w:space="0" w:color="auto"/>
              </w:divBdr>
              <w:divsChild>
                <w:div w:id="1051199075">
                  <w:marLeft w:val="0"/>
                  <w:marRight w:val="0"/>
                  <w:marTop w:val="0"/>
                  <w:marBottom w:val="0"/>
                  <w:divBdr>
                    <w:top w:val="none" w:sz="0" w:space="0" w:color="auto"/>
                    <w:left w:val="none" w:sz="0" w:space="0" w:color="auto"/>
                    <w:bottom w:val="none" w:sz="0" w:space="0" w:color="auto"/>
                    <w:right w:val="none" w:sz="0" w:space="0" w:color="auto"/>
                  </w:divBdr>
                  <w:divsChild>
                    <w:div w:id="14308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36862">
      <w:bodyDiv w:val="1"/>
      <w:marLeft w:val="0"/>
      <w:marRight w:val="0"/>
      <w:marTop w:val="0"/>
      <w:marBottom w:val="0"/>
      <w:divBdr>
        <w:top w:val="none" w:sz="0" w:space="0" w:color="auto"/>
        <w:left w:val="none" w:sz="0" w:space="0" w:color="auto"/>
        <w:bottom w:val="none" w:sz="0" w:space="0" w:color="auto"/>
        <w:right w:val="none" w:sz="0" w:space="0" w:color="auto"/>
      </w:divBdr>
      <w:divsChild>
        <w:div w:id="513544329">
          <w:marLeft w:val="0"/>
          <w:marRight w:val="0"/>
          <w:marTop w:val="0"/>
          <w:marBottom w:val="0"/>
          <w:divBdr>
            <w:top w:val="none" w:sz="0" w:space="0" w:color="auto"/>
            <w:left w:val="none" w:sz="0" w:space="0" w:color="auto"/>
            <w:bottom w:val="none" w:sz="0" w:space="0" w:color="auto"/>
            <w:right w:val="none" w:sz="0" w:space="0" w:color="auto"/>
          </w:divBdr>
          <w:divsChild>
            <w:div w:id="1808543558">
              <w:marLeft w:val="0"/>
              <w:marRight w:val="0"/>
              <w:marTop w:val="0"/>
              <w:marBottom w:val="0"/>
              <w:divBdr>
                <w:top w:val="none" w:sz="0" w:space="0" w:color="auto"/>
                <w:left w:val="none" w:sz="0" w:space="0" w:color="auto"/>
                <w:bottom w:val="none" w:sz="0" w:space="0" w:color="auto"/>
                <w:right w:val="none" w:sz="0" w:space="0" w:color="auto"/>
              </w:divBdr>
              <w:divsChild>
                <w:div w:id="2079746775">
                  <w:marLeft w:val="0"/>
                  <w:marRight w:val="0"/>
                  <w:marTop w:val="0"/>
                  <w:marBottom w:val="0"/>
                  <w:divBdr>
                    <w:top w:val="none" w:sz="0" w:space="0" w:color="auto"/>
                    <w:left w:val="none" w:sz="0" w:space="0" w:color="auto"/>
                    <w:bottom w:val="none" w:sz="0" w:space="0" w:color="auto"/>
                    <w:right w:val="none" w:sz="0" w:space="0" w:color="auto"/>
                  </w:divBdr>
                  <w:divsChild>
                    <w:div w:id="27448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319242">
      <w:bodyDiv w:val="1"/>
      <w:marLeft w:val="0"/>
      <w:marRight w:val="0"/>
      <w:marTop w:val="0"/>
      <w:marBottom w:val="0"/>
      <w:divBdr>
        <w:top w:val="none" w:sz="0" w:space="0" w:color="auto"/>
        <w:left w:val="none" w:sz="0" w:space="0" w:color="auto"/>
        <w:bottom w:val="none" w:sz="0" w:space="0" w:color="auto"/>
        <w:right w:val="none" w:sz="0" w:space="0" w:color="auto"/>
      </w:divBdr>
      <w:divsChild>
        <w:div w:id="930429842">
          <w:marLeft w:val="0"/>
          <w:marRight w:val="0"/>
          <w:marTop w:val="0"/>
          <w:marBottom w:val="0"/>
          <w:divBdr>
            <w:top w:val="none" w:sz="0" w:space="0" w:color="auto"/>
            <w:left w:val="none" w:sz="0" w:space="0" w:color="auto"/>
            <w:bottom w:val="none" w:sz="0" w:space="0" w:color="auto"/>
            <w:right w:val="none" w:sz="0" w:space="0" w:color="auto"/>
          </w:divBdr>
          <w:divsChild>
            <w:div w:id="192964920">
              <w:marLeft w:val="0"/>
              <w:marRight w:val="0"/>
              <w:marTop w:val="0"/>
              <w:marBottom w:val="0"/>
              <w:divBdr>
                <w:top w:val="none" w:sz="0" w:space="0" w:color="auto"/>
                <w:left w:val="none" w:sz="0" w:space="0" w:color="auto"/>
                <w:bottom w:val="none" w:sz="0" w:space="0" w:color="auto"/>
                <w:right w:val="none" w:sz="0" w:space="0" w:color="auto"/>
              </w:divBdr>
              <w:divsChild>
                <w:div w:id="1710109530">
                  <w:marLeft w:val="0"/>
                  <w:marRight w:val="0"/>
                  <w:marTop w:val="0"/>
                  <w:marBottom w:val="0"/>
                  <w:divBdr>
                    <w:top w:val="none" w:sz="0" w:space="0" w:color="auto"/>
                    <w:left w:val="none" w:sz="0" w:space="0" w:color="auto"/>
                    <w:bottom w:val="none" w:sz="0" w:space="0" w:color="auto"/>
                    <w:right w:val="none" w:sz="0" w:space="0" w:color="auto"/>
                  </w:divBdr>
                  <w:divsChild>
                    <w:div w:id="6780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743320">
      <w:bodyDiv w:val="1"/>
      <w:marLeft w:val="0"/>
      <w:marRight w:val="0"/>
      <w:marTop w:val="0"/>
      <w:marBottom w:val="0"/>
      <w:divBdr>
        <w:top w:val="none" w:sz="0" w:space="0" w:color="auto"/>
        <w:left w:val="none" w:sz="0" w:space="0" w:color="auto"/>
        <w:bottom w:val="none" w:sz="0" w:space="0" w:color="auto"/>
        <w:right w:val="none" w:sz="0" w:space="0" w:color="auto"/>
      </w:divBdr>
      <w:divsChild>
        <w:div w:id="896860369">
          <w:marLeft w:val="0"/>
          <w:marRight w:val="0"/>
          <w:marTop w:val="0"/>
          <w:marBottom w:val="0"/>
          <w:divBdr>
            <w:top w:val="none" w:sz="0" w:space="0" w:color="auto"/>
            <w:left w:val="none" w:sz="0" w:space="0" w:color="auto"/>
            <w:bottom w:val="none" w:sz="0" w:space="0" w:color="auto"/>
            <w:right w:val="none" w:sz="0" w:space="0" w:color="auto"/>
          </w:divBdr>
          <w:divsChild>
            <w:div w:id="1431386668">
              <w:marLeft w:val="0"/>
              <w:marRight w:val="0"/>
              <w:marTop w:val="0"/>
              <w:marBottom w:val="0"/>
              <w:divBdr>
                <w:top w:val="none" w:sz="0" w:space="0" w:color="auto"/>
                <w:left w:val="none" w:sz="0" w:space="0" w:color="auto"/>
                <w:bottom w:val="none" w:sz="0" w:space="0" w:color="auto"/>
                <w:right w:val="none" w:sz="0" w:space="0" w:color="auto"/>
              </w:divBdr>
              <w:divsChild>
                <w:div w:id="1041631328">
                  <w:marLeft w:val="0"/>
                  <w:marRight w:val="0"/>
                  <w:marTop w:val="0"/>
                  <w:marBottom w:val="0"/>
                  <w:divBdr>
                    <w:top w:val="none" w:sz="0" w:space="0" w:color="auto"/>
                    <w:left w:val="none" w:sz="0" w:space="0" w:color="auto"/>
                    <w:bottom w:val="none" w:sz="0" w:space="0" w:color="auto"/>
                    <w:right w:val="none" w:sz="0" w:space="0" w:color="auto"/>
                  </w:divBdr>
                  <w:divsChild>
                    <w:div w:id="5899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691228">
      <w:bodyDiv w:val="1"/>
      <w:marLeft w:val="0"/>
      <w:marRight w:val="0"/>
      <w:marTop w:val="0"/>
      <w:marBottom w:val="0"/>
      <w:divBdr>
        <w:top w:val="none" w:sz="0" w:space="0" w:color="auto"/>
        <w:left w:val="none" w:sz="0" w:space="0" w:color="auto"/>
        <w:bottom w:val="none" w:sz="0" w:space="0" w:color="auto"/>
        <w:right w:val="none" w:sz="0" w:space="0" w:color="auto"/>
      </w:divBdr>
      <w:divsChild>
        <w:div w:id="1545094862">
          <w:marLeft w:val="0"/>
          <w:marRight w:val="0"/>
          <w:marTop w:val="0"/>
          <w:marBottom w:val="0"/>
          <w:divBdr>
            <w:top w:val="none" w:sz="0" w:space="0" w:color="auto"/>
            <w:left w:val="none" w:sz="0" w:space="0" w:color="auto"/>
            <w:bottom w:val="none" w:sz="0" w:space="0" w:color="auto"/>
            <w:right w:val="none" w:sz="0" w:space="0" w:color="auto"/>
          </w:divBdr>
          <w:divsChild>
            <w:div w:id="1791820656">
              <w:marLeft w:val="0"/>
              <w:marRight w:val="0"/>
              <w:marTop w:val="0"/>
              <w:marBottom w:val="0"/>
              <w:divBdr>
                <w:top w:val="none" w:sz="0" w:space="0" w:color="auto"/>
                <w:left w:val="none" w:sz="0" w:space="0" w:color="auto"/>
                <w:bottom w:val="none" w:sz="0" w:space="0" w:color="auto"/>
                <w:right w:val="none" w:sz="0" w:space="0" w:color="auto"/>
              </w:divBdr>
              <w:divsChild>
                <w:div w:id="272441559">
                  <w:marLeft w:val="0"/>
                  <w:marRight w:val="0"/>
                  <w:marTop w:val="0"/>
                  <w:marBottom w:val="0"/>
                  <w:divBdr>
                    <w:top w:val="none" w:sz="0" w:space="0" w:color="auto"/>
                    <w:left w:val="none" w:sz="0" w:space="0" w:color="auto"/>
                    <w:bottom w:val="none" w:sz="0" w:space="0" w:color="auto"/>
                    <w:right w:val="none" w:sz="0" w:space="0" w:color="auto"/>
                  </w:divBdr>
                  <w:divsChild>
                    <w:div w:id="4094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124465">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sChild>
            <w:div w:id="259291590">
              <w:marLeft w:val="0"/>
              <w:marRight w:val="0"/>
              <w:marTop w:val="0"/>
              <w:marBottom w:val="0"/>
              <w:divBdr>
                <w:top w:val="none" w:sz="0" w:space="0" w:color="auto"/>
                <w:left w:val="none" w:sz="0" w:space="0" w:color="auto"/>
                <w:bottom w:val="none" w:sz="0" w:space="0" w:color="auto"/>
                <w:right w:val="none" w:sz="0" w:space="0" w:color="auto"/>
              </w:divBdr>
              <w:divsChild>
                <w:div w:id="938634418">
                  <w:marLeft w:val="0"/>
                  <w:marRight w:val="0"/>
                  <w:marTop w:val="0"/>
                  <w:marBottom w:val="0"/>
                  <w:divBdr>
                    <w:top w:val="none" w:sz="0" w:space="0" w:color="auto"/>
                    <w:left w:val="none" w:sz="0" w:space="0" w:color="auto"/>
                    <w:bottom w:val="none" w:sz="0" w:space="0" w:color="auto"/>
                    <w:right w:val="none" w:sz="0" w:space="0" w:color="auto"/>
                  </w:divBdr>
                  <w:divsChild>
                    <w:div w:id="1743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43330">
      <w:bodyDiv w:val="1"/>
      <w:marLeft w:val="0"/>
      <w:marRight w:val="0"/>
      <w:marTop w:val="0"/>
      <w:marBottom w:val="0"/>
      <w:divBdr>
        <w:top w:val="none" w:sz="0" w:space="0" w:color="auto"/>
        <w:left w:val="none" w:sz="0" w:space="0" w:color="auto"/>
        <w:bottom w:val="none" w:sz="0" w:space="0" w:color="auto"/>
        <w:right w:val="none" w:sz="0" w:space="0" w:color="auto"/>
      </w:divBdr>
      <w:divsChild>
        <w:div w:id="348722563">
          <w:marLeft w:val="0"/>
          <w:marRight w:val="0"/>
          <w:marTop w:val="0"/>
          <w:marBottom w:val="0"/>
          <w:divBdr>
            <w:top w:val="none" w:sz="0" w:space="0" w:color="auto"/>
            <w:left w:val="none" w:sz="0" w:space="0" w:color="auto"/>
            <w:bottom w:val="none" w:sz="0" w:space="0" w:color="auto"/>
            <w:right w:val="none" w:sz="0" w:space="0" w:color="auto"/>
          </w:divBdr>
          <w:divsChild>
            <w:div w:id="1553269937">
              <w:marLeft w:val="0"/>
              <w:marRight w:val="0"/>
              <w:marTop w:val="0"/>
              <w:marBottom w:val="0"/>
              <w:divBdr>
                <w:top w:val="none" w:sz="0" w:space="0" w:color="auto"/>
                <w:left w:val="none" w:sz="0" w:space="0" w:color="auto"/>
                <w:bottom w:val="none" w:sz="0" w:space="0" w:color="auto"/>
                <w:right w:val="none" w:sz="0" w:space="0" w:color="auto"/>
              </w:divBdr>
              <w:divsChild>
                <w:div w:id="437529405">
                  <w:marLeft w:val="0"/>
                  <w:marRight w:val="0"/>
                  <w:marTop w:val="0"/>
                  <w:marBottom w:val="0"/>
                  <w:divBdr>
                    <w:top w:val="none" w:sz="0" w:space="0" w:color="auto"/>
                    <w:left w:val="none" w:sz="0" w:space="0" w:color="auto"/>
                    <w:bottom w:val="none" w:sz="0" w:space="0" w:color="auto"/>
                    <w:right w:val="none" w:sz="0" w:space="0" w:color="auto"/>
                  </w:divBdr>
                  <w:divsChild>
                    <w:div w:id="147667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249297">
      <w:bodyDiv w:val="1"/>
      <w:marLeft w:val="0"/>
      <w:marRight w:val="0"/>
      <w:marTop w:val="0"/>
      <w:marBottom w:val="0"/>
      <w:divBdr>
        <w:top w:val="none" w:sz="0" w:space="0" w:color="auto"/>
        <w:left w:val="none" w:sz="0" w:space="0" w:color="auto"/>
        <w:bottom w:val="none" w:sz="0" w:space="0" w:color="auto"/>
        <w:right w:val="none" w:sz="0" w:space="0" w:color="auto"/>
      </w:divBdr>
      <w:divsChild>
        <w:div w:id="1817142952">
          <w:marLeft w:val="0"/>
          <w:marRight w:val="0"/>
          <w:marTop w:val="0"/>
          <w:marBottom w:val="0"/>
          <w:divBdr>
            <w:top w:val="none" w:sz="0" w:space="0" w:color="auto"/>
            <w:left w:val="none" w:sz="0" w:space="0" w:color="auto"/>
            <w:bottom w:val="none" w:sz="0" w:space="0" w:color="auto"/>
            <w:right w:val="none" w:sz="0" w:space="0" w:color="auto"/>
          </w:divBdr>
          <w:divsChild>
            <w:div w:id="1048260150">
              <w:marLeft w:val="0"/>
              <w:marRight w:val="0"/>
              <w:marTop w:val="0"/>
              <w:marBottom w:val="0"/>
              <w:divBdr>
                <w:top w:val="none" w:sz="0" w:space="0" w:color="auto"/>
                <w:left w:val="none" w:sz="0" w:space="0" w:color="auto"/>
                <w:bottom w:val="none" w:sz="0" w:space="0" w:color="auto"/>
                <w:right w:val="none" w:sz="0" w:space="0" w:color="auto"/>
              </w:divBdr>
              <w:divsChild>
                <w:div w:id="645748106">
                  <w:marLeft w:val="0"/>
                  <w:marRight w:val="0"/>
                  <w:marTop w:val="0"/>
                  <w:marBottom w:val="0"/>
                  <w:divBdr>
                    <w:top w:val="none" w:sz="0" w:space="0" w:color="auto"/>
                    <w:left w:val="none" w:sz="0" w:space="0" w:color="auto"/>
                    <w:bottom w:val="none" w:sz="0" w:space="0" w:color="auto"/>
                    <w:right w:val="none" w:sz="0" w:space="0" w:color="auto"/>
                  </w:divBdr>
                  <w:divsChild>
                    <w:div w:id="9337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699395">
      <w:bodyDiv w:val="1"/>
      <w:marLeft w:val="0"/>
      <w:marRight w:val="0"/>
      <w:marTop w:val="0"/>
      <w:marBottom w:val="0"/>
      <w:divBdr>
        <w:top w:val="none" w:sz="0" w:space="0" w:color="auto"/>
        <w:left w:val="none" w:sz="0" w:space="0" w:color="auto"/>
        <w:bottom w:val="none" w:sz="0" w:space="0" w:color="auto"/>
        <w:right w:val="none" w:sz="0" w:space="0" w:color="auto"/>
      </w:divBdr>
      <w:divsChild>
        <w:div w:id="1800953819">
          <w:marLeft w:val="0"/>
          <w:marRight w:val="0"/>
          <w:marTop w:val="0"/>
          <w:marBottom w:val="0"/>
          <w:divBdr>
            <w:top w:val="none" w:sz="0" w:space="0" w:color="auto"/>
            <w:left w:val="none" w:sz="0" w:space="0" w:color="auto"/>
            <w:bottom w:val="none" w:sz="0" w:space="0" w:color="auto"/>
            <w:right w:val="none" w:sz="0" w:space="0" w:color="auto"/>
          </w:divBdr>
          <w:divsChild>
            <w:div w:id="572736116">
              <w:marLeft w:val="0"/>
              <w:marRight w:val="0"/>
              <w:marTop w:val="0"/>
              <w:marBottom w:val="0"/>
              <w:divBdr>
                <w:top w:val="none" w:sz="0" w:space="0" w:color="auto"/>
                <w:left w:val="none" w:sz="0" w:space="0" w:color="auto"/>
                <w:bottom w:val="none" w:sz="0" w:space="0" w:color="auto"/>
                <w:right w:val="none" w:sz="0" w:space="0" w:color="auto"/>
              </w:divBdr>
              <w:divsChild>
                <w:div w:id="1150632368">
                  <w:marLeft w:val="0"/>
                  <w:marRight w:val="0"/>
                  <w:marTop w:val="0"/>
                  <w:marBottom w:val="0"/>
                  <w:divBdr>
                    <w:top w:val="none" w:sz="0" w:space="0" w:color="auto"/>
                    <w:left w:val="none" w:sz="0" w:space="0" w:color="auto"/>
                    <w:bottom w:val="none" w:sz="0" w:space="0" w:color="auto"/>
                    <w:right w:val="none" w:sz="0" w:space="0" w:color="auto"/>
                  </w:divBdr>
                  <w:divsChild>
                    <w:div w:id="18046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425266">
      <w:bodyDiv w:val="1"/>
      <w:marLeft w:val="0"/>
      <w:marRight w:val="0"/>
      <w:marTop w:val="0"/>
      <w:marBottom w:val="0"/>
      <w:divBdr>
        <w:top w:val="none" w:sz="0" w:space="0" w:color="auto"/>
        <w:left w:val="none" w:sz="0" w:space="0" w:color="auto"/>
        <w:bottom w:val="none" w:sz="0" w:space="0" w:color="auto"/>
        <w:right w:val="none" w:sz="0" w:space="0" w:color="auto"/>
      </w:divBdr>
      <w:divsChild>
        <w:div w:id="1919942712">
          <w:marLeft w:val="0"/>
          <w:marRight w:val="0"/>
          <w:marTop w:val="0"/>
          <w:marBottom w:val="0"/>
          <w:divBdr>
            <w:top w:val="none" w:sz="0" w:space="0" w:color="auto"/>
            <w:left w:val="none" w:sz="0" w:space="0" w:color="auto"/>
            <w:bottom w:val="none" w:sz="0" w:space="0" w:color="auto"/>
            <w:right w:val="none" w:sz="0" w:space="0" w:color="auto"/>
          </w:divBdr>
          <w:divsChild>
            <w:div w:id="818294">
              <w:marLeft w:val="0"/>
              <w:marRight w:val="0"/>
              <w:marTop w:val="0"/>
              <w:marBottom w:val="0"/>
              <w:divBdr>
                <w:top w:val="none" w:sz="0" w:space="0" w:color="auto"/>
                <w:left w:val="none" w:sz="0" w:space="0" w:color="auto"/>
                <w:bottom w:val="none" w:sz="0" w:space="0" w:color="auto"/>
                <w:right w:val="none" w:sz="0" w:space="0" w:color="auto"/>
              </w:divBdr>
              <w:divsChild>
                <w:div w:id="1635519559">
                  <w:marLeft w:val="0"/>
                  <w:marRight w:val="0"/>
                  <w:marTop w:val="0"/>
                  <w:marBottom w:val="0"/>
                  <w:divBdr>
                    <w:top w:val="none" w:sz="0" w:space="0" w:color="auto"/>
                    <w:left w:val="none" w:sz="0" w:space="0" w:color="auto"/>
                    <w:bottom w:val="none" w:sz="0" w:space="0" w:color="auto"/>
                    <w:right w:val="none" w:sz="0" w:space="0" w:color="auto"/>
                  </w:divBdr>
                  <w:divsChild>
                    <w:div w:id="71442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294509">
      <w:bodyDiv w:val="1"/>
      <w:marLeft w:val="0"/>
      <w:marRight w:val="0"/>
      <w:marTop w:val="0"/>
      <w:marBottom w:val="0"/>
      <w:divBdr>
        <w:top w:val="none" w:sz="0" w:space="0" w:color="auto"/>
        <w:left w:val="none" w:sz="0" w:space="0" w:color="auto"/>
        <w:bottom w:val="none" w:sz="0" w:space="0" w:color="auto"/>
        <w:right w:val="none" w:sz="0" w:space="0" w:color="auto"/>
      </w:divBdr>
      <w:divsChild>
        <w:div w:id="1715960336">
          <w:marLeft w:val="0"/>
          <w:marRight w:val="0"/>
          <w:marTop w:val="0"/>
          <w:marBottom w:val="0"/>
          <w:divBdr>
            <w:top w:val="none" w:sz="0" w:space="0" w:color="auto"/>
            <w:left w:val="none" w:sz="0" w:space="0" w:color="auto"/>
            <w:bottom w:val="none" w:sz="0" w:space="0" w:color="auto"/>
            <w:right w:val="none" w:sz="0" w:space="0" w:color="auto"/>
          </w:divBdr>
          <w:divsChild>
            <w:div w:id="1440222305">
              <w:marLeft w:val="0"/>
              <w:marRight w:val="0"/>
              <w:marTop w:val="0"/>
              <w:marBottom w:val="0"/>
              <w:divBdr>
                <w:top w:val="none" w:sz="0" w:space="0" w:color="auto"/>
                <w:left w:val="none" w:sz="0" w:space="0" w:color="auto"/>
                <w:bottom w:val="none" w:sz="0" w:space="0" w:color="auto"/>
                <w:right w:val="none" w:sz="0" w:space="0" w:color="auto"/>
              </w:divBdr>
              <w:divsChild>
                <w:div w:id="2061006552">
                  <w:marLeft w:val="0"/>
                  <w:marRight w:val="0"/>
                  <w:marTop w:val="0"/>
                  <w:marBottom w:val="0"/>
                  <w:divBdr>
                    <w:top w:val="none" w:sz="0" w:space="0" w:color="auto"/>
                    <w:left w:val="none" w:sz="0" w:space="0" w:color="auto"/>
                    <w:bottom w:val="none" w:sz="0" w:space="0" w:color="auto"/>
                    <w:right w:val="none" w:sz="0" w:space="0" w:color="auto"/>
                  </w:divBdr>
                  <w:divsChild>
                    <w:div w:id="2278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085809">
      <w:bodyDiv w:val="1"/>
      <w:marLeft w:val="0"/>
      <w:marRight w:val="0"/>
      <w:marTop w:val="0"/>
      <w:marBottom w:val="0"/>
      <w:divBdr>
        <w:top w:val="none" w:sz="0" w:space="0" w:color="auto"/>
        <w:left w:val="none" w:sz="0" w:space="0" w:color="auto"/>
        <w:bottom w:val="none" w:sz="0" w:space="0" w:color="auto"/>
        <w:right w:val="none" w:sz="0" w:space="0" w:color="auto"/>
      </w:divBdr>
      <w:divsChild>
        <w:div w:id="1718814677">
          <w:marLeft w:val="0"/>
          <w:marRight w:val="0"/>
          <w:marTop w:val="0"/>
          <w:marBottom w:val="0"/>
          <w:divBdr>
            <w:top w:val="none" w:sz="0" w:space="0" w:color="auto"/>
            <w:left w:val="none" w:sz="0" w:space="0" w:color="auto"/>
            <w:bottom w:val="none" w:sz="0" w:space="0" w:color="auto"/>
            <w:right w:val="none" w:sz="0" w:space="0" w:color="auto"/>
          </w:divBdr>
          <w:divsChild>
            <w:div w:id="1452625451">
              <w:marLeft w:val="0"/>
              <w:marRight w:val="0"/>
              <w:marTop w:val="0"/>
              <w:marBottom w:val="0"/>
              <w:divBdr>
                <w:top w:val="none" w:sz="0" w:space="0" w:color="auto"/>
                <w:left w:val="none" w:sz="0" w:space="0" w:color="auto"/>
                <w:bottom w:val="none" w:sz="0" w:space="0" w:color="auto"/>
                <w:right w:val="none" w:sz="0" w:space="0" w:color="auto"/>
              </w:divBdr>
              <w:divsChild>
                <w:div w:id="41296046">
                  <w:marLeft w:val="0"/>
                  <w:marRight w:val="0"/>
                  <w:marTop w:val="0"/>
                  <w:marBottom w:val="0"/>
                  <w:divBdr>
                    <w:top w:val="none" w:sz="0" w:space="0" w:color="auto"/>
                    <w:left w:val="none" w:sz="0" w:space="0" w:color="auto"/>
                    <w:bottom w:val="none" w:sz="0" w:space="0" w:color="auto"/>
                    <w:right w:val="none" w:sz="0" w:space="0" w:color="auto"/>
                  </w:divBdr>
                  <w:divsChild>
                    <w:div w:id="211243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440770">
      <w:bodyDiv w:val="1"/>
      <w:marLeft w:val="0"/>
      <w:marRight w:val="0"/>
      <w:marTop w:val="0"/>
      <w:marBottom w:val="0"/>
      <w:divBdr>
        <w:top w:val="none" w:sz="0" w:space="0" w:color="auto"/>
        <w:left w:val="none" w:sz="0" w:space="0" w:color="auto"/>
        <w:bottom w:val="none" w:sz="0" w:space="0" w:color="auto"/>
        <w:right w:val="none" w:sz="0" w:space="0" w:color="auto"/>
      </w:divBdr>
      <w:divsChild>
        <w:div w:id="1054235434">
          <w:marLeft w:val="0"/>
          <w:marRight w:val="0"/>
          <w:marTop w:val="0"/>
          <w:marBottom w:val="0"/>
          <w:divBdr>
            <w:top w:val="none" w:sz="0" w:space="0" w:color="auto"/>
            <w:left w:val="none" w:sz="0" w:space="0" w:color="auto"/>
            <w:bottom w:val="none" w:sz="0" w:space="0" w:color="auto"/>
            <w:right w:val="none" w:sz="0" w:space="0" w:color="auto"/>
          </w:divBdr>
          <w:divsChild>
            <w:div w:id="316765167">
              <w:marLeft w:val="0"/>
              <w:marRight w:val="0"/>
              <w:marTop w:val="0"/>
              <w:marBottom w:val="0"/>
              <w:divBdr>
                <w:top w:val="none" w:sz="0" w:space="0" w:color="auto"/>
                <w:left w:val="none" w:sz="0" w:space="0" w:color="auto"/>
                <w:bottom w:val="none" w:sz="0" w:space="0" w:color="auto"/>
                <w:right w:val="none" w:sz="0" w:space="0" w:color="auto"/>
              </w:divBdr>
              <w:divsChild>
                <w:div w:id="616765642">
                  <w:marLeft w:val="0"/>
                  <w:marRight w:val="0"/>
                  <w:marTop w:val="0"/>
                  <w:marBottom w:val="0"/>
                  <w:divBdr>
                    <w:top w:val="none" w:sz="0" w:space="0" w:color="auto"/>
                    <w:left w:val="none" w:sz="0" w:space="0" w:color="auto"/>
                    <w:bottom w:val="none" w:sz="0" w:space="0" w:color="auto"/>
                    <w:right w:val="none" w:sz="0" w:space="0" w:color="auto"/>
                  </w:divBdr>
                  <w:divsChild>
                    <w:div w:id="444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5579357">
      <w:bodyDiv w:val="1"/>
      <w:marLeft w:val="0"/>
      <w:marRight w:val="0"/>
      <w:marTop w:val="0"/>
      <w:marBottom w:val="0"/>
      <w:divBdr>
        <w:top w:val="none" w:sz="0" w:space="0" w:color="auto"/>
        <w:left w:val="none" w:sz="0" w:space="0" w:color="auto"/>
        <w:bottom w:val="none" w:sz="0" w:space="0" w:color="auto"/>
        <w:right w:val="none" w:sz="0" w:space="0" w:color="auto"/>
      </w:divBdr>
      <w:divsChild>
        <w:div w:id="444541568">
          <w:marLeft w:val="0"/>
          <w:marRight w:val="0"/>
          <w:marTop w:val="0"/>
          <w:marBottom w:val="0"/>
          <w:divBdr>
            <w:top w:val="none" w:sz="0" w:space="0" w:color="auto"/>
            <w:left w:val="none" w:sz="0" w:space="0" w:color="auto"/>
            <w:bottom w:val="none" w:sz="0" w:space="0" w:color="auto"/>
            <w:right w:val="none" w:sz="0" w:space="0" w:color="auto"/>
          </w:divBdr>
          <w:divsChild>
            <w:div w:id="760834500">
              <w:marLeft w:val="0"/>
              <w:marRight w:val="0"/>
              <w:marTop w:val="0"/>
              <w:marBottom w:val="0"/>
              <w:divBdr>
                <w:top w:val="none" w:sz="0" w:space="0" w:color="auto"/>
                <w:left w:val="none" w:sz="0" w:space="0" w:color="auto"/>
                <w:bottom w:val="none" w:sz="0" w:space="0" w:color="auto"/>
                <w:right w:val="none" w:sz="0" w:space="0" w:color="auto"/>
              </w:divBdr>
              <w:divsChild>
                <w:div w:id="1800953480">
                  <w:marLeft w:val="0"/>
                  <w:marRight w:val="0"/>
                  <w:marTop w:val="0"/>
                  <w:marBottom w:val="0"/>
                  <w:divBdr>
                    <w:top w:val="none" w:sz="0" w:space="0" w:color="auto"/>
                    <w:left w:val="none" w:sz="0" w:space="0" w:color="auto"/>
                    <w:bottom w:val="none" w:sz="0" w:space="0" w:color="auto"/>
                    <w:right w:val="none" w:sz="0" w:space="0" w:color="auto"/>
                  </w:divBdr>
                  <w:divsChild>
                    <w:div w:id="3094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488019">
      <w:bodyDiv w:val="1"/>
      <w:marLeft w:val="0"/>
      <w:marRight w:val="0"/>
      <w:marTop w:val="0"/>
      <w:marBottom w:val="0"/>
      <w:divBdr>
        <w:top w:val="none" w:sz="0" w:space="0" w:color="auto"/>
        <w:left w:val="none" w:sz="0" w:space="0" w:color="auto"/>
        <w:bottom w:val="none" w:sz="0" w:space="0" w:color="auto"/>
        <w:right w:val="none" w:sz="0" w:space="0" w:color="auto"/>
      </w:divBdr>
      <w:divsChild>
        <w:div w:id="368071402">
          <w:marLeft w:val="0"/>
          <w:marRight w:val="0"/>
          <w:marTop w:val="0"/>
          <w:marBottom w:val="0"/>
          <w:divBdr>
            <w:top w:val="none" w:sz="0" w:space="0" w:color="auto"/>
            <w:left w:val="none" w:sz="0" w:space="0" w:color="auto"/>
            <w:bottom w:val="none" w:sz="0" w:space="0" w:color="auto"/>
            <w:right w:val="none" w:sz="0" w:space="0" w:color="auto"/>
          </w:divBdr>
          <w:divsChild>
            <w:div w:id="1228686688">
              <w:marLeft w:val="0"/>
              <w:marRight w:val="0"/>
              <w:marTop w:val="0"/>
              <w:marBottom w:val="0"/>
              <w:divBdr>
                <w:top w:val="none" w:sz="0" w:space="0" w:color="auto"/>
                <w:left w:val="none" w:sz="0" w:space="0" w:color="auto"/>
                <w:bottom w:val="none" w:sz="0" w:space="0" w:color="auto"/>
                <w:right w:val="none" w:sz="0" w:space="0" w:color="auto"/>
              </w:divBdr>
              <w:divsChild>
                <w:div w:id="457258336">
                  <w:marLeft w:val="0"/>
                  <w:marRight w:val="0"/>
                  <w:marTop w:val="0"/>
                  <w:marBottom w:val="0"/>
                  <w:divBdr>
                    <w:top w:val="none" w:sz="0" w:space="0" w:color="auto"/>
                    <w:left w:val="none" w:sz="0" w:space="0" w:color="auto"/>
                    <w:bottom w:val="none" w:sz="0" w:space="0" w:color="auto"/>
                    <w:right w:val="none" w:sz="0" w:space="0" w:color="auto"/>
                  </w:divBdr>
                  <w:divsChild>
                    <w:div w:id="188436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019633">
      <w:bodyDiv w:val="1"/>
      <w:marLeft w:val="0"/>
      <w:marRight w:val="0"/>
      <w:marTop w:val="0"/>
      <w:marBottom w:val="0"/>
      <w:divBdr>
        <w:top w:val="none" w:sz="0" w:space="0" w:color="auto"/>
        <w:left w:val="none" w:sz="0" w:space="0" w:color="auto"/>
        <w:bottom w:val="none" w:sz="0" w:space="0" w:color="auto"/>
        <w:right w:val="none" w:sz="0" w:space="0" w:color="auto"/>
      </w:divBdr>
      <w:divsChild>
        <w:div w:id="403181579">
          <w:marLeft w:val="0"/>
          <w:marRight w:val="0"/>
          <w:marTop w:val="0"/>
          <w:marBottom w:val="0"/>
          <w:divBdr>
            <w:top w:val="none" w:sz="0" w:space="0" w:color="auto"/>
            <w:left w:val="none" w:sz="0" w:space="0" w:color="auto"/>
            <w:bottom w:val="none" w:sz="0" w:space="0" w:color="auto"/>
            <w:right w:val="none" w:sz="0" w:space="0" w:color="auto"/>
          </w:divBdr>
          <w:divsChild>
            <w:div w:id="693071610">
              <w:marLeft w:val="0"/>
              <w:marRight w:val="0"/>
              <w:marTop w:val="0"/>
              <w:marBottom w:val="0"/>
              <w:divBdr>
                <w:top w:val="none" w:sz="0" w:space="0" w:color="auto"/>
                <w:left w:val="none" w:sz="0" w:space="0" w:color="auto"/>
                <w:bottom w:val="none" w:sz="0" w:space="0" w:color="auto"/>
                <w:right w:val="none" w:sz="0" w:space="0" w:color="auto"/>
              </w:divBdr>
              <w:divsChild>
                <w:div w:id="954362415">
                  <w:marLeft w:val="0"/>
                  <w:marRight w:val="0"/>
                  <w:marTop w:val="0"/>
                  <w:marBottom w:val="0"/>
                  <w:divBdr>
                    <w:top w:val="none" w:sz="0" w:space="0" w:color="auto"/>
                    <w:left w:val="none" w:sz="0" w:space="0" w:color="auto"/>
                    <w:bottom w:val="none" w:sz="0" w:space="0" w:color="auto"/>
                    <w:right w:val="none" w:sz="0" w:space="0" w:color="auto"/>
                  </w:divBdr>
                  <w:divsChild>
                    <w:div w:id="117796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714371">
      <w:bodyDiv w:val="1"/>
      <w:marLeft w:val="0"/>
      <w:marRight w:val="0"/>
      <w:marTop w:val="0"/>
      <w:marBottom w:val="0"/>
      <w:divBdr>
        <w:top w:val="none" w:sz="0" w:space="0" w:color="auto"/>
        <w:left w:val="none" w:sz="0" w:space="0" w:color="auto"/>
        <w:bottom w:val="none" w:sz="0" w:space="0" w:color="auto"/>
        <w:right w:val="none" w:sz="0" w:space="0" w:color="auto"/>
      </w:divBdr>
      <w:divsChild>
        <w:div w:id="1384452033">
          <w:marLeft w:val="0"/>
          <w:marRight w:val="0"/>
          <w:marTop w:val="0"/>
          <w:marBottom w:val="0"/>
          <w:divBdr>
            <w:top w:val="none" w:sz="0" w:space="0" w:color="auto"/>
            <w:left w:val="none" w:sz="0" w:space="0" w:color="auto"/>
            <w:bottom w:val="none" w:sz="0" w:space="0" w:color="auto"/>
            <w:right w:val="none" w:sz="0" w:space="0" w:color="auto"/>
          </w:divBdr>
          <w:divsChild>
            <w:div w:id="816991973">
              <w:marLeft w:val="0"/>
              <w:marRight w:val="0"/>
              <w:marTop w:val="0"/>
              <w:marBottom w:val="0"/>
              <w:divBdr>
                <w:top w:val="none" w:sz="0" w:space="0" w:color="auto"/>
                <w:left w:val="none" w:sz="0" w:space="0" w:color="auto"/>
                <w:bottom w:val="none" w:sz="0" w:space="0" w:color="auto"/>
                <w:right w:val="none" w:sz="0" w:space="0" w:color="auto"/>
              </w:divBdr>
              <w:divsChild>
                <w:div w:id="64689555">
                  <w:marLeft w:val="0"/>
                  <w:marRight w:val="0"/>
                  <w:marTop w:val="0"/>
                  <w:marBottom w:val="0"/>
                  <w:divBdr>
                    <w:top w:val="none" w:sz="0" w:space="0" w:color="auto"/>
                    <w:left w:val="none" w:sz="0" w:space="0" w:color="auto"/>
                    <w:bottom w:val="none" w:sz="0" w:space="0" w:color="auto"/>
                    <w:right w:val="none" w:sz="0" w:space="0" w:color="auto"/>
                  </w:divBdr>
                  <w:divsChild>
                    <w:div w:id="184408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769597">
      <w:bodyDiv w:val="1"/>
      <w:marLeft w:val="0"/>
      <w:marRight w:val="0"/>
      <w:marTop w:val="0"/>
      <w:marBottom w:val="0"/>
      <w:divBdr>
        <w:top w:val="none" w:sz="0" w:space="0" w:color="auto"/>
        <w:left w:val="none" w:sz="0" w:space="0" w:color="auto"/>
        <w:bottom w:val="none" w:sz="0" w:space="0" w:color="auto"/>
        <w:right w:val="none" w:sz="0" w:space="0" w:color="auto"/>
      </w:divBdr>
      <w:divsChild>
        <w:div w:id="1045909956">
          <w:marLeft w:val="0"/>
          <w:marRight w:val="0"/>
          <w:marTop w:val="0"/>
          <w:marBottom w:val="0"/>
          <w:divBdr>
            <w:top w:val="none" w:sz="0" w:space="0" w:color="auto"/>
            <w:left w:val="none" w:sz="0" w:space="0" w:color="auto"/>
            <w:bottom w:val="none" w:sz="0" w:space="0" w:color="auto"/>
            <w:right w:val="none" w:sz="0" w:space="0" w:color="auto"/>
          </w:divBdr>
          <w:divsChild>
            <w:div w:id="201672690">
              <w:marLeft w:val="0"/>
              <w:marRight w:val="0"/>
              <w:marTop w:val="0"/>
              <w:marBottom w:val="0"/>
              <w:divBdr>
                <w:top w:val="none" w:sz="0" w:space="0" w:color="auto"/>
                <w:left w:val="none" w:sz="0" w:space="0" w:color="auto"/>
                <w:bottom w:val="none" w:sz="0" w:space="0" w:color="auto"/>
                <w:right w:val="none" w:sz="0" w:space="0" w:color="auto"/>
              </w:divBdr>
              <w:divsChild>
                <w:div w:id="1123114351">
                  <w:marLeft w:val="0"/>
                  <w:marRight w:val="0"/>
                  <w:marTop w:val="0"/>
                  <w:marBottom w:val="0"/>
                  <w:divBdr>
                    <w:top w:val="none" w:sz="0" w:space="0" w:color="auto"/>
                    <w:left w:val="none" w:sz="0" w:space="0" w:color="auto"/>
                    <w:bottom w:val="none" w:sz="0" w:space="0" w:color="auto"/>
                    <w:right w:val="none" w:sz="0" w:space="0" w:color="auto"/>
                  </w:divBdr>
                  <w:divsChild>
                    <w:div w:id="194703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011490">
      <w:bodyDiv w:val="1"/>
      <w:marLeft w:val="0"/>
      <w:marRight w:val="0"/>
      <w:marTop w:val="0"/>
      <w:marBottom w:val="0"/>
      <w:divBdr>
        <w:top w:val="none" w:sz="0" w:space="0" w:color="auto"/>
        <w:left w:val="none" w:sz="0" w:space="0" w:color="auto"/>
        <w:bottom w:val="none" w:sz="0" w:space="0" w:color="auto"/>
        <w:right w:val="none" w:sz="0" w:space="0" w:color="auto"/>
      </w:divBdr>
      <w:divsChild>
        <w:div w:id="1101341445">
          <w:marLeft w:val="0"/>
          <w:marRight w:val="0"/>
          <w:marTop w:val="0"/>
          <w:marBottom w:val="0"/>
          <w:divBdr>
            <w:top w:val="none" w:sz="0" w:space="0" w:color="auto"/>
            <w:left w:val="none" w:sz="0" w:space="0" w:color="auto"/>
            <w:bottom w:val="none" w:sz="0" w:space="0" w:color="auto"/>
            <w:right w:val="none" w:sz="0" w:space="0" w:color="auto"/>
          </w:divBdr>
          <w:divsChild>
            <w:div w:id="661857277">
              <w:marLeft w:val="0"/>
              <w:marRight w:val="0"/>
              <w:marTop w:val="0"/>
              <w:marBottom w:val="0"/>
              <w:divBdr>
                <w:top w:val="none" w:sz="0" w:space="0" w:color="auto"/>
                <w:left w:val="none" w:sz="0" w:space="0" w:color="auto"/>
                <w:bottom w:val="none" w:sz="0" w:space="0" w:color="auto"/>
                <w:right w:val="none" w:sz="0" w:space="0" w:color="auto"/>
              </w:divBdr>
              <w:divsChild>
                <w:div w:id="468745796">
                  <w:marLeft w:val="0"/>
                  <w:marRight w:val="0"/>
                  <w:marTop w:val="0"/>
                  <w:marBottom w:val="0"/>
                  <w:divBdr>
                    <w:top w:val="none" w:sz="0" w:space="0" w:color="auto"/>
                    <w:left w:val="none" w:sz="0" w:space="0" w:color="auto"/>
                    <w:bottom w:val="none" w:sz="0" w:space="0" w:color="auto"/>
                    <w:right w:val="none" w:sz="0" w:space="0" w:color="auto"/>
                  </w:divBdr>
                  <w:divsChild>
                    <w:div w:id="99322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6.wmf"/><Relationship Id="rId3" Type="http://schemas.openxmlformats.org/officeDocument/2006/relationships/numbering" Target="numbering.xml"/><Relationship Id="rId21" Type="http://schemas.openxmlformats.org/officeDocument/2006/relationships/image" Target="media/image7.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e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4.bin"/><Relationship Id="rId46" Type="http://schemas.openxmlformats.org/officeDocument/2006/relationships/hyperlink" Target="https://doi.org/10.1002/csr.49" TargetMode="Externa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1.wmf"/><Relationship Id="rId41"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hyperlink" Target="https://doi.org/10.1108/09513570210435852" TargetMode="Externa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hyperlink" Target="https://doi.org/10.1016/j.jaccpubpol.2011.03.005"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0.wmf"/><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hyperlink" Target="https://doi.org/10.1016/S0361-3682(03)00032-1" TargetMode="External"/><Relationship Id="rId48" Type="http://schemas.openxmlformats.org/officeDocument/2006/relationships/header" Target="header2.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89E3D9-AD99-4FC6-8A9D-F0E20AB82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77</Pages>
  <Words>15627</Words>
  <Characters>89080</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BF6</dc:creator>
  <cp:lastModifiedBy>user</cp:lastModifiedBy>
  <cp:revision>7</cp:revision>
  <cp:lastPrinted>2026-07-20T10:32:00Z</cp:lastPrinted>
  <dcterms:created xsi:type="dcterms:W3CDTF">2026-06-26T11:57:00Z</dcterms:created>
  <dcterms:modified xsi:type="dcterms:W3CDTF">2026-07-20T11:11:00Z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5D29D899B1EE492894FB684BA7F20024_13</vt:lpwstr>
  </property>
  <property fmtid="{D5CDD505-2E9C-101B-9397-08002B2CF9AE}" pid="3" name="KSOProductBuildVer">
    <vt:lpwstr>1033-12.1.0.26372</vt:lpwstr>
  </property>
  <property fmtid="{D5CDD505-2E9C-101B-9397-08002B2CF9AE}" pid="4" name="KSOTemplateDocerSaveRecord">
    <vt:lpwstr>eyJoZGlkIjoiMDI4ZmM2NmFiMDE0ZjQ0NzdjZDU5NDdkMzI2YmU2ZDIiLCJ1c2VySWQiOiIyNzY2MzEyMjAzMjY4In0=</vt:lpwstr>
  </property>
</Properties>
</file>