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2C5577D9">
      <w:pPr>
        <w:pStyle w:val="style0"/>
        <w:jc w:val="center"/>
        <w:rPr>
          <w:rFonts w:ascii="Times New Roman" w:cs="Times New Roman" w:hAnsi="Times New Roman"/>
          <w:b/>
          <w:bCs/>
          <w:sz w:val="24"/>
          <w:szCs w:val="24"/>
        </w:rPr>
      </w:pPr>
      <w:r>
        <w:rPr>
          <w:rFonts w:ascii="Times New Roman" w:cs="Times New Roman" w:hAnsi="Times New Roman"/>
          <w:b/>
          <w:bCs/>
          <w:sz w:val="24"/>
          <w:szCs w:val="24"/>
        </w:rPr>
        <w:t>EFFECT OF EDUCATION TAX ON ECONOMIC GROWTH OF NIGERIA 2014-2023</w:t>
      </w:r>
    </w:p>
    <w:p w14:paraId="4499D73A">
      <w:pPr>
        <w:pStyle w:val="style0"/>
        <w:jc w:val="center"/>
        <w:rPr>
          <w:rFonts w:ascii="Times New Roman" w:cs="Times New Roman" w:hAnsi="Times New Roman"/>
          <w:b/>
          <w:bCs/>
          <w:sz w:val="24"/>
          <w:szCs w:val="24"/>
        </w:rPr>
      </w:pPr>
    </w:p>
    <w:p w14:paraId="5CE2A0D0">
      <w:pPr>
        <w:pStyle w:val="style0"/>
        <w:jc w:val="center"/>
        <w:rPr>
          <w:rFonts w:ascii="Times New Roman" w:cs="Times New Roman" w:hAnsi="Times New Roman"/>
          <w:b/>
          <w:bCs/>
          <w:sz w:val="24"/>
          <w:szCs w:val="24"/>
        </w:rPr>
      </w:pPr>
    </w:p>
    <w:p w14:paraId="3311D186">
      <w:pPr>
        <w:pStyle w:val="style0"/>
        <w:jc w:val="center"/>
        <w:rPr>
          <w:rFonts w:ascii="Times New Roman" w:cs="Times New Roman" w:hAnsi="Times New Roman"/>
          <w:b/>
          <w:bCs/>
          <w:sz w:val="24"/>
          <w:szCs w:val="24"/>
        </w:rPr>
      </w:pPr>
    </w:p>
    <w:p w14:paraId="4D9FCBC9">
      <w:pPr>
        <w:pStyle w:val="style0"/>
        <w:jc w:val="center"/>
        <w:rPr>
          <w:rFonts w:ascii="Times New Roman" w:cs="Times New Roman" w:hAnsi="Times New Roman"/>
          <w:b/>
          <w:bCs/>
          <w:sz w:val="24"/>
          <w:szCs w:val="24"/>
        </w:rPr>
      </w:pPr>
    </w:p>
    <w:p w14:paraId="7D40361B">
      <w:pPr>
        <w:pStyle w:val="style0"/>
        <w:jc w:val="center"/>
        <w:rPr>
          <w:rFonts w:ascii="Times New Roman" w:cs="Times New Roman" w:hAnsi="Times New Roman"/>
          <w:b/>
          <w:bCs/>
          <w:sz w:val="24"/>
          <w:szCs w:val="24"/>
        </w:rPr>
      </w:pPr>
    </w:p>
    <w:p w14:paraId="2368B541">
      <w:pPr>
        <w:pStyle w:val="style0"/>
        <w:jc w:val="center"/>
        <w:rPr>
          <w:rFonts w:ascii="Times New Roman" w:cs="Times New Roman" w:hAnsi="Times New Roman"/>
          <w:b/>
          <w:bCs/>
          <w:sz w:val="24"/>
          <w:szCs w:val="24"/>
        </w:rPr>
      </w:pPr>
      <w:r>
        <w:rPr>
          <w:rFonts w:ascii="Times New Roman" w:cs="Times New Roman" w:hAnsi="Times New Roman"/>
          <w:b/>
          <w:bCs/>
          <w:sz w:val="24"/>
          <w:szCs w:val="24"/>
        </w:rPr>
        <w:t>BY</w:t>
      </w:r>
    </w:p>
    <w:p w14:paraId="02FE3371">
      <w:pPr>
        <w:pStyle w:val="style0"/>
        <w:jc w:val="center"/>
        <w:rPr>
          <w:rFonts w:ascii="Times New Roman" w:cs="Times New Roman" w:hAnsi="Times New Roman"/>
          <w:b/>
          <w:bCs/>
          <w:sz w:val="24"/>
          <w:szCs w:val="24"/>
        </w:rPr>
      </w:pPr>
    </w:p>
    <w:p w14:paraId="6D814DF7">
      <w:pPr>
        <w:pStyle w:val="style0"/>
        <w:jc w:val="center"/>
        <w:rPr>
          <w:rFonts w:ascii="Times New Roman" w:cs="Times New Roman" w:hAnsi="Times New Roman"/>
          <w:b/>
          <w:bCs/>
          <w:sz w:val="24"/>
          <w:szCs w:val="24"/>
        </w:rPr>
      </w:pPr>
    </w:p>
    <w:p w14:paraId="1498E8B5">
      <w:pPr>
        <w:pStyle w:val="style0"/>
        <w:jc w:val="center"/>
        <w:rPr>
          <w:rFonts w:ascii="Times New Roman" w:cs="Times New Roman" w:hAnsi="Times New Roman"/>
          <w:sz w:val="24"/>
          <w:szCs w:val="24"/>
        </w:rPr>
      </w:pPr>
    </w:p>
    <w:p w14:paraId="52B7160F">
      <w:pPr>
        <w:pStyle w:val="style0"/>
        <w:jc w:val="center"/>
        <w:rPr>
          <w:rFonts w:ascii="Times New Roman" w:cs="Times New Roman" w:hAnsi="Times New Roman"/>
          <w:sz w:val="24"/>
          <w:szCs w:val="24"/>
        </w:rPr>
      </w:pPr>
    </w:p>
    <w:p w14:paraId="54D60F32">
      <w:pPr>
        <w:pStyle w:val="style0"/>
        <w:jc w:val="center"/>
        <w:rPr>
          <w:rFonts w:ascii="Times New Roman" w:cs="Times New Roman" w:hAnsi="Times New Roman"/>
          <w:sz w:val="24"/>
          <w:szCs w:val="24"/>
        </w:rPr>
      </w:pPr>
    </w:p>
    <w:p w14:paraId="65E38105">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AJAH</w:t>
      </w:r>
      <w:r>
        <w:rPr>
          <w:rFonts w:ascii="Times New Roman" w:cs="Times New Roman" w:hAnsi="Times New Roman"/>
          <w:b/>
          <w:bCs/>
          <w:sz w:val="24"/>
          <w:szCs w:val="24"/>
          <w:lang w:val="en-US"/>
        </w:rPr>
        <w:t xml:space="preserve">, </w:t>
      </w:r>
      <w:r>
        <w:rPr>
          <w:rFonts w:ascii="Times New Roman" w:cs="Times New Roman" w:hAnsi="Times New Roman"/>
          <w:b/>
          <w:bCs/>
          <w:sz w:val="24"/>
          <w:szCs w:val="24"/>
        </w:rPr>
        <w:t>OGECHI AGNES</w:t>
      </w:r>
    </w:p>
    <w:p w14:paraId="63D977B4">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GOU/U22/ACC/397</w:t>
      </w:r>
    </w:p>
    <w:p w14:paraId="4924117D">
      <w:pPr>
        <w:pStyle w:val="style0"/>
        <w:spacing w:after="0" w:lineRule="auto" w:line="240"/>
        <w:jc w:val="center"/>
        <w:rPr>
          <w:rFonts w:ascii="Times New Roman" w:cs="Times New Roman" w:hAnsi="Times New Roman"/>
          <w:b/>
          <w:bCs/>
          <w:sz w:val="24"/>
          <w:szCs w:val="24"/>
        </w:rPr>
      </w:pPr>
    </w:p>
    <w:p w14:paraId="07BFC8EC">
      <w:pPr>
        <w:pStyle w:val="style0"/>
        <w:spacing w:after="0" w:lineRule="auto" w:line="240"/>
        <w:jc w:val="center"/>
        <w:rPr>
          <w:rFonts w:ascii="Times New Roman" w:cs="Times New Roman" w:hAnsi="Times New Roman"/>
          <w:b/>
          <w:bCs/>
          <w:sz w:val="24"/>
          <w:szCs w:val="24"/>
        </w:rPr>
      </w:pPr>
    </w:p>
    <w:p w14:paraId="638BB769">
      <w:pPr>
        <w:pStyle w:val="style0"/>
        <w:spacing w:after="0" w:lineRule="auto" w:line="240"/>
        <w:jc w:val="center"/>
        <w:rPr>
          <w:rFonts w:ascii="Times New Roman" w:cs="Times New Roman" w:hAnsi="Times New Roman"/>
          <w:b/>
          <w:bCs/>
          <w:sz w:val="24"/>
          <w:szCs w:val="24"/>
        </w:rPr>
      </w:pPr>
    </w:p>
    <w:p w14:paraId="02082166">
      <w:pPr>
        <w:pStyle w:val="style0"/>
        <w:spacing w:after="0" w:lineRule="auto" w:line="240"/>
        <w:jc w:val="center"/>
        <w:rPr>
          <w:rFonts w:ascii="Times New Roman" w:cs="Times New Roman" w:hAnsi="Times New Roman"/>
          <w:b/>
          <w:bCs/>
          <w:sz w:val="24"/>
          <w:szCs w:val="24"/>
        </w:rPr>
      </w:pPr>
    </w:p>
    <w:p w14:paraId="0CF5E8E6">
      <w:pPr>
        <w:pStyle w:val="style0"/>
        <w:spacing w:after="0" w:lineRule="auto" w:line="240"/>
        <w:jc w:val="center"/>
        <w:rPr>
          <w:rFonts w:ascii="Times New Roman" w:cs="Times New Roman" w:hAnsi="Times New Roman"/>
          <w:b/>
          <w:bCs/>
          <w:sz w:val="24"/>
          <w:szCs w:val="24"/>
        </w:rPr>
      </w:pPr>
    </w:p>
    <w:p w14:paraId="50F484CA">
      <w:pPr>
        <w:pStyle w:val="style0"/>
        <w:spacing w:after="0" w:lineRule="auto" w:line="240"/>
        <w:jc w:val="center"/>
        <w:rPr>
          <w:rFonts w:ascii="Times New Roman" w:cs="Times New Roman" w:hAnsi="Times New Roman"/>
          <w:b/>
          <w:bCs/>
          <w:sz w:val="24"/>
          <w:szCs w:val="24"/>
        </w:rPr>
      </w:pPr>
    </w:p>
    <w:p w14:paraId="4F9723EC">
      <w:pPr>
        <w:pStyle w:val="style0"/>
        <w:spacing w:after="0" w:lineRule="auto" w:line="240"/>
        <w:jc w:val="center"/>
        <w:rPr>
          <w:rFonts w:ascii="Times New Roman" w:cs="Times New Roman" w:hAnsi="Times New Roman"/>
          <w:b/>
          <w:bCs/>
          <w:sz w:val="24"/>
          <w:szCs w:val="24"/>
        </w:rPr>
      </w:pPr>
    </w:p>
    <w:p w14:paraId="7449EA86">
      <w:pPr>
        <w:pStyle w:val="style0"/>
        <w:spacing w:after="0" w:lineRule="auto" w:line="240"/>
        <w:jc w:val="center"/>
        <w:rPr>
          <w:rFonts w:ascii="Times New Roman" w:cs="Times New Roman" w:hAnsi="Times New Roman"/>
          <w:b/>
          <w:bCs/>
          <w:sz w:val="24"/>
          <w:szCs w:val="24"/>
        </w:rPr>
      </w:pPr>
    </w:p>
    <w:p w14:paraId="28D21AE5">
      <w:pPr>
        <w:pStyle w:val="style0"/>
        <w:jc w:val="center"/>
        <w:rPr>
          <w:rFonts w:ascii="Times New Roman" w:cs="Times New Roman" w:hAnsi="Times New Roman"/>
          <w:sz w:val="24"/>
          <w:szCs w:val="24"/>
        </w:rPr>
      </w:pPr>
      <w:r>
        <w:rPr>
          <w:rFonts w:ascii="Times New Roman" w:cs="Times New Roman" w:hAnsi="Times New Roman"/>
          <w:b/>
          <w:sz w:val="24"/>
          <w:szCs w:val="24"/>
        </w:rPr>
        <w:t>DEPARTMENT OF ACCOUNTING AND FINANCE, FACULTY OF MANAGEMENT AND SOCIAL SCIENCES, GODFERY OKOYE UNIVERSITY, UGWUOMU-NIKE, ENUGU</w:t>
      </w:r>
    </w:p>
    <w:p w14:paraId="0659AA27">
      <w:pPr>
        <w:pStyle w:val="style0"/>
        <w:spacing w:after="0"/>
        <w:jc w:val="center"/>
        <w:rPr>
          <w:rFonts w:ascii="Times New Roman" w:cs="Times New Roman" w:hAnsi="Times New Roman"/>
          <w:b/>
          <w:bCs/>
          <w:sz w:val="24"/>
          <w:szCs w:val="24"/>
        </w:rPr>
      </w:pPr>
    </w:p>
    <w:p w14:paraId="38E13C43">
      <w:pPr>
        <w:pStyle w:val="style0"/>
        <w:spacing w:after="0"/>
        <w:jc w:val="center"/>
        <w:rPr>
          <w:rFonts w:ascii="Times New Roman" w:cs="Times New Roman" w:hAnsi="Times New Roman"/>
          <w:b/>
          <w:bCs/>
          <w:sz w:val="24"/>
          <w:szCs w:val="24"/>
        </w:rPr>
      </w:pPr>
    </w:p>
    <w:p w14:paraId="33D1A29E">
      <w:pPr>
        <w:pStyle w:val="style0"/>
        <w:spacing w:after="0"/>
        <w:jc w:val="center"/>
        <w:rPr>
          <w:rFonts w:ascii="Times New Roman" w:cs="Times New Roman" w:hAnsi="Times New Roman"/>
          <w:b/>
          <w:bCs/>
          <w:sz w:val="24"/>
          <w:szCs w:val="24"/>
        </w:rPr>
      </w:pPr>
    </w:p>
    <w:p w14:paraId="0C585DCB">
      <w:pPr>
        <w:pStyle w:val="style0"/>
        <w:spacing w:after="0"/>
        <w:jc w:val="center"/>
        <w:rPr>
          <w:rFonts w:ascii="Times New Roman" w:cs="Times New Roman" w:hAnsi="Times New Roman"/>
          <w:b/>
          <w:bCs/>
          <w:sz w:val="24"/>
          <w:szCs w:val="24"/>
        </w:rPr>
      </w:pPr>
    </w:p>
    <w:p w14:paraId="3512F8C8">
      <w:pPr>
        <w:pStyle w:val="style0"/>
        <w:spacing w:after="0"/>
        <w:jc w:val="center"/>
        <w:rPr>
          <w:rFonts w:ascii="Times New Roman" w:cs="Times New Roman" w:hAnsi="Times New Roman"/>
          <w:b/>
          <w:bCs/>
          <w:sz w:val="24"/>
          <w:szCs w:val="24"/>
        </w:rPr>
      </w:pPr>
    </w:p>
    <w:p w14:paraId="33DEE7CD">
      <w:pPr>
        <w:pStyle w:val="style0"/>
        <w:spacing w:after="0"/>
        <w:jc w:val="center"/>
        <w:rPr>
          <w:rFonts w:ascii="Times New Roman" w:cs="Times New Roman" w:hAnsi="Times New Roman"/>
          <w:b/>
          <w:bCs/>
          <w:sz w:val="24"/>
          <w:szCs w:val="24"/>
        </w:rPr>
      </w:pPr>
    </w:p>
    <w:p w14:paraId="096F6078">
      <w:pPr>
        <w:pStyle w:val="style0"/>
        <w:spacing w:after="0"/>
        <w:jc w:val="center"/>
        <w:rPr>
          <w:rFonts w:ascii="Times New Roman" w:cs="Times New Roman" w:hAnsi="Times New Roman"/>
          <w:b/>
          <w:bCs/>
          <w:sz w:val="24"/>
          <w:szCs w:val="24"/>
        </w:rPr>
      </w:pPr>
    </w:p>
    <w:p w14:paraId="10D48987">
      <w:pPr>
        <w:pStyle w:val="style0"/>
        <w:spacing w:after="0"/>
        <w:jc w:val="center"/>
        <w:rPr>
          <w:rFonts w:ascii="Times New Roman" w:cs="Times New Roman" w:hAnsi="Times New Roman"/>
          <w:b/>
          <w:bCs/>
          <w:sz w:val="24"/>
          <w:szCs w:val="24"/>
        </w:rPr>
      </w:pPr>
    </w:p>
    <w:p w14:paraId="44ACC0C8">
      <w:pPr>
        <w:pStyle w:val="style0"/>
        <w:spacing w:after="0"/>
        <w:jc w:val="center"/>
        <w:rPr>
          <w:rFonts w:ascii="Times New Roman" w:cs="Times New Roman" w:hAnsi="Times New Roman"/>
          <w:b/>
          <w:bCs/>
          <w:sz w:val="24"/>
          <w:szCs w:val="24"/>
        </w:rPr>
      </w:pPr>
    </w:p>
    <w:p w14:paraId="326C9019">
      <w:pPr>
        <w:pStyle w:val="style0"/>
        <w:spacing w:after="0"/>
        <w:jc w:val="center"/>
        <w:rPr>
          <w:rFonts w:ascii="Times New Roman" w:cs="Times New Roman" w:hAnsi="Times New Roman"/>
          <w:b/>
          <w:bCs/>
          <w:sz w:val="24"/>
          <w:szCs w:val="24"/>
        </w:rPr>
      </w:pPr>
    </w:p>
    <w:p w14:paraId="09E0E7F3">
      <w:pPr>
        <w:pStyle w:val="style0"/>
        <w:spacing w:after="0"/>
        <w:jc w:val="center"/>
        <w:rPr>
          <w:rFonts w:ascii="Times New Roman" w:cs="Times New Roman" w:hAnsi="Times New Roman"/>
          <w:b/>
          <w:bCs/>
          <w:sz w:val="24"/>
          <w:szCs w:val="24"/>
        </w:rPr>
      </w:pPr>
    </w:p>
    <w:p w14:paraId="1F5E8940">
      <w:pPr>
        <w:pStyle w:val="style0"/>
        <w:spacing w:after="0"/>
        <w:jc w:val="center"/>
        <w:rPr>
          <w:rFonts w:ascii="Times New Roman" w:cs="Times New Roman" w:hAnsi="Times New Roman"/>
          <w:b/>
          <w:bCs/>
          <w:sz w:val="24"/>
          <w:szCs w:val="24"/>
        </w:rPr>
      </w:pPr>
      <w:r>
        <w:rPr>
          <w:rFonts w:ascii="Times New Roman" w:cs="Times New Roman" w:hAnsi="Times New Roman"/>
          <w:b/>
          <w:bCs/>
          <w:sz w:val="24"/>
          <w:szCs w:val="24"/>
        </w:rPr>
        <w:t>JULY, 2026</w:t>
      </w:r>
    </w:p>
    <w:p w14:paraId="089DE48C">
      <w:pPr>
        <w:pStyle w:val="style0"/>
        <w:spacing w:after="0"/>
        <w:jc w:val="center"/>
        <w:rPr>
          <w:rFonts w:ascii="Times New Roman" w:cs="Times New Roman" w:hAnsi="Times New Roman"/>
          <w:b/>
          <w:bCs/>
          <w:sz w:val="24"/>
          <w:szCs w:val="24"/>
        </w:rPr>
        <w:sectPr>
          <w:headerReference w:type="default" r:id="rId2"/>
          <w:pgSz w:w="11906" w:h="16838" w:orient="portrait"/>
          <w:pgMar w:top="1440" w:right="1440" w:bottom="1440" w:left="1440" w:header="708" w:footer="708" w:gutter="0"/>
          <w:cols w:space="708"/>
          <w:titlePg/>
          <w:docGrid w:linePitch="360"/>
        </w:sectPr>
      </w:pPr>
    </w:p>
    <w:p w14:paraId="47F3422E">
      <w:pPr>
        <w:pStyle w:val="style0"/>
        <w:spacing w:after="0"/>
        <w:jc w:val="center"/>
        <w:rPr>
          <w:rFonts w:ascii="Times New Roman" w:cs="Times New Roman" w:hAnsi="Times New Roman"/>
          <w:b/>
          <w:bCs/>
          <w:sz w:val="24"/>
          <w:szCs w:val="24"/>
        </w:rPr>
      </w:pPr>
      <w:r>
        <w:rPr>
          <w:rFonts w:ascii="Times New Roman" w:cs="Times New Roman" w:hAnsi="Times New Roman"/>
          <w:b/>
          <w:bCs/>
          <w:sz w:val="24"/>
          <w:szCs w:val="24"/>
        </w:rPr>
        <w:t>TITLE PAGE</w:t>
      </w:r>
    </w:p>
    <w:p w14:paraId="5A3EBFAB">
      <w:pPr>
        <w:pStyle w:val="style0"/>
        <w:spacing w:after="0"/>
        <w:jc w:val="center"/>
        <w:rPr>
          <w:rFonts w:ascii="Times New Roman" w:cs="Times New Roman" w:hAnsi="Times New Roman"/>
          <w:b/>
          <w:bCs/>
          <w:sz w:val="24"/>
          <w:szCs w:val="24"/>
        </w:rPr>
      </w:pPr>
    </w:p>
    <w:p w14:paraId="344BDE9C">
      <w:pPr>
        <w:pStyle w:val="style0"/>
        <w:spacing w:after="0"/>
        <w:jc w:val="center"/>
        <w:rPr>
          <w:rFonts w:ascii="Times New Roman" w:cs="Times New Roman" w:hAnsi="Times New Roman"/>
          <w:b/>
          <w:bCs/>
          <w:sz w:val="24"/>
          <w:szCs w:val="24"/>
        </w:rPr>
      </w:pPr>
    </w:p>
    <w:p w14:paraId="5DA7D831">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EFFECT OF EDUCATION TAX ON ECONOMIC GROWTH OF NIGERIA 2014-2023</w:t>
      </w:r>
    </w:p>
    <w:p w14:paraId="0B1DC19F">
      <w:pPr>
        <w:pStyle w:val="style0"/>
        <w:spacing w:after="0" w:lineRule="auto" w:line="240"/>
        <w:jc w:val="center"/>
        <w:rPr>
          <w:rFonts w:ascii="Times New Roman" w:cs="Times New Roman" w:hAnsi="Times New Roman"/>
          <w:b/>
          <w:bCs/>
          <w:sz w:val="24"/>
          <w:szCs w:val="24"/>
        </w:rPr>
      </w:pPr>
    </w:p>
    <w:p w14:paraId="0F99A0DE">
      <w:pPr>
        <w:pStyle w:val="style0"/>
        <w:spacing w:after="0" w:lineRule="auto" w:line="240"/>
        <w:jc w:val="center"/>
        <w:rPr>
          <w:rFonts w:ascii="Times New Roman" w:cs="Times New Roman" w:hAnsi="Times New Roman"/>
          <w:b/>
          <w:bCs/>
          <w:sz w:val="24"/>
          <w:szCs w:val="24"/>
        </w:rPr>
      </w:pPr>
    </w:p>
    <w:p w14:paraId="13BD2FA8">
      <w:pPr>
        <w:pStyle w:val="style0"/>
        <w:spacing w:after="0" w:lineRule="auto" w:line="240"/>
        <w:jc w:val="center"/>
        <w:rPr>
          <w:rFonts w:ascii="Times New Roman" w:cs="Times New Roman" w:hAnsi="Times New Roman"/>
          <w:b/>
          <w:bCs/>
          <w:sz w:val="24"/>
          <w:szCs w:val="24"/>
        </w:rPr>
      </w:pPr>
    </w:p>
    <w:p w14:paraId="5BD9ECB0">
      <w:pPr>
        <w:pStyle w:val="style0"/>
        <w:spacing w:after="0" w:lineRule="auto" w:line="240"/>
        <w:jc w:val="center"/>
        <w:rPr>
          <w:rFonts w:ascii="Times New Roman" w:cs="Times New Roman" w:hAnsi="Times New Roman"/>
          <w:b/>
          <w:bCs/>
          <w:sz w:val="24"/>
          <w:szCs w:val="24"/>
        </w:rPr>
      </w:pPr>
    </w:p>
    <w:p w14:paraId="5259FFAB">
      <w:pPr>
        <w:pStyle w:val="style0"/>
        <w:spacing w:after="0" w:lineRule="auto" w:line="240"/>
        <w:jc w:val="center"/>
        <w:rPr>
          <w:rFonts w:ascii="Times New Roman" w:cs="Times New Roman" w:hAnsi="Times New Roman"/>
          <w:b/>
          <w:bCs/>
          <w:sz w:val="24"/>
          <w:szCs w:val="24"/>
        </w:rPr>
      </w:pPr>
    </w:p>
    <w:p w14:paraId="61B213E4">
      <w:pPr>
        <w:pStyle w:val="style0"/>
        <w:spacing w:after="0" w:lineRule="auto" w:line="240"/>
        <w:jc w:val="center"/>
        <w:rPr>
          <w:rFonts w:ascii="Times New Roman" w:cs="Times New Roman" w:hAnsi="Times New Roman"/>
          <w:b/>
          <w:bCs/>
          <w:sz w:val="24"/>
          <w:szCs w:val="24"/>
        </w:rPr>
      </w:pPr>
    </w:p>
    <w:p w14:paraId="07B20AB1">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BY</w:t>
      </w:r>
    </w:p>
    <w:p w14:paraId="5450DB40">
      <w:pPr>
        <w:pStyle w:val="style0"/>
        <w:spacing w:after="0" w:lineRule="auto" w:line="240"/>
        <w:jc w:val="center"/>
        <w:rPr>
          <w:rFonts w:ascii="Times New Roman" w:cs="Times New Roman" w:hAnsi="Times New Roman"/>
          <w:b/>
          <w:bCs/>
          <w:sz w:val="24"/>
          <w:szCs w:val="24"/>
        </w:rPr>
      </w:pPr>
    </w:p>
    <w:p w14:paraId="3CF813DF">
      <w:pPr>
        <w:pStyle w:val="style0"/>
        <w:spacing w:after="0" w:lineRule="auto" w:line="240"/>
        <w:jc w:val="center"/>
        <w:rPr>
          <w:rFonts w:ascii="Times New Roman" w:cs="Times New Roman" w:hAnsi="Times New Roman"/>
          <w:b/>
          <w:bCs/>
          <w:sz w:val="24"/>
          <w:szCs w:val="24"/>
        </w:rPr>
      </w:pPr>
    </w:p>
    <w:p w14:paraId="141F21E3">
      <w:pPr>
        <w:pStyle w:val="style0"/>
        <w:spacing w:after="0" w:lineRule="auto" w:line="240"/>
        <w:jc w:val="center"/>
        <w:rPr>
          <w:rFonts w:ascii="Times New Roman" w:cs="Times New Roman" w:hAnsi="Times New Roman"/>
          <w:b/>
          <w:bCs/>
          <w:sz w:val="24"/>
          <w:szCs w:val="24"/>
        </w:rPr>
      </w:pPr>
    </w:p>
    <w:p w14:paraId="0963CD12">
      <w:pPr>
        <w:pStyle w:val="style0"/>
        <w:spacing w:after="0" w:lineRule="auto" w:line="240"/>
        <w:jc w:val="center"/>
        <w:rPr>
          <w:rFonts w:ascii="Times New Roman" w:cs="Times New Roman" w:hAnsi="Times New Roman"/>
          <w:b/>
          <w:bCs/>
          <w:sz w:val="24"/>
          <w:szCs w:val="24"/>
        </w:rPr>
      </w:pPr>
    </w:p>
    <w:p w14:paraId="54BEE994">
      <w:pPr>
        <w:pStyle w:val="style0"/>
        <w:spacing w:after="0" w:lineRule="auto" w:line="240"/>
        <w:jc w:val="center"/>
        <w:rPr>
          <w:rFonts w:ascii="Times New Roman" w:cs="Times New Roman" w:hAnsi="Times New Roman"/>
          <w:b/>
          <w:bCs/>
          <w:sz w:val="24"/>
          <w:szCs w:val="24"/>
        </w:rPr>
      </w:pPr>
    </w:p>
    <w:p w14:paraId="3B13BBE4">
      <w:pPr>
        <w:pStyle w:val="style0"/>
        <w:spacing w:after="0" w:lineRule="auto" w:line="240"/>
        <w:jc w:val="center"/>
        <w:rPr>
          <w:rFonts w:ascii="Times New Roman" w:cs="Times New Roman" w:hAnsi="Times New Roman"/>
          <w:b/>
          <w:bCs/>
          <w:sz w:val="24"/>
          <w:szCs w:val="24"/>
        </w:rPr>
      </w:pPr>
    </w:p>
    <w:p w14:paraId="7F1BED98">
      <w:pPr>
        <w:pStyle w:val="style0"/>
        <w:spacing w:after="0" w:lineRule="auto" w:line="240"/>
        <w:jc w:val="center"/>
        <w:rPr>
          <w:rFonts w:ascii="Times New Roman" w:cs="Times New Roman" w:hAnsi="Times New Roman"/>
          <w:b/>
          <w:bCs/>
          <w:sz w:val="24"/>
          <w:szCs w:val="24"/>
        </w:rPr>
      </w:pPr>
    </w:p>
    <w:p w14:paraId="6D76E344">
      <w:pPr>
        <w:pStyle w:val="style0"/>
        <w:spacing w:after="0" w:lineRule="auto" w:line="240"/>
        <w:jc w:val="center"/>
        <w:rPr>
          <w:rFonts w:ascii="Times New Roman" w:cs="Times New Roman" w:hAnsi="Times New Roman"/>
          <w:b/>
          <w:bCs/>
          <w:sz w:val="24"/>
          <w:szCs w:val="24"/>
        </w:rPr>
      </w:pPr>
    </w:p>
    <w:p w14:paraId="04F99C12">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AJAH</w:t>
      </w:r>
      <w:r>
        <w:rPr>
          <w:rFonts w:ascii="Times New Roman" w:cs="Times New Roman" w:hAnsi="Times New Roman"/>
          <w:b/>
          <w:bCs/>
          <w:sz w:val="24"/>
          <w:szCs w:val="24"/>
          <w:lang w:val="en-US"/>
        </w:rPr>
        <w:t>,</w:t>
      </w:r>
      <w:r>
        <w:rPr>
          <w:rFonts w:ascii="Times New Roman" w:cs="Times New Roman" w:hAnsi="Times New Roman"/>
          <w:b/>
          <w:bCs/>
          <w:sz w:val="24"/>
          <w:szCs w:val="24"/>
        </w:rPr>
        <w:t xml:space="preserve"> OGECHI AGNES</w:t>
      </w:r>
    </w:p>
    <w:p w14:paraId="76E51575">
      <w:pPr>
        <w:pStyle w:val="style0"/>
        <w:spacing w:after="0" w:lineRule="auto" w:line="240"/>
        <w:jc w:val="center"/>
        <w:rPr>
          <w:rFonts w:ascii="Times New Roman" w:cs="Times New Roman" w:hAnsi="Times New Roman"/>
          <w:b/>
          <w:bCs/>
          <w:sz w:val="24"/>
          <w:szCs w:val="24"/>
        </w:rPr>
      </w:pPr>
      <w:r>
        <w:rPr>
          <w:rFonts w:ascii="Times New Roman" w:cs="Times New Roman" w:hAnsi="Times New Roman"/>
          <w:b/>
          <w:bCs/>
          <w:sz w:val="24"/>
          <w:szCs w:val="24"/>
        </w:rPr>
        <w:t>GOU/U22/ACC/397</w:t>
      </w:r>
    </w:p>
    <w:p w14:paraId="4D752F2D">
      <w:pPr>
        <w:pStyle w:val="style0"/>
        <w:spacing w:after="0"/>
        <w:jc w:val="center"/>
        <w:rPr>
          <w:rFonts w:ascii="Times New Roman" w:cs="Times New Roman" w:hAnsi="Times New Roman"/>
          <w:b/>
          <w:bCs/>
          <w:sz w:val="24"/>
          <w:szCs w:val="24"/>
        </w:rPr>
      </w:pPr>
      <w:r>
        <w:rPr>
          <w:rFonts w:ascii="Times New Roman" w:cs="Times New Roman" w:eastAsia="Times New Roman" w:hAnsi="Times New Roman"/>
          <w:b/>
          <w:bCs/>
          <w:color w:val="000000"/>
          <w:sz w:val="24"/>
          <w:szCs w:val="24"/>
        </w:rPr>
        <w:t xml:space="preserve"> </w:t>
      </w:r>
    </w:p>
    <w:p w14:paraId="239FACFD">
      <w:pPr>
        <w:pStyle w:val="style0"/>
        <w:spacing w:after="0"/>
        <w:jc w:val="center"/>
        <w:rPr>
          <w:rFonts w:ascii="Times New Roman" w:cs="Times New Roman" w:hAnsi="Times New Roman"/>
          <w:b/>
          <w:bCs/>
          <w:sz w:val="24"/>
          <w:szCs w:val="24"/>
        </w:rPr>
      </w:pPr>
    </w:p>
    <w:p w14:paraId="3FBC1F02">
      <w:pPr>
        <w:pStyle w:val="style0"/>
        <w:spacing w:after="0"/>
        <w:jc w:val="center"/>
        <w:rPr>
          <w:rFonts w:ascii="Times New Roman" w:cs="Times New Roman" w:hAnsi="Times New Roman"/>
          <w:b/>
          <w:bCs/>
          <w:sz w:val="24"/>
          <w:szCs w:val="24"/>
        </w:rPr>
      </w:pPr>
    </w:p>
    <w:p w14:paraId="2EFE52F0">
      <w:pPr>
        <w:pStyle w:val="style0"/>
        <w:spacing w:after="0"/>
        <w:jc w:val="center"/>
        <w:rPr>
          <w:rFonts w:ascii="Times New Roman" w:cs="Times New Roman" w:hAnsi="Times New Roman"/>
          <w:b/>
          <w:bCs/>
          <w:sz w:val="24"/>
          <w:szCs w:val="24"/>
        </w:rPr>
      </w:pPr>
    </w:p>
    <w:p w14:paraId="6DC09867">
      <w:pPr>
        <w:pStyle w:val="style0"/>
        <w:spacing w:after="0"/>
        <w:jc w:val="center"/>
        <w:rPr>
          <w:rFonts w:ascii="Times New Roman" w:cs="Times New Roman" w:hAnsi="Times New Roman"/>
          <w:b/>
          <w:sz w:val="24"/>
          <w:szCs w:val="24"/>
        </w:rPr>
      </w:pPr>
      <w:r>
        <w:rPr>
          <w:rFonts w:ascii="Times New Roman" w:cs="Times New Roman" w:hAnsi="Times New Roman"/>
          <w:b/>
          <w:sz w:val="24"/>
          <w:szCs w:val="24"/>
        </w:rPr>
        <w:t>PROJECT SUBMITTED TO DEPARTMENT OF ACCOUNTING AND FINANCE, FACULTY OF MANAGEMENT AND SOCIAL SCIENCES, GODFERY OKOYE UNIVERSITY, UGWUOMU-NIKE, ENUGU</w:t>
      </w:r>
    </w:p>
    <w:p w14:paraId="10A391BF">
      <w:pPr>
        <w:pStyle w:val="style0"/>
        <w:spacing w:after="0"/>
        <w:jc w:val="center"/>
        <w:rPr>
          <w:rFonts w:ascii="Times New Roman" w:cs="Times New Roman" w:hAnsi="Times New Roman"/>
          <w:b/>
          <w:sz w:val="24"/>
          <w:szCs w:val="24"/>
        </w:rPr>
      </w:pPr>
    </w:p>
    <w:p w14:paraId="6E1AF645">
      <w:pPr>
        <w:pStyle w:val="style0"/>
        <w:spacing w:after="0"/>
        <w:jc w:val="center"/>
        <w:rPr>
          <w:rFonts w:ascii="Times New Roman" w:cs="Times New Roman" w:hAnsi="Times New Roman"/>
          <w:b/>
          <w:sz w:val="24"/>
          <w:szCs w:val="24"/>
        </w:rPr>
      </w:pPr>
      <w:r>
        <w:rPr>
          <w:rFonts w:ascii="Times New Roman" w:cs="Times New Roman" w:hAnsi="Times New Roman"/>
          <w:b/>
          <w:sz w:val="24"/>
          <w:szCs w:val="24"/>
        </w:rPr>
        <w:t>IN PARTIAL FULFILMENT OF THE REQUIREMENTS FOR THE AWARD OF BACHELOR OF SCIENCE (</w:t>
      </w:r>
      <w:r>
        <w:rPr>
          <w:rFonts w:ascii="Times New Roman" w:cs="Times New Roman" w:hAnsi="Times New Roman"/>
          <w:b/>
          <w:sz w:val="24"/>
          <w:szCs w:val="24"/>
        </w:rPr>
        <w:t>B.Sc</w:t>
      </w:r>
      <w:r>
        <w:rPr>
          <w:rFonts w:ascii="Times New Roman" w:cs="Times New Roman" w:hAnsi="Times New Roman"/>
          <w:b/>
          <w:sz w:val="24"/>
          <w:szCs w:val="24"/>
          <w:lang w:val="en-US"/>
        </w:rPr>
        <w:t>.</w:t>
      </w:r>
      <w:r>
        <w:rPr>
          <w:rFonts w:ascii="Times New Roman" w:cs="Times New Roman" w:hAnsi="Times New Roman"/>
          <w:b/>
          <w:sz w:val="24"/>
          <w:szCs w:val="24"/>
        </w:rPr>
        <w:t>) DEGREE IN ACCOUNTING</w:t>
      </w:r>
    </w:p>
    <w:p w14:paraId="1B66A383">
      <w:pPr>
        <w:pStyle w:val="style0"/>
        <w:spacing w:after="0"/>
        <w:jc w:val="center"/>
        <w:rPr>
          <w:rFonts w:ascii="Times New Roman" w:cs="Times New Roman" w:hAnsi="Times New Roman"/>
          <w:b/>
          <w:bCs/>
          <w:sz w:val="24"/>
          <w:szCs w:val="24"/>
        </w:rPr>
      </w:pPr>
    </w:p>
    <w:p w14:paraId="4B9BA88A">
      <w:pPr>
        <w:pStyle w:val="style0"/>
        <w:spacing w:after="0"/>
        <w:jc w:val="center"/>
        <w:rPr>
          <w:rFonts w:ascii="Times New Roman" w:cs="Times New Roman" w:hAnsi="Times New Roman"/>
          <w:b/>
          <w:bCs/>
          <w:sz w:val="24"/>
          <w:szCs w:val="24"/>
        </w:rPr>
      </w:pPr>
    </w:p>
    <w:p w14:paraId="2D9D88B5">
      <w:pPr>
        <w:pStyle w:val="style0"/>
        <w:spacing w:after="0"/>
        <w:jc w:val="center"/>
        <w:rPr>
          <w:rFonts w:ascii="Times New Roman" w:cs="Times New Roman" w:hAnsi="Times New Roman"/>
          <w:b/>
          <w:bCs/>
          <w:sz w:val="24"/>
          <w:szCs w:val="24"/>
        </w:rPr>
      </w:pPr>
    </w:p>
    <w:p w14:paraId="0F9241AD">
      <w:pPr>
        <w:pStyle w:val="style0"/>
        <w:spacing w:after="0"/>
        <w:jc w:val="center"/>
        <w:rPr>
          <w:rFonts w:ascii="Times New Roman" w:cs="Times New Roman" w:hAnsi="Times New Roman"/>
          <w:b/>
          <w:bCs/>
          <w:sz w:val="24"/>
          <w:szCs w:val="24"/>
        </w:rPr>
      </w:pPr>
    </w:p>
    <w:p w14:paraId="78EE4CFB">
      <w:pPr>
        <w:pStyle w:val="style0"/>
        <w:spacing w:after="0"/>
        <w:jc w:val="center"/>
        <w:rPr>
          <w:rFonts w:ascii="Times New Roman" w:cs="Times New Roman" w:hAnsi="Times New Roman"/>
          <w:b/>
          <w:bCs/>
          <w:sz w:val="24"/>
          <w:szCs w:val="24"/>
        </w:rPr>
      </w:pPr>
    </w:p>
    <w:p w14:paraId="690C2FCB">
      <w:pPr>
        <w:pStyle w:val="style0"/>
        <w:spacing w:after="0"/>
        <w:jc w:val="center"/>
        <w:rPr>
          <w:rFonts w:ascii="Times New Roman" w:cs="Times New Roman" w:hAnsi="Times New Roman"/>
          <w:b/>
          <w:bCs/>
          <w:sz w:val="24"/>
          <w:szCs w:val="24"/>
        </w:rPr>
      </w:pPr>
    </w:p>
    <w:p w14:paraId="13926D45">
      <w:pPr>
        <w:pStyle w:val="style0"/>
        <w:spacing w:after="0"/>
        <w:jc w:val="center"/>
        <w:rPr>
          <w:rFonts w:ascii="Times New Roman" w:cs="Times New Roman" w:hAnsi="Times New Roman"/>
          <w:b/>
          <w:bCs/>
          <w:sz w:val="24"/>
          <w:szCs w:val="24"/>
        </w:rPr>
      </w:pPr>
      <w:r>
        <w:rPr>
          <w:rFonts w:ascii="Times New Roman" w:cs="Times New Roman" w:hAnsi="Times New Roman"/>
          <w:b/>
          <w:bCs/>
          <w:sz w:val="24"/>
          <w:szCs w:val="24"/>
        </w:rPr>
        <w:t xml:space="preserve">SUPERVISOR: PROF. SERGIUS N. UDEH </w:t>
      </w:r>
    </w:p>
    <w:p w14:paraId="7376A078">
      <w:pPr>
        <w:pStyle w:val="style0"/>
        <w:spacing w:after="0"/>
        <w:jc w:val="center"/>
        <w:rPr>
          <w:rFonts w:ascii="Times New Roman" w:cs="Times New Roman" w:hAnsi="Times New Roman"/>
          <w:b/>
          <w:bCs/>
          <w:sz w:val="24"/>
          <w:szCs w:val="24"/>
        </w:rPr>
      </w:pPr>
    </w:p>
    <w:p w14:paraId="28F70279">
      <w:pPr>
        <w:pStyle w:val="style0"/>
        <w:spacing w:after="0"/>
        <w:jc w:val="center"/>
        <w:rPr>
          <w:rFonts w:ascii="Times New Roman" w:cs="Times New Roman" w:hAnsi="Times New Roman"/>
          <w:b/>
          <w:bCs/>
          <w:sz w:val="24"/>
          <w:szCs w:val="24"/>
        </w:rPr>
      </w:pPr>
    </w:p>
    <w:p w14:paraId="27269E92">
      <w:pPr>
        <w:pStyle w:val="style0"/>
        <w:spacing w:after="0"/>
        <w:jc w:val="center"/>
        <w:rPr>
          <w:rFonts w:ascii="Times New Roman" w:cs="Times New Roman" w:hAnsi="Times New Roman"/>
          <w:b/>
          <w:bCs/>
          <w:sz w:val="24"/>
          <w:szCs w:val="24"/>
        </w:rPr>
      </w:pPr>
    </w:p>
    <w:p w14:paraId="0F9E0CE0">
      <w:pPr>
        <w:pStyle w:val="style0"/>
        <w:spacing w:after="0"/>
        <w:jc w:val="center"/>
        <w:rPr>
          <w:rFonts w:ascii="Times New Roman" w:cs="Times New Roman" w:hAnsi="Times New Roman"/>
          <w:b/>
          <w:bCs/>
          <w:sz w:val="24"/>
          <w:szCs w:val="24"/>
        </w:rPr>
      </w:pPr>
    </w:p>
    <w:p w14:paraId="3D60ABF1">
      <w:pPr>
        <w:pStyle w:val="style0"/>
        <w:spacing w:after="0"/>
        <w:jc w:val="center"/>
        <w:rPr>
          <w:rFonts w:ascii="Times New Roman" w:cs="Times New Roman" w:hAnsi="Times New Roman"/>
          <w:b/>
          <w:bCs/>
          <w:sz w:val="24"/>
          <w:szCs w:val="24"/>
        </w:rPr>
      </w:pPr>
    </w:p>
    <w:p w14:paraId="40B109BA">
      <w:pPr>
        <w:pStyle w:val="style0"/>
        <w:spacing w:after="0"/>
        <w:jc w:val="center"/>
        <w:rPr>
          <w:rFonts w:ascii="Times New Roman" w:cs="Times New Roman" w:hAnsi="Times New Roman"/>
          <w:b/>
          <w:bCs/>
          <w:sz w:val="24"/>
          <w:szCs w:val="24"/>
        </w:rPr>
      </w:pPr>
    </w:p>
    <w:p w14:paraId="62CF01DB">
      <w:pPr>
        <w:pStyle w:val="style0"/>
        <w:spacing w:after="0"/>
        <w:jc w:val="center"/>
        <w:rPr>
          <w:rFonts w:ascii="Times New Roman" w:cs="Times New Roman" w:hAnsi="Times New Roman"/>
          <w:b/>
          <w:bCs/>
          <w:sz w:val="24"/>
          <w:szCs w:val="24"/>
        </w:rPr>
      </w:pPr>
    </w:p>
    <w:p w14:paraId="3A870DDE">
      <w:pPr>
        <w:pStyle w:val="style0"/>
        <w:spacing w:after="0"/>
        <w:jc w:val="center"/>
        <w:rPr>
          <w:rFonts w:ascii="Times New Roman" w:cs="Times New Roman" w:hAnsi="Times New Roman"/>
          <w:b/>
          <w:bCs/>
          <w:sz w:val="24"/>
          <w:szCs w:val="24"/>
        </w:rPr>
      </w:pPr>
      <w:r>
        <w:rPr>
          <w:rFonts w:ascii="Times New Roman" w:cs="Times New Roman" w:hAnsi="Times New Roman"/>
          <w:b/>
          <w:bCs/>
          <w:sz w:val="24"/>
          <w:szCs w:val="24"/>
        </w:rPr>
        <w:t>JULY, 2026</w:t>
      </w:r>
    </w:p>
    <w:p w14:paraId="6A2BD949">
      <w:pPr>
        <w:pStyle w:val="style0"/>
        <w:jc w:val="center"/>
        <w:rPr>
          <w:rFonts w:ascii="Times New Roman" w:cs="Times New Roman" w:hAnsi="Times New Roman"/>
          <w:b/>
          <w:bCs/>
          <w:sz w:val="24"/>
          <w:szCs w:val="24"/>
        </w:rPr>
      </w:pPr>
    </w:p>
    <w:p w14:paraId="2F3BA4FB">
      <w:pPr>
        <w:pStyle w:val="style0"/>
        <w:jc w:val="center"/>
        <w:rPr>
          <w:rFonts w:ascii="Times New Roman" w:cs="Times New Roman" w:hAnsi="Times New Roman"/>
          <w:b/>
          <w:bCs/>
          <w:sz w:val="24"/>
          <w:szCs w:val="24"/>
        </w:rPr>
      </w:pPr>
      <w:r>
        <w:rPr>
          <w:rFonts w:ascii="Times New Roman" w:cs="Times New Roman" w:hAnsi="Times New Roman"/>
          <w:b/>
          <w:bCs/>
          <w:sz w:val="24"/>
          <w:szCs w:val="24"/>
        </w:rPr>
        <w:t>DECLARATION</w:t>
      </w:r>
    </w:p>
    <w:p w14:paraId="1E34F466">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I, </w:t>
      </w:r>
      <w:r>
        <w:rPr>
          <w:rFonts w:ascii="Times New Roman" w:cs="Times New Roman" w:hAnsi="Times New Roman"/>
          <w:b/>
          <w:bCs/>
          <w:sz w:val="24"/>
          <w:szCs w:val="24"/>
        </w:rPr>
        <w:t>Ajah</w:t>
      </w:r>
      <w:r>
        <w:rPr>
          <w:rFonts w:ascii="Times New Roman" w:cs="Times New Roman" w:hAnsi="Times New Roman"/>
          <w:b/>
          <w:bCs/>
          <w:sz w:val="24"/>
          <w:szCs w:val="24"/>
          <w:lang w:val="en-US"/>
        </w:rPr>
        <w:t>,</w:t>
      </w:r>
      <w:r>
        <w:rPr>
          <w:rFonts w:ascii="Times New Roman" w:cs="Times New Roman" w:hAnsi="Times New Roman"/>
          <w:b/>
          <w:bCs/>
          <w:sz w:val="24"/>
          <w:szCs w:val="24"/>
        </w:rPr>
        <w:t xml:space="preserve"> </w:t>
      </w:r>
      <w:r>
        <w:rPr>
          <w:rFonts w:ascii="Times New Roman" w:cs="Times New Roman" w:hAnsi="Times New Roman"/>
          <w:b/>
          <w:bCs/>
          <w:sz w:val="24"/>
          <w:szCs w:val="24"/>
        </w:rPr>
        <w:t>Ogechi</w:t>
      </w:r>
      <w:r>
        <w:rPr>
          <w:rFonts w:ascii="Times New Roman" w:cs="Times New Roman" w:hAnsi="Times New Roman"/>
          <w:b/>
          <w:bCs/>
          <w:sz w:val="24"/>
          <w:szCs w:val="24"/>
        </w:rPr>
        <w:t xml:space="preserve"> Agnes</w:t>
      </w:r>
      <w:r>
        <w:rPr>
          <w:rFonts w:ascii="Times New Roman" w:cs="Times New Roman" w:hAnsi="Times New Roman"/>
          <w:sz w:val="24"/>
          <w:szCs w:val="24"/>
        </w:rPr>
        <w:t xml:space="preserve"> is a bona fide student in the Department of Accounting and Finance under the Faculty of Management and Social Sciences in Godfrey </w:t>
      </w:r>
      <w:r>
        <w:rPr>
          <w:rFonts w:ascii="Times New Roman" w:cs="Times New Roman" w:hAnsi="Times New Roman"/>
          <w:sz w:val="24"/>
          <w:szCs w:val="24"/>
        </w:rPr>
        <w:t>Okoye</w:t>
      </w:r>
      <w:r>
        <w:rPr>
          <w:rFonts w:ascii="Times New Roman" w:cs="Times New Roman" w:hAnsi="Times New Roman"/>
          <w:sz w:val="24"/>
          <w:szCs w:val="24"/>
        </w:rPr>
        <w:t xml:space="preserve"> University.  I hereby declare that the work entitled “</w:t>
      </w:r>
      <w:r>
        <w:rPr>
          <w:rFonts w:ascii="Times New Roman" w:cs="Times New Roman" w:hAnsi="Times New Roman"/>
          <w:b/>
          <w:bCs/>
          <w:sz w:val="24"/>
          <w:szCs w:val="24"/>
        </w:rPr>
        <w:t>Effect of Education Tax on Economic Growth of Nigeria 2014-2023”</w:t>
      </w:r>
      <w:r>
        <w:rPr>
          <w:rFonts w:ascii="Times New Roman" w:cs="Times New Roman" w:hAnsi="Times New Roman"/>
          <w:sz w:val="24"/>
          <w:szCs w:val="24"/>
        </w:rPr>
        <w:t xml:space="preserve"> submitted by me in partial fulfillment of the requirements for the award of Bachelor of Science (</w:t>
      </w:r>
      <w:r>
        <w:rPr>
          <w:rFonts w:ascii="Times New Roman" w:cs="Times New Roman" w:hAnsi="Times New Roman"/>
          <w:sz w:val="24"/>
          <w:szCs w:val="24"/>
        </w:rPr>
        <w:t>B.Sc</w:t>
      </w:r>
      <w:r>
        <w:rPr>
          <w:rFonts w:ascii="Times New Roman" w:cs="Times New Roman" w:hAnsi="Times New Roman"/>
          <w:sz w:val="24"/>
          <w:szCs w:val="24"/>
          <w:lang w:val="en-US"/>
        </w:rPr>
        <w:t>.</w:t>
      </w:r>
      <w:r>
        <w:rPr>
          <w:rFonts w:ascii="Times New Roman" w:cs="Times New Roman" w:hAnsi="Times New Roman"/>
          <w:sz w:val="24"/>
          <w:szCs w:val="24"/>
        </w:rPr>
        <w:t>) Degree in Accounting is my original work and has not been submitted either in part or full for any other degree or diploma either in this or any other tertiary institution.</w:t>
      </w:r>
    </w:p>
    <w:p w14:paraId="70909DE8">
      <w:pPr>
        <w:pStyle w:val="style0"/>
        <w:jc w:val="center"/>
        <w:rPr>
          <w:rFonts w:ascii="Times New Roman" w:cs="Times New Roman" w:hAnsi="Times New Roman"/>
          <w:sz w:val="24"/>
          <w:szCs w:val="24"/>
        </w:rPr>
      </w:pPr>
    </w:p>
    <w:p w14:paraId="7706B79A">
      <w:pPr>
        <w:pStyle w:val="style0"/>
        <w:jc w:val="center"/>
        <w:rPr>
          <w:rFonts w:ascii="Times New Roman" w:cs="Times New Roman" w:hAnsi="Times New Roman"/>
          <w:sz w:val="24"/>
          <w:szCs w:val="24"/>
        </w:rPr>
      </w:pPr>
    </w:p>
    <w:p w14:paraId="57BE858E">
      <w:pPr>
        <w:pStyle w:val="style0"/>
        <w:jc w:val="center"/>
        <w:rPr>
          <w:rFonts w:ascii="Times New Roman" w:cs="Times New Roman" w:hAnsi="Times New Roman"/>
          <w:b/>
          <w:bCs/>
          <w:sz w:val="24"/>
          <w:szCs w:val="24"/>
        </w:rPr>
      </w:pPr>
    </w:p>
    <w:p w14:paraId="4316871B">
      <w:pPr>
        <w:pStyle w:val="style0"/>
        <w:rPr>
          <w:rFonts w:ascii="Times New Roman" w:cs="Times New Roman" w:hAnsi="Times New Roman"/>
          <w:b/>
          <w:bCs/>
          <w:sz w:val="24"/>
          <w:szCs w:val="24"/>
        </w:rPr>
      </w:pPr>
    </w:p>
    <w:p w14:paraId="5249ED93">
      <w:pPr>
        <w:pStyle w:val="style0"/>
        <w:spacing w:after="0"/>
        <w:rPr>
          <w:rFonts w:ascii="Times New Roman" w:cs="Times New Roman" w:hAnsi="Times New Roman"/>
          <w:b/>
          <w:bCs/>
          <w:sz w:val="24"/>
          <w:szCs w:val="24"/>
        </w:rPr>
      </w:pPr>
      <w:r>
        <w:rPr>
          <w:rFonts w:ascii="Times New Roman" w:cs="Times New Roman" w:hAnsi="Times New Roman"/>
          <w:b/>
          <w:bCs/>
          <w:sz w:val="24"/>
          <w:szCs w:val="24"/>
        </w:rPr>
        <w:t>………………………….</w:t>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w:t>
      </w:r>
    </w:p>
    <w:p w14:paraId="792C0747">
      <w:pPr>
        <w:pStyle w:val="style0"/>
        <w:rPr>
          <w:rFonts w:ascii="Times New Roman" w:cs="Times New Roman" w:hAnsi="Times New Roman"/>
          <w:b/>
          <w:bCs/>
          <w:sz w:val="24"/>
          <w:szCs w:val="24"/>
        </w:rPr>
      </w:pPr>
      <w:r>
        <w:rPr>
          <w:rFonts w:ascii="Times New Roman" w:cs="Times New Roman" w:hAnsi="Times New Roman"/>
          <w:b/>
          <w:bCs/>
          <w:sz w:val="24"/>
          <w:szCs w:val="24"/>
        </w:rPr>
        <w:t>Ajah</w:t>
      </w:r>
      <w:r>
        <w:rPr>
          <w:rFonts w:ascii="Times New Roman" w:cs="Times New Roman" w:hAnsi="Times New Roman"/>
          <w:b/>
          <w:bCs/>
          <w:sz w:val="24"/>
          <w:szCs w:val="24"/>
          <w:lang w:val="en-US"/>
        </w:rPr>
        <w:t>,</w:t>
      </w:r>
      <w:r>
        <w:rPr>
          <w:rFonts w:ascii="Times New Roman" w:cs="Times New Roman" w:hAnsi="Times New Roman"/>
          <w:b/>
          <w:bCs/>
          <w:sz w:val="24"/>
          <w:szCs w:val="24"/>
        </w:rPr>
        <w:t xml:space="preserve"> </w:t>
      </w:r>
      <w:r>
        <w:rPr>
          <w:rFonts w:ascii="Times New Roman" w:cs="Times New Roman" w:hAnsi="Times New Roman"/>
          <w:b/>
          <w:bCs/>
          <w:sz w:val="24"/>
          <w:szCs w:val="24"/>
        </w:rPr>
        <w:t>Ogechi</w:t>
      </w:r>
      <w:r>
        <w:rPr>
          <w:rFonts w:ascii="Times New Roman" w:cs="Times New Roman" w:hAnsi="Times New Roman"/>
          <w:b/>
          <w:bCs/>
          <w:sz w:val="24"/>
          <w:szCs w:val="24"/>
        </w:rPr>
        <w:t xml:space="preserve"> Agnes</w:t>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Date</w:t>
      </w:r>
    </w:p>
    <w:p w14:paraId="292017B2">
      <w:pPr>
        <w:pStyle w:val="style0"/>
        <w:jc w:val="center"/>
        <w:rPr>
          <w:rFonts w:ascii="Times New Roman" w:cs="Times New Roman" w:hAnsi="Times New Roman"/>
          <w:b/>
          <w:bCs/>
          <w:sz w:val="24"/>
          <w:szCs w:val="24"/>
        </w:rPr>
      </w:pPr>
    </w:p>
    <w:p w14:paraId="4F39C687">
      <w:pPr>
        <w:pStyle w:val="style0"/>
        <w:jc w:val="center"/>
        <w:rPr>
          <w:rFonts w:ascii="Times New Roman" w:cs="Times New Roman" w:hAnsi="Times New Roman"/>
          <w:b/>
          <w:bCs/>
          <w:sz w:val="24"/>
          <w:szCs w:val="24"/>
        </w:rPr>
      </w:pPr>
    </w:p>
    <w:p w14:paraId="76821217">
      <w:pPr>
        <w:pStyle w:val="style0"/>
        <w:jc w:val="center"/>
        <w:rPr>
          <w:rFonts w:ascii="Times New Roman" w:cs="Times New Roman" w:hAnsi="Times New Roman"/>
          <w:b/>
          <w:bCs/>
          <w:sz w:val="24"/>
          <w:szCs w:val="24"/>
        </w:rPr>
      </w:pPr>
    </w:p>
    <w:p w14:paraId="76FCEF84">
      <w:pPr>
        <w:pStyle w:val="style0"/>
        <w:jc w:val="center"/>
        <w:rPr>
          <w:rFonts w:ascii="Times New Roman" w:cs="Times New Roman" w:hAnsi="Times New Roman"/>
          <w:b/>
          <w:bCs/>
          <w:sz w:val="24"/>
          <w:szCs w:val="24"/>
        </w:rPr>
      </w:pPr>
    </w:p>
    <w:p w14:paraId="607DA232">
      <w:pPr>
        <w:pStyle w:val="style0"/>
        <w:jc w:val="center"/>
        <w:rPr>
          <w:rFonts w:ascii="Times New Roman" w:cs="Times New Roman" w:hAnsi="Times New Roman"/>
          <w:b/>
          <w:bCs/>
          <w:sz w:val="24"/>
          <w:szCs w:val="24"/>
        </w:rPr>
      </w:pPr>
    </w:p>
    <w:p w14:paraId="4EC4531F">
      <w:pPr>
        <w:pStyle w:val="style0"/>
        <w:jc w:val="center"/>
        <w:rPr>
          <w:rFonts w:ascii="Times New Roman" w:cs="Times New Roman" w:hAnsi="Times New Roman"/>
          <w:b/>
          <w:bCs/>
          <w:sz w:val="24"/>
          <w:szCs w:val="24"/>
        </w:rPr>
      </w:pPr>
    </w:p>
    <w:p w14:paraId="5CB5A8DF">
      <w:pPr>
        <w:pStyle w:val="style0"/>
        <w:jc w:val="center"/>
        <w:rPr>
          <w:rFonts w:ascii="Times New Roman" w:cs="Times New Roman" w:hAnsi="Times New Roman"/>
          <w:b/>
          <w:bCs/>
          <w:sz w:val="24"/>
          <w:szCs w:val="24"/>
        </w:rPr>
      </w:pPr>
    </w:p>
    <w:p w14:paraId="401C6055">
      <w:pPr>
        <w:pStyle w:val="style0"/>
        <w:jc w:val="center"/>
        <w:rPr>
          <w:rFonts w:ascii="Times New Roman" w:cs="Times New Roman" w:hAnsi="Times New Roman"/>
          <w:b/>
          <w:bCs/>
          <w:sz w:val="24"/>
          <w:szCs w:val="24"/>
        </w:rPr>
      </w:pPr>
    </w:p>
    <w:p w14:paraId="1BA8773F">
      <w:pPr>
        <w:pStyle w:val="style0"/>
        <w:jc w:val="center"/>
        <w:rPr>
          <w:rFonts w:ascii="Times New Roman" w:cs="Times New Roman" w:hAnsi="Times New Roman"/>
          <w:b/>
          <w:bCs/>
          <w:sz w:val="24"/>
          <w:szCs w:val="24"/>
        </w:rPr>
      </w:pPr>
    </w:p>
    <w:p w14:paraId="28F3619D">
      <w:pPr>
        <w:pStyle w:val="style0"/>
        <w:jc w:val="center"/>
        <w:rPr>
          <w:rFonts w:ascii="Times New Roman" w:cs="Times New Roman" w:hAnsi="Times New Roman"/>
          <w:b/>
          <w:bCs/>
          <w:sz w:val="24"/>
          <w:szCs w:val="24"/>
        </w:rPr>
      </w:pPr>
    </w:p>
    <w:p w14:paraId="1BF48094">
      <w:pPr>
        <w:pStyle w:val="style0"/>
        <w:jc w:val="center"/>
        <w:rPr>
          <w:rFonts w:ascii="Times New Roman" w:cs="Times New Roman" w:hAnsi="Times New Roman"/>
          <w:b/>
          <w:bCs/>
          <w:sz w:val="24"/>
          <w:szCs w:val="24"/>
        </w:rPr>
      </w:pPr>
    </w:p>
    <w:p w14:paraId="0DF57E9E">
      <w:pPr>
        <w:pStyle w:val="style0"/>
        <w:jc w:val="center"/>
        <w:rPr>
          <w:rFonts w:ascii="Times New Roman" w:cs="Times New Roman" w:hAnsi="Times New Roman"/>
          <w:b/>
          <w:bCs/>
          <w:sz w:val="24"/>
          <w:szCs w:val="24"/>
        </w:rPr>
      </w:pPr>
    </w:p>
    <w:p w14:paraId="1E072680">
      <w:pPr>
        <w:pStyle w:val="style0"/>
        <w:jc w:val="center"/>
        <w:rPr>
          <w:rFonts w:ascii="Times New Roman" w:cs="Times New Roman" w:hAnsi="Times New Roman"/>
          <w:b/>
          <w:bCs/>
          <w:sz w:val="24"/>
          <w:szCs w:val="24"/>
        </w:rPr>
      </w:pPr>
    </w:p>
    <w:p w14:paraId="135CD1B2">
      <w:pPr>
        <w:pStyle w:val="style0"/>
        <w:jc w:val="center"/>
        <w:rPr>
          <w:rFonts w:ascii="Times New Roman" w:cs="Times New Roman" w:hAnsi="Times New Roman"/>
          <w:b/>
          <w:bCs/>
          <w:sz w:val="24"/>
          <w:szCs w:val="24"/>
        </w:rPr>
      </w:pPr>
    </w:p>
    <w:p w14:paraId="6AE5614B">
      <w:pPr>
        <w:pStyle w:val="style0"/>
        <w:jc w:val="center"/>
        <w:rPr>
          <w:rFonts w:ascii="Times New Roman" w:cs="Times New Roman" w:hAnsi="Times New Roman"/>
          <w:b/>
          <w:bCs/>
          <w:sz w:val="24"/>
          <w:szCs w:val="24"/>
        </w:rPr>
      </w:pPr>
    </w:p>
    <w:p w14:paraId="7CD26CF5">
      <w:pPr>
        <w:pStyle w:val="style0"/>
        <w:jc w:val="center"/>
        <w:rPr>
          <w:rFonts w:ascii="Times New Roman" w:cs="Times New Roman" w:hAnsi="Times New Roman"/>
          <w:b/>
          <w:bCs/>
          <w:sz w:val="24"/>
          <w:szCs w:val="24"/>
        </w:rPr>
      </w:pPr>
    </w:p>
    <w:p w14:paraId="2FAAF6CE">
      <w:pPr>
        <w:pStyle w:val="style0"/>
        <w:jc w:val="center"/>
        <w:rPr>
          <w:rFonts w:ascii="Times New Roman" w:cs="Times New Roman" w:hAnsi="Times New Roman"/>
          <w:b/>
          <w:bCs/>
          <w:sz w:val="24"/>
          <w:szCs w:val="24"/>
        </w:rPr>
      </w:pPr>
    </w:p>
    <w:p w14:paraId="4CCB03CB">
      <w:pPr>
        <w:pStyle w:val="style0"/>
        <w:jc w:val="center"/>
        <w:rPr>
          <w:rFonts w:ascii="Times New Roman" w:cs="Times New Roman" w:hAnsi="Times New Roman"/>
          <w:b/>
          <w:bCs/>
          <w:sz w:val="24"/>
          <w:szCs w:val="24"/>
        </w:rPr>
      </w:pPr>
      <w:r>
        <w:rPr>
          <w:rFonts w:ascii="Times New Roman" w:cs="Times New Roman" w:hAnsi="Times New Roman"/>
          <w:b/>
          <w:bCs/>
          <w:sz w:val="24"/>
          <w:szCs w:val="24"/>
        </w:rPr>
        <w:t>CERTIFICATION</w:t>
      </w:r>
    </w:p>
    <w:p w14:paraId="235D5D1D">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This is to certify that this research entitled </w:t>
      </w:r>
      <w:r>
        <w:rPr>
          <w:rFonts w:ascii="Times New Roman" w:cs="Times New Roman" w:hAnsi="Times New Roman"/>
          <w:b/>
          <w:bCs/>
          <w:sz w:val="24"/>
          <w:szCs w:val="24"/>
        </w:rPr>
        <w:t>Effect of Education Tax on Economic Growth of Nigeria 2014-2023</w:t>
      </w:r>
      <w:r>
        <w:rPr>
          <w:rFonts w:ascii="Times New Roman" w:cs="Times New Roman" w:hAnsi="Times New Roman"/>
          <w:sz w:val="24"/>
          <w:szCs w:val="24"/>
        </w:rPr>
        <w:t xml:space="preserve"> written by </w:t>
      </w:r>
      <w:r>
        <w:rPr>
          <w:rFonts w:ascii="Times New Roman" w:cs="Times New Roman" w:hAnsi="Times New Roman"/>
          <w:b/>
          <w:bCs/>
          <w:sz w:val="24"/>
          <w:szCs w:val="24"/>
        </w:rPr>
        <w:t>Ajah</w:t>
      </w:r>
      <w:r>
        <w:rPr>
          <w:rFonts w:ascii="Times New Roman" w:cs="Times New Roman" w:hAnsi="Times New Roman"/>
          <w:b/>
          <w:bCs/>
          <w:sz w:val="24"/>
          <w:szCs w:val="24"/>
          <w:lang w:val="en-US"/>
        </w:rPr>
        <w:t>,</w:t>
      </w:r>
      <w:r>
        <w:rPr>
          <w:rFonts w:ascii="Times New Roman" w:cs="Times New Roman" w:hAnsi="Times New Roman"/>
          <w:b/>
          <w:bCs/>
          <w:sz w:val="24"/>
          <w:szCs w:val="24"/>
        </w:rPr>
        <w:t xml:space="preserve"> </w:t>
      </w:r>
      <w:r>
        <w:rPr>
          <w:rFonts w:ascii="Times New Roman" w:cs="Times New Roman" w:hAnsi="Times New Roman"/>
          <w:b/>
          <w:bCs/>
          <w:sz w:val="24"/>
          <w:szCs w:val="24"/>
        </w:rPr>
        <w:t>Ogechi</w:t>
      </w:r>
      <w:r>
        <w:rPr>
          <w:rFonts w:ascii="Times New Roman" w:cs="Times New Roman" w:hAnsi="Times New Roman"/>
          <w:b/>
          <w:bCs/>
          <w:sz w:val="24"/>
          <w:szCs w:val="24"/>
        </w:rPr>
        <w:t xml:space="preserve"> Agnes</w:t>
      </w:r>
      <w:r>
        <w:rPr>
          <w:rFonts w:ascii="Times New Roman" w:cs="Times New Roman" w:hAnsi="Times New Roman"/>
          <w:sz w:val="24"/>
          <w:szCs w:val="24"/>
        </w:rPr>
        <w:t xml:space="preserve"> with Registration Number GOU/U22/ACC/397 presented to the Department of Accounting and Finance of </w:t>
      </w:r>
      <w:r>
        <w:rPr>
          <w:rFonts w:ascii="Times New Roman" w:cs="Times New Roman" w:hAnsi="Times New Roman"/>
          <w:sz w:val="24"/>
          <w:szCs w:val="24"/>
        </w:rPr>
        <w:t xml:space="preserve">Godfrey  </w:t>
      </w:r>
      <w:r>
        <w:rPr>
          <w:rFonts w:ascii="Times New Roman" w:cs="Times New Roman" w:hAnsi="Times New Roman"/>
          <w:sz w:val="24"/>
          <w:szCs w:val="24"/>
        </w:rPr>
        <w:t>Okoye</w:t>
      </w:r>
      <w:r>
        <w:rPr>
          <w:rFonts w:ascii="Times New Roman" w:cs="Times New Roman" w:hAnsi="Times New Roman"/>
          <w:sz w:val="24"/>
          <w:szCs w:val="24"/>
        </w:rPr>
        <w:t xml:space="preserve"> University, Enugu has been assessed and approved for oral examination/defense by the Department of Accounting and Finance, Godfrey </w:t>
      </w:r>
      <w:r>
        <w:rPr>
          <w:rFonts w:ascii="Times New Roman" w:cs="Times New Roman" w:hAnsi="Times New Roman"/>
          <w:sz w:val="24"/>
          <w:szCs w:val="24"/>
        </w:rPr>
        <w:t>Okoye</w:t>
      </w:r>
      <w:r>
        <w:rPr>
          <w:rFonts w:ascii="Times New Roman" w:cs="Times New Roman" w:hAnsi="Times New Roman"/>
          <w:sz w:val="24"/>
          <w:szCs w:val="24"/>
        </w:rPr>
        <w:t xml:space="preserve"> University, Enugu.</w:t>
      </w:r>
    </w:p>
    <w:p w14:paraId="4FC9D742">
      <w:pPr>
        <w:pStyle w:val="style0"/>
        <w:jc w:val="center"/>
        <w:rPr>
          <w:rFonts w:ascii="Times New Roman" w:cs="Times New Roman" w:hAnsi="Times New Roman"/>
          <w:b/>
          <w:bCs/>
          <w:sz w:val="24"/>
          <w:szCs w:val="24"/>
        </w:rPr>
      </w:pPr>
    </w:p>
    <w:p w14:paraId="0D53E1E3">
      <w:pPr>
        <w:pStyle w:val="style0"/>
        <w:jc w:val="center"/>
        <w:rPr>
          <w:rFonts w:ascii="Times New Roman" w:cs="Times New Roman" w:hAnsi="Times New Roman"/>
          <w:b/>
          <w:bCs/>
          <w:sz w:val="24"/>
          <w:szCs w:val="24"/>
        </w:rPr>
      </w:pPr>
    </w:p>
    <w:p w14:paraId="660D6BF2">
      <w:pPr>
        <w:pStyle w:val="style0"/>
        <w:spacing w:after="0"/>
        <w:rPr>
          <w:rFonts w:ascii="Times New Roman" w:cs="Times New Roman" w:hAnsi="Times New Roman"/>
          <w:sz w:val="24"/>
          <w:szCs w:val="24"/>
        </w:rPr>
      </w:pPr>
      <w:r>
        <w:rPr>
          <w:rFonts w:ascii="Times New Roman" w:cs="Times New Roman" w:hAnsi="Times New Roman"/>
          <w:b/>
          <w:sz w:val="24"/>
          <w:szCs w:val="24"/>
        </w:rPr>
        <w:t>_____________________</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b/>
          <w:sz w:val="24"/>
          <w:szCs w:val="24"/>
        </w:rPr>
        <w:t>____________________</w:t>
      </w:r>
    </w:p>
    <w:p w14:paraId="2BF322BE">
      <w:pPr>
        <w:pStyle w:val="style0"/>
        <w:spacing w:after="0"/>
        <w:rPr>
          <w:rFonts w:ascii="Times New Roman" w:cs="Times New Roman" w:hAnsi="Times New Roman"/>
          <w:b/>
          <w:sz w:val="24"/>
          <w:szCs w:val="24"/>
        </w:rPr>
      </w:pPr>
      <w:r>
        <w:rPr>
          <w:rFonts w:ascii="Times New Roman" w:cs="Times New Roman" w:hAnsi="Times New Roman"/>
          <w:b/>
          <w:bCs/>
          <w:sz w:val="24"/>
          <w:szCs w:val="24"/>
        </w:rPr>
        <w:t xml:space="preserve">Prof. </w:t>
      </w:r>
      <w:r>
        <w:rPr>
          <w:rFonts w:ascii="Times New Roman" w:cs="Times New Roman" w:hAnsi="Times New Roman"/>
          <w:b/>
          <w:bCs/>
          <w:sz w:val="24"/>
          <w:szCs w:val="24"/>
        </w:rPr>
        <w:t>Sergius</w:t>
      </w:r>
      <w:r>
        <w:rPr>
          <w:rFonts w:ascii="Times New Roman" w:cs="Times New Roman" w:hAnsi="Times New Roman"/>
          <w:b/>
          <w:bCs/>
          <w:sz w:val="24"/>
          <w:szCs w:val="24"/>
        </w:rPr>
        <w:t xml:space="preserve"> N. </w:t>
      </w:r>
      <w:r>
        <w:rPr>
          <w:rFonts w:ascii="Times New Roman" w:cs="Times New Roman" w:hAnsi="Times New Roman"/>
          <w:b/>
          <w:bCs/>
          <w:sz w:val="24"/>
          <w:szCs w:val="24"/>
        </w:rPr>
        <w:t>Udeh</w:t>
      </w:r>
      <w:r>
        <w:rPr>
          <w:rFonts w:ascii="Times New Roman" w:cs="Times New Roman" w:hAnsi="Times New Roman"/>
          <w:b/>
          <w:bCs/>
          <w:sz w:val="24"/>
          <w:szCs w:val="24"/>
        </w:rPr>
        <w:t xml:space="preserve">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b/>
          <w:sz w:val="24"/>
          <w:szCs w:val="24"/>
        </w:rPr>
        <w:t xml:space="preserve">Date </w:t>
      </w:r>
    </w:p>
    <w:p w14:paraId="2988A838">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Supervisor </w:t>
      </w:r>
    </w:p>
    <w:p w14:paraId="7AAA33F9">
      <w:pPr>
        <w:pStyle w:val="style0"/>
        <w:spacing w:after="0"/>
        <w:rPr>
          <w:rFonts w:ascii="Times New Roman" w:cs="Times New Roman" w:hAnsi="Times New Roman"/>
          <w:sz w:val="24"/>
          <w:szCs w:val="24"/>
        </w:rPr>
      </w:pPr>
    </w:p>
    <w:p w14:paraId="6E98CA2B">
      <w:pPr>
        <w:pStyle w:val="style0"/>
        <w:spacing w:after="0"/>
        <w:rPr>
          <w:rFonts w:ascii="Times New Roman" w:cs="Times New Roman" w:hAnsi="Times New Roman"/>
          <w:sz w:val="24"/>
          <w:szCs w:val="24"/>
        </w:rPr>
      </w:pPr>
    </w:p>
    <w:p w14:paraId="7690D76B">
      <w:pPr>
        <w:pStyle w:val="style0"/>
        <w:spacing w:after="0"/>
        <w:rPr>
          <w:rFonts w:ascii="Times New Roman" w:cs="Times New Roman" w:hAnsi="Times New Roman"/>
          <w:sz w:val="24"/>
          <w:szCs w:val="24"/>
        </w:rPr>
      </w:pPr>
    </w:p>
    <w:p w14:paraId="2DA51131">
      <w:pPr>
        <w:pStyle w:val="style0"/>
        <w:spacing w:after="0"/>
        <w:rPr>
          <w:rFonts w:ascii="Times New Roman" w:cs="Times New Roman" w:hAnsi="Times New Roman"/>
          <w:sz w:val="24"/>
          <w:szCs w:val="24"/>
        </w:rPr>
      </w:pPr>
      <w:r>
        <w:rPr>
          <w:rFonts w:ascii="Times New Roman" w:cs="Times New Roman" w:hAnsi="Times New Roman"/>
          <w:b/>
          <w:sz w:val="24"/>
          <w:szCs w:val="24"/>
        </w:rPr>
        <w:t>_____________________</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b/>
          <w:sz w:val="24"/>
          <w:szCs w:val="24"/>
        </w:rPr>
        <w:t>____________________</w:t>
      </w:r>
    </w:p>
    <w:p w14:paraId="30915F3E">
      <w:pPr>
        <w:pStyle w:val="style0"/>
        <w:spacing w:after="0"/>
        <w:rPr>
          <w:rFonts w:ascii="Times New Roman" w:cs="Times New Roman" w:hAnsi="Times New Roman"/>
          <w:b/>
          <w:sz w:val="24"/>
          <w:szCs w:val="24"/>
        </w:rPr>
      </w:pPr>
      <w:r>
        <w:rPr>
          <w:rFonts w:ascii="Times New Roman" w:cs="Times New Roman" w:hAnsi="Times New Roman"/>
          <w:b/>
          <w:sz w:val="24"/>
          <w:szCs w:val="24"/>
        </w:rPr>
        <w:t xml:space="preserve">Prof John </w:t>
      </w:r>
      <w:r>
        <w:rPr>
          <w:rFonts w:ascii="Times New Roman" w:cs="Times New Roman" w:hAnsi="Times New Roman"/>
          <w:b/>
          <w:sz w:val="24"/>
          <w:szCs w:val="24"/>
        </w:rPr>
        <w:t>Odo</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Date</w:t>
      </w:r>
    </w:p>
    <w:p w14:paraId="53FF8A37">
      <w:pPr>
        <w:pStyle w:val="style0"/>
        <w:spacing w:after="0"/>
        <w:rPr>
          <w:rFonts w:ascii="Times New Roman" w:cs="Times New Roman" w:hAnsi="Times New Roman"/>
          <w:sz w:val="24"/>
          <w:szCs w:val="24"/>
        </w:rPr>
      </w:pPr>
      <w:r>
        <w:rPr>
          <w:rFonts w:ascii="Times New Roman" w:cs="Times New Roman" w:hAnsi="Times New Roman"/>
          <w:sz w:val="24"/>
          <w:szCs w:val="24"/>
        </w:rPr>
        <w:t xml:space="preserve">Head of Department </w:t>
      </w:r>
    </w:p>
    <w:p w14:paraId="0D663EC5">
      <w:pPr>
        <w:pStyle w:val="style0"/>
        <w:spacing w:after="0"/>
        <w:rPr>
          <w:rFonts w:ascii="Times New Roman" w:cs="Times New Roman" w:hAnsi="Times New Roman"/>
          <w:sz w:val="24"/>
          <w:szCs w:val="24"/>
        </w:rPr>
      </w:pPr>
    </w:p>
    <w:p w14:paraId="2682B66D">
      <w:pPr>
        <w:pStyle w:val="style0"/>
        <w:spacing w:after="0"/>
        <w:rPr>
          <w:rFonts w:ascii="Times New Roman" w:cs="Times New Roman" w:hAnsi="Times New Roman"/>
          <w:sz w:val="24"/>
          <w:szCs w:val="24"/>
        </w:rPr>
      </w:pPr>
    </w:p>
    <w:p w14:paraId="7F9D4989">
      <w:pPr>
        <w:pStyle w:val="style0"/>
        <w:spacing w:after="0"/>
        <w:rPr>
          <w:rFonts w:ascii="Times New Roman" w:cs="Times New Roman" w:hAnsi="Times New Roman"/>
          <w:sz w:val="24"/>
          <w:szCs w:val="24"/>
        </w:rPr>
      </w:pPr>
    </w:p>
    <w:p w14:paraId="501B1A15">
      <w:pPr>
        <w:pStyle w:val="style0"/>
        <w:spacing w:after="0"/>
        <w:rPr>
          <w:rFonts w:ascii="Times New Roman" w:cs="Times New Roman" w:hAnsi="Times New Roman"/>
          <w:sz w:val="24"/>
          <w:szCs w:val="24"/>
        </w:rPr>
      </w:pPr>
      <w:r>
        <w:rPr>
          <w:rFonts w:ascii="Times New Roman" w:cs="Times New Roman" w:hAnsi="Times New Roman"/>
          <w:b/>
          <w:sz w:val="24"/>
          <w:szCs w:val="24"/>
        </w:rPr>
        <w:t>_______________________</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b/>
          <w:sz w:val="24"/>
          <w:szCs w:val="24"/>
        </w:rPr>
        <w:t>____________________</w:t>
      </w:r>
    </w:p>
    <w:p w14:paraId="3AC487A6">
      <w:pPr>
        <w:pStyle w:val="style0"/>
        <w:spacing w:after="0"/>
        <w:rPr>
          <w:rFonts w:ascii="Times New Roman" w:cs="Times New Roman" w:hAnsi="Times New Roman"/>
          <w:sz w:val="24"/>
          <w:szCs w:val="24"/>
        </w:rPr>
      </w:pPr>
      <w:r>
        <w:rPr>
          <w:rFonts w:ascii="Times New Roman" w:cs="Times New Roman" w:hAnsi="Times New Roman"/>
          <w:b/>
          <w:sz w:val="24"/>
          <w:szCs w:val="24"/>
          <w:lang w:val="en-US"/>
        </w:rPr>
        <w:t>Pro</w:t>
      </w:r>
      <w:r>
        <w:rPr>
          <w:rFonts w:ascii="Times New Roman" w:cs="Times New Roman" w:hAnsi="Times New Roman"/>
          <w:b/>
          <w:sz w:val="24"/>
          <w:szCs w:val="24"/>
        </w:rPr>
        <w:t xml:space="preserve">f John </w:t>
      </w:r>
      <w:r>
        <w:rPr>
          <w:rFonts w:ascii="Times New Roman" w:cs="Times New Roman" w:hAnsi="Times New Roman"/>
          <w:b/>
          <w:sz w:val="24"/>
          <w:szCs w:val="24"/>
        </w:rPr>
        <w:t>Odo</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b/>
          <w:sz w:val="24"/>
          <w:szCs w:val="24"/>
        </w:rPr>
        <w:t>Date</w:t>
      </w:r>
    </w:p>
    <w:p w14:paraId="2094B3FD">
      <w:pPr>
        <w:pStyle w:val="style0"/>
        <w:spacing w:after="0"/>
        <w:rPr>
          <w:rFonts w:ascii="Times New Roman" w:cs="Times New Roman" w:hAnsi="Times New Roman"/>
          <w:sz w:val="24"/>
          <w:szCs w:val="24"/>
        </w:rPr>
      </w:pPr>
      <w:r>
        <w:rPr>
          <w:rFonts w:ascii="Times New Roman" w:cs="Times New Roman" w:hAnsi="Times New Roman"/>
          <w:sz w:val="24"/>
          <w:szCs w:val="24"/>
        </w:rPr>
        <w:t xml:space="preserve">Dean, Faculty of MSS </w:t>
      </w:r>
    </w:p>
    <w:p w14:paraId="03C9ABBC">
      <w:pPr>
        <w:pStyle w:val="style0"/>
        <w:spacing w:after="0"/>
        <w:rPr>
          <w:rFonts w:ascii="Times New Roman" w:cs="Times New Roman" w:hAnsi="Times New Roman"/>
          <w:sz w:val="24"/>
          <w:szCs w:val="24"/>
        </w:rPr>
      </w:pPr>
    </w:p>
    <w:p w14:paraId="6ACDEEF6">
      <w:pPr>
        <w:pStyle w:val="style0"/>
        <w:spacing w:after="0"/>
        <w:rPr>
          <w:rFonts w:ascii="Times New Roman" w:cs="Times New Roman" w:hAnsi="Times New Roman"/>
          <w:sz w:val="24"/>
          <w:szCs w:val="24"/>
        </w:rPr>
      </w:pPr>
    </w:p>
    <w:p w14:paraId="79553EE3">
      <w:pPr>
        <w:pStyle w:val="style0"/>
        <w:spacing w:after="0"/>
        <w:rPr>
          <w:rFonts w:ascii="Times New Roman" w:cs="Times New Roman" w:hAnsi="Times New Roman"/>
          <w:sz w:val="24"/>
          <w:szCs w:val="24"/>
        </w:rPr>
      </w:pPr>
    </w:p>
    <w:p w14:paraId="565A7D7B">
      <w:pPr>
        <w:pStyle w:val="style0"/>
        <w:spacing w:after="0"/>
        <w:rPr>
          <w:rFonts w:ascii="Times New Roman" w:cs="Times New Roman" w:hAnsi="Times New Roman"/>
          <w:sz w:val="24"/>
          <w:szCs w:val="24"/>
        </w:rPr>
      </w:pPr>
    </w:p>
    <w:p w14:paraId="3B07CF25">
      <w:pPr>
        <w:pStyle w:val="style0"/>
        <w:spacing w:after="0"/>
        <w:rPr>
          <w:rFonts w:ascii="Times New Roman" w:cs="Times New Roman" w:hAnsi="Times New Roman"/>
          <w:b/>
          <w:sz w:val="24"/>
          <w:szCs w:val="24"/>
        </w:rPr>
      </w:pPr>
      <w:r>
        <w:rPr>
          <w:rFonts w:ascii="Times New Roman" w:cs="Times New Roman" w:hAnsi="Times New Roman"/>
          <w:b/>
          <w:sz w:val="24"/>
          <w:szCs w:val="24"/>
        </w:rPr>
        <w:t>_______________________</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b/>
          <w:sz w:val="24"/>
          <w:szCs w:val="24"/>
        </w:rPr>
        <w:tab/>
      </w:r>
      <w:r>
        <w:rPr>
          <w:rFonts w:ascii="Times New Roman" w:cs="Times New Roman" w:hAnsi="Times New Roman"/>
          <w:b/>
          <w:sz w:val="24"/>
          <w:szCs w:val="24"/>
        </w:rPr>
        <w:t xml:space="preserve"> </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 xml:space="preserve">   </w:t>
      </w:r>
      <w:r>
        <w:rPr>
          <w:rFonts w:ascii="Times New Roman" w:cs="Times New Roman" w:hAnsi="Times New Roman"/>
          <w:b/>
          <w:sz w:val="24"/>
          <w:szCs w:val="24"/>
        </w:rPr>
        <w:tab/>
      </w:r>
      <w:r>
        <w:rPr>
          <w:rFonts w:ascii="Times New Roman" w:cs="Times New Roman" w:hAnsi="Times New Roman"/>
          <w:b/>
          <w:sz w:val="24"/>
          <w:szCs w:val="24"/>
        </w:rPr>
        <w:t>_____________________</w:t>
      </w:r>
    </w:p>
    <w:p w14:paraId="35A290A4">
      <w:pPr>
        <w:pStyle w:val="style0"/>
        <w:spacing w:after="0"/>
        <w:rPr>
          <w:rFonts w:ascii="Times New Roman" w:cs="Times New Roman" w:hAnsi="Times New Roman"/>
          <w:b/>
          <w:sz w:val="24"/>
          <w:szCs w:val="24"/>
        </w:rPr>
      </w:pPr>
      <w:r>
        <w:rPr>
          <w:rFonts w:ascii="Times New Roman" w:cs="Times New Roman" w:hAnsi="Times New Roman"/>
          <w:b/>
          <w:sz w:val="24"/>
          <w:szCs w:val="24"/>
        </w:rPr>
        <w:t xml:space="preserve">External Examiner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b/>
          <w:sz w:val="24"/>
          <w:szCs w:val="24"/>
        </w:rPr>
        <w:t xml:space="preserve">Date       </w:t>
      </w:r>
    </w:p>
    <w:p w14:paraId="3893A105">
      <w:pPr>
        <w:pStyle w:val="style0"/>
        <w:spacing w:after="0"/>
        <w:jc w:val="center"/>
        <w:rPr>
          <w:rFonts w:ascii="Times New Roman" w:cs="Times New Roman" w:hAnsi="Times New Roman"/>
          <w:b/>
          <w:sz w:val="24"/>
          <w:szCs w:val="24"/>
        </w:rPr>
      </w:pPr>
    </w:p>
    <w:p w14:paraId="1295148F">
      <w:pPr>
        <w:pStyle w:val="style0"/>
        <w:jc w:val="center"/>
        <w:rPr>
          <w:rFonts w:ascii="Times New Roman" w:cs="Times New Roman" w:hAnsi="Times New Roman"/>
          <w:b/>
          <w:bCs/>
          <w:sz w:val="24"/>
          <w:szCs w:val="24"/>
        </w:rPr>
      </w:pPr>
    </w:p>
    <w:p w14:paraId="7C428052">
      <w:pPr>
        <w:pStyle w:val="style0"/>
        <w:jc w:val="center"/>
        <w:rPr>
          <w:rFonts w:ascii="Times New Roman" w:cs="Times New Roman" w:hAnsi="Times New Roman"/>
          <w:b/>
          <w:bCs/>
          <w:sz w:val="24"/>
          <w:szCs w:val="24"/>
        </w:rPr>
      </w:pPr>
    </w:p>
    <w:p w14:paraId="1E41C9D8">
      <w:pPr>
        <w:pStyle w:val="style0"/>
        <w:jc w:val="center"/>
        <w:rPr>
          <w:rFonts w:ascii="Times New Roman" w:cs="Times New Roman" w:hAnsi="Times New Roman"/>
          <w:b/>
          <w:bCs/>
          <w:sz w:val="24"/>
          <w:szCs w:val="24"/>
        </w:rPr>
      </w:pPr>
    </w:p>
    <w:p w14:paraId="5CE92747">
      <w:pPr>
        <w:pStyle w:val="style0"/>
        <w:jc w:val="center"/>
        <w:rPr>
          <w:rFonts w:ascii="Times New Roman" w:cs="Times New Roman" w:hAnsi="Times New Roman"/>
          <w:b/>
          <w:bCs/>
          <w:sz w:val="24"/>
          <w:szCs w:val="24"/>
        </w:rPr>
      </w:pPr>
    </w:p>
    <w:p w14:paraId="7794B764">
      <w:pPr>
        <w:pStyle w:val="style0"/>
        <w:jc w:val="center"/>
        <w:rPr>
          <w:rFonts w:ascii="Times New Roman" w:cs="Times New Roman" w:hAnsi="Times New Roman"/>
          <w:b/>
          <w:bCs/>
          <w:sz w:val="24"/>
          <w:szCs w:val="24"/>
        </w:rPr>
      </w:pPr>
    </w:p>
    <w:p w14:paraId="1F4C670C">
      <w:pPr>
        <w:pStyle w:val="style0"/>
        <w:jc w:val="center"/>
        <w:rPr>
          <w:rFonts w:ascii="Times New Roman" w:cs="Times New Roman" w:hAnsi="Times New Roman"/>
          <w:b/>
          <w:bCs/>
          <w:sz w:val="24"/>
          <w:szCs w:val="24"/>
        </w:rPr>
      </w:pPr>
    </w:p>
    <w:p w14:paraId="511A0A9B">
      <w:pPr>
        <w:pStyle w:val="style0"/>
        <w:jc w:val="center"/>
        <w:rPr>
          <w:rFonts w:ascii="Times New Roman" w:cs="Times New Roman" w:hAnsi="Times New Roman"/>
          <w:b/>
          <w:bCs/>
          <w:sz w:val="24"/>
          <w:szCs w:val="24"/>
        </w:rPr>
      </w:pPr>
    </w:p>
    <w:p w14:paraId="6F15AE94">
      <w:pPr>
        <w:pStyle w:val="style0"/>
        <w:jc w:val="center"/>
        <w:rPr>
          <w:rFonts w:ascii="Times New Roman" w:cs="Times New Roman" w:hAnsi="Times New Roman"/>
          <w:b/>
          <w:bCs/>
          <w:sz w:val="24"/>
          <w:szCs w:val="24"/>
        </w:rPr>
      </w:pPr>
    </w:p>
    <w:p w14:paraId="2DD74E8A">
      <w:pPr>
        <w:pStyle w:val="style0"/>
        <w:jc w:val="center"/>
        <w:rPr>
          <w:rFonts w:ascii="Times New Roman" w:cs="Times New Roman" w:hAnsi="Times New Roman"/>
          <w:b/>
          <w:bCs/>
          <w:sz w:val="24"/>
          <w:szCs w:val="24"/>
        </w:rPr>
      </w:pPr>
      <w:r>
        <w:rPr>
          <w:rFonts w:ascii="Times New Roman" w:cs="Times New Roman" w:hAnsi="Times New Roman"/>
          <w:b/>
          <w:bCs/>
          <w:sz w:val="24"/>
          <w:szCs w:val="24"/>
        </w:rPr>
        <w:t>DEDICATION</w:t>
      </w:r>
    </w:p>
    <w:p w14:paraId="37ECD7D4">
      <w:pPr>
        <w:pStyle w:val="style0"/>
        <w:jc w:val="center"/>
        <w:rPr>
          <w:rFonts w:ascii="Times New Roman" w:cs="Times New Roman" w:hAnsi="Times New Roman"/>
          <w:sz w:val="24"/>
          <w:szCs w:val="24"/>
        </w:rPr>
      </w:pPr>
      <w:r>
        <w:rPr>
          <w:rFonts w:ascii="Times New Roman" w:cs="Times New Roman" w:hAnsi="Times New Roman"/>
          <w:sz w:val="24"/>
          <w:szCs w:val="24"/>
        </w:rPr>
        <w:t xml:space="preserve">This work is dedicated to God Almighty for his </w:t>
      </w:r>
      <w:r>
        <w:rPr>
          <w:rFonts w:ascii="Times New Roman" w:cs="Times New Roman" w:hAnsi="Times New Roman"/>
          <w:sz w:val="24"/>
          <w:szCs w:val="24"/>
          <w:lang w:val="en-US"/>
        </w:rPr>
        <w:t xml:space="preserve">sufficient </w:t>
      </w:r>
      <w:r>
        <w:rPr>
          <w:rFonts w:ascii="Times New Roman" w:cs="Times New Roman" w:hAnsi="Times New Roman"/>
          <w:sz w:val="24"/>
          <w:szCs w:val="24"/>
        </w:rPr>
        <w:t>grace</w:t>
      </w:r>
      <w:r>
        <w:rPr>
          <w:rFonts w:ascii="Times New Roman" w:cs="Times New Roman" w:hAnsi="Times New Roman"/>
          <w:sz w:val="24"/>
          <w:szCs w:val="24"/>
          <w:lang w:val="en-US"/>
        </w:rPr>
        <w:t>, guida</w:t>
      </w:r>
      <w:r>
        <w:rPr>
          <w:rFonts w:ascii="Times New Roman" w:cs="Times New Roman" w:hAnsi="Times New Roman"/>
          <w:sz w:val="24"/>
          <w:szCs w:val="24"/>
        </w:rPr>
        <w:t>nce</w:t>
      </w:r>
      <w:r>
        <w:rPr>
          <w:rFonts w:ascii="Times New Roman" w:cs="Times New Roman" w:hAnsi="Times New Roman"/>
          <w:sz w:val="24"/>
          <w:szCs w:val="24"/>
          <w:lang w:val="en-US"/>
        </w:rPr>
        <w:t xml:space="preserve">, strength, </w:t>
      </w:r>
      <w:r>
        <w:rPr>
          <w:rFonts w:ascii="Times New Roman" w:cs="Times New Roman" w:hAnsi="Times New Roman"/>
          <w:sz w:val="24"/>
          <w:szCs w:val="24"/>
        </w:rPr>
        <w:t>and mercy towards me</w:t>
      </w:r>
      <w:r>
        <w:rPr>
          <w:rFonts w:ascii="Times New Roman" w:cs="Times New Roman" w:hAnsi="Times New Roman"/>
          <w:sz w:val="24"/>
          <w:szCs w:val="24"/>
          <w:lang w:val="en-US"/>
        </w:rPr>
        <w:t xml:space="preserve"> throughout my academic journey.</w:t>
      </w:r>
    </w:p>
    <w:p w14:paraId="1420B5BD">
      <w:pPr>
        <w:pStyle w:val="style0"/>
        <w:jc w:val="center"/>
        <w:rPr>
          <w:rFonts w:ascii="Times New Roman" w:cs="Times New Roman" w:hAnsi="Times New Roman"/>
          <w:sz w:val="24"/>
          <w:szCs w:val="24"/>
        </w:rPr>
      </w:pPr>
    </w:p>
    <w:p w14:paraId="45E8BF58">
      <w:pPr>
        <w:pStyle w:val="style0"/>
        <w:jc w:val="center"/>
        <w:rPr>
          <w:rFonts w:ascii="Times New Roman" w:cs="Times New Roman" w:hAnsi="Times New Roman"/>
          <w:b/>
          <w:bCs/>
          <w:sz w:val="24"/>
          <w:szCs w:val="24"/>
        </w:rPr>
      </w:pPr>
    </w:p>
    <w:p w14:paraId="0D0168D7">
      <w:pPr>
        <w:pStyle w:val="style0"/>
        <w:jc w:val="center"/>
        <w:rPr>
          <w:rFonts w:ascii="Times New Roman" w:cs="Times New Roman" w:hAnsi="Times New Roman"/>
          <w:b/>
          <w:bCs/>
          <w:sz w:val="24"/>
          <w:szCs w:val="24"/>
        </w:rPr>
      </w:pPr>
    </w:p>
    <w:p w14:paraId="0A1FB9BB">
      <w:pPr>
        <w:pStyle w:val="style0"/>
        <w:jc w:val="center"/>
        <w:rPr>
          <w:rFonts w:ascii="Times New Roman" w:cs="Times New Roman" w:hAnsi="Times New Roman"/>
          <w:b/>
          <w:bCs/>
          <w:sz w:val="24"/>
          <w:szCs w:val="24"/>
        </w:rPr>
      </w:pPr>
    </w:p>
    <w:p w14:paraId="7E24E231">
      <w:pPr>
        <w:pStyle w:val="style0"/>
        <w:jc w:val="center"/>
        <w:rPr>
          <w:rFonts w:ascii="Times New Roman" w:cs="Times New Roman" w:hAnsi="Times New Roman"/>
          <w:b/>
          <w:bCs/>
          <w:sz w:val="24"/>
          <w:szCs w:val="24"/>
        </w:rPr>
      </w:pPr>
    </w:p>
    <w:p w14:paraId="680678E5">
      <w:pPr>
        <w:pStyle w:val="style0"/>
        <w:jc w:val="center"/>
        <w:rPr>
          <w:rFonts w:ascii="Times New Roman" w:cs="Times New Roman" w:hAnsi="Times New Roman"/>
          <w:b/>
          <w:bCs/>
          <w:sz w:val="24"/>
          <w:szCs w:val="24"/>
        </w:rPr>
      </w:pPr>
    </w:p>
    <w:p w14:paraId="5B58D636">
      <w:pPr>
        <w:pStyle w:val="style0"/>
        <w:jc w:val="center"/>
        <w:rPr>
          <w:rFonts w:ascii="Times New Roman" w:cs="Times New Roman" w:hAnsi="Times New Roman"/>
          <w:b/>
          <w:bCs/>
          <w:sz w:val="24"/>
          <w:szCs w:val="24"/>
        </w:rPr>
      </w:pPr>
    </w:p>
    <w:p w14:paraId="7A1EBA78">
      <w:pPr>
        <w:pStyle w:val="style0"/>
        <w:jc w:val="center"/>
        <w:rPr>
          <w:rFonts w:ascii="Times New Roman" w:cs="Times New Roman" w:hAnsi="Times New Roman"/>
          <w:b/>
          <w:bCs/>
          <w:sz w:val="24"/>
          <w:szCs w:val="24"/>
        </w:rPr>
      </w:pPr>
    </w:p>
    <w:p w14:paraId="07E47A2B">
      <w:pPr>
        <w:pStyle w:val="style0"/>
        <w:jc w:val="center"/>
        <w:rPr>
          <w:rFonts w:ascii="Times New Roman" w:cs="Times New Roman" w:hAnsi="Times New Roman"/>
          <w:b/>
          <w:bCs/>
          <w:sz w:val="24"/>
          <w:szCs w:val="24"/>
        </w:rPr>
      </w:pPr>
    </w:p>
    <w:p w14:paraId="632F7EBD">
      <w:pPr>
        <w:pStyle w:val="style0"/>
        <w:jc w:val="center"/>
        <w:rPr>
          <w:rFonts w:ascii="Times New Roman" w:cs="Times New Roman" w:hAnsi="Times New Roman"/>
          <w:b/>
          <w:bCs/>
          <w:sz w:val="24"/>
          <w:szCs w:val="24"/>
        </w:rPr>
      </w:pPr>
    </w:p>
    <w:p w14:paraId="301DFE90">
      <w:pPr>
        <w:pStyle w:val="style0"/>
        <w:jc w:val="center"/>
        <w:rPr>
          <w:rFonts w:ascii="Times New Roman" w:cs="Times New Roman" w:hAnsi="Times New Roman"/>
          <w:b/>
          <w:bCs/>
          <w:sz w:val="24"/>
          <w:szCs w:val="24"/>
        </w:rPr>
      </w:pPr>
    </w:p>
    <w:p w14:paraId="09BBB55B">
      <w:pPr>
        <w:pStyle w:val="style0"/>
        <w:jc w:val="center"/>
        <w:rPr>
          <w:rFonts w:ascii="Times New Roman" w:cs="Times New Roman" w:hAnsi="Times New Roman"/>
          <w:b/>
          <w:bCs/>
          <w:sz w:val="24"/>
          <w:szCs w:val="24"/>
        </w:rPr>
      </w:pPr>
    </w:p>
    <w:p w14:paraId="01290BC6">
      <w:pPr>
        <w:pStyle w:val="style0"/>
        <w:jc w:val="center"/>
        <w:rPr>
          <w:rFonts w:ascii="Times New Roman" w:cs="Times New Roman" w:hAnsi="Times New Roman"/>
          <w:b/>
          <w:bCs/>
          <w:sz w:val="24"/>
          <w:szCs w:val="24"/>
        </w:rPr>
      </w:pPr>
    </w:p>
    <w:p w14:paraId="1EB568BF">
      <w:pPr>
        <w:pStyle w:val="style0"/>
        <w:jc w:val="center"/>
        <w:rPr>
          <w:rFonts w:ascii="Times New Roman" w:cs="Times New Roman" w:hAnsi="Times New Roman"/>
          <w:b/>
          <w:bCs/>
          <w:sz w:val="24"/>
          <w:szCs w:val="24"/>
        </w:rPr>
      </w:pPr>
    </w:p>
    <w:p w14:paraId="30803B9C">
      <w:pPr>
        <w:pStyle w:val="style0"/>
        <w:jc w:val="center"/>
        <w:rPr>
          <w:rFonts w:ascii="Times New Roman" w:cs="Times New Roman" w:hAnsi="Times New Roman"/>
          <w:b/>
          <w:bCs/>
          <w:sz w:val="24"/>
          <w:szCs w:val="24"/>
        </w:rPr>
      </w:pPr>
    </w:p>
    <w:p w14:paraId="427B94F1">
      <w:pPr>
        <w:pStyle w:val="style0"/>
        <w:jc w:val="center"/>
        <w:rPr>
          <w:rFonts w:ascii="Times New Roman" w:cs="Times New Roman" w:hAnsi="Times New Roman"/>
          <w:b/>
          <w:bCs/>
          <w:sz w:val="24"/>
          <w:szCs w:val="24"/>
        </w:rPr>
      </w:pPr>
    </w:p>
    <w:p w14:paraId="1A0DCBC4">
      <w:pPr>
        <w:pStyle w:val="style0"/>
        <w:jc w:val="center"/>
        <w:rPr>
          <w:rFonts w:ascii="Times New Roman" w:cs="Times New Roman" w:hAnsi="Times New Roman"/>
          <w:b/>
          <w:bCs/>
          <w:sz w:val="24"/>
          <w:szCs w:val="24"/>
        </w:rPr>
      </w:pPr>
    </w:p>
    <w:p w14:paraId="1E4ED0B5">
      <w:pPr>
        <w:pStyle w:val="style0"/>
        <w:jc w:val="center"/>
        <w:rPr>
          <w:rFonts w:ascii="Times New Roman" w:cs="Times New Roman" w:hAnsi="Times New Roman"/>
          <w:b/>
          <w:bCs/>
          <w:sz w:val="24"/>
          <w:szCs w:val="24"/>
        </w:rPr>
      </w:pPr>
    </w:p>
    <w:p w14:paraId="50A97390">
      <w:pPr>
        <w:pStyle w:val="style0"/>
        <w:jc w:val="center"/>
        <w:rPr>
          <w:rFonts w:ascii="Times New Roman" w:cs="Times New Roman" w:hAnsi="Times New Roman"/>
          <w:b/>
          <w:bCs/>
          <w:sz w:val="24"/>
          <w:szCs w:val="24"/>
        </w:rPr>
      </w:pPr>
    </w:p>
    <w:p w14:paraId="0FC343EA">
      <w:pPr>
        <w:pStyle w:val="style0"/>
        <w:jc w:val="center"/>
        <w:rPr>
          <w:rFonts w:ascii="Times New Roman" w:cs="Times New Roman" w:hAnsi="Times New Roman"/>
          <w:b/>
          <w:bCs/>
          <w:sz w:val="24"/>
          <w:szCs w:val="24"/>
        </w:rPr>
      </w:pPr>
    </w:p>
    <w:p w14:paraId="5111315D">
      <w:pPr>
        <w:pStyle w:val="style0"/>
        <w:jc w:val="center"/>
        <w:rPr>
          <w:rFonts w:ascii="Times New Roman" w:cs="Times New Roman" w:hAnsi="Times New Roman"/>
          <w:b/>
          <w:bCs/>
          <w:sz w:val="24"/>
          <w:szCs w:val="24"/>
        </w:rPr>
      </w:pPr>
    </w:p>
    <w:p w14:paraId="1B9F8FF5">
      <w:pPr>
        <w:pStyle w:val="style0"/>
        <w:jc w:val="center"/>
        <w:rPr>
          <w:rFonts w:ascii="Times New Roman" w:cs="Times New Roman" w:hAnsi="Times New Roman"/>
          <w:b/>
          <w:bCs/>
          <w:sz w:val="24"/>
          <w:szCs w:val="24"/>
        </w:rPr>
      </w:pPr>
    </w:p>
    <w:p w14:paraId="5362754E">
      <w:pPr>
        <w:pStyle w:val="style0"/>
        <w:jc w:val="center"/>
        <w:rPr>
          <w:rFonts w:ascii="Times New Roman" w:cs="Times New Roman" w:hAnsi="Times New Roman"/>
          <w:b/>
          <w:bCs/>
          <w:sz w:val="24"/>
          <w:szCs w:val="24"/>
        </w:rPr>
      </w:pPr>
    </w:p>
    <w:p w14:paraId="033B203C">
      <w:pPr>
        <w:pStyle w:val="style0"/>
        <w:jc w:val="center"/>
        <w:rPr>
          <w:rFonts w:ascii="Times New Roman" w:cs="Times New Roman" w:hAnsi="Times New Roman"/>
          <w:b/>
          <w:bCs/>
          <w:sz w:val="24"/>
          <w:szCs w:val="24"/>
        </w:rPr>
      </w:pPr>
    </w:p>
    <w:p w14:paraId="0E504AAF">
      <w:pPr>
        <w:pStyle w:val="style0"/>
        <w:jc w:val="center"/>
        <w:rPr>
          <w:rFonts w:ascii="Times New Roman" w:cs="Times New Roman" w:hAnsi="Times New Roman"/>
          <w:b/>
          <w:bCs/>
          <w:sz w:val="24"/>
          <w:szCs w:val="24"/>
        </w:rPr>
      </w:pPr>
    </w:p>
    <w:p w14:paraId="394DC77C">
      <w:pPr>
        <w:pStyle w:val="style0"/>
        <w:jc w:val="center"/>
        <w:rPr>
          <w:rFonts w:ascii="Times New Roman" w:cs="Times New Roman" w:hAnsi="Times New Roman"/>
          <w:b/>
          <w:bCs/>
          <w:sz w:val="24"/>
          <w:szCs w:val="24"/>
        </w:rPr>
      </w:pPr>
    </w:p>
    <w:p w14:paraId="77EABB75">
      <w:pPr>
        <w:pStyle w:val="style0"/>
        <w:rPr>
          <w:rFonts w:ascii="Times New Roman" w:cs="Times New Roman" w:hAnsi="Times New Roman"/>
          <w:b/>
          <w:bCs/>
          <w:sz w:val="24"/>
          <w:szCs w:val="24"/>
        </w:rPr>
      </w:pPr>
    </w:p>
    <w:p w14:paraId="0326686D">
      <w:pPr>
        <w:pStyle w:val="style0"/>
        <w:rPr>
          <w:rFonts w:ascii="Times New Roman" w:cs="Times New Roman" w:hAnsi="Times New Roman"/>
          <w:b/>
          <w:bCs/>
          <w:sz w:val="24"/>
          <w:szCs w:val="24"/>
        </w:rPr>
      </w:pPr>
    </w:p>
    <w:p w14:paraId="2E5AA92B">
      <w:pPr>
        <w:pStyle w:val="style0"/>
        <w:jc w:val="center"/>
        <w:rPr>
          <w:rFonts w:ascii="Times New Roman" w:cs="Times New Roman" w:hAnsi="Times New Roman"/>
          <w:b/>
          <w:bCs/>
          <w:sz w:val="24"/>
          <w:szCs w:val="24"/>
        </w:rPr>
      </w:pPr>
      <w:r>
        <w:rPr>
          <w:rFonts w:ascii="Times New Roman" w:cs="Times New Roman" w:hAnsi="Times New Roman"/>
          <w:b/>
          <w:bCs/>
          <w:sz w:val="24"/>
          <w:szCs w:val="24"/>
        </w:rPr>
        <w:t>ACKNOWLEDGMENTS</w:t>
      </w:r>
    </w:p>
    <w:p w14:paraId="671891BD">
      <w:pPr>
        <w:pStyle w:val="style0"/>
        <w:jc w:val="both"/>
        <w:rPr>
          <w:rFonts w:ascii="Times New Roman" w:cs="Times New Roman" w:hAnsi="Times New Roman"/>
          <w:sz w:val="24"/>
          <w:szCs w:val="24"/>
        </w:rPr>
      </w:pPr>
      <w:r>
        <w:rPr>
          <w:rFonts w:ascii="Times New Roman" w:cs="Times New Roman" w:hAnsi="Times New Roman"/>
          <w:sz w:val="24"/>
          <w:szCs w:val="24"/>
        </w:rPr>
        <w:t>With a deep sense of reverence and gratitude, I return all glory to the Almighty God, the source of all wisdom, knowledge, and understanding, for His sustaining grace, divine protection and strength that carried me during the course of my studies and throughout the completion of this work.</w:t>
      </w:r>
    </w:p>
    <w:p w14:paraId="349BE590">
      <w:pPr>
        <w:pStyle w:val="style0"/>
        <w:jc w:val="both"/>
        <w:rPr>
          <w:rFonts w:ascii="Times New Roman" w:cs="Times New Roman" w:hAnsi="Times New Roman"/>
          <w:sz w:val="24"/>
          <w:szCs w:val="24"/>
        </w:rPr>
      </w:pPr>
      <w:r>
        <w:rPr>
          <w:rFonts w:ascii="Times New Roman" w:cs="Times New Roman" w:hAnsi="Times New Roman"/>
          <w:sz w:val="24"/>
          <w:szCs w:val="24"/>
        </w:rPr>
        <w:t xml:space="preserve">I express my sincere gratitude to my supervisor, Prof. </w:t>
      </w:r>
      <w:r>
        <w:rPr>
          <w:rFonts w:ascii="Times New Roman" w:cs="Times New Roman" w:hAnsi="Times New Roman"/>
          <w:sz w:val="24"/>
          <w:szCs w:val="24"/>
        </w:rPr>
        <w:t>Sergius</w:t>
      </w:r>
      <w:r>
        <w:rPr>
          <w:rFonts w:ascii="Times New Roman" w:cs="Times New Roman" w:hAnsi="Times New Roman"/>
          <w:sz w:val="24"/>
          <w:szCs w:val="24"/>
        </w:rPr>
        <w:t xml:space="preserve"> N. </w:t>
      </w:r>
      <w:r>
        <w:rPr>
          <w:rFonts w:ascii="Times New Roman" w:cs="Times New Roman" w:hAnsi="Times New Roman"/>
          <w:sz w:val="24"/>
          <w:szCs w:val="24"/>
        </w:rPr>
        <w:t>Udeh</w:t>
      </w:r>
      <w:r>
        <w:rPr>
          <w:rFonts w:ascii="Times New Roman" w:cs="Times New Roman" w:hAnsi="Times New Roman"/>
          <w:sz w:val="24"/>
          <w:szCs w:val="24"/>
        </w:rPr>
        <w:t>, whose invaluable guidance, unwavering encouragement, and constructive criticisms were pivotal to the successful completion of this project. His scholarly support and mentorship have been a great source of inspiration</w:t>
      </w:r>
    </w:p>
    <w:p w14:paraId="C95367E2">
      <w:pPr>
        <w:pStyle w:val="style0"/>
        <w:jc w:val="both"/>
        <w:rPr>
          <w:rFonts w:ascii="Times New Roman" w:cs="Times New Roman" w:hAnsi="Times New Roman"/>
          <w:sz w:val="24"/>
          <w:szCs w:val="24"/>
        </w:rPr>
      </w:pPr>
      <w:r>
        <w:rPr>
          <w:rFonts w:ascii="Times New Roman" w:cs="Times New Roman" w:hAnsi="Times New Roman"/>
          <w:sz w:val="24"/>
          <w:szCs w:val="24"/>
        </w:rPr>
        <w:t>I am immensely grateful to the Head of Department Dean of Faculty of Management and Social Sciences,</w:t>
      </w:r>
      <w:r>
        <w:rPr>
          <w:rFonts w:ascii="Times New Roman" w:cs="Times New Roman" w:hAnsi="Times New Roman"/>
          <w:sz w:val="24"/>
          <w:szCs w:val="24"/>
          <w:lang w:val="en-US"/>
        </w:rPr>
        <w:t xml:space="preserve"> P</w:t>
      </w:r>
      <w:r>
        <w:rPr>
          <w:rFonts w:ascii="Times New Roman" w:cs="Times New Roman" w:hAnsi="Times New Roman"/>
          <w:sz w:val="24"/>
          <w:szCs w:val="24"/>
        </w:rPr>
        <w:t xml:space="preserve">rof. John </w:t>
      </w:r>
      <w:r>
        <w:rPr>
          <w:rFonts w:ascii="Times New Roman" w:cs="Times New Roman" w:hAnsi="Times New Roman"/>
          <w:sz w:val="24"/>
          <w:szCs w:val="24"/>
        </w:rPr>
        <w:t>Odo</w:t>
      </w:r>
      <w:r>
        <w:rPr>
          <w:rFonts w:ascii="Times New Roman" w:cs="Times New Roman" w:hAnsi="Times New Roman"/>
          <w:sz w:val="24"/>
          <w:szCs w:val="24"/>
        </w:rPr>
        <w:t>, for his exceptional leadership, support, and encouragement throughout the course of my academic journey. My sincere thanks goes to all my lecturers</w:t>
      </w:r>
      <w:r>
        <w:rPr>
          <w:rFonts w:ascii="Times New Roman" w:cs="Times New Roman" w:hAnsi="Times New Roman"/>
          <w:sz w:val="24"/>
          <w:szCs w:val="24"/>
          <w:lang w:val="en-US"/>
        </w:rPr>
        <w:t xml:space="preserve"> </w:t>
      </w:r>
      <w:r>
        <w:rPr>
          <w:rFonts w:ascii="Times New Roman" w:cs="Times New Roman" w:hAnsi="Times New Roman"/>
          <w:sz w:val="24"/>
          <w:szCs w:val="24"/>
        </w:rPr>
        <w:t xml:space="preserve">Prof. O. </w:t>
      </w:r>
      <w:r>
        <w:rPr>
          <w:rFonts w:ascii="Times New Roman" w:cs="Times New Roman" w:hAnsi="Times New Roman"/>
          <w:sz w:val="24"/>
          <w:szCs w:val="24"/>
        </w:rPr>
        <w:t>Inyiama</w:t>
      </w:r>
      <w:r>
        <w:rPr>
          <w:rFonts w:ascii="Times New Roman" w:cs="Times New Roman" w:hAnsi="Times New Roman"/>
          <w:sz w:val="24"/>
          <w:szCs w:val="24"/>
        </w:rPr>
        <w:t xml:space="preserve">, Mrs. V. I. </w:t>
      </w:r>
      <w:r>
        <w:rPr>
          <w:rFonts w:ascii="Times New Roman" w:cs="Times New Roman" w:hAnsi="Times New Roman"/>
          <w:sz w:val="24"/>
          <w:szCs w:val="24"/>
        </w:rPr>
        <w:t>Okoro</w:t>
      </w:r>
      <w:r>
        <w:rPr>
          <w:rFonts w:ascii="Times New Roman" w:cs="Times New Roman" w:hAnsi="Times New Roman"/>
          <w:sz w:val="24"/>
          <w:szCs w:val="24"/>
        </w:rPr>
        <w:t xml:space="preserve">, </w:t>
      </w:r>
      <w:r>
        <w:rPr>
          <w:rFonts w:ascii="Times New Roman" w:cs="Times New Roman" w:hAnsi="Times New Roman"/>
          <w:sz w:val="24"/>
          <w:szCs w:val="24"/>
          <w:lang w:val="en-US"/>
        </w:rPr>
        <w:t xml:space="preserve">Assoc. Prof. </w:t>
      </w:r>
      <w:r>
        <w:rPr>
          <w:rFonts w:ascii="Times New Roman" w:cs="Times New Roman" w:hAnsi="Times New Roman"/>
          <w:sz w:val="24"/>
          <w:szCs w:val="24"/>
        </w:rPr>
        <w:t xml:space="preserve">J. </w:t>
      </w:r>
      <w:r>
        <w:rPr>
          <w:rFonts w:ascii="Times New Roman" w:cs="Times New Roman" w:hAnsi="Times New Roman"/>
          <w:sz w:val="24"/>
          <w:szCs w:val="24"/>
        </w:rPr>
        <w:t>Ugwu</w:t>
      </w:r>
      <w:r>
        <w:rPr>
          <w:rFonts w:ascii="Times New Roman" w:cs="Times New Roman" w:hAnsi="Times New Roman"/>
          <w:sz w:val="24"/>
          <w:szCs w:val="24"/>
        </w:rPr>
        <w:t xml:space="preserve">, </w:t>
      </w:r>
      <w:r>
        <w:rPr>
          <w:rFonts w:ascii="Times New Roman" w:cs="Times New Roman" w:hAnsi="Times New Roman"/>
          <w:sz w:val="24"/>
          <w:szCs w:val="24"/>
        </w:rPr>
        <w:t>Dr.S</w:t>
      </w:r>
      <w:r>
        <w:rPr>
          <w:rFonts w:ascii="Times New Roman" w:cs="Times New Roman" w:hAnsi="Times New Roman"/>
          <w:sz w:val="24"/>
          <w:szCs w:val="24"/>
        </w:rPr>
        <w:t xml:space="preserve">. N. P. </w:t>
      </w:r>
      <w:r>
        <w:rPr>
          <w:rFonts w:ascii="Times New Roman" w:cs="Times New Roman" w:hAnsi="Times New Roman"/>
          <w:sz w:val="24"/>
          <w:szCs w:val="24"/>
        </w:rPr>
        <w:t>Nwankwo</w:t>
      </w:r>
      <w:r>
        <w:rPr>
          <w:rFonts w:ascii="Times New Roman" w:cs="Times New Roman" w:hAnsi="Times New Roman"/>
          <w:sz w:val="24"/>
          <w:szCs w:val="24"/>
        </w:rPr>
        <w:t xml:space="preserve">, Dr. E. </w:t>
      </w:r>
      <w:r>
        <w:rPr>
          <w:rFonts w:ascii="Times New Roman" w:cs="Times New Roman" w:hAnsi="Times New Roman"/>
          <w:sz w:val="24"/>
          <w:szCs w:val="24"/>
        </w:rPr>
        <w:t>Bassey</w:t>
      </w:r>
      <w:r>
        <w:rPr>
          <w:rFonts w:ascii="Times New Roman" w:cs="Times New Roman" w:hAnsi="Times New Roman"/>
          <w:sz w:val="24"/>
          <w:szCs w:val="24"/>
        </w:rPr>
        <w:t xml:space="preserve">, Dr. P. Allison, </w:t>
      </w:r>
      <w:r>
        <w:rPr>
          <w:rFonts w:ascii="Times New Roman" w:cs="Times New Roman" w:hAnsi="Times New Roman"/>
          <w:sz w:val="24"/>
          <w:szCs w:val="24"/>
        </w:rPr>
        <w:t>Dr</w:t>
      </w:r>
      <w:r>
        <w:rPr>
          <w:rFonts w:ascii="Times New Roman" w:cs="Times New Roman" w:hAnsi="Times New Roman"/>
          <w:sz w:val="24"/>
          <w:szCs w:val="24"/>
        </w:rPr>
        <w:t xml:space="preserve"> </w:t>
      </w:r>
      <w:r>
        <w:rPr>
          <w:rFonts w:ascii="Times New Roman" w:cs="Times New Roman" w:hAnsi="Times New Roman"/>
          <w:sz w:val="24"/>
          <w:szCs w:val="24"/>
        </w:rPr>
        <w:t>O</w:t>
      </w:r>
      <w:r>
        <w:rPr>
          <w:rFonts w:ascii="Times New Roman" w:cs="Times New Roman" w:hAnsi="Times New Roman"/>
          <w:sz w:val="24"/>
          <w:szCs w:val="24"/>
          <w:lang w:val="en-US"/>
        </w:rPr>
        <w:t xml:space="preserve">. C. </w:t>
      </w:r>
      <w:r>
        <w:rPr>
          <w:rFonts w:ascii="Times New Roman" w:cs="Times New Roman" w:hAnsi="Times New Roman"/>
          <w:sz w:val="24"/>
          <w:szCs w:val="24"/>
        </w:rPr>
        <w:t>Ugwu</w:t>
      </w:r>
      <w:r>
        <w:rPr>
          <w:rFonts w:ascii="Times New Roman" w:cs="Times New Roman" w:hAnsi="Times New Roman"/>
          <w:sz w:val="24"/>
          <w:szCs w:val="24"/>
        </w:rPr>
        <w:t>, Prof.</w:t>
      </w:r>
      <w:r>
        <w:rPr>
          <w:rFonts w:ascii="Times New Roman" w:cs="Times New Roman" w:hAnsi="Times New Roman"/>
          <w:sz w:val="24"/>
          <w:szCs w:val="24"/>
          <w:lang w:val="en-US"/>
        </w:rPr>
        <w:t xml:space="preserve"> E.</w:t>
      </w:r>
      <w:r>
        <w:rPr>
          <w:rFonts w:ascii="Times New Roman" w:cs="Times New Roman" w:hAnsi="Times New Roman"/>
          <w:sz w:val="24"/>
          <w:szCs w:val="24"/>
        </w:rPr>
        <w:t xml:space="preserve"> I. </w:t>
      </w:r>
      <w:r>
        <w:rPr>
          <w:rFonts w:ascii="Times New Roman" w:cs="Times New Roman" w:hAnsi="Times New Roman"/>
          <w:sz w:val="24"/>
          <w:szCs w:val="24"/>
        </w:rPr>
        <w:t>Agbo</w:t>
      </w:r>
      <w:r>
        <w:rPr>
          <w:rFonts w:ascii="Times New Roman" w:cs="Times New Roman" w:hAnsi="Times New Roman"/>
          <w:sz w:val="24"/>
          <w:szCs w:val="24"/>
        </w:rPr>
        <w:t xml:space="preserve">, Prof. M. </w:t>
      </w:r>
      <w:r>
        <w:rPr>
          <w:rFonts w:ascii="Times New Roman" w:cs="Times New Roman" w:hAnsi="Times New Roman"/>
          <w:sz w:val="24"/>
          <w:szCs w:val="24"/>
        </w:rPr>
        <w:t>Egiyi</w:t>
      </w:r>
      <w:r>
        <w:rPr>
          <w:rFonts w:ascii="Times New Roman" w:cs="Times New Roman" w:hAnsi="Times New Roman"/>
          <w:sz w:val="24"/>
          <w:szCs w:val="24"/>
        </w:rPr>
        <w:t xml:space="preserve">, Rev. Fr. W. </w:t>
      </w:r>
      <w:r>
        <w:rPr>
          <w:rFonts w:ascii="Times New Roman" w:cs="Times New Roman" w:hAnsi="Times New Roman"/>
          <w:sz w:val="24"/>
          <w:szCs w:val="24"/>
        </w:rPr>
        <w:t>Agu</w:t>
      </w:r>
      <w:r>
        <w:rPr>
          <w:rFonts w:ascii="Times New Roman" w:cs="Times New Roman" w:hAnsi="Times New Roman"/>
          <w:sz w:val="24"/>
          <w:szCs w:val="24"/>
        </w:rPr>
        <w:t xml:space="preserve">, </w:t>
      </w:r>
      <w:r>
        <w:rPr>
          <w:rFonts w:ascii="Times New Roman" w:cs="Times New Roman" w:hAnsi="Times New Roman"/>
          <w:sz w:val="24"/>
          <w:szCs w:val="24"/>
        </w:rPr>
        <w:t>Dr</w:t>
      </w:r>
      <w:r>
        <w:rPr>
          <w:rFonts w:ascii="Times New Roman" w:cs="Times New Roman" w:hAnsi="Times New Roman"/>
          <w:sz w:val="24"/>
          <w:szCs w:val="24"/>
        </w:rPr>
        <w:t xml:space="preserve"> </w:t>
      </w:r>
      <w:r>
        <w:rPr>
          <w:rFonts w:ascii="Times New Roman" w:cs="Times New Roman" w:hAnsi="Times New Roman"/>
          <w:sz w:val="24"/>
          <w:szCs w:val="24"/>
        </w:rPr>
        <w:t>B</w:t>
      </w:r>
      <w:r>
        <w:rPr>
          <w:rFonts w:ascii="Times New Roman" w:cs="Times New Roman" w:hAnsi="Times New Roman"/>
          <w:sz w:val="24"/>
          <w:szCs w:val="24"/>
          <w:lang w:val="en-US"/>
        </w:rPr>
        <w:t xml:space="preserve">. </w:t>
      </w:r>
      <w:r>
        <w:rPr>
          <w:rFonts w:ascii="Times New Roman" w:cs="Times New Roman" w:hAnsi="Times New Roman"/>
          <w:sz w:val="24"/>
          <w:szCs w:val="24"/>
        </w:rPr>
        <w:t>Nwachukwu</w:t>
      </w:r>
      <w:r>
        <w:rPr>
          <w:rFonts w:ascii="Times New Roman" w:cs="Times New Roman" w:hAnsi="Times New Roman"/>
          <w:sz w:val="24"/>
          <w:szCs w:val="24"/>
        </w:rPr>
        <w:t xml:space="preserve"> Dr. Stephen </w:t>
      </w:r>
      <w:r>
        <w:rPr>
          <w:rFonts w:ascii="Times New Roman" w:cs="Times New Roman" w:hAnsi="Times New Roman"/>
          <w:sz w:val="24"/>
          <w:szCs w:val="24"/>
        </w:rPr>
        <w:t>Agu</w:t>
      </w:r>
      <w:r>
        <w:rPr>
          <w:rFonts w:ascii="Times New Roman" w:cs="Times New Roman" w:hAnsi="Times New Roman"/>
          <w:sz w:val="24"/>
          <w:szCs w:val="24"/>
        </w:rPr>
        <w:t xml:space="preserve">, </w:t>
      </w:r>
      <w:r>
        <w:rPr>
          <w:rFonts w:ascii="Times New Roman" w:cs="Times New Roman" w:hAnsi="Times New Roman"/>
          <w:sz w:val="24"/>
          <w:szCs w:val="24"/>
          <w:lang w:val="en-US"/>
        </w:rPr>
        <w:t xml:space="preserve">Prof. U. L. Onyekwelu, Prof. T. Nwanne, Prof. M. Nwafor, Prof. A. Eyisi, Prof. E. Nwadialor, </w:t>
      </w:r>
      <w:r>
        <w:rPr>
          <w:rFonts w:ascii="Times New Roman" w:cs="Times New Roman" w:hAnsi="Times New Roman"/>
          <w:sz w:val="24"/>
          <w:szCs w:val="24"/>
        </w:rPr>
        <w:t xml:space="preserve">Miss </w:t>
      </w:r>
      <w:r>
        <w:rPr>
          <w:rFonts w:ascii="Times New Roman" w:cs="Times New Roman" w:hAnsi="Times New Roman"/>
          <w:sz w:val="24"/>
          <w:szCs w:val="24"/>
        </w:rPr>
        <w:t>A</w:t>
      </w:r>
      <w:r>
        <w:rPr>
          <w:rFonts w:ascii="Times New Roman" w:cs="Times New Roman" w:hAnsi="Times New Roman"/>
          <w:sz w:val="24"/>
          <w:szCs w:val="24"/>
          <w:lang w:val="en-US"/>
        </w:rPr>
        <w:t>. A. O</w:t>
      </w:r>
      <w:r>
        <w:rPr>
          <w:rFonts w:ascii="Times New Roman" w:cs="Times New Roman" w:hAnsi="Times New Roman"/>
          <w:sz w:val="24"/>
          <w:szCs w:val="24"/>
        </w:rPr>
        <w:t>basi</w:t>
      </w:r>
      <w:r>
        <w:rPr>
          <w:rFonts w:ascii="Times New Roman" w:cs="Times New Roman" w:hAnsi="Times New Roman"/>
          <w:sz w:val="24"/>
          <w:szCs w:val="24"/>
        </w:rPr>
        <w:t>,</w:t>
      </w:r>
      <w:r>
        <w:rPr>
          <w:rFonts w:ascii="Times New Roman" w:cs="Times New Roman" w:hAnsi="Times New Roman"/>
          <w:sz w:val="24"/>
          <w:szCs w:val="24"/>
          <w:lang w:val="en-US"/>
        </w:rPr>
        <w:t xml:space="preserve"> Mrs. C. Onyibor</w:t>
      </w:r>
      <w:r>
        <w:rPr>
          <w:rFonts w:ascii="Times New Roman" w:cs="Times New Roman" w:hAnsi="Times New Roman"/>
          <w:sz w:val="24"/>
          <w:szCs w:val="24"/>
        </w:rPr>
        <w:t xml:space="preserve"> and staff of the Department of Accounting and Finance of Godfrey </w:t>
      </w:r>
      <w:r>
        <w:rPr>
          <w:rFonts w:ascii="Times New Roman" w:cs="Times New Roman" w:hAnsi="Times New Roman"/>
          <w:sz w:val="24"/>
          <w:szCs w:val="24"/>
        </w:rPr>
        <w:t>Okoye</w:t>
      </w:r>
      <w:r>
        <w:rPr>
          <w:rFonts w:ascii="Times New Roman" w:cs="Times New Roman" w:hAnsi="Times New Roman"/>
          <w:sz w:val="24"/>
          <w:szCs w:val="24"/>
        </w:rPr>
        <w:t xml:space="preserve"> University for their academic support and for providing a solid foundation for my studies.</w:t>
      </w:r>
    </w:p>
    <w:p w14:paraId="548E6AC5">
      <w:pPr>
        <w:pStyle w:val="style0"/>
        <w:jc w:val="both"/>
        <w:rPr>
          <w:rFonts w:ascii="Times New Roman" w:cs="Times New Roman" w:hAnsi="Times New Roman"/>
          <w:sz w:val="24"/>
          <w:szCs w:val="24"/>
        </w:rPr>
      </w:pPr>
      <w:r>
        <w:rPr>
          <w:rFonts w:ascii="Times New Roman" w:cs="Times New Roman" w:hAnsi="Times New Roman"/>
          <w:sz w:val="24"/>
          <w:szCs w:val="24"/>
          <w:lang w:val="en-US"/>
        </w:rPr>
        <w:t xml:space="preserve">I </w:t>
      </w:r>
      <w:r>
        <w:rPr>
          <w:rFonts w:ascii="Times New Roman" w:cs="Times New Roman" w:hAnsi="Times New Roman"/>
          <w:sz w:val="24"/>
          <w:szCs w:val="24"/>
        </w:rPr>
        <w:t xml:space="preserve">am equally grateful to the Vice Chancellor of Godfrey </w:t>
      </w:r>
      <w:r>
        <w:rPr>
          <w:rFonts w:ascii="Times New Roman" w:cs="Times New Roman" w:hAnsi="Times New Roman"/>
          <w:sz w:val="24"/>
          <w:szCs w:val="24"/>
        </w:rPr>
        <w:t>Okoye</w:t>
      </w:r>
      <w:r>
        <w:rPr>
          <w:rFonts w:ascii="Times New Roman" w:cs="Times New Roman" w:hAnsi="Times New Roman"/>
          <w:sz w:val="24"/>
          <w:szCs w:val="24"/>
        </w:rPr>
        <w:t xml:space="preserve"> University, Rev. Fr. Prof. C. </w:t>
      </w:r>
      <w:r>
        <w:rPr>
          <w:rFonts w:ascii="Times New Roman" w:cs="Times New Roman" w:hAnsi="Times New Roman"/>
          <w:sz w:val="24"/>
          <w:szCs w:val="24"/>
        </w:rPr>
        <w:t>Anieke</w:t>
      </w:r>
      <w:r>
        <w:rPr>
          <w:rFonts w:ascii="Times New Roman" w:cs="Times New Roman" w:hAnsi="Times New Roman"/>
          <w:sz w:val="24"/>
          <w:szCs w:val="24"/>
        </w:rPr>
        <w:t xml:space="preserve"> for providing a conducive academic environment and for his visionary leadership during my course of study.</w:t>
      </w:r>
    </w:p>
    <w:p w14:paraId="76A2EBBE">
      <w:pPr>
        <w:pStyle w:val="style0"/>
        <w:jc w:val="both"/>
        <w:rPr>
          <w:rFonts w:ascii="Times New Roman" w:cs="Times New Roman" w:hAnsi="Times New Roman"/>
          <w:sz w:val="24"/>
          <w:szCs w:val="24"/>
        </w:rPr>
      </w:pPr>
      <w:r>
        <w:rPr>
          <w:rFonts w:ascii="Times New Roman" w:cs="Times New Roman" w:hAnsi="Times New Roman"/>
          <w:sz w:val="24"/>
          <w:szCs w:val="24"/>
        </w:rPr>
        <w:t xml:space="preserve">Words cannot fully express my deep gratitude to my beloved parents, </w:t>
      </w:r>
      <w:r>
        <w:rPr>
          <w:rFonts w:ascii="Times New Roman" w:cs="Times New Roman" w:hAnsi="Times New Roman"/>
          <w:sz w:val="24"/>
          <w:szCs w:val="24"/>
        </w:rPr>
        <w:t>Mr</w:t>
      </w:r>
      <w:r>
        <w:rPr>
          <w:rFonts w:ascii="Times New Roman" w:cs="Times New Roman" w:hAnsi="Times New Roman"/>
          <w:sz w:val="24"/>
          <w:szCs w:val="24"/>
        </w:rPr>
        <w:t xml:space="preserve"> Moses </w:t>
      </w:r>
      <w:r>
        <w:rPr>
          <w:rFonts w:ascii="Times New Roman" w:cs="Times New Roman" w:hAnsi="Times New Roman"/>
          <w:sz w:val="24"/>
          <w:szCs w:val="24"/>
        </w:rPr>
        <w:t>Ajah</w:t>
      </w:r>
      <w:r>
        <w:rPr>
          <w:rFonts w:ascii="Times New Roman" w:cs="Times New Roman" w:hAnsi="Times New Roman"/>
          <w:sz w:val="24"/>
          <w:szCs w:val="24"/>
        </w:rPr>
        <w:t xml:space="preserve"> &amp; </w:t>
      </w:r>
      <w:r>
        <w:rPr>
          <w:rFonts w:ascii="Times New Roman" w:cs="Times New Roman" w:hAnsi="Times New Roman"/>
          <w:sz w:val="24"/>
          <w:szCs w:val="24"/>
        </w:rPr>
        <w:t>Mrs</w:t>
      </w:r>
      <w:r>
        <w:rPr>
          <w:rFonts w:ascii="Times New Roman" w:cs="Times New Roman" w:hAnsi="Times New Roman"/>
          <w:sz w:val="24"/>
          <w:szCs w:val="24"/>
        </w:rPr>
        <w:t xml:space="preserve"> </w:t>
      </w:r>
      <w:r>
        <w:rPr>
          <w:rFonts w:ascii="Times New Roman" w:cs="Times New Roman" w:hAnsi="Times New Roman"/>
          <w:sz w:val="24"/>
          <w:szCs w:val="24"/>
        </w:rPr>
        <w:t>Oge</w:t>
      </w:r>
      <w:r>
        <w:rPr>
          <w:rFonts w:ascii="Times New Roman" w:cs="Times New Roman" w:hAnsi="Times New Roman"/>
          <w:sz w:val="24"/>
          <w:szCs w:val="24"/>
        </w:rPr>
        <w:t xml:space="preserve"> </w:t>
      </w:r>
      <w:r>
        <w:rPr>
          <w:rFonts w:ascii="Times New Roman" w:cs="Times New Roman" w:hAnsi="Times New Roman"/>
          <w:sz w:val="24"/>
          <w:szCs w:val="24"/>
        </w:rPr>
        <w:t>Ajah</w:t>
      </w:r>
      <w:r>
        <w:rPr>
          <w:rFonts w:ascii="Times New Roman" w:cs="Times New Roman" w:hAnsi="Times New Roman"/>
          <w:sz w:val="24"/>
          <w:szCs w:val="24"/>
        </w:rPr>
        <w:t xml:space="preserve">. I am profoundly grateful for your unwavering love, sacrifices, prayers and constant encouragement, which have been my greatest pillars of strength and motivation throughout my academic journey. I extend my special appreciation to my dearest aunt, </w:t>
      </w:r>
      <w:r>
        <w:rPr>
          <w:rFonts w:ascii="Times New Roman" w:cs="Times New Roman" w:hAnsi="Times New Roman"/>
          <w:sz w:val="24"/>
          <w:szCs w:val="24"/>
        </w:rPr>
        <w:t>Mrs</w:t>
      </w:r>
      <w:r>
        <w:rPr>
          <w:rFonts w:ascii="Times New Roman" w:cs="Times New Roman" w:hAnsi="Times New Roman"/>
          <w:sz w:val="24"/>
          <w:szCs w:val="24"/>
        </w:rPr>
        <w:t xml:space="preserve"> Elizabeth </w:t>
      </w:r>
      <w:r>
        <w:rPr>
          <w:rFonts w:ascii="Times New Roman" w:cs="Times New Roman" w:hAnsi="Times New Roman"/>
          <w:sz w:val="24"/>
          <w:szCs w:val="24"/>
        </w:rPr>
        <w:t>Nweke</w:t>
      </w:r>
      <w:r>
        <w:rPr>
          <w:rFonts w:ascii="Times New Roman" w:cs="Times New Roman" w:hAnsi="Times New Roman"/>
          <w:sz w:val="24"/>
          <w:szCs w:val="24"/>
        </w:rPr>
        <w:t xml:space="preserve">, whose timely visits, provisions and care always sustained me. To my family members, my aunties Aunty Obi, Aunty Patty, Aunty </w:t>
      </w:r>
      <w:r>
        <w:rPr>
          <w:rFonts w:ascii="Times New Roman" w:cs="Times New Roman" w:hAnsi="Times New Roman"/>
          <w:sz w:val="24"/>
          <w:szCs w:val="24"/>
        </w:rPr>
        <w:t>Ij</w:t>
      </w:r>
      <w:r>
        <w:rPr>
          <w:rFonts w:ascii="Times New Roman" w:cs="Times New Roman" w:hAnsi="Times New Roman"/>
          <w:sz w:val="24"/>
          <w:szCs w:val="24"/>
        </w:rPr>
        <w:t xml:space="preserve">, Aunty China, Aunty </w:t>
      </w:r>
      <w:r>
        <w:rPr>
          <w:rFonts w:ascii="Times New Roman" w:cs="Times New Roman" w:hAnsi="Times New Roman"/>
          <w:sz w:val="24"/>
          <w:szCs w:val="24"/>
        </w:rPr>
        <w:t>Ogo</w:t>
      </w:r>
      <w:r>
        <w:rPr>
          <w:rFonts w:ascii="Times New Roman" w:cs="Times New Roman" w:hAnsi="Times New Roman"/>
          <w:sz w:val="24"/>
          <w:szCs w:val="24"/>
        </w:rPr>
        <w:t xml:space="preserve">, my uncles, Uncle Emma, Uncle Ben, my cousins, </w:t>
      </w:r>
      <w:r>
        <w:rPr>
          <w:rFonts w:ascii="Times New Roman" w:cs="Times New Roman" w:hAnsi="Times New Roman"/>
          <w:sz w:val="24"/>
          <w:szCs w:val="24"/>
        </w:rPr>
        <w:t>Ngozi</w:t>
      </w:r>
      <w:r>
        <w:rPr>
          <w:rFonts w:ascii="Times New Roman" w:cs="Times New Roman" w:hAnsi="Times New Roman"/>
          <w:sz w:val="24"/>
          <w:szCs w:val="24"/>
        </w:rPr>
        <w:t xml:space="preserve">, Emma, Regina, </w:t>
      </w:r>
      <w:r>
        <w:rPr>
          <w:rFonts w:ascii="Times New Roman" w:cs="Times New Roman" w:hAnsi="Times New Roman"/>
          <w:sz w:val="24"/>
          <w:szCs w:val="24"/>
        </w:rPr>
        <w:t>Chioma</w:t>
      </w:r>
      <w:r>
        <w:rPr>
          <w:rFonts w:ascii="Times New Roman" w:cs="Times New Roman" w:hAnsi="Times New Roman"/>
          <w:sz w:val="24"/>
          <w:szCs w:val="24"/>
        </w:rPr>
        <w:t xml:space="preserve">, </w:t>
      </w:r>
      <w:r>
        <w:rPr>
          <w:rFonts w:ascii="Times New Roman" w:cs="Times New Roman" w:hAnsi="Times New Roman"/>
          <w:sz w:val="24"/>
          <w:szCs w:val="24"/>
        </w:rPr>
        <w:t>Fairlady</w:t>
      </w:r>
      <w:r>
        <w:rPr>
          <w:rFonts w:ascii="Times New Roman" w:cs="Times New Roman" w:hAnsi="Times New Roman"/>
          <w:sz w:val="24"/>
          <w:szCs w:val="24"/>
        </w:rPr>
        <w:t xml:space="preserve">, my siblings, </w:t>
      </w:r>
      <w:r>
        <w:rPr>
          <w:rFonts w:ascii="Times New Roman" w:cs="Times New Roman" w:hAnsi="Times New Roman"/>
          <w:sz w:val="24"/>
          <w:szCs w:val="24"/>
        </w:rPr>
        <w:t>Uche</w:t>
      </w:r>
      <w:r>
        <w:rPr>
          <w:rFonts w:ascii="Times New Roman" w:cs="Times New Roman" w:hAnsi="Times New Roman"/>
          <w:sz w:val="24"/>
          <w:szCs w:val="24"/>
        </w:rPr>
        <w:t xml:space="preserve">, </w:t>
      </w:r>
      <w:r>
        <w:rPr>
          <w:rFonts w:ascii="Times New Roman" w:cs="Times New Roman" w:hAnsi="Times New Roman"/>
          <w:sz w:val="24"/>
          <w:szCs w:val="24"/>
        </w:rPr>
        <w:t>Onyi</w:t>
      </w:r>
      <w:r>
        <w:rPr>
          <w:rFonts w:ascii="Times New Roman" w:cs="Times New Roman" w:hAnsi="Times New Roman"/>
          <w:sz w:val="24"/>
          <w:szCs w:val="24"/>
        </w:rPr>
        <w:t xml:space="preserve">, </w:t>
      </w:r>
      <w:r>
        <w:rPr>
          <w:rFonts w:ascii="Times New Roman" w:cs="Times New Roman" w:hAnsi="Times New Roman"/>
          <w:sz w:val="24"/>
          <w:szCs w:val="24"/>
        </w:rPr>
        <w:t>Ugo</w:t>
      </w:r>
      <w:r>
        <w:rPr>
          <w:rFonts w:ascii="Times New Roman" w:cs="Times New Roman" w:hAnsi="Times New Roman"/>
          <w:sz w:val="24"/>
          <w:szCs w:val="24"/>
        </w:rPr>
        <w:t xml:space="preserve">, </w:t>
      </w:r>
      <w:r>
        <w:rPr>
          <w:rFonts w:ascii="Times New Roman" w:cs="Times New Roman" w:hAnsi="Times New Roman"/>
          <w:sz w:val="24"/>
          <w:szCs w:val="24"/>
        </w:rPr>
        <w:t>Kachi</w:t>
      </w:r>
      <w:r>
        <w:rPr>
          <w:rFonts w:ascii="Times New Roman" w:cs="Times New Roman" w:hAnsi="Times New Roman"/>
          <w:sz w:val="24"/>
          <w:szCs w:val="24"/>
        </w:rPr>
        <w:t xml:space="preserve">, </w:t>
      </w:r>
      <w:r>
        <w:rPr>
          <w:rFonts w:ascii="Times New Roman" w:cs="Times New Roman" w:hAnsi="Times New Roman"/>
          <w:sz w:val="24"/>
          <w:szCs w:val="24"/>
        </w:rPr>
        <w:t>Kc</w:t>
      </w:r>
      <w:r>
        <w:rPr>
          <w:rFonts w:ascii="Times New Roman" w:cs="Times New Roman" w:hAnsi="Times New Roman"/>
          <w:sz w:val="24"/>
          <w:szCs w:val="24"/>
        </w:rPr>
        <w:t xml:space="preserve"> and </w:t>
      </w:r>
      <w:r>
        <w:rPr>
          <w:rFonts w:ascii="Times New Roman" w:cs="Times New Roman" w:hAnsi="Times New Roman"/>
          <w:sz w:val="24"/>
          <w:szCs w:val="24"/>
        </w:rPr>
        <w:t>Oluchi</w:t>
      </w:r>
      <w:r>
        <w:rPr>
          <w:rFonts w:ascii="Times New Roman" w:cs="Times New Roman" w:hAnsi="Times New Roman"/>
          <w:sz w:val="24"/>
          <w:szCs w:val="24"/>
        </w:rPr>
        <w:t xml:space="preserve"> and many others too numerous to mention, thank you for your prayers, support and for always showing up for me in many ways. God bless you all.</w:t>
      </w:r>
    </w:p>
    <w:p w14:paraId="633AD29B">
      <w:pPr>
        <w:pStyle w:val="style0"/>
        <w:jc w:val="both"/>
        <w:rPr>
          <w:rFonts w:ascii="Times New Roman" w:cs="Times New Roman" w:hAnsi="Times New Roman"/>
          <w:sz w:val="24"/>
          <w:szCs w:val="24"/>
        </w:rPr>
      </w:pPr>
      <w:r>
        <w:rPr>
          <w:rFonts w:ascii="Times New Roman" w:cs="Times New Roman" w:hAnsi="Times New Roman"/>
          <w:sz w:val="24"/>
          <w:szCs w:val="24"/>
        </w:rPr>
        <w:t xml:space="preserve">Finally, to all my friends who supported me in one way or another, accept my heartfelt appreciation. </w:t>
      </w:r>
    </w:p>
    <w:p w14:paraId="62AE6471">
      <w:pPr>
        <w:pStyle w:val="style0"/>
        <w:jc w:val="both"/>
        <w:rPr>
          <w:rFonts w:ascii="Times New Roman" w:cs="Times New Roman" w:hAnsi="Times New Roman"/>
          <w:sz w:val="24"/>
          <w:szCs w:val="24"/>
        </w:rPr>
      </w:pPr>
      <w:r>
        <w:rPr>
          <w:rFonts w:ascii="Times New Roman" w:cs="Times New Roman" w:hAnsi="Times New Roman"/>
          <w:sz w:val="24"/>
          <w:szCs w:val="24"/>
        </w:rPr>
        <w:t xml:space="preserve">. </w:t>
      </w:r>
    </w:p>
    <w:p w14:paraId="57501E9D">
      <w:pPr>
        <w:pStyle w:val="style0"/>
        <w:rPr>
          <w:rFonts w:ascii="Times New Roman" w:cs="Times New Roman" w:hAnsi="Times New Roman"/>
          <w:sz w:val="24"/>
          <w:szCs w:val="24"/>
        </w:rPr>
      </w:pPr>
    </w:p>
    <w:p w14:paraId="37B34587">
      <w:pPr>
        <w:pStyle w:val="style0"/>
        <w:rPr>
          <w:rFonts w:ascii="Times New Roman" w:cs="Times New Roman" w:hAnsi="Times New Roman"/>
          <w:sz w:val="24"/>
          <w:szCs w:val="24"/>
        </w:rPr>
      </w:pPr>
    </w:p>
    <w:p w14:paraId="737F135F">
      <w:pPr>
        <w:pStyle w:val="style0"/>
        <w:jc w:val="center"/>
        <w:rPr>
          <w:rFonts w:ascii="Times New Roman" w:cs="Times New Roman" w:hAnsi="Times New Roman"/>
          <w:sz w:val="24"/>
          <w:szCs w:val="24"/>
        </w:rPr>
      </w:pPr>
    </w:p>
    <w:p w14:paraId="6D1720B7">
      <w:pPr>
        <w:pStyle w:val="style0"/>
        <w:jc w:val="center"/>
        <w:rPr>
          <w:rFonts w:ascii="Times New Roman" w:cs="Times New Roman" w:hAnsi="Times New Roman"/>
          <w:sz w:val="24"/>
          <w:szCs w:val="24"/>
        </w:rPr>
      </w:pPr>
    </w:p>
    <w:p w14:paraId="2B4EFA67">
      <w:pPr>
        <w:pStyle w:val="style0"/>
        <w:rPr>
          <w:rFonts w:ascii="Times New Roman" w:cs="Times New Roman" w:hAnsi="Times New Roman"/>
          <w:sz w:val="24"/>
          <w:szCs w:val="24"/>
        </w:rPr>
      </w:pPr>
    </w:p>
    <w:p w14:paraId="0FE906E1">
      <w:pPr>
        <w:pStyle w:val="style0"/>
        <w:jc w:val="center"/>
        <w:rPr>
          <w:rFonts w:ascii="Times New Roman" w:cs="Times New Roman" w:hAnsi="Times New Roman"/>
          <w:sz w:val="24"/>
          <w:szCs w:val="24"/>
        </w:rPr>
      </w:pPr>
    </w:p>
    <w:p w14:paraId="4BF0658A">
      <w:pPr>
        <w:pStyle w:val="style0"/>
        <w:jc w:val="center"/>
        <w:rPr>
          <w:rFonts w:ascii="Times New Roman" w:cs="Times New Roman" w:hAnsi="Times New Roman"/>
          <w:sz w:val="24"/>
          <w:szCs w:val="24"/>
        </w:rPr>
      </w:pPr>
    </w:p>
    <w:p w14:paraId="79B9A7D2">
      <w:pPr>
        <w:pStyle w:val="style0"/>
        <w:spacing w:after="0"/>
        <w:jc w:val="center"/>
        <w:rPr>
          <w:rFonts w:ascii="Times New Roman" w:cs="Times New Roman" w:hAnsi="Times New Roman"/>
          <w:b/>
          <w:sz w:val="24"/>
          <w:szCs w:val="24"/>
        </w:rPr>
      </w:pPr>
      <w:r>
        <w:rPr>
          <w:rFonts w:ascii="Times New Roman" w:cs="Times New Roman" w:hAnsi="Times New Roman"/>
          <w:b/>
          <w:sz w:val="24"/>
          <w:szCs w:val="24"/>
        </w:rPr>
        <w:t>TABLE OF CONTENTS</w:t>
      </w:r>
    </w:p>
    <w:p w14:paraId="62682B6F">
      <w:pPr>
        <w:pStyle w:val="style0"/>
        <w:spacing w:after="0" w:lineRule="auto" w:line="360"/>
        <w:rPr>
          <w:rFonts w:ascii="Times New Roman" w:cs="Times New Roman" w:hAnsi="Times New Roman"/>
          <w:b/>
          <w:sz w:val="24"/>
          <w:szCs w:val="24"/>
        </w:rPr>
      </w:pPr>
      <w:r>
        <w:rPr>
          <w:rFonts w:ascii="Times New Roman" w:cs="Times New Roman" w:hAnsi="Times New Roman"/>
          <w:b/>
          <w:sz w:val="24"/>
          <w:szCs w:val="24"/>
        </w:rPr>
        <w:t xml:space="preserve">Title page                                                                                            </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1</w:t>
      </w:r>
    </w:p>
    <w:p w14:paraId="51571CD0">
      <w:pPr>
        <w:pStyle w:val="style0"/>
        <w:tabs>
          <w:tab w:val="left" w:leader="none" w:pos="0"/>
        </w:tabs>
        <w:spacing w:after="0" w:lineRule="auto" w:line="360"/>
        <w:rPr>
          <w:rFonts w:ascii="Times New Roman" w:cs="Times New Roman" w:hAnsi="Times New Roman"/>
          <w:b/>
          <w:sz w:val="24"/>
          <w:szCs w:val="24"/>
        </w:rPr>
      </w:pPr>
      <w:r>
        <w:rPr>
          <w:rFonts w:ascii="Times New Roman" w:cs="Times New Roman" w:hAnsi="Times New Roman"/>
          <w:b/>
          <w:sz w:val="24"/>
          <w:szCs w:val="24"/>
        </w:rPr>
        <w:t xml:space="preserve">Declaration                                                                                                                </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2</w:t>
      </w:r>
    </w:p>
    <w:p w14:paraId="15F92916">
      <w:pPr>
        <w:pStyle w:val="style0"/>
        <w:tabs>
          <w:tab w:val="left" w:leader="none" w:pos="0"/>
        </w:tabs>
        <w:spacing w:after="0" w:lineRule="auto" w:line="360"/>
        <w:rPr>
          <w:rFonts w:ascii="Times New Roman" w:cs="Times New Roman" w:hAnsi="Times New Roman"/>
          <w:b/>
          <w:sz w:val="24"/>
          <w:szCs w:val="24"/>
        </w:rPr>
      </w:pPr>
      <w:r>
        <w:rPr>
          <w:rFonts w:ascii="Times New Roman" w:cs="Times New Roman" w:hAnsi="Times New Roman"/>
          <w:b/>
          <w:sz w:val="24"/>
          <w:szCs w:val="24"/>
        </w:rPr>
        <w:t xml:space="preserve">Certification                                                                                                              </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3</w:t>
      </w:r>
    </w:p>
    <w:p w14:paraId="12A9FC73">
      <w:pPr>
        <w:pStyle w:val="style0"/>
        <w:tabs>
          <w:tab w:val="left" w:leader="none" w:pos="0"/>
        </w:tabs>
        <w:spacing w:after="0" w:lineRule="auto" w:line="360"/>
        <w:rPr>
          <w:rFonts w:ascii="Times New Roman" w:cs="Times New Roman" w:hAnsi="Times New Roman"/>
          <w:b/>
          <w:sz w:val="24"/>
          <w:szCs w:val="24"/>
        </w:rPr>
      </w:pPr>
      <w:r>
        <w:rPr>
          <w:rFonts w:ascii="Times New Roman" w:cs="Times New Roman" w:hAnsi="Times New Roman"/>
          <w:b/>
          <w:sz w:val="24"/>
          <w:szCs w:val="24"/>
        </w:rPr>
        <w:t xml:space="preserve">Dedication                                                                                                                 </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4</w:t>
      </w:r>
    </w:p>
    <w:p w14:paraId="1E4677E2">
      <w:pPr>
        <w:pStyle w:val="style0"/>
        <w:tabs>
          <w:tab w:val="left" w:leader="none" w:pos="0"/>
        </w:tabs>
        <w:spacing w:after="0" w:lineRule="auto" w:line="360"/>
        <w:rPr>
          <w:rFonts w:ascii="Times New Roman" w:cs="Times New Roman" w:hAnsi="Times New Roman"/>
          <w:b/>
          <w:sz w:val="24"/>
          <w:szCs w:val="24"/>
        </w:rPr>
      </w:pPr>
      <w:r>
        <w:rPr>
          <w:rFonts w:ascii="Times New Roman" w:cs="Times New Roman" w:hAnsi="Times New Roman"/>
          <w:b/>
          <w:sz w:val="24"/>
          <w:szCs w:val="24"/>
        </w:rPr>
        <w:t xml:space="preserve">Acknowledgement                                                                                                    </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5</w:t>
      </w:r>
    </w:p>
    <w:p w14:paraId="1071E41C">
      <w:pPr>
        <w:pStyle w:val="style0"/>
        <w:tabs>
          <w:tab w:val="left" w:leader="none" w:pos="0"/>
        </w:tabs>
        <w:spacing w:after="0" w:lineRule="auto" w:line="360"/>
        <w:rPr>
          <w:rFonts w:ascii="Times New Roman" w:cs="Times New Roman" w:hAnsi="Times New Roman"/>
          <w:b/>
          <w:sz w:val="24"/>
          <w:szCs w:val="24"/>
        </w:rPr>
      </w:pPr>
      <w:r>
        <w:rPr>
          <w:rFonts w:ascii="Times New Roman" w:cs="Times New Roman" w:hAnsi="Times New Roman"/>
          <w:b/>
          <w:sz w:val="24"/>
          <w:szCs w:val="24"/>
        </w:rPr>
        <w:t>List of Tables</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8</w:t>
      </w:r>
    </w:p>
    <w:p w14:paraId="0C0152C0">
      <w:pPr>
        <w:pStyle w:val="style0"/>
        <w:tabs>
          <w:tab w:val="left" w:leader="none" w:pos="0"/>
        </w:tabs>
        <w:spacing w:after="0" w:lineRule="auto" w:line="360"/>
        <w:rPr>
          <w:rFonts w:ascii="Times New Roman" w:cs="Times New Roman" w:hAnsi="Times New Roman"/>
          <w:b/>
          <w:sz w:val="24"/>
          <w:szCs w:val="24"/>
        </w:rPr>
      </w:pPr>
      <w:r>
        <w:rPr>
          <w:rFonts w:ascii="Times New Roman" w:cs="Times New Roman" w:hAnsi="Times New Roman"/>
          <w:b/>
          <w:sz w:val="24"/>
          <w:szCs w:val="24"/>
        </w:rPr>
        <w:t xml:space="preserve">Abstract     </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9</w:t>
      </w:r>
    </w:p>
    <w:p w14:paraId="10E0C090">
      <w:pPr>
        <w:pStyle w:val="style0"/>
        <w:tabs>
          <w:tab w:val="left" w:leader="none" w:pos="0"/>
        </w:tabs>
        <w:spacing w:after="0" w:lineRule="auto" w:line="360"/>
        <w:rPr>
          <w:rFonts w:ascii="Times New Roman" w:cs="Times New Roman" w:hAnsi="Times New Roman"/>
          <w:b/>
          <w:sz w:val="24"/>
          <w:szCs w:val="24"/>
        </w:rPr>
      </w:pPr>
    </w:p>
    <w:p w14:paraId="29D03A3C">
      <w:pPr>
        <w:pStyle w:val="style0"/>
        <w:spacing w:after="0" w:lineRule="auto" w:line="360"/>
        <w:rPr>
          <w:rFonts w:ascii="Times New Roman" w:cs="Times New Roman" w:hAnsi="Times New Roman"/>
          <w:b/>
          <w:sz w:val="24"/>
          <w:szCs w:val="24"/>
        </w:rPr>
      </w:pPr>
      <w:r>
        <w:rPr>
          <w:rFonts w:ascii="Times New Roman" w:cs="Times New Roman" w:hAnsi="Times New Roman"/>
          <w:b/>
          <w:sz w:val="24"/>
          <w:szCs w:val="24"/>
        </w:rPr>
        <w:t>CHAPTER ONE: INTRODUCTION</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10</w:t>
      </w:r>
    </w:p>
    <w:p w14:paraId="3456E943">
      <w:pPr>
        <w:pStyle w:val="style179"/>
        <w:numPr>
          <w:ilvl w:val="1"/>
          <w:numId w:val="1"/>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Background to the Study</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10</w:t>
      </w:r>
    </w:p>
    <w:p w14:paraId="053F848A">
      <w:pPr>
        <w:pStyle w:val="style179"/>
        <w:numPr>
          <w:ilvl w:val="1"/>
          <w:numId w:val="1"/>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Statement of the Problem</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13</w:t>
      </w:r>
    </w:p>
    <w:p w14:paraId="70CC4366">
      <w:pPr>
        <w:pStyle w:val="style179"/>
        <w:numPr>
          <w:ilvl w:val="1"/>
          <w:numId w:val="1"/>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Objectives of the Study</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14</w:t>
      </w:r>
    </w:p>
    <w:p w14:paraId="674292C5">
      <w:pPr>
        <w:pStyle w:val="style179"/>
        <w:numPr>
          <w:ilvl w:val="1"/>
          <w:numId w:val="1"/>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Research Questions</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15</w:t>
      </w:r>
    </w:p>
    <w:p w14:paraId="00056D02">
      <w:pPr>
        <w:pStyle w:val="style179"/>
        <w:numPr>
          <w:ilvl w:val="1"/>
          <w:numId w:val="1"/>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Research Hypotheses</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15</w:t>
      </w:r>
    </w:p>
    <w:p w14:paraId="6B33863E">
      <w:pPr>
        <w:pStyle w:val="style179"/>
        <w:numPr>
          <w:ilvl w:val="1"/>
          <w:numId w:val="1"/>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Significance of the Study</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15</w:t>
      </w:r>
    </w:p>
    <w:p w14:paraId="32B1F249">
      <w:pPr>
        <w:pStyle w:val="style179"/>
        <w:numPr>
          <w:ilvl w:val="1"/>
          <w:numId w:val="1"/>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Scope of the Study</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16</w:t>
      </w:r>
    </w:p>
    <w:p w14:paraId="6FA8A239">
      <w:pPr>
        <w:pStyle w:val="style179"/>
        <w:numPr>
          <w:ilvl w:val="1"/>
          <w:numId w:val="1"/>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Definition of Terms</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16</w:t>
      </w:r>
      <w:r>
        <w:rPr>
          <w:rFonts w:ascii="Times New Roman" w:cs="Times New Roman" w:hAnsi="Times New Roman"/>
          <w:sz w:val="24"/>
          <w:szCs w:val="24"/>
        </w:rPr>
        <w:tab/>
      </w:r>
    </w:p>
    <w:p w14:paraId="2C85FB92">
      <w:pPr>
        <w:pStyle w:val="style0"/>
        <w:spacing w:after="0" w:lineRule="auto" w:line="360"/>
        <w:rPr>
          <w:rFonts w:ascii="Times New Roman" w:cs="Times New Roman" w:hAnsi="Times New Roman"/>
          <w:b/>
          <w:sz w:val="24"/>
          <w:szCs w:val="24"/>
        </w:rPr>
      </w:pPr>
      <w:r>
        <w:rPr>
          <w:rFonts w:ascii="Times New Roman" w:cs="Times New Roman" w:hAnsi="Times New Roman"/>
          <w:b/>
          <w:sz w:val="24"/>
          <w:szCs w:val="24"/>
        </w:rPr>
        <w:t>CHAPTER TWO: REVIEW OF RELATED LITERATURE</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18</w:t>
      </w:r>
    </w:p>
    <w:p w14:paraId="2B10D054">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 xml:space="preserve">2.1 Conceptual Review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18</w:t>
      </w:r>
    </w:p>
    <w:p w14:paraId="3F14FA83">
      <w:pPr>
        <w:pStyle w:val="style0"/>
        <w:spacing w:after="0" w:lineRule="auto" w:line="36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2.2 Theoretical Framework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22</w:t>
      </w:r>
    </w:p>
    <w:p w14:paraId="22DB3ED2">
      <w:pPr>
        <w:pStyle w:val="style0"/>
        <w:spacing w:after="0" w:lineRule="auto" w:line="36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2.3 Empirical Review</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25</w:t>
      </w:r>
    </w:p>
    <w:p w14:paraId="7258540B">
      <w:pPr>
        <w:pStyle w:val="style0"/>
        <w:spacing w:after="0" w:lineRule="auto" w:line="36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2.4 Summary and Gap in Literature</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46</w:t>
      </w:r>
    </w:p>
    <w:p w14:paraId="5005BFDA">
      <w:pPr>
        <w:pStyle w:val="style0"/>
        <w:spacing w:after="0" w:lineRule="auto" w:line="36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w:t>
      </w:r>
    </w:p>
    <w:p w14:paraId="079DE591">
      <w:pPr>
        <w:pStyle w:val="style0"/>
        <w:spacing w:after="0" w:lineRule="auto" w:line="360"/>
        <w:rPr>
          <w:rFonts w:ascii="Times New Roman" w:cs="Times New Roman" w:hAnsi="Times New Roman"/>
          <w:b/>
          <w:sz w:val="24"/>
          <w:szCs w:val="24"/>
        </w:rPr>
      </w:pPr>
      <w:r>
        <w:rPr>
          <w:rFonts w:ascii="Times New Roman" w:cs="Times New Roman" w:hAnsi="Times New Roman"/>
          <w:b/>
          <w:sz w:val="24"/>
          <w:szCs w:val="24"/>
        </w:rPr>
        <w:t>CHAPTER THREE: METHODOLOGY</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47</w:t>
      </w:r>
    </w:p>
    <w:p w14:paraId="4F7C9735">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3.1 Research Design</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47</w:t>
      </w:r>
    </w:p>
    <w:p w14:paraId="79C1BA8C">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3.2 Area of Study</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47</w:t>
      </w:r>
    </w:p>
    <w:p w14:paraId="181E7516">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3.3 Sources of Data</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47</w:t>
      </w:r>
    </w:p>
    <w:p w14:paraId="637E99F1">
      <w:pPr>
        <w:pStyle w:val="style0"/>
        <w:spacing w:after="0" w:lineRule="auto" w:line="36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3.4 Methods of Data Analysis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47</w:t>
      </w:r>
    </w:p>
    <w:p w14:paraId="0AE4A14C">
      <w:pPr>
        <w:pStyle w:val="style0"/>
        <w:pBdr>
          <w:between w:val="none" w:sz="0" w:space="0" w:color="d9d9e3"/>
        </w:pBdr>
        <w:spacing w:after="0" w:lineRule="auto" w:line="360"/>
        <w:ind w:right="-2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3.5 Model specification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48</w:t>
      </w:r>
    </w:p>
    <w:p w14:paraId="000CA5EC">
      <w:pPr>
        <w:pStyle w:val="style0"/>
        <w:spacing w:after="0" w:lineRule="auto" w:line="360"/>
        <w:rPr>
          <w:rFonts w:ascii="Times New Roman" w:cs="Times New Roman" w:eastAsia="Times New Roman" w:hAnsi="Times New Roman"/>
          <w:sz w:val="24"/>
          <w:szCs w:val="24"/>
        </w:rPr>
      </w:pPr>
    </w:p>
    <w:p w14:paraId="004602E4">
      <w:pPr>
        <w:pStyle w:val="style0"/>
        <w:spacing w:after="0" w:lineRule="auto" w:line="360"/>
        <w:rPr>
          <w:rFonts w:ascii="Times New Roman" w:cs="Times New Roman" w:hAnsi="Times New Roman"/>
          <w:b/>
          <w:sz w:val="24"/>
          <w:szCs w:val="24"/>
        </w:rPr>
      </w:pPr>
      <w:r>
        <w:rPr>
          <w:rFonts w:ascii="Times New Roman" w:cs="Times New Roman" w:hAnsi="Times New Roman"/>
          <w:b/>
          <w:sz w:val="24"/>
          <w:szCs w:val="24"/>
        </w:rPr>
        <w:t xml:space="preserve">CHAPTER FOUR: RESULTS AND DISCUSSION </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 xml:space="preserve">                                    </w:t>
      </w:r>
      <w:r>
        <w:rPr>
          <w:rFonts w:ascii="Times New Roman" w:cs="Times New Roman" w:hAnsi="Times New Roman"/>
          <w:b/>
          <w:sz w:val="24"/>
          <w:szCs w:val="24"/>
        </w:rPr>
        <w:t>50</w:t>
      </w:r>
    </w:p>
    <w:p w14:paraId="18E98221">
      <w:pPr>
        <w:pStyle w:val="style0"/>
        <w:spacing w:after="0" w:lineRule="auto" w:line="360"/>
        <w:jc w:val="both"/>
        <w:rPr>
          <w:rFonts w:ascii="Times New Roman" w:cs="Times New Roman" w:hAnsi="Times New Roman"/>
          <w:bCs/>
          <w:sz w:val="24"/>
          <w:szCs w:val="24"/>
        </w:rPr>
      </w:pPr>
      <w:r>
        <w:rPr>
          <w:rFonts w:ascii="Times New Roman" w:cs="Times New Roman" w:hAnsi="Times New Roman"/>
          <w:bCs/>
          <w:sz w:val="24"/>
          <w:szCs w:val="24"/>
        </w:rPr>
        <w:t>4.1 Data Presentation</w:t>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50</w:t>
      </w:r>
    </w:p>
    <w:p w14:paraId="5131EDF1">
      <w:pPr>
        <w:pStyle w:val="style0"/>
        <w:spacing w:after="0" w:lineRule="auto" w:line="360"/>
        <w:jc w:val="both"/>
        <w:rPr>
          <w:rFonts w:ascii="Times New Roman" w:cs="Times New Roman" w:hAnsi="Times New Roman"/>
          <w:bCs/>
          <w:sz w:val="24"/>
          <w:szCs w:val="24"/>
        </w:rPr>
      </w:pPr>
      <w:r>
        <w:rPr>
          <w:rFonts w:ascii="Times New Roman" w:cs="Times New Roman" w:hAnsi="Times New Roman"/>
          <w:bCs/>
          <w:sz w:val="24"/>
          <w:szCs w:val="24"/>
        </w:rPr>
        <w:t xml:space="preserve">4.2 Descriptive Statistics                               </w:t>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50</w:t>
      </w:r>
    </w:p>
    <w:p w14:paraId="0382260C">
      <w:pPr>
        <w:pStyle w:val="style0"/>
        <w:spacing w:after="0" w:lineRule="auto" w:line="360"/>
        <w:jc w:val="both"/>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4.3 Analysis of Data</w:t>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51</w:t>
      </w:r>
    </w:p>
    <w:p w14:paraId="32FA58A0">
      <w:pPr>
        <w:pStyle w:val="style0"/>
        <w:spacing w:after="0" w:lineRule="auto" w:line="360"/>
        <w:jc w:val="both"/>
        <w:rPr>
          <w:rFonts w:ascii="Times New Roman" w:cs="Times New Roman" w:hAnsi="Times New Roman"/>
          <w:bCs/>
          <w:sz w:val="24"/>
          <w:szCs w:val="24"/>
        </w:rPr>
      </w:pPr>
      <w:r>
        <w:rPr>
          <w:rFonts w:ascii="Times New Roman" w:cs="Times New Roman" w:hAnsi="Times New Roman"/>
          <w:bCs/>
          <w:sz w:val="24"/>
          <w:szCs w:val="24"/>
        </w:rPr>
        <w:t>4.4 Testing of the Research Hypothesis</w:t>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55</w:t>
      </w:r>
    </w:p>
    <w:p w14:paraId="4926C9CA">
      <w:pPr>
        <w:pStyle w:val="style0"/>
        <w:spacing w:after="0" w:lineRule="auto" w:line="360"/>
        <w:jc w:val="both"/>
        <w:rPr>
          <w:rFonts w:ascii="Times New Roman" w:cs="Times New Roman" w:hAnsi="Times New Roman"/>
          <w:bCs/>
          <w:sz w:val="24"/>
          <w:szCs w:val="24"/>
        </w:rPr>
      </w:pPr>
      <w:r>
        <w:rPr>
          <w:rFonts w:ascii="Times New Roman" w:cs="Times New Roman" w:hAnsi="Times New Roman"/>
          <w:bCs/>
          <w:sz w:val="24"/>
          <w:szCs w:val="24"/>
        </w:rPr>
        <w:t>4.5 Discussion of Findings</w:t>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56</w:t>
      </w:r>
    </w:p>
    <w:p w14:paraId="70183826">
      <w:pPr>
        <w:pStyle w:val="style0"/>
        <w:spacing w:after="0" w:lineRule="auto" w:line="360"/>
        <w:rPr>
          <w:rFonts w:ascii="Times New Roman" w:cs="Times New Roman" w:eastAsia="Times New Roman" w:hAnsi="Times New Roman"/>
          <w:sz w:val="24"/>
          <w:szCs w:val="24"/>
        </w:rPr>
      </w:pPr>
    </w:p>
    <w:p w14:paraId="6C2F0DFA">
      <w:pPr>
        <w:pStyle w:val="style0"/>
        <w:spacing w:after="0" w:lineRule="auto" w:line="360"/>
        <w:rPr>
          <w:rFonts w:ascii="Times New Roman" w:cs="Times New Roman" w:hAnsi="Times New Roman"/>
          <w:b/>
          <w:sz w:val="24"/>
          <w:szCs w:val="24"/>
        </w:rPr>
      </w:pPr>
      <w:r>
        <w:rPr>
          <w:rFonts w:ascii="Times New Roman" w:cs="Times New Roman" w:hAnsi="Times New Roman"/>
          <w:b/>
          <w:sz w:val="24"/>
          <w:szCs w:val="24"/>
        </w:rPr>
        <w:t>CHAPTER FIVE: SUMMARY OF FINDINGS, CONCLUSION AND RECOMMENDATIONS</w:t>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ab/>
      </w:r>
      <w:r>
        <w:rPr>
          <w:rFonts w:ascii="Times New Roman" w:cs="Times New Roman" w:hAnsi="Times New Roman"/>
          <w:b/>
          <w:sz w:val="24"/>
          <w:szCs w:val="24"/>
        </w:rPr>
        <w:t>58</w:t>
      </w:r>
    </w:p>
    <w:p w14:paraId="6438198B">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5.1 Summary of Findings</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58</w:t>
      </w:r>
    </w:p>
    <w:p w14:paraId="5738CEB9">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 xml:space="preserve">5.2 Implications of Findings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58</w:t>
      </w:r>
    </w:p>
    <w:p w14:paraId="395F7842">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 xml:space="preserve">5.3 Conclusion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59</w:t>
      </w:r>
    </w:p>
    <w:p w14:paraId="1E9548C8">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 xml:space="preserve">5.4 Recommendations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60</w:t>
      </w:r>
    </w:p>
    <w:p w14:paraId="6015DB19">
      <w:pPr>
        <w:pStyle w:val="style0"/>
        <w:spacing w:after="0" w:lineRule="auto" w:line="360"/>
        <w:rPr>
          <w:rFonts w:ascii="Times New Roman" w:cs="Times New Roman" w:hAnsi="Times New Roman"/>
          <w:sz w:val="24"/>
          <w:szCs w:val="24"/>
        </w:rPr>
      </w:pPr>
      <w:r>
        <w:rPr>
          <w:rFonts w:ascii="Times New Roman" w:cs="Times New Roman" w:hAnsi="Times New Roman"/>
          <w:sz w:val="24"/>
          <w:szCs w:val="24"/>
        </w:rPr>
        <w:t xml:space="preserve">5.5 Suggestion for Further Studies </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60</w:t>
      </w:r>
    </w:p>
    <w:p w14:paraId="418341FF">
      <w:pPr>
        <w:pStyle w:val="style0"/>
        <w:spacing w:after="0" w:lineRule="auto" w:line="360"/>
        <w:rPr>
          <w:rFonts w:ascii="Times New Roman" w:cs="Times New Roman" w:hAnsi="Times New Roman"/>
          <w:bCs/>
          <w:sz w:val="24"/>
          <w:szCs w:val="24"/>
        </w:rPr>
      </w:pPr>
    </w:p>
    <w:p w14:paraId="6387AD66">
      <w:pPr>
        <w:pStyle w:val="style0"/>
        <w:spacing w:after="0" w:lineRule="auto" w:line="360"/>
        <w:rPr>
          <w:rFonts w:ascii="Times New Roman" w:cs="Times New Roman" w:hAnsi="Times New Roman"/>
          <w:b/>
          <w:bCs/>
          <w:sz w:val="24"/>
          <w:szCs w:val="24"/>
        </w:rPr>
      </w:pPr>
      <w:r>
        <w:rPr>
          <w:rFonts w:ascii="Times New Roman" w:cs="Times New Roman" w:hAnsi="Times New Roman"/>
          <w:b/>
          <w:bCs/>
          <w:sz w:val="24"/>
          <w:szCs w:val="24"/>
        </w:rPr>
        <w:t>REFERNCES</w:t>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ab/>
      </w:r>
      <w:r>
        <w:rPr>
          <w:rFonts w:ascii="Times New Roman" w:cs="Times New Roman" w:hAnsi="Times New Roman"/>
          <w:b/>
          <w:bCs/>
          <w:sz w:val="24"/>
          <w:szCs w:val="24"/>
        </w:rPr>
        <w:t xml:space="preserve">            </w:t>
      </w:r>
      <w:r>
        <w:rPr>
          <w:rFonts w:ascii="Times New Roman" w:cs="Times New Roman" w:hAnsi="Times New Roman"/>
          <w:b/>
          <w:bCs/>
          <w:sz w:val="24"/>
          <w:szCs w:val="24"/>
        </w:rPr>
        <w:t>61</w:t>
      </w:r>
    </w:p>
    <w:p w14:paraId="6714131F">
      <w:pPr>
        <w:pStyle w:val="style0"/>
        <w:spacing w:after="0"/>
        <w:rPr>
          <w:rFonts w:ascii="Times New Roman" w:cs="Times New Roman" w:hAnsi="Times New Roman"/>
          <w:bCs/>
          <w:sz w:val="24"/>
          <w:szCs w:val="24"/>
        </w:rPr>
      </w:pPr>
    </w:p>
    <w:p w14:paraId="082E69C7">
      <w:pPr>
        <w:pStyle w:val="style0"/>
        <w:spacing w:after="0"/>
        <w:rPr>
          <w:rFonts w:ascii="Times New Roman" w:cs="Times New Roman" w:hAnsi="Times New Roman"/>
          <w:sz w:val="24"/>
          <w:szCs w:val="24"/>
        </w:rPr>
      </w:pPr>
    </w:p>
    <w:p w14:paraId="779C9EC7">
      <w:pPr>
        <w:pStyle w:val="style0"/>
        <w:spacing w:after="0"/>
        <w:rPr>
          <w:rFonts w:ascii="Times New Roman" w:cs="Times New Roman" w:hAnsi="Times New Roman"/>
          <w:sz w:val="24"/>
          <w:szCs w:val="24"/>
        </w:rPr>
      </w:pPr>
    </w:p>
    <w:p w14:paraId="4E842DEE">
      <w:pPr>
        <w:pStyle w:val="style0"/>
        <w:spacing w:after="0"/>
        <w:rPr>
          <w:rFonts w:ascii="Times New Roman" w:cs="Times New Roman" w:hAnsi="Times New Roman"/>
          <w:sz w:val="24"/>
          <w:szCs w:val="24"/>
        </w:rPr>
      </w:pPr>
    </w:p>
    <w:p w14:paraId="3FE2E432">
      <w:pPr>
        <w:pStyle w:val="style0"/>
        <w:spacing w:after="0"/>
        <w:rPr>
          <w:rFonts w:ascii="Times New Roman" w:cs="Times New Roman" w:hAnsi="Times New Roman"/>
          <w:sz w:val="24"/>
          <w:szCs w:val="24"/>
        </w:rPr>
      </w:pPr>
    </w:p>
    <w:p w14:paraId="7E5918BE">
      <w:pPr>
        <w:pStyle w:val="style0"/>
        <w:tabs>
          <w:tab w:val="left" w:leader="none" w:pos="1636"/>
          <w:tab w:val="center" w:leader="none" w:pos="4679"/>
        </w:tabs>
        <w:spacing w:after="0" w:lineRule="auto" w:line="480"/>
        <w:rPr>
          <w:rFonts w:ascii="Times New Roman" w:cs="Times New Roman" w:hAnsi="Times New Roman"/>
          <w:sz w:val="24"/>
          <w:szCs w:val="24"/>
        </w:rPr>
      </w:pPr>
    </w:p>
    <w:p w14:paraId="3B173546">
      <w:pPr>
        <w:pStyle w:val="style0"/>
        <w:tabs>
          <w:tab w:val="left" w:leader="none" w:pos="1636"/>
          <w:tab w:val="center" w:leader="none" w:pos="4679"/>
        </w:tabs>
        <w:spacing w:after="0" w:lineRule="auto" w:line="480"/>
        <w:rPr>
          <w:rFonts w:ascii="Times New Roman" w:cs="Times New Roman" w:eastAsia="Times New Roman" w:hAnsi="Times New Roman"/>
          <w:b/>
          <w:sz w:val="24"/>
          <w:szCs w:val="24"/>
        </w:rPr>
      </w:pPr>
    </w:p>
    <w:p w14:paraId="046388D6">
      <w:pPr>
        <w:pStyle w:val="style4112"/>
        <w:spacing w:lineRule="auto" w:line="360"/>
        <w:jc w:val="center"/>
        <w:rPr>
          <w:rFonts w:ascii="Times New Roman" w:cs="Times New Roman" w:eastAsia="Times New Roman" w:hAnsi="Times New Roman"/>
          <w:b/>
          <w:sz w:val="24"/>
          <w:szCs w:val="24"/>
        </w:rPr>
      </w:pPr>
    </w:p>
    <w:p w14:paraId="79853B60">
      <w:pPr>
        <w:pStyle w:val="style4112"/>
        <w:spacing w:lineRule="auto" w:line="360"/>
        <w:jc w:val="center"/>
        <w:rPr>
          <w:rFonts w:ascii="Times New Roman" w:cs="Times New Roman" w:eastAsia="Times New Roman" w:hAnsi="Times New Roman"/>
          <w:b/>
          <w:sz w:val="24"/>
          <w:szCs w:val="24"/>
        </w:rPr>
      </w:pPr>
    </w:p>
    <w:p w14:paraId="0743D694">
      <w:pPr>
        <w:pStyle w:val="style4112"/>
        <w:spacing w:lineRule="auto" w:line="360"/>
        <w:jc w:val="center"/>
        <w:rPr>
          <w:rFonts w:ascii="Times New Roman" w:cs="Times New Roman" w:eastAsia="Times New Roman" w:hAnsi="Times New Roman"/>
          <w:b/>
          <w:sz w:val="24"/>
          <w:szCs w:val="24"/>
        </w:rPr>
      </w:pPr>
    </w:p>
    <w:p w14:paraId="508B9341">
      <w:pPr>
        <w:pStyle w:val="style4112"/>
        <w:spacing w:lineRule="auto" w:line="360"/>
        <w:jc w:val="center"/>
        <w:rPr>
          <w:rFonts w:ascii="Times New Roman" w:cs="Times New Roman" w:eastAsia="Times New Roman" w:hAnsi="Times New Roman"/>
          <w:b/>
          <w:sz w:val="24"/>
          <w:szCs w:val="24"/>
        </w:rPr>
      </w:pPr>
    </w:p>
    <w:p w14:paraId="159CF3E4">
      <w:pPr>
        <w:pStyle w:val="style4112"/>
        <w:spacing w:lineRule="auto" w:line="360"/>
        <w:jc w:val="center"/>
        <w:rPr>
          <w:rFonts w:ascii="Times New Roman" w:cs="Times New Roman" w:eastAsia="Times New Roman" w:hAnsi="Times New Roman"/>
          <w:b/>
          <w:sz w:val="24"/>
          <w:szCs w:val="24"/>
        </w:rPr>
      </w:pPr>
    </w:p>
    <w:p w14:paraId="41452C0C">
      <w:pPr>
        <w:pStyle w:val="style4112"/>
        <w:spacing w:lineRule="auto" w:line="360"/>
        <w:jc w:val="center"/>
        <w:rPr>
          <w:rFonts w:ascii="Times New Roman" w:cs="Times New Roman" w:eastAsia="Times New Roman" w:hAnsi="Times New Roman"/>
          <w:b/>
          <w:sz w:val="24"/>
          <w:szCs w:val="24"/>
        </w:rPr>
      </w:pPr>
    </w:p>
    <w:p w14:paraId="15B7A75F">
      <w:pPr>
        <w:pStyle w:val="style4112"/>
        <w:spacing w:lineRule="auto" w:line="360"/>
        <w:jc w:val="center"/>
        <w:rPr>
          <w:rFonts w:ascii="Times New Roman" w:cs="Times New Roman" w:eastAsia="Times New Roman" w:hAnsi="Times New Roman"/>
          <w:b/>
          <w:sz w:val="24"/>
          <w:szCs w:val="24"/>
        </w:rPr>
      </w:pPr>
    </w:p>
    <w:p w14:paraId="419CA747">
      <w:pPr>
        <w:pStyle w:val="style4112"/>
        <w:spacing w:lineRule="auto" w:line="360"/>
        <w:jc w:val="center"/>
        <w:rPr>
          <w:rFonts w:ascii="Times New Roman" w:cs="Times New Roman" w:eastAsia="Times New Roman" w:hAnsi="Times New Roman"/>
          <w:b/>
          <w:sz w:val="24"/>
          <w:szCs w:val="24"/>
        </w:rPr>
      </w:pPr>
    </w:p>
    <w:p w14:paraId="31CA1860">
      <w:pPr>
        <w:pStyle w:val="style4112"/>
        <w:spacing w:lineRule="auto" w:line="360"/>
        <w:jc w:val="center"/>
        <w:rPr>
          <w:rFonts w:ascii="Times New Roman" w:cs="Times New Roman" w:eastAsia="Times New Roman" w:hAnsi="Times New Roman"/>
          <w:b/>
          <w:sz w:val="24"/>
          <w:szCs w:val="24"/>
        </w:rPr>
      </w:pPr>
    </w:p>
    <w:p w14:paraId="3115DC97">
      <w:pPr>
        <w:pStyle w:val="style4112"/>
        <w:spacing w:lineRule="auto" w:line="360"/>
        <w:jc w:val="center"/>
        <w:rPr>
          <w:rFonts w:ascii="Times New Roman" w:cs="Times New Roman" w:eastAsia="Times New Roman" w:hAnsi="Times New Roman"/>
          <w:b/>
          <w:sz w:val="24"/>
          <w:szCs w:val="24"/>
        </w:rPr>
      </w:pPr>
    </w:p>
    <w:p w14:paraId="2EBC4BCC">
      <w:pPr>
        <w:pStyle w:val="style4112"/>
        <w:spacing w:lineRule="auto" w:line="360"/>
        <w:jc w:val="center"/>
        <w:rPr>
          <w:rFonts w:ascii="Times New Roman" w:cs="Times New Roman" w:eastAsia="Times New Roman" w:hAnsi="Times New Roman"/>
          <w:b/>
          <w:sz w:val="24"/>
          <w:szCs w:val="24"/>
        </w:rPr>
      </w:pPr>
    </w:p>
    <w:p w14:paraId="08B49AC5">
      <w:pPr>
        <w:pStyle w:val="style4112"/>
        <w:spacing w:lineRule="auto" w:line="360"/>
        <w:jc w:val="center"/>
        <w:rPr>
          <w:rFonts w:ascii="Times New Roman" w:cs="Times New Roman" w:eastAsia="Times New Roman" w:hAnsi="Times New Roman"/>
          <w:b/>
          <w:sz w:val="24"/>
          <w:szCs w:val="24"/>
        </w:rPr>
      </w:pPr>
    </w:p>
    <w:p w14:paraId="13A219E3">
      <w:pPr>
        <w:pStyle w:val="style4112"/>
        <w:spacing w:lineRule="auto" w:line="360"/>
        <w:jc w:val="center"/>
        <w:rPr>
          <w:rFonts w:ascii="Times New Roman" w:cs="Times New Roman" w:eastAsia="Times New Roman" w:hAnsi="Times New Roman"/>
          <w:b/>
          <w:sz w:val="24"/>
          <w:szCs w:val="24"/>
        </w:rPr>
      </w:pPr>
    </w:p>
    <w:p w14:paraId="1B488CD5">
      <w:pPr>
        <w:pStyle w:val="style4112"/>
        <w:spacing w:lineRule="auto" w:line="36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LIST OF TABLES</w:t>
      </w:r>
    </w:p>
    <w:p w14:paraId="494F7CE1">
      <w:pPr>
        <w:pStyle w:val="style0"/>
        <w:spacing w:after="0" w:lineRule="auto" w:line="360"/>
        <w:jc w:val="both"/>
        <w:rPr>
          <w:rFonts w:ascii="Times New Roman" w:cs="Times New Roman" w:hAnsi="Times New Roman"/>
          <w:sz w:val="24"/>
          <w:szCs w:val="24"/>
        </w:rPr>
      </w:pPr>
      <w:r>
        <w:rPr>
          <w:rFonts w:ascii="Times New Roman" w:cs="Times New Roman" w:hAnsi="Times New Roman"/>
          <w:b/>
          <w:sz w:val="24"/>
          <w:szCs w:val="24"/>
        </w:rPr>
        <w:t xml:space="preserve">Table </w:t>
      </w:r>
      <w:r>
        <w:rPr>
          <w:rFonts w:ascii="Times New Roman" w:cs="Times New Roman" w:hAnsi="Times New Roman"/>
          <w:b/>
          <w:sz w:val="24"/>
          <w:szCs w:val="24"/>
        </w:rPr>
        <w:t>1:</w:t>
      </w:r>
      <w:r>
        <w:rPr>
          <w:rFonts w:ascii="Times New Roman" w:cs="Times New Roman" w:hAnsi="Times New Roman"/>
          <w:sz w:val="24"/>
          <w:szCs w:val="24"/>
        </w:rPr>
        <w:t xml:space="preserve"> Summary of Empirical Review</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43</w:t>
      </w:r>
    </w:p>
    <w:p w14:paraId="097691BE">
      <w:pPr>
        <w:pStyle w:val="style0"/>
        <w:spacing w:after="0" w:lineRule="auto" w:line="360"/>
        <w:jc w:val="both"/>
        <w:rPr>
          <w:rFonts w:ascii="Times New Roman" w:cs="Times New Roman" w:hAnsi="Times New Roman"/>
          <w:sz w:val="24"/>
          <w:szCs w:val="24"/>
        </w:rPr>
      </w:pPr>
      <w:r>
        <w:rPr>
          <w:rFonts w:ascii="Times New Roman" w:cs="Times New Roman" w:hAnsi="Times New Roman"/>
          <w:b/>
          <w:sz w:val="24"/>
          <w:szCs w:val="24"/>
        </w:rPr>
        <w:t>Table 2:</w:t>
      </w:r>
      <w:r>
        <w:rPr>
          <w:rFonts w:ascii="Times New Roman" w:cs="Times New Roman" w:hAnsi="Times New Roman"/>
          <w:sz w:val="24"/>
          <w:szCs w:val="24"/>
        </w:rPr>
        <w:t xml:space="preserve"> Time series data on RGDP, EDTAX, GNI an</w:t>
      </w:r>
      <w:r>
        <w:rPr>
          <w:rFonts w:ascii="Times New Roman" w:cs="Times New Roman" w:hAnsi="Times New Roman"/>
          <w:sz w:val="24"/>
          <w:szCs w:val="24"/>
        </w:rPr>
        <w:t>d HDI ranging from 2014 to 2023</w:t>
      </w:r>
      <w:r>
        <w:rPr>
          <w:rFonts w:ascii="Times New Roman" w:cs="Times New Roman" w:hAnsi="Times New Roman"/>
          <w:sz w:val="24"/>
          <w:szCs w:val="24"/>
        </w:rPr>
        <w:tab/>
      </w:r>
      <w:r>
        <w:rPr>
          <w:rFonts w:ascii="Times New Roman" w:cs="Times New Roman" w:hAnsi="Times New Roman"/>
          <w:sz w:val="24"/>
          <w:szCs w:val="24"/>
        </w:rPr>
        <w:t>50</w:t>
      </w:r>
    </w:p>
    <w:p w14:paraId="24C1DCDF">
      <w:pPr>
        <w:pStyle w:val="style0"/>
        <w:spacing w:after="0" w:lineRule="auto" w:line="360"/>
        <w:jc w:val="both"/>
        <w:rPr>
          <w:rFonts w:ascii="Times New Roman" w:cs="Times New Roman" w:hAnsi="Times New Roman"/>
          <w:sz w:val="24"/>
          <w:szCs w:val="24"/>
        </w:rPr>
      </w:pPr>
      <w:r>
        <w:rPr>
          <w:rFonts w:ascii="Times New Roman" w:cs="Times New Roman" w:eastAsia="Times New Roman" w:hAnsi="Times New Roman"/>
          <w:b/>
          <w:color w:val="000000"/>
          <w:sz w:val="24"/>
          <w:szCs w:val="24"/>
        </w:rPr>
        <w:t xml:space="preserve">Table 3: </w:t>
      </w:r>
      <w:r>
        <w:rPr>
          <w:rFonts w:ascii="Times New Roman" w:cs="Times New Roman" w:eastAsia="Times New Roman" w:hAnsi="Times New Roman"/>
          <w:color w:val="000000"/>
          <w:sz w:val="24"/>
          <w:szCs w:val="24"/>
        </w:rPr>
        <w:t xml:space="preserve">Descriptive Statistics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50</w:t>
      </w:r>
    </w:p>
    <w:p w14:paraId="3C432F5A">
      <w:pPr>
        <w:pStyle w:val="style0"/>
        <w:spacing w:after="0" w:lineRule="auto" w:line="360"/>
        <w:jc w:val="both"/>
        <w:rPr>
          <w:rFonts w:ascii="Times New Roman" w:cs="Times New Roman" w:hAnsi="Times New Roman"/>
          <w:bCs/>
          <w:sz w:val="24"/>
          <w:szCs w:val="24"/>
        </w:rPr>
      </w:pPr>
      <w:r>
        <w:rPr>
          <w:rFonts w:ascii="Times New Roman" w:cs="Times New Roman" w:eastAsia="Times New Roman" w:hAnsi="Times New Roman"/>
          <w:b/>
          <w:bCs/>
          <w:sz w:val="24"/>
          <w:szCs w:val="24"/>
        </w:rPr>
        <w:t xml:space="preserve">Table 4: </w:t>
      </w:r>
      <w:r>
        <w:rPr>
          <w:rFonts w:ascii="Times New Roman" w:cs="Times New Roman" w:eastAsia="Times New Roman" w:hAnsi="Times New Roman"/>
          <w:bCs/>
          <w:sz w:val="24"/>
          <w:szCs w:val="24"/>
        </w:rPr>
        <w:t xml:space="preserve">Regression Result for Model 1 </w:t>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52</w:t>
      </w:r>
    </w:p>
    <w:p w14:paraId="787C6F73">
      <w:pPr>
        <w:pStyle w:val="style0"/>
        <w:spacing w:after="0" w:lineRule="auto" w:line="360"/>
        <w:jc w:val="both"/>
        <w:rPr>
          <w:rFonts w:ascii="Times New Roman" w:cs="Times New Roman" w:hAnsi="Times New Roman"/>
          <w:bCs/>
          <w:sz w:val="24"/>
          <w:szCs w:val="24"/>
        </w:rPr>
      </w:pPr>
      <w:r>
        <w:rPr>
          <w:rFonts w:ascii="Times New Roman" w:cs="Times New Roman" w:hAnsi="Times New Roman"/>
          <w:b/>
          <w:bCs/>
          <w:sz w:val="24"/>
          <w:szCs w:val="24"/>
        </w:rPr>
        <w:t xml:space="preserve">Table 5: </w:t>
      </w:r>
      <w:r>
        <w:rPr>
          <w:rFonts w:ascii="Times New Roman" w:cs="Times New Roman" w:hAnsi="Times New Roman"/>
          <w:bCs/>
          <w:sz w:val="24"/>
          <w:szCs w:val="24"/>
        </w:rPr>
        <w:t>Regression Result for Model 2</w:t>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ab/>
      </w:r>
      <w:r>
        <w:rPr>
          <w:rFonts w:ascii="Times New Roman" w:cs="Times New Roman" w:hAnsi="Times New Roman"/>
          <w:bCs/>
          <w:sz w:val="24"/>
          <w:szCs w:val="24"/>
        </w:rPr>
        <w:t>53</w:t>
      </w:r>
    </w:p>
    <w:p w14:paraId="58CC9439">
      <w:pPr>
        <w:pStyle w:val="style0"/>
        <w:spacing w:after="0" w:lineRule="auto" w:line="360"/>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Table 6: </w:t>
      </w:r>
      <w:r>
        <w:rPr>
          <w:rFonts w:ascii="Times New Roman" w:cs="Times New Roman" w:eastAsia="Times New Roman" w:hAnsi="Times New Roman"/>
          <w:bCs/>
          <w:sz w:val="24"/>
          <w:szCs w:val="24"/>
        </w:rPr>
        <w:t>Regression Result for Model 3</w:t>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54</w:t>
      </w:r>
    </w:p>
    <w:p w14:paraId="3B5F3BE1">
      <w:pPr>
        <w:pStyle w:val="style4112"/>
        <w:spacing w:lineRule="auto" w:line="360"/>
        <w:jc w:val="both"/>
        <w:rPr>
          <w:rFonts w:ascii="Times New Roman" w:cs="Times New Roman" w:eastAsia="Times New Roman" w:hAnsi="Times New Roman"/>
          <w:b/>
          <w:sz w:val="24"/>
          <w:szCs w:val="24"/>
        </w:rPr>
      </w:pPr>
    </w:p>
    <w:p w14:paraId="4F88F32A">
      <w:pPr>
        <w:pStyle w:val="style4112"/>
        <w:spacing w:lineRule="auto" w:line="360"/>
        <w:jc w:val="both"/>
        <w:rPr>
          <w:rFonts w:ascii="Times New Roman" w:cs="Times New Roman" w:eastAsia="Times New Roman" w:hAnsi="Times New Roman"/>
          <w:b/>
          <w:sz w:val="24"/>
          <w:szCs w:val="24"/>
        </w:rPr>
      </w:pPr>
    </w:p>
    <w:p w14:paraId="53E57696">
      <w:pPr>
        <w:pStyle w:val="style0"/>
        <w:rPr>
          <w:rFonts w:ascii="Times New Roman" w:cs="Times New Roman" w:hAnsi="Times New Roman"/>
          <w:sz w:val="24"/>
          <w:szCs w:val="24"/>
        </w:rPr>
      </w:pPr>
    </w:p>
    <w:p w14:paraId="25033AA6">
      <w:pPr>
        <w:pStyle w:val="style0"/>
        <w:rPr>
          <w:rFonts w:ascii="Times New Roman" w:cs="Times New Roman" w:hAnsi="Times New Roman"/>
          <w:sz w:val="24"/>
          <w:szCs w:val="24"/>
        </w:rPr>
      </w:pPr>
    </w:p>
    <w:p w14:paraId="07EDCA33">
      <w:pPr>
        <w:pStyle w:val="style0"/>
        <w:rPr>
          <w:rFonts w:ascii="Times New Roman" w:cs="Times New Roman" w:hAnsi="Times New Roman"/>
          <w:sz w:val="24"/>
          <w:szCs w:val="24"/>
        </w:rPr>
      </w:pPr>
    </w:p>
    <w:p w14:paraId="4872BC7A">
      <w:pPr>
        <w:pStyle w:val="style0"/>
        <w:rPr>
          <w:rFonts w:ascii="Times New Roman" w:cs="Times New Roman" w:hAnsi="Times New Roman"/>
          <w:sz w:val="24"/>
          <w:szCs w:val="24"/>
        </w:rPr>
      </w:pPr>
    </w:p>
    <w:p w14:paraId="74B565C4">
      <w:pPr>
        <w:pStyle w:val="style0"/>
        <w:rPr>
          <w:rFonts w:ascii="Times New Roman" w:cs="Times New Roman" w:hAnsi="Times New Roman"/>
          <w:sz w:val="24"/>
          <w:szCs w:val="24"/>
        </w:rPr>
      </w:pPr>
    </w:p>
    <w:p w14:paraId="6E0DFB0C">
      <w:pPr>
        <w:pStyle w:val="style0"/>
        <w:rPr>
          <w:rFonts w:ascii="Times New Roman" w:cs="Times New Roman" w:hAnsi="Times New Roman"/>
          <w:sz w:val="24"/>
          <w:szCs w:val="24"/>
        </w:rPr>
      </w:pPr>
    </w:p>
    <w:p w14:paraId="2964FC76">
      <w:pPr>
        <w:pStyle w:val="style0"/>
        <w:rPr>
          <w:rFonts w:ascii="Times New Roman" w:cs="Times New Roman" w:hAnsi="Times New Roman"/>
          <w:sz w:val="24"/>
          <w:szCs w:val="24"/>
        </w:rPr>
      </w:pPr>
    </w:p>
    <w:p w14:paraId="22361382">
      <w:pPr>
        <w:pStyle w:val="style0"/>
        <w:rPr>
          <w:rFonts w:ascii="Times New Roman" w:cs="Times New Roman" w:hAnsi="Times New Roman"/>
          <w:sz w:val="24"/>
          <w:szCs w:val="24"/>
        </w:rPr>
      </w:pPr>
    </w:p>
    <w:p w14:paraId="0F973780">
      <w:pPr>
        <w:pStyle w:val="style0"/>
        <w:rPr>
          <w:rFonts w:ascii="Times New Roman" w:cs="Times New Roman" w:hAnsi="Times New Roman"/>
          <w:sz w:val="24"/>
          <w:szCs w:val="24"/>
        </w:rPr>
      </w:pPr>
    </w:p>
    <w:p w14:paraId="3738D1BD">
      <w:pPr>
        <w:pStyle w:val="style0"/>
        <w:rPr>
          <w:rFonts w:ascii="Times New Roman" w:cs="Times New Roman" w:hAnsi="Times New Roman"/>
          <w:sz w:val="24"/>
          <w:szCs w:val="24"/>
        </w:rPr>
      </w:pPr>
    </w:p>
    <w:p w14:paraId="19D307E5">
      <w:pPr>
        <w:pStyle w:val="style0"/>
        <w:rPr>
          <w:rFonts w:ascii="Times New Roman" w:cs="Times New Roman" w:hAnsi="Times New Roman"/>
          <w:sz w:val="24"/>
          <w:szCs w:val="24"/>
        </w:rPr>
      </w:pPr>
    </w:p>
    <w:p w14:paraId="4FE29390">
      <w:pPr>
        <w:pStyle w:val="style0"/>
        <w:rPr>
          <w:rFonts w:ascii="Times New Roman" w:cs="Times New Roman" w:hAnsi="Times New Roman"/>
          <w:sz w:val="24"/>
          <w:szCs w:val="24"/>
        </w:rPr>
      </w:pPr>
    </w:p>
    <w:p w14:paraId="4243DE11">
      <w:pPr>
        <w:pStyle w:val="style0"/>
        <w:rPr>
          <w:rFonts w:ascii="Times New Roman" w:cs="Times New Roman" w:hAnsi="Times New Roman"/>
          <w:b/>
          <w:bCs/>
          <w:sz w:val="24"/>
          <w:szCs w:val="24"/>
        </w:rPr>
      </w:pPr>
    </w:p>
    <w:p w14:paraId="40AB1B73">
      <w:pPr>
        <w:pStyle w:val="style0"/>
        <w:jc w:val="center"/>
        <w:rPr>
          <w:rFonts w:ascii="Times New Roman" w:cs="Times New Roman" w:hAnsi="Times New Roman"/>
          <w:b/>
          <w:bCs/>
          <w:sz w:val="24"/>
          <w:szCs w:val="24"/>
        </w:rPr>
      </w:pPr>
    </w:p>
    <w:p w14:paraId="7F48EC7B">
      <w:pPr>
        <w:pStyle w:val="style0"/>
        <w:jc w:val="center"/>
        <w:rPr>
          <w:rFonts w:ascii="Times New Roman" w:cs="Times New Roman" w:hAnsi="Times New Roman"/>
          <w:b/>
          <w:bCs/>
          <w:sz w:val="24"/>
          <w:szCs w:val="24"/>
        </w:rPr>
      </w:pPr>
    </w:p>
    <w:p w14:paraId="2BA5257E">
      <w:pPr>
        <w:pStyle w:val="style0"/>
        <w:jc w:val="center"/>
        <w:rPr>
          <w:rFonts w:ascii="Times New Roman" w:cs="Times New Roman" w:hAnsi="Times New Roman"/>
          <w:b/>
          <w:bCs/>
          <w:sz w:val="24"/>
          <w:szCs w:val="24"/>
        </w:rPr>
      </w:pPr>
    </w:p>
    <w:p w14:paraId="799C2185">
      <w:pPr>
        <w:pStyle w:val="style0"/>
        <w:jc w:val="center"/>
        <w:rPr>
          <w:rFonts w:ascii="Times New Roman" w:cs="Times New Roman" w:hAnsi="Times New Roman"/>
          <w:b/>
          <w:bCs/>
          <w:sz w:val="24"/>
          <w:szCs w:val="24"/>
        </w:rPr>
      </w:pPr>
    </w:p>
    <w:p w14:paraId="75BEE7D8">
      <w:pPr>
        <w:pStyle w:val="style0"/>
        <w:jc w:val="center"/>
        <w:rPr>
          <w:rFonts w:ascii="Times New Roman" w:cs="Times New Roman" w:hAnsi="Times New Roman"/>
          <w:b/>
          <w:bCs/>
          <w:sz w:val="24"/>
          <w:szCs w:val="24"/>
        </w:rPr>
      </w:pPr>
    </w:p>
    <w:p w14:paraId="37D1457A">
      <w:pPr>
        <w:pStyle w:val="style0"/>
        <w:jc w:val="center"/>
        <w:rPr>
          <w:rFonts w:ascii="Times New Roman" w:cs="Times New Roman" w:hAnsi="Times New Roman"/>
          <w:b/>
          <w:bCs/>
          <w:sz w:val="24"/>
          <w:szCs w:val="24"/>
        </w:rPr>
      </w:pPr>
    </w:p>
    <w:p w14:paraId="72632478">
      <w:pPr>
        <w:pStyle w:val="style0"/>
        <w:jc w:val="center"/>
        <w:rPr>
          <w:rFonts w:ascii="Times New Roman" w:cs="Times New Roman" w:hAnsi="Times New Roman"/>
          <w:b/>
          <w:bCs/>
          <w:sz w:val="24"/>
          <w:szCs w:val="24"/>
        </w:rPr>
      </w:pPr>
    </w:p>
    <w:bookmarkStart w:id="0" w:name="_GoBack"/>
    <w:bookmarkEnd w:id="0"/>
    <w:p w14:paraId="5A9D0367">
      <w:pPr>
        <w:pStyle w:val="style0"/>
        <w:jc w:val="center"/>
        <w:rPr>
          <w:rFonts w:ascii="Times New Roman" w:cs="Times New Roman" w:hAnsi="Times New Roman"/>
          <w:b/>
          <w:bCs/>
          <w:sz w:val="24"/>
          <w:szCs w:val="24"/>
        </w:rPr>
      </w:pPr>
    </w:p>
    <w:p w14:paraId="607B16EA">
      <w:pPr>
        <w:pStyle w:val="style0"/>
        <w:jc w:val="center"/>
        <w:rPr>
          <w:rFonts w:ascii="Times New Roman" w:cs="Times New Roman" w:hAnsi="Times New Roman"/>
          <w:b/>
          <w:bCs/>
          <w:sz w:val="24"/>
          <w:szCs w:val="24"/>
        </w:rPr>
      </w:pPr>
    </w:p>
    <w:p w14:paraId="07EE81C8">
      <w:pPr>
        <w:pStyle w:val="style0"/>
        <w:spacing w:lineRule="auto" w:line="276"/>
        <w:jc w:val="center"/>
        <w:rPr>
          <w:rFonts w:ascii="Times New Roman" w:cs="Times New Roman" w:hAnsi="Times New Roman"/>
          <w:b/>
          <w:bCs/>
          <w:sz w:val="24"/>
          <w:szCs w:val="24"/>
        </w:rPr>
      </w:pPr>
      <w:r>
        <w:rPr>
          <w:rFonts w:ascii="Times New Roman" w:cs="Times New Roman" w:hAnsi="Times New Roman"/>
          <w:b/>
          <w:bCs/>
          <w:sz w:val="24"/>
          <w:szCs w:val="24"/>
        </w:rPr>
        <w:t>ABSTRACT</w:t>
      </w:r>
    </w:p>
    <w:p w14:paraId="63F59472">
      <w:pPr>
        <w:pStyle w:val="style0"/>
        <w:spacing w:after="0" w:lineRule="auto" w:line="240"/>
        <w:jc w:val="both"/>
        <w:rPr>
          <w:rFonts w:ascii="Times New Roman" w:cs="Times New Roman" w:hAnsi="Times New Roman"/>
          <w:i/>
          <w:iCs/>
          <w:sz w:val="24"/>
          <w:szCs w:val="24"/>
        </w:rPr>
      </w:pPr>
      <w:r>
        <w:rPr>
          <w:rFonts w:ascii="Times New Roman" w:cs="Times New Roman" w:hAnsi="Times New Roman"/>
          <w:i/>
          <w:iCs/>
          <w:sz w:val="24"/>
          <w:szCs w:val="24"/>
        </w:rPr>
        <w:t xml:space="preserve">This study investigated the effect of education tax on the economic growth of Nigeria in 2014 to 2023. Its general objective was to examine the effect of education tax on economic growth of Nigeria whereas the specific objectives were; to examine the effect of education tax on RGDP, to determine the impact of education tax on GNI and to evaluate the impact of education tax on HCD. The time series data were gotten from the Annual Report of the Nigerian Bureau of Statistics, Central Bank of Nigeria’s Statistical Bulletin, the TETFUND annual report, the World Bank Development Indicator and the UNDP Human Development Report. The result of the estimation of three hypotheses utilizing Simple linear regression method shows a significant level of 5%. Simple linear regression technique and OLS are used to test the three null hypotheses by employing </w:t>
      </w:r>
      <w:r>
        <w:rPr>
          <w:rFonts w:ascii="Times New Roman" w:cs="Times New Roman" w:hAnsi="Times New Roman"/>
          <w:i/>
          <w:iCs/>
          <w:sz w:val="24"/>
          <w:szCs w:val="24"/>
        </w:rPr>
        <w:t>EViews</w:t>
      </w:r>
      <w:r>
        <w:rPr>
          <w:rFonts w:ascii="Times New Roman" w:cs="Times New Roman" w:hAnsi="Times New Roman"/>
          <w:i/>
          <w:iCs/>
          <w:sz w:val="24"/>
          <w:szCs w:val="24"/>
        </w:rPr>
        <w:t xml:space="preserve"> version 12.0 in testing of the hypothesis. And an ex-post factor research design. The result showed that education tax had positive and statistically significant influence on all three macroeconomic growth indices tested; RGDP, GNI and HCD. It concluded that education tax has positive and significant influences on the Nigerian economic development and human resource development; thus, the Federal Government should improve its examination and collection system with the aim of having a 100%t tax compliance, the Federal Government should come up with comprehensive human capital policy toward discouraging the issue of the problem of emigration ,and the </w:t>
      </w:r>
      <w:r>
        <w:rPr>
          <w:rFonts w:ascii="Times New Roman" w:cs="Times New Roman" w:hAnsi="Times New Roman"/>
          <w:i/>
          <w:iCs/>
          <w:sz w:val="24"/>
          <w:szCs w:val="24"/>
        </w:rPr>
        <w:t>TETFund</w:t>
      </w:r>
      <w:r>
        <w:rPr>
          <w:rFonts w:ascii="Times New Roman" w:cs="Times New Roman" w:hAnsi="Times New Roman"/>
          <w:i/>
          <w:iCs/>
          <w:sz w:val="24"/>
          <w:szCs w:val="24"/>
        </w:rPr>
        <w:t xml:space="preserve"> disbursing of education tax towards improve educational quality and employability.</w:t>
      </w:r>
    </w:p>
    <w:p w14:paraId="5F4CBB7E">
      <w:pPr>
        <w:pStyle w:val="style0"/>
        <w:spacing w:after="0" w:lineRule="auto" w:line="480"/>
        <w:jc w:val="both"/>
        <w:rPr>
          <w:rFonts w:ascii="Times New Roman" w:cs="Times New Roman" w:hAnsi="Times New Roman"/>
          <w:b/>
          <w:bCs/>
          <w:sz w:val="24"/>
          <w:szCs w:val="24"/>
        </w:rPr>
      </w:pPr>
    </w:p>
    <w:p w14:paraId="1DC1C810">
      <w:pPr>
        <w:pStyle w:val="style0"/>
        <w:spacing w:after="0" w:lineRule="auto" w:line="480"/>
        <w:jc w:val="center"/>
        <w:rPr>
          <w:rFonts w:ascii="Times New Roman" w:cs="Times New Roman" w:hAnsi="Times New Roman"/>
          <w:b/>
          <w:bCs/>
          <w:sz w:val="24"/>
          <w:szCs w:val="24"/>
        </w:rPr>
      </w:pPr>
    </w:p>
    <w:p w14:paraId="2E24C7E2">
      <w:pPr>
        <w:pStyle w:val="style0"/>
        <w:rPr>
          <w:rFonts w:ascii="Times New Roman" w:cs="Times New Roman" w:hAnsi="Times New Roman"/>
          <w:sz w:val="24"/>
          <w:szCs w:val="24"/>
        </w:rPr>
      </w:pPr>
    </w:p>
    <w:p w14:paraId="5414FA2C">
      <w:pPr>
        <w:pStyle w:val="style0"/>
        <w:rPr>
          <w:rFonts w:ascii="Times New Roman" w:cs="Times New Roman" w:hAnsi="Times New Roman"/>
          <w:sz w:val="24"/>
          <w:szCs w:val="24"/>
        </w:rPr>
      </w:pPr>
    </w:p>
    <w:p w14:paraId="43CE585B">
      <w:pPr>
        <w:pStyle w:val="style0"/>
        <w:rPr>
          <w:rFonts w:ascii="Times New Roman" w:cs="Times New Roman" w:hAnsi="Times New Roman"/>
          <w:sz w:val="24"/>
          <w:szCs w:val="24"/>
        </w:rPr>
      </w:pPr>
    </w:p>
    <w:p w14:paraId="5E2063E3">
      <w:pPr>
        <w:pStyle w:val="style0"/>
        <w:rPr>
          <w:rFonts w:ascii="Times New Roman" w:cs="Times New Roman" w:hAnsi="Times New Roman"/>
          <w:sz w:val="24"/>
          <w:szCs w:val="24"/>
        </w:rPr>
      </w:pPr>
    </w:p>
    <w:p w14:paraId="1BA4EA96">
      <w:pPr>
        <w:pStyle w:val="style0"/>
        <w:rPr>
          <w:rFonts w:ascii="Times New Roman" w:cs="Times New Roman" w:hAnsi="Times New Roman"/>
          <w:sz w:val="24"/>
          <w:szCs w:val="24"/>
        </w:rPr>
      </w:pPr>
    </w:p>
    <w:p w14:paraId="20C83E48">
      <w:pPr>
        <w:pStyle w:val="style0"/>
        <w:spacing w:after="0" w:lineRule="auto" w:line="480"/>
        <w:jc w:val="center"/>
        <w:rPr>
          <w:rFonts w:ascii="Times New Roman" w:cs="Times New Roman" w:hAnsi="Times New Roman"/>
          <w:b/>
          <w:bCs/>
          <w:sz w:val="24"/>
          <w:szCs w:val="24"/>
        </w:rPr>
      </w:pPr>
    </w:p>
    <w:p w14:paraId="3D0A1611">
      <w:pPr>
        <w:pStyle w:val="style0"/>
        <w:spacing w:after="0" w:lineRule="auto" w:line="480"/>
        <w:jc w:val="center"/>
        <w:rPr>
          <w:rFonts w:ascii="Times New Roman" w:cs="Times New Roman" w:hAnsi="Times New Roman"/>
          <w:b/>
          <w:bCs/>
          <w:sz w:val="24"/>
          <w:szCs w:val="24"/>
        </w:rPr>
      </w:pPr>
    </w:p>
    <w:p w14:paraId="46FD4FB6">
      <w:pPr>
        <w:pStyle w:val="style0"/>
        <w:spacing w:after="0" w:lineRule="auto" w:line="480"/>
        <w:jc w:val="center"/>
        <w:rPr>
          <w:rFonts w:ascii="Times New Roman" w:cs="Times New Roman" w:hAnsi="Times New Roman"/>
          <w:b/>
          <w:bCs/>
          <w:sz w:val="24"/>
          <w:szCs w:val="24"/>
        </w:rPr>
      </w:pPr>
    </w:p>
    <w:p w14:paraId="7EE7C22B">
      <w:pPr>
        <w:pStyle w:val="style0"/>
        <w:spacing w:after="0" w:lineRule="auto" w:line="480"/>
        <w:jc w:val="center"/>
        <w:rPr>
          <w:rFonts w:ascii="Times New Roman" w:cs="Times New Roman" w:hAnsi="Times New Roman"/>
          <w:b/>
          <w:bCs/>
          <w:sz w:val="24"/>
          <w:szCs w:val="24"/>
        </w:rPr>
      </w:pPr>
    </w:p>
    <w:p w14:paraId="1C10EFA6">
      <w:pPr>
        <w:pStyle w:val="style0"/>
        <w:spacing w:after="0" w:lineRule="auto" w:line="480"/>
        <w:jc w:val="center"/>
        <w:rPr>
          <w:rFonts w:ascii="Times New Roman" w:cs="Times New Roman" w:hAnsi="Times New Roman"/>
          <w:b/>
          <w:bCs/>
          <w:sz w:val="24"/>
          <w:szCs w:val="24"/>
        </w:rPr>
      </w:pPr>
    </w:p>
    <w:p w14:paraId="50C668E1">
      <w:pPr>
        <w:pStyle w:val="style0"/>
        <w:spacing w:after="0" w:lineRule="auto" w:line="480"/>
        <w:jc w:val="center"/>
        <w:rPr>
          <w:rFonts w:ascii="Times New Roman" w:cs="Times New Roman" w:hAnsi="Times New Roman"/>
          <w:b/>
          <w:bCs/>
          <w:sz w:val="24"/>
          <w:szCs w:val="24"/>
        </w:rPr>
      </w:pPr>
    </w:p>
    <w:p w14:paraId="66B254B4">
      <w:pPr>
        <w:pStyle w:val="style0"/>
        <w:spacing w:after="0" w:lineRule="auto" w:line="480"/>
        <w:jc w:val="center"/>
        <w:rPr>
          <w:rFonts w:ascii="Times New Roman" w:cs="Times New Roman" w:hAnsi="Times New Roman"/>
          <w:b/>
          <w:bCs/>
          <w:sz w:val="24"/>
          <w:szCs w:val="24"/>
        </w:rPr>
      </w:pPr>
    </w:p>
    <w:p w14:paraId="63EFE399">
      <w:pPr>
        <w:pStyle w:val="style0"/>
        <w:spacing w:after="0" w:lineRule="auto" w:line="480"/>
        <w:jc w:val="center"/>
        <w:rPr>
          <w:rFonts w:ascii="Times New Roman" w:cs="Times New Roman" w:hAnsi="Times New Roman"/>
          <w:b/>
          <w:bCs/>
          <w:sz w:val="24"/>
          <w:szCs w:val="24"/>
        </w:rPr>
      </w:pPr>
    </w:p>
    <w:p w14:paraId="62687CD8">
      <w:pPr>
        <w:pStyle w:val="style0"/>
        <w:spacing w:after="0" w:lineRule="auto" w:line="480"/>
        <w:jc w:val="center"/>
        <w:rPr>
          <w:rFonts w:ascii="Times New Roman" w:cs="Times New Roman" w:hAnsi="Times New Roman"/>
          <w:b/>
          <w:bCs/>
          <w:sz w:val="24"/>
          <w:szCs w:val="24"/>
        </w:rPr>
      </w:pPr>
    </w:p>
    <w:p w14:paraId="5D8A432F">
      <w:pPr>
        <w:pStyle w:val="style0"/>
        <w:spacing w:after="0" w:lineRule="auto" w:line="480"/>
        <w:jc w:val="center"/>
        <w:rPr>
          <w:rFonts w:ascii="Times New Roman" w:cs="Times New Roman" w:hAnsi="Times New Roman"/>
          <w:b/>
          <w:bCs/>
          <w:sz w:val="24"/>
          <w:szCs w:val="24"/>
        </w:rPr>
      </w:pPr>
      <w:r>
        <w:rPr>
          <w:rFonts w:ascii="Times New Roman" w:cs="Times New Roman" w:hAnsi="Times New Roman"/>
          <w:b/>
          <w:bCs/>
          <w:sz w:val="24"/>
          <w:szCs w:val="24"/>
        </w:rPr>
        <w:t>CHAPTER ONE</w:t>
      </w:r>
    </w:p>
    <w:p w14:paraId="1C403E50">
      <w:pPr>
        <w:pStyle w:val="style0"/>
        <w:spacing w:after="0" w:lineRule="auto" w:line="480"/>
        <w:jc w:val="center"/>
        <w:rPr>
          <w:rFonts w:ascii="Times New Roman" w:cs="Times New Roman" w:hAnsi="Times New Roman"/>
          <w:b/>
          <w:bCs/>
          <w:sz w:val="24"/>
          <w:szCs w:val="24"/>
        </w:rPr>
      </w:pPr>
      <w:r>
        <w:rPr>
          <w:rFonts w:ascii="Times New Roman" w:cs="Times New Roman" w:hAnsi="Times New Roman"/>
          <w:b/>
          <w:bCs/>
          <w:sz w:val="24"/>
          <w:szCs w:val="24"/>
        </w:rPr>
        <w:t>INTRODUCTION</w:t>
      </w:r>
    </w:p>
    <w:p w14:paraId="67A34D8A">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1.1 Background to the Study</w:t>
      </w:r>
    </w:p>
    <w:p w14:paraId="7EE2961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relevance of education, as the cornerstone for the sociopolitical economic </w:t>
      </w:r>
      <w:r>
        <w:rPr>
          <w:rFonts w:ascii="Times New Roman" w:cs="Times New Roman" w:hAnsi="Times New Roman"/>
          <w:sz w:val="24"/>
          <w:szCs w:val="24"/>
        </w:rPr>
        <w:t>upliftment</w:t>
      </w:r>
      <w:r>
        <w:rPr>
          <w:rFonts w:ascii="Times New Roman" w:cs="Times New Roman" w:hAnsi="Times New Roman"/>
          <w:sz w:val="24"/>
          <w:szCs w:val="24"/>
        </w:rPr>
        <w:t xml:space="preserve"> of any nation has continued to grow. Education particularly a university education provides one with the needed knowledge, expertise, skills to profoundly enrich any society. It is often considered a right and a prerequisite for the progress of a country in Africa setting. </w:t>
      </w:r>
      <w:r>
        <w:rPr>
          <w:rFonts w:ascii="Times New Roman" w:cs="Times New Roman" w:hAnsi="Times New Roman"/>
          <w:sz w:val="24"/>
          <w:szCs w:val="24"/>
        </w:rPr>
        <w:t>Okech</w:t>
      </w:r>
      <w:r>
        <w:rPr>
          <w:rFonts w:ascii="Times New Roman" w:cs="Times New Roman" w:hAnsi="Times New Roman"/>
          <w:sz w:val="24"/>
          <w:szCs w:val="24"/>
        </w:rPr>
        <w:t xml:space="preserve"> and Rolleston (2018) observed that continent’s educational growth has facilitated increasing productivity, progress of technical innovation, and entrepreneurship. Economic growth is driven not necessarily by the resource bounty but through increase in quantity of human capital (skills, knowledge, and welfare). </w:t>
      </w:r>
    </w:p>
    <w:p w14:paraId="55A53DA8">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quality of this human resource is largely driven by investment on human capital especially in education (</w:t>
      </w:r>
      <w:r>
        <w:rPr>
          <w:rFonts w:ascii="Times New Roman" w:cs="Times New Roman" w:hAnsi="Times New Roman"/>
          <w:sz w:val="24"/>
          <w:szCs w:val="24"/>
        </w:rPr>
        <w:t>Romer</w:t>
      </w:r>
      <w:r>
        <w:rPr>
          <w:rFonts w:ascii="Times New Roman" w:cs="Times New Roman" w:hAnsi="Times New Roman"/>
          <w:sz w:val="24"/>
          <w:szCs w:val="24"/>
        </w:rPr>
        <w:t xml:space="preserve">, 1990) in endogenous growth theory. However, funding high-quality education necessitates a significant capital investment, which many developing countries have found challenging to meet through general budgeting alone due to fiscal deficits. To bridge the funding gap, governments across the world are resorting to specialized taxation. </w:t>
      </w:r>
    </w:p>
    <w:p w14:paraId="3F3B4A8C">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Corporate taxation and social infrastructure are known to work well together in developed economies. Taxes are instruments for infrastructure development and income redistribution, not just a source of funding for the government. Theoretically, the education sector generates skilled graduates who spur innovation and productivity in the private sector, which ultimately boosts the Gross Domestic Product (GDP), when the private sector contributes a portion of its profits to education.</w:t>
      </w:r>
    </w:p>
    <w:p w14:paraId="60A7A1A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narrative of educational funding in Nigeria has been one of intervention and struggle. Due to economic instability and decreasing oil revenues, Nigeria's education sector suffered an abrupt decline in the 1980s and early 1990s after the oil boom of the 1970s. The quality of </w:t>
      </w:r>
      <w:r>
        <w:rPr>
          <w:rFonts w:ascii="Times New Roman" w:cs="Times New Roman" w:hAnsi="Times New Roman"/>
          <w:sz w:val="24"/>
          <w:szCs w:val="24"/>
        </w:rPr>
        <w:t>graduates had decreased, and tertiary institutions' infrastructure had deteriorated by the early 1990s.</w:t>
      </w:r>
    </w:p>
    <w:p w14:paraId="19F1070B">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Following the long protracted protest by ASUU on the decayed conditions of public tertiary institutions which were in terrible states regarding infrastructural deficits, to the extent that most of the facilities for learning provided are presently shared by many </w:t>
      </w:r>
      <w:r>
        <w:rPr>
          <w:rFonts w:ascii="Times New Roman" w:cs="Times New Roman" w:hAnsi="Times New Roman"/>
          <w:sz w:val="24"/>
          <w:szCs w:val="24"/>
        </w:rPr>
        <w:t>programmes</w:t>
      </w:r>
      <w:r>
        <w:rPr>
          <w:rFonts w:ascii="Times New Roman" w:cs="Times New Roman" w:hAnsi="Times New Roman"/>
          <w:sz w:val="24"/>
          <w:szCs w:val="24"/>
        </w:rPr>
        <w:t xml:space="preserve"> of many faculties, the Federal Government eventually agreed that the current budgetary provision for the Education sector was not enough. The establishment of this Act was necessitated by the ever-declining standard of Education in the country and infrastructural decay of both primary and secondary institutions in Nigeria.</w:t>
      </w:r>
    </w:p>
    <w:p w14:paraId="4EA7EB2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It was also obvious that there was an urgent need for emergency funds to improve the infrastructure and facilities available at the school, to inspire the teachers and to attract and retain new and worthy staff, to introduce professionalism in the class, and to improve teacher training at all levels of education to help turn into the type of teacher he or she would grow to be: disciplined, devout, extremely high motivated and professional and to offer a working place that is ideal for learning and teaching. Following series of crises in the education sector that commenced in the 1980s from the beginning of the Structural Adjustment </w:t>
      </w:r>
      <w:r>
        <w:rPr>
          <w:rFonts w:ascii="Times New Roman" w:cs="Times New Roman" w:hAnsi="Times New Roman"/>
          <w:sz w:val="24"/>
          <w:szCs w:val="24"/>
        </w:rPr>
        <w:t>Programme</w:t>
      </w:r>
      <w:r>
        <w:rPr>
          <w:rFonts w:ascii="Times New Roman" w:cs="Times New Roman" w:hAnsi="Times New Roman"/>
          <w:sz w:val="24"/>
          <w:szCs w:val="24"/>
        </w:rPr>
        <w:t xml:space="preserve"> (SAP), where funding of education became a problem to the Federal Government (</w:t>
      </w:r>
      <w:r>
        <w:rPr>
          <w:rFonts w:ascii="Times New Roman" w:cs="Times New Roman" w:hAnsi="Times New Roman"/>
          <w:sz w:val="24"/>
          <w:szCs w:val="24"/>
        </w:rPr>
        <w:t>Eze</w:t>
      </w:r>
      <w:r>
        <w:rPr>
          <w:rFonts w:ascii="Times New Roman" w:cs="Times New Roman" w:hAnsi="Times New Roman"/>
          <w:sz w:val="24"/>
          <w:szCs w:val="24"/>
        </w:rPr>
        <w:t xml:space="preserve">, 2011) as it was contended that the Federal government alone cannot fund the educational system and the private sector needs to come in. This resulted to the disagreements between the Federal Government t and ASUU which led to the publication of the </w:t>
      </w:r>
      <w:r>
        <w:rPr>
          <w:rFonts w:ascii="Times New Roman" w:cs="Times New Roman" w:hAnsi="Times New Roman"/>
          <w:sz w:val="24"/>
          <w:szCs w:val="24"/>
        </w:rPr>
        <w:t>Lande</w:t>
      </w:r>
      <w:r>
        <w:rPr>
          <w:rFonts w:ascii="Times New Roman" w:cs="Times New Roman" w:hAnsi="Times New Roman"/>
          <w:sz w:val="24"/>
          <w:szCs w:val="24"/>
        </w:rPr>
        <w:t xml:space="preserve"> Committee Report and Negotiation of 1993. And from there, the thought of establishing an investment pool of tax payable, with the intention that one day an ETF would be established too.</w:t>
      </w:r>
    </w:p>
    <w:p w14:paraId="1AF49C1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Confronted with such situation, the federal government promulgated the Act No. 7 of 1993 establishing Tertiary Education Trust Fund, earlier then referred to as Education Tax Fund (ETF). It was renamed as Tertiary Education Trust Fund (Establishment, Etc.) Act No. 16 of </w:t>
      </w:r>
      <w:r>
        <w:rPr>
          <w:rFonts w:ascii="Times New Roman" w:cs="Times New Roman" w:hAnsi="Times New Roman"/>
          <w:sz w:val="24"/>
          <w:szCs w:val="24"/>
        </w:rPr>
        <w:t xml:space="preserve">2011 (and changed to it in 1998 via Act No. 40). </w:t>
      </w:r>
      <w:r>
        <w:rPr>
          <w:rFonts w:ascii="Times New Roman" w:cs="Times New Roman" w:hAnsi="Times New Roman"/>
          <w:sz w:val="24"/>
          <w:szCs w:val="24"/>
        </w:rPr>
        <w:t>TETFund</w:t>
      </w:r>
      <w:r>
        <w:rPr>
          <w:rFonts w:ascii="Times New Roman" w:cs="Times New Roman" w:hAnsi="Times New Roman"/>
          <w:sz w:val="24"/>
          <w:szCs w:val="24"/>
        </w:rPr>
        <w:t xml:space="preserve"> is an intervention agency meant to complement the efforts of the governments to supply the required finance to the nation’s institutions of learning by offering them with assets and launching initiatives.</w:t>
      </w:r>
    </w:p>
    <w:p w14:paraId="3516152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Statutory income of the Fund is 2% of the assessable profit of Nigerian registered companies like the companies carrying on production business or operation business in oil and gas sector, other business like Banks, Telecommunication, Information communication Technology, etc. The percentages were reviewed from time to time, starting from 2% to 2.5% via Finance Act 2021, to 3% via Finance Act 2023 which took effect September 2023. </w:t>
      </w:r>
    </w:p>
    <w:p w14:paraId="2B361C0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proceeds from the 3% Education Tax Levy are used for development and maintenance of infrastructures to further development and to assist in education development like the acquisition of academic journals, facilities for libraries and equipment, support for research and consultancy services, development of educational content, sponsorship of trainings, support for development of faculties etc.</w:t>
      </w:r>
    </w:p>
    <w:p w14:paraId="55DD645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When the fund was introduced, the Education Trust Fund was going to have an impact on all tertiary, secondary and primary educational tiers of Nigeria, but the federal government rebranded the fund to Tertiary Education Trust Fund in 2011 with a new mandate, targeting only the federal and state tertiary institutions that have colleges of education, polytechnics, and universities, all situated in Nigeria.</w:t>
      </w:r>
    </w:p>
    <w:p w14:paraId="295E97B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shift came about as they contended that universities are seedbeds for producing highly skilled </w:t>
      </w:r>
      <w:r>
        <w:rPr>
          <w:rFonts w:ascii="Times New Roman" w:cs="Times New Roman" w:hAnsi="Times New Roman"/>
          <w:sz w:val="24"/>
          <w:szCs w:val="24"/>
        </w:rPr>
        <w:t>labour</w:t>
      </w:r>
      <w:r>
        <w:rPr>
          <w:rFonts w:ascii="Times New Roman" w:cs="Times New Roman" w:hAnsi="Times New Roman"/>
          <w:sz w:val="24"/>
          <w:szCs w:val="24"/>
        </w:rPr>
        <w:t>, which powers a country's GDP and, therefore, must be their focus of sustained intervention efforts.</w:t>
      </w:r>
    </w:p>
    <w:p w14:paraId="2CEE75C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Education tax if appropriately collected and accounted for is expected to help TETFUND ensure that there are better learning facilitates, infrastructures, workshops are held for the students and teachers alike and ensure that students are productive and innovative as well. </w:t>
      </w:r>
    </w:p>
    <w:p w14:paraId="532A607D">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This increasing revenue and rate rise yet again to show a correlation directly with economic growth (real GDP) is open for empirical review, especially with a significant jump in joblessness and outward migration of skilled personnel ("brain drain"), which is typically in terms of seeking greener pasture as the Nigerian parlance would say (known as </w:t>
      </w:r>
      <w:r>
        <w:rPr>
          <w:rFonts w:ascii="Times New Roman" w:cs="Times New Roman" w:hAnsi="Times New Roman"/>
          <w:sz w:val="24"/>
          <w:szCs w:val="24"/>
        </w:rPr>
        <w:t>Japa</w:t>
      </w:r>
      <w:r>
        <w:rPr>
          <w:rFonts w:ascii="Times New Roman" w:cs="Times New Roman" w:hAnsi="Times New Roman"/>
          <w:sz w:val="24"/>
          <w:szCs w:val="24"/>
        </w:rPr>
        <w:t>), has and remains a pressing societal menace. Industrial growth has not shown a notable upsurge neither; nor is it a paradox that tax revenue to educational funding rose when economic productivity of human capital had not proportionally impacted on the real GDP? The study will therefore examine the effects of the education tax in Nigeria on real GDP for 10 years, from 2014-2024, a period of crucial Nigerian policies and economic activities. The findings shall aid future policy makers and as regards effectiveness of the educational tax.</w:t>
      </w:r>
    </w:p>
    <w:p w14:paraId="1BC47088">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1.2 Statement of the Problem </w:t>
      </w:r>
    </w:p>
    <w:p w14:paraId="5A1DD211">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Nigerian education sector and the country's overall economy paint a contradictory picture, even though the Education Tax has been consistently collected since its introduction in 1993 and trillions of Naira have been added to the Tertiary Education Trust Fund (</w:t>
      </w:r>
      <w:r>
        <w:rPr>
          <w:rFonts w:ascii="Times New Roman" w:cs="Times New Roman" w:hAnsi="Times New Roman"/>
          <w:sz w:val="24"/>
          <w:szCs w:val="24"/>
        </w:rPr>
        <w:t>TETFund</w:t>
      </w:r>
      <w:r>
        <w:rPr>
          <w:rFonts w:ascii="Times New Roman" w:cs="Times New Roman" w:hAnsi="Times New Roman"/>
          <w:sz w:val="24"/>
          <w:szCs w:val="24"/>
        </w:rPr>
        <w:t xml:space="preserve">). </w:t>
      </w:r>
    </w:p>
    <w:p w14:paraId="4510CD0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Education tax revenue has grown notably over the study period from 189.61 billion in 2014 to 725.75 billion in 2023. The Nigerian Revenue service (NRS) reported record-breaking education tax collections between 2014 and 2023, yet there is </w:t>
      </w:r>
      <w:r>
        <w:rPr>
          <w:rFonts w:ascii="Times New Roman" w:cs="Times New Roman" w:hAnsi="Times New Roman"/>
          <w:sz w:val="24"/>
          <w:szCs w:val="24"/>
        </w:rPr>
        <w:t>still</w:t>
      </w:r>
      <w:r>
        <w:rPr>
          <w:rFonts w:ascii="Times New Roman" w:cs="Times New Roman" w:hAnsi="Times New Roman"/>
          <w:sz w:val="24"/>
          <w:szCs w:val="24"/>
        </w:rPr>
        <w:t xml:space="preserve"> much disagreement over the expected “spillover effect” on the economy as measured by the economic growth indicators. </w:t>
      </w:r>
    </w:p>
    <w:p w14:paraId="3095C91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primary issue is the mismatch between economic results and revenue generation. Theoretically, higher education tax revenue should result in better tertiary institution infrastructure, better human capital, and eventually strong economic growth. But the reality of the reviewed period (2014–2023) shows a different narrative.</w:t>
      </w:r>
    </w:p>
    <w:p w14:paraId="7D4FC7B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Declining Education Quality: Nigerian universities have experienced protracted strikes, such as the eight-month ASUU strike in 2022, despite increased funding. This has resulted in a “brain drain" (</w:t>
      </w:r>
      <w:r>
        <w:rPr>
          <w:rFonts w:ascii="Times New Roman" w:cs="Times New Roman" w:hAnsi="Times New Roman"/>
          <w:sz w:val="24"/>
          <w:szCs w:val="24"/>
        </w:rPr>
        <w:t>Japa</w:t>
      </w:r>
      <w:r>
        <w:rPr>
          <w:rFonts w:ascii="Times New Roman" w:cs="Times New Roman" w:hAnsi="Times New Roman"/>
          <w:sz w:val="24"/>
          <w:szCs w:val="24"/>
        </w:rPr>
        <w:t xml:space="preserve"> syndrome), where the economy loses its skilled workforce to other </w:t>
      </w:r>
      <w:r>
        <w:rPr>
          <w:rFonts w:ascii="Times New Roman" w:cs="Times New Roman" w:hAnsi="Times New Roman"/>
          <w:sz w:val="24"/>
          <w:szCs w:val="24"/>
        </w:rPr>
        <w:t xml:space="preserve">countries. It is compounded by the issue that although Nigeria recorded a hike in tax proceeds in this category over years, the education tax still proved inadequate to entirely meet the funding demand of its tertiary intuitions. From the study of </w:t>
      </w:r>
      <w:r>
        <w:rPr>
          <w:rFonts w:ascii="Times New Roman" w:cs="Times New Roman" w:hAnsi="Times New Roman"/>
          <w:sz w:val="24"/>
          <w:szCs w:val="24"/>
        </w:rPr>
        <w:t>Omodero</w:t>
      </w:r>
      <w:r>
        <w:rPr>
          <w:rFonts w:ascii="Times New Roman" w:cs="Times New Roman" w:hAnsi="Times New Roman"/>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 xml:space="preserve"> (2017), education tax revenue is considered to have a limitation in its ability to provide sufficient financing for academics in Nigeria, while research by </w:t>
      </w:r>
      <w:r>
        <w:rPr>
          <w:rFonts w:ascii="Times New Roman" w:cs="Times New Roman" w:hAnsi="Times New Roman"/>
          <w:sz w:val="24"/>
          <w:szCs w:val="24"/>
        </w:rPr>
        <w:t>Adavbiele</w:t>
      </w:r>
      <w:r>
        <w:rPr>
          <w:rFonts w:ascii="Times New Roman" w:cs="Times New Roman" w:hAnsi="Times New Roman"/>
          <w:sz w:val="24"/>
          <w:szCs w:val="24"/>
        </w:rPr>
        <w:t xml:space="preserve"> (2016) on Nigeria's education trust fund revealed how inefficient internal control has plagued the trust fund, leading to poor outcomes in its impact, and increasing the risks of wastage and misallocation of funds despite its development role in tertiary institutions.</w:t>
      </w:r>
    </w:p>
    <w:p w14:paraId="78AD0A2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Corporate Burden: Companies were previously enjoying a substantial tax reprieve through low rate of education tax of 2%t but the latest increases (to 2.5% in 2021 and 3% in 2023) have had substantial dent on private companies accumulated profits (retained earnings). With decrease of private capital stocks due to this, private investment and the growth of the companies could thus not increase this is in opposition to the objective that government will achieve with this economic growth. Similar findings as highlighted by </w:t>
      </w:r>
      <w:r>
        <w:rPr>
          <w:rFonts w:ascii="Times New Roman" w:cs="Times New Roman" w:hAnsi="Times New Roman"/>
          <w:sz w:val="24"/>
          <w:szCs w:val="24"/>
        </w:rPr>
        <w:t>Ani</w:t>
      </w:r>
      <w:r>
        <w:rPr>
          <w:rFonts w:ascii="Times New Roman" w:cs="Times New Roman" w:hAnsi="Times New Roman"/>
          <w:sz w:val="24"/>
          <w:szCs w:val="24"/>
        </w:rPr>
        <w:t xml:space="preserve"> and </w:t>
      </w:r>
      <w:r>
        <w:rPr>
          <w:rFonts w:ascii="Times New Roman" w:cs="Times New Roman" w:hAnsi="Times New Roman"/>
          <w:sz w:val="24"/>
          <w:szCs w:val="24"/>
        </w:rPr>
        <w:t>Mbah</w:t>
      </w:r>
      <w:r>
        <w:rPr>
          <w:rFonts w:ascii="Times New Roman" w:cs="Times New Roman" w:hAnsi="Times New Roman"/>
          <w:sz w:val="24"/>
          <w:szCs w:val="24"/>
        </w:rPr>
        <w:t xml:space="preserve"> (2021) stated, although the work indicated a significant positive impact of education tax on private equity and firms’ earning per share in the production sectors of the Nigerian economy, yet education tax imposes pressure on firm return on investment that the costs associated with it can outweigh its benefit to the private sector. Consequently, this study seeks to determine empirically, the true performance role of the education tax, is it now, just one financial burden to the private sector and minimally contributing to the real GDP; or it a viable economic instrument to drive economic growth by developing human capital development.</w:t>
      </w:r>
    </w:p>
    <w:p w14:paraId="216B31D8">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1.3 Objectives of the Study</w:t>
      </w:r>
    </w:p>
    <w:p w14:paraId="2863DD7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broad objective of the study is to examine the effect of education tax on economic growth of Nigeria (2014-2023). The specific objectives are to: </w:t>
      </w:r>
    </w:p>
    <w:p w14:paraId="1A333E2D">
      <w:pPr>
        <w:pStyle w:val="style179"/>
        <w:numPr>
          <w:ilvl w:val="0"/>
          <w:numId w:val="8"/>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Examine the effects of education tax on Gross Domestic Product (GDP). </w:t>
      </w:r>
    </w:p>
    <w:p w14:paraId="3AE4FD12">
      <w:pPr>
        <w:pStyle w:val="style179"/>
        <w:numPr>
          <w:ilvl w:val="0"/>
          <w:numId w:val="8"/>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Determine the effect of education tax on Gross National Income (GNI).</w:t>
      </w:r>
    </w:p>
    <w:p w14:paraId="7DCD6245">
      <w:pPr>
        <w:pStyle w:val="style179"/>
        <w:numPr>
          <w:ilvl w:val="0"/>
          <w:numId w:val="8"/>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Evaluate the effect of education tax on Human Capital Development (HCD). </w:t>
      </w:r>
    </w:p>
    <w:p w14:paraId="4B3FDCE3">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1.4 Research Questions</w:t>
      </w:r>
    </w:p>
    <w:p w14:paraId="6C09D8FD">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To guide the investigation, this study will address the following key questions: </w:t>
      </w:r>
    </w:p>
    <w:p w14:paraId="50D64AA9">
      <w:pPr>
        <w:pStyle w:val="style179"/>
        <w:numPr>
          <w:ilvl w:val="0"/>
          <w:numId w:val="10"/>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What are the effects of education tax on Gross Domestic Product (GDP)? </w:t>
      </w:r>
    </w:p>
    <w:p w14:paraId="47FB0CD6">
      <w:pPr>
        <w:pStyle w:val="style179"/>
        <w:numPr>
          <w:ilvl w:val="0"/>
          <w:numId w:val="10"/>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What are the effects of education tax on Gross National Income (GNI)? </w:t>
      </w:r>
    </w:p>
    <w:p w14:paraId="0528469C">
      <w:pPr>
        <w:pStyle w:val="style179"/>
        <w:numPr>
          <w:ilvl w:val="0"/>
          <w:numId w:val="10"/>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What are the effects of education tax on Human Capital Development (HCD)? </w:t>
      </w:r>
    </w:p>
    <w:p w14:paraId="7529927B">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1.5 Research Hypotheses</w:t>
      </w:r>
    </w:p>
    <w:p w14:paraId="56E56148">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 xml:space="preserve"> H</w:t>
      </w:r>
      <w:r>
        <w:rPr>
          <w:rFonts w:ascii="Times New Roman" w:cs="Times New Roman" w:hAnsi="Times New Roman"/>
          <w:b/>
          <w:sz w:val="24"/>
          <w:szCs w:val="24"/>
          <w:vertAlign w:val="subscript"/>
        </w:rPr>
        <w:t>01</w:t>
      </w:r>
      <w:r>
        <w:rPr>
          <w:rFonts w:ascii="Times New Roman" w:cs="Times New Roman" w:hAnsi="Times New Roman"/>
          <w:b/>
          <w:sz w:val="24"/>
          <w:szCs w:val="24"/>
        </w:rPr>
        <w:t>:</w:t>
      </w:r>
      <w:r>
        <w:rPr>
          <w:rFonts w:ascii="Times New Roman" w:cs="Times New Roman" w:hAnsi="Times New Roman"/>
          <w:sz w:val="24"/>
          <w:szCs w:val="24"/>
        </w:rPr>
        <w:t xml:space="preserve"> Education tax has no significant effect on Gross Domestic Product (GDP). </w:t>
      </w:r>
    </w:p>
    <w:p w14:paraId="38D1F6E0">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H</w:t>
      </w:r>
      <w:r>
        <w:rPr>
          <w:rFonts w:ascii="Times New Roman" w:cs="Times New Roman" w:hAnsi="Times New Roman"/>
          <w:b/>
          <w:sz w:val="24"/>
          <w:szCs w:val="24"/>
          <w:vertAlign w:val="subscript"/>
        </w:rPr>
        <w:t>02</w:t>
      </w:r>
      <w:r>
        <w:rPr>
          <w:rFonts w:ascii="Times New Roman" w:cs="Times New Roman" w:hAnsi="Times New Roman"/>
          <w:b/>
          <w:sz w:val="24"/>
          <w:szCs w:val="24"/>
        </w:rPr>
        <w:t>:</w:t>
      </w:r>
      <w:r>
        <w:rPr>
          <w:rFonts w:ascii="Times New Roman" w:cs="Times New Roman" w:hAnsi="Times New Roman"/>
          <w:sz w:val="24"/>
          <w:szCs w:val="24"/>
        </w:rPr>
        <w:t xml:space="preserve"> Education tax has no significant effect on Gross National Income (GNI).</w:t>
      </w:r>
    </w:p>
    <w:p w14:paraId="69F8C28B">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 xml:space="preserve"> H</w:t>
      </w:r>
      <w:r>
        <w:rPr>
          <w:rFonts w:ascii="Times New Roman" w:cs="Times New Roman" w:hAnsi="Times New Roman"/>
          <w:b/>
          <w:sz w:val="24"/>
          <w:szCs w:val="24"/>
          <w:vertAlign w:val="subscript"/>
        </w:rPr>
        <w:t>03</w:t>
      </w:r>
      <w:r>
        <w:rPr>
          <w:rFonts w:ascii="Times New Roman" w:cs="Times New Roman" w:hAnsi="Times New Roman"/>
          <w:b/>
          <w:sz w:val="24"/>
          <w:szCs w:val="24"/>
        </w:rPr>
        <w:t>:</w:t>
      </w:r>
      <w:r>
        <w:rPr>
          <w:rFonts w:ascii="Times New Roman" w:cs="Times New Roman" w:hAnsi="Times New Roman"/>
          <w:sz w:val="24"/>
          <w:szCs w:val="24"/>
        </w:rPr>
        <w:t xml:space="preserve"> Education tax has no significant effect on Human Capital Development (HCD). </w:t>
      </w:r>
    </w:p>
    <w:p w14:paraId="074C402B">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1.6 Significance of the Study</w:t>
      </w:r>
    </w:p>
    <w:p w14:paraId="134653CB">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Government Organizations and Policy Makers:</w:t>
      </w:r>
      <w:r>
        <w:rPr>
          <w:rFonts w:ascii="Times New Roman" w:cs="Times New Roman" w:hAnsi="Times New Roman"/>
          <w:sz w:val="24"/>
          <w:szCs w:val="24"/>
        </w:rPr>
        <w:t xml:space="preserve"> Particularly the Tertiary Education Trust Fund (</w:t>
      </w:r>
      <w:r>
        <w:rPr>
          <w:rFonts w:ascii="Times New Roman" w:cs="Times New Roman" w:hAnsi="Times New Roman"/>
          <w:sz w:val="24"/>
          <w:szCs w:val="24"/>
        </w:rPr>
        <w:t>TETFund</w:t>
      </w:r>
      <w:r>
        <w:rPr>
          <w:rFonts w:ascii="Times New Roman" w:cs="Times New Roman" w:hAnsi="Times New Roman"/>
          <w:sz w:val="24"/>
          <w:szCs w:val="24"/>
        </w:rPr>
        <w:t>), the Federal Ministry of Education, and the Nigeria Revenue Service (NRS). The study's conclusions will help these organizations create more efficient plans for raising, distributing, and tracking education tax revenue to attain the best possible economic results. Additionally, it will help review current policies to make sure that the funds collected via education taxes is put to good use in improving national development.</w:t>
      </w:r>
    </w:p>
    <w:p w14:paraId="0C093FA2">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Tertiary Institutions and School Administrators:</w:t>
      </w:r>
      <w:r>
        <w:rPr>
          <w:rFonts w:ascii="Times New Roman" w:cs="Times New Roman" w:hAnsi="Times New Roman"/>
          <w:sz w:val="24"/>
          <w:szCs w:val="24"/>
        </w:rPr>
        <w:t xml:space="preserve"> They ought to emphasize the significance of efficiency and openness when using </w:t>
      </w:r>
      <w:r>
        <w:rPr>
          <w:rFonts w:ascii="Times New Roman" w:cs="Times New Roman" w:hAnsi="Times New Roman"/>
          <w:sz w:val="24"/>
          <w:szCs w:val="24"/>
        </w:rPr>
        <w:t>TETFund</w:t>
      </w:r>
      <w:r>
        <w:rPr>
          <w:rFonts w:ascii="Times New Roman" w:cs="Times New Roman" w:hAnsi="Times New Roman"/>
          <w:sz w:val="24"/>
          <w:szCs w:val="24"/>
        </w:rPr>
        <w:t xml:space="preserve"> resources. Universities and polytechnics may be encouraged to match their development initiatives with national economic goals if they are aware of how education tax funds affect overall economic performance. </w:t>
      </w:r>
    </w:p>
    <w:p w14:paraId="59DAD5C2">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Researchers, Students and Scholars:</w:t>
      </w:r>
      <w:r>
        <w:rPr>
          <w:rFonts w:ascii="Times New Roman" w:cs="Times New Roman" w:hAnsi="Times New Roman"/>
          <w:sz w:val="24"/>
          <w:szCs w:val="24"/>
        </w:rPr>
        <w:t xml:space="preserve"> Students, researchers, and scholars who are interested in examining the connection between education financing and macroeconomic performance can use the research as a reference It is builds on the literature on economic development, </w:t>
      </w:r>
      <w:r>
        <w:rPr>
          <w:rFonts w:ascii="Times New Roman" w:cs="Times New Roman" w:hAnsi="Times New Roman"/>
          <w:sz w:val="24"/>
          <w:szCs w:val="24"/>
        </w:rPr>
        <w:t>taxation, and public finance in general and particularly on that, which concentrates on the developing economies such as Nigerian.</w:t>
      </w:r>
    </w:p>
    <w:p w14:paraId="3B475E40">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 xml:space="preserve">The Public: </w:t>
      </w:r>
      <w:r>
        <w:rPr>
          <w:rFonts w:ascii="Times New Roman" w:cs="Times New Roman" w:hAnsi="Times New Roman"/>
          <w:sz w:val="24"/>
          <w:szCs w:val="24"/>
        </w:rPr>
        <w:t>It intends to inform the public about how the funds generated by the Education Tax are utilized and how they eventually support the growth of the country's human capital and its economic growth.</w:t>
      </w:r>
    </w:p>
    <w:p w14:paraId="3BF790DF">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1.7 Scope of the Study</w:t>
      </w:r>
    </w:p>
    <w:p w14:paraId="237D89C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scope of this study is the determination, via the use of national level data on the effect of the education tax on economic growth of Nigeria during the 10-year period 2014 - 2023. Reason is because, data for some variables were not readily available at the time of carrying out this research.</w:t>
      </w:r>
    </w:p>
    <w:p w14:paraId="221AD402">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1.8 Definition of Terms </w:t>
      </w:r>
    </w:p>
    <w:p w14:paraId="7A442637">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Education Tax</w:t>
      </w:r>
    </w:p>
    <w:p w14:paraId="237B15D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A compulsory levy imposed on the taxable profit of every company registered and doing business in Nigeria of which they are compelled to pay is known as Education Tax. The fund raised or derived from the profit of every registered company would solely be utilized for the development of the education sector. </w:t>
      </w:r>
    </w:p>
    <w:p w14:paraId="44020810">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Tertiary Education Trust Fund (TETFUND)</w:t>
      </w:r>
    </w:p>
    <w:p w14:paraId="1CFC2CAD">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It is a body established by the government to be the management body for education tax with the central aim being the provision of necessary learning facilities, equipment and research works for public tertiary Institutions in project management and service delivery. </w:t>
      </w:r>
    </w:p>
    <w:p w14:paraId="114A9AAE">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Economic Growth</w:t>
      </w:r>
    </w:p>
    <w:p w14:paraId="761CB0AB">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This implies sustained rise in the rate of production of goods and services within a nation over time, or sustained increase in output per person. This growth is typically measured in terms of overall output of goods and services manufactured in an economy. </w:t>
      </w:r>
    </w:p>
    <w:p w14:paraId="6CA26C4C">
      <w:pPr>
        <w:pStyle w:val="style0"/>
        <w:spacing w:after="0" w:lineRule="auto" w:line="480"/>
        <w:jc w:val="both"/>
        <w:rPr>
          <w:rFonts w:ascii="Times New Roman" w:cs="Times New Roman" w:hAnsi="Times New Roman"/>
          <w:sz w:val="24"/>
          <w:szCs w:val="24"/>
        </w:rPr>
      </w:pPr>
    </w:p>
    <w:p w14:paraId="45B27772">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Gross Domestic Product</w:t>
      </w:r>
    </w:p>
    <w:p w14:paraId="6A9D3CD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sum in money’s worth of all finished </w:t>
      </w:r>
      <w:r>
        <w:rPr>
          <w:rFonts w:ascii="Times New Roman" w:cs="Times New Roman" w:hAnsi="Times New Roman"/>
          <w:sz w:val="24"/>
          <w:szCs w:val="24"/>
        </w:rPr>
        <w:t>good</w:t>
      </w:r>
      <w:r>
        <w:rPr>
          <w:rFonts w:ascii="Times New Roman" w:cs="Times New Roman" w:hAnsi="Times New Roman"/>
          <w:sz w:val="24"/>
          <w:szCs w:val="24"/>
        </w:rPr>
        <w:t xml:space="preserve"> and services manufactured in a given year. GDP covers </w:t>
      </w:r>
      <w:r>
        <w:rPr>
          <w:rFonts w:ascii="Times New Roman" w:cs="Times New Roman" w:hAnsi="Times New Roman"/>
          <w:sz w:val="24"/>
          <w:szCs w:val="24"/>
        </w:rPr>
        <w:t>good</w:t>
      </w:r>
      <w:r>
        <w:rPr>
          <w:rFonts w:ascii="Times New Roman" w:cs="Times New Roman" w:hAnsi="Times New Roman"/>
          <w:sz w:val="24"/>
          <w:szCs w:val="24"/>
        </w:rPr>
        <w:t xml:space="preserve"> and services that are manufactured within a country’s boarder. </w:t>
      </w:r>
    </w:p>
    <w:p w14:paraId="2D33B137">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Gross National Income</w:t>
      </w:r>
    </w:p>
    <w:p w14:paraId="33224BCB">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This can be thought of as a similar indicator for overall national income; the total revenue that all individuals in a particular nation generated within a given year G NI = GDP + received and receivable income from foreign sources. Subtracted from the former is income paid abroad. To the measure and in effect is given a per-head value. </w:t>
      </w:r>
    </w:p>
    <w:p w14:paraId="45C28928">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Human Capital Development</w:t>
      </w:r>
    </w:p>
    <w:p w14:paraId="5314984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Human development implies the procedure by which individual strengths and capacities are identified and boosted. It also implies encouraging the development of those capacities, skills, through training and acquisition of knowledge for the general betterment of the company, society or nation.</w:t>
      </w:r>
    </w:p>
    <w:p w14:paraId="58229FFA">
      <w:pPr>
        <w:pStyle w:val="style0"/>
        <w:spacing w:after="0" w:lineRule="auto" w:line="480"/>
        <w:jc w:val="both"/>
        <w:rPr>
          <w:rFonts w:ascii="Times New Roman" w:cs="Times New Roman" w:hAnsi="Times New Roman"/>
          <w:sz w:val="24"/>
          <w:szCs w:val="24"/>
        </w:rPr>
      </w:pPr>
    </w:p>
    <w:p w14:paraId="43601EE6">
      <w:pPr>
        <w:pStyle w:val="style0"/>
        <w:spacing w:after="0" w:lineRule="auto" w:line="480"/>
        <w:jc w:val="both"/>
        <w:rPr>
          <w:rFonts w:ascii="Times New Roman" w:cs="Times New Roman" w:hAnsi="Times New Roman"/>
          <w:sz w:val="24"/>
          <w:szCs w:val="24"/>
        </w:rPr>
      </w:pPr>
    </w:p>
    <w:p w14:paraId="598E38AB">
      <w:pPr>
        <w:pStyle w:val="style0"/>
        <w:spacing w:after="0" w:lineRule="auto" w:line="480"/>
        <w:jc w:val="both"/>
        <w:rPr>
          <w:rFonts w:ascii="Times New Roman" w:cs="Times New Roman" w:hAnsi="Times New Roman"/>
          <w:sz w:val="24"/>
          <w:szCs w:val="24"/>
        </w:rPr>
      </w:pPr>
    </w:p>
    <w:p w14:paraId="4020CD2A">
      <w:pPr>
        <w:pStyle w:val="style0"/>
        <w:spacing w:after="0" w:lineRule="auto" w:line="480"/>
        <w:jc w:val="both"/>
        <w:rPr>
          <w:rFonts w:ascii="Times New Roman" w:cs="Times New Roman" w:hAnsi="Times New Roman"/>
          <w:sz w:val="24"/>
          <w:szCs w:val="24"/>
        </w:rPr>
      </w:pPr>
    </w:p>
    <w:p w14:paraId="456BA451">
      <w:pPr>
        <w:pStyle w:val="style0"/>
        <w:spacing w:after="0" w:lineRule="auto" w:line="480"/>
        <w:jc w:val="both"/>
        <w:rPr>
          <w:rFonts w:ascii="Times New Roman" w:cs="Times New Roman" w:hAnsi="Times New Roman"/>
          <w:sz w:val="24"/>
          <w:szCs w:val="24"/>
        </w:rPr>
      </w:pPr>
    </w:p>
    <w:p w14:paraId="4D8B8C05">
      <w:pPr>
        <w:pStyle w:val="style0"/>
        <w:spacing w:after="0" w:lineRule="auto" w:line="480"/>
        <w:jc w:val="both"/>
        <w:rPr>
          <w:rFonts w:ascii="Times New Roman" w:cs="Times New Roman" w:hAnsi="Times New Roman"/>
          <w:sz w:val="24"/>
          <w:szCs w:val="24"/>
        </w:rPr>
      </w:pPr>
    </w:p>
    <w:p w14:paraId="7D87786D">
      <w:pPr>
        <w:pStyle w:val="style0"/>
        <w:spacing w:after="0" w:lineRule="auto" w:line="480"/>
        <w:jc w:val="both"/>
        <w:rPr>
          <w:rFonts w:ascii="Times New Roman" w:cs="Times New Roman" w:hAnsi="Times New Roman"/>
          <w:sz w:val="24"/>
          <w:szCs w:val="24"/>
        </w:rPr>
      </w:pPr>
    </w:p>
    <w:p w14:paraId="5123DAEB">
      <w:pPr>
        <w:pStyle w:val="style0"/>
        <w:spacing w:after="0" w:lineRule="auto" w:line="480"/>
        <w:jc w:val="both"/>
        <w:rPr>
          <w:rFonts w:ascii="Times New Roman" w:cs="Times New Roman" w:hAnsi="Times New Roman"/>
          <w:sz w:val="24"/>
          <w:szCs w:val="24"/>
        </w:rPr>
      </w:pPr>
    </w:p>
    <w:p w14:paraId="679243CF">
      <w:pPr>
        <w:pStyle w:val="style0"/>
        <w:spacing w:after="0" w:lineRule="auto" w:line="480"/>
        <w:jc w:val="both"/>
        <w:rPr>
          <w:rFonts w:ascii="Times New Roman" w:cs="Times New Roman" w:hAnsi="Times New Roman"/>
          <w:sz w:val="24"/>
          <w:szCs w:val="24"/>
        </w:rPr>
      </w:pPr>
    </w:p>
    <w:p w14:paraId="71403F40">
      <w:pPr>
        <w:pStyle w:val="style0"/>
        <w:spacing w:after="0" w:lineRule="auto" w:line="480"/>
        <w:jc w:val="both"/>
        <w:rPr>
          <w:rFonts w:ascii="Times New Roman" w:cs="Times New Roman" w:hAnsi="Times New Roman"/>
          <w:sz w:val="24"/>
          <w:szCs w:val="24"/>
        </w:rPr>
      </w:pPr>
    </w:p>
    <w:p w14:paraId="48C77F66">
      <w:pPr>
        <w:pStyle w:val="style0"/>
        <w:spacing w:after="0" w:lineRule="auto" w:line="480"/>
        <w:jc w:val="both"/>
        <w:rPr>
          <w:rFonts w:ascii="Times New Roman" w:cs="Times New Roman" w:hAnsi="Times New Roman"/>
          <w:sz w:val="24"/>
          <w:szCs w:val="24"/>
        </w:rPr>
      </w:pPr>
    </w:p>
    <w:p w14:paraId="286F3D5B">
      <w:pPr>
        <w:pStyle w:val="style0"/>
        <w:spacing w:after="0" w:lineRule="auto" w:line="480"/>
        <w:jc w:val="both"/>
        <w:rPr>
          <w:rFonts w:ascii="Times New Roman" w:cs="Times New Roman" w:hAnsi="Times New Roman"/>
          <w:sz w:val="24"/>
          <w:szCs w:val="24"/>
        </w:rPr>
      </w:pPr>
    </w:p>
    <w:p w14:paraId="6CD00ABF">
      <w:pPr>
        <w:pStyle w:val="style0"/>
        <w:spacing w:after="0" w:lineRule="auto" w:line="480"/>
        <w:jc w:val="center"/>
        <w:rPr>
          <w:rFonts w:ascii="Times New Roman" w:cs="Times New Roman" w:hAnsi="Times New Roman"/>
          <w:b/>
          <w:bCs/>
          <w:sz w:val="24"/>
          <w:szCs w:val="24"/>
        </w:rPr>
      </w:pPr>
      <w:r>
        <w:rPr>
          <w:rFonts w:ascii="Times New Roman" w:cs="Times New Roman" w:hAnsi="Times New Roman"/>
          <w:b/>
          <w:bCs/>
          <w:sz w:val="24"/>
          <w:szCs w:val="24"/>
        </w:rPr>
        <w:t>CHAPTER TWO</w:t>
      </w:r>
    </w:p>
    <w:p w14:paraId="043939E0">
      <w:pPr>
        <w:pStyle w:val="style0"/>
        <w:spacing w:after="0" w:lineRule="auto" w:line="480"/>
        <w:jc w:val="center"/>
        <w:rPr>
          <w:rFonts w:ascii="Times New Roman" w:cs="Times New Roman" w:hAnsi="Times New Roman"/>
          <w:b/>
          <w:bCs/>
          <w:sz w:val="24"/>
          <w:szCs w:val="24"/>
        </w:rPr>
      </w:pPr>
      <w:r>
        <w:rPr>
          <w:rFonts w:ascii="Times New Roman" w:cs="Times New Roman" w:hAnsi="Times New Roman"/>
          <w:b/>
          <w:bCs/>
          <w:sz w:val="24"/>
          <w:szCs w:val="24"/>
        </w:rPr>
        <w:t>REVIEW OF RELATED LITERATURE</w:t>
      </w:r>
    </w:p>
    <w:p w14:paraId="226DFCDA">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2.1 Conceptual Review</w:t>
      </w:r>
    </w:p>
    <w:p w14:paraId="7089ECB1">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2.1.1 Tax</w:t>
      </w:r>
    </w:p>
    <w:p w14:paraId="764A36A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A tax is a financial levy imposed on a person or entity by a governmental organization. Taxes are collected by governments to pay for their services and expenditures, and/or to encourage or discourage certain </w:t>
      </w:r>
      <w:r>
        <w:rPr>
          <w:rFonts w:ascii="Times New Roman" w:cs="Times New Roman" w:hAnsi="Times New Roman"/>
          <w:sz w:val="24"/>
          <w:szCs w:val="24"/>
        </w:rPr>
        <w:t>behaviours</w:t>
      </w:r>
      <w:r>
        <w:rPr>
          <w:rFonts w:ascii="Times New Roman" w:cs="Times New Roman" w:hAnsi="Times New Roman"/>
          <w:sz w:val="24"/>
          <w:szCs w:val="24"/>
        </w:rPr>
        <w:t xml:space="preserve">, or to regulate or reduce negative externalities. Tax is not a penal but compulsory movement from the private to the public sector that is imposed by the authority on all the taxable entities in return of which they receive non-specific service of the public goods and in return are not expected of </w:t>
      </w:r>
      <w:r>
        <w:rPr>
          <w:rFonts w:ascii="Times New Roman" w:cs="Times New Roman" w:hAnsi="Times New Roman"/>
          <w:sz w:val="24"/>
          <w:szCs w:val="24"/>
        </w:rPr>
        <w:t>individualised</w:t>
      </w:r>
      <w:r>
        <w:rPr>
          <w:rFonts w:ascii="Times New Roman" w:cs="Times New Roman" w:hAnsi="Times New Roman"/>
          <w:sz w:val="24"/>
          <w:szCs w:val="24"/>
        </w:rPr>
        <w:t xml:space="preserve"> returns of whatsoever has been paid and collected. </w:t>
      </w:r>
    </w:p>
    <w:p w14:paraId="181FF50C">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Onwuchekwa</w:t>
      </w:r>
      <w:r>
        <w:rPr>
          <w:rFonts w:ascii="Times New Roman" w:cs="Times New Roman" w:hAnsi="Times New Roman"/>
          <w:sz w:val="24"/>
          <w:szCs w:val="24"/>
        </w:rPr>
        <w:t xml:space="preserve"> and </w:t>
      </w:r>
      <w:r>
        <w:rPr>
          <w:rFonts w:ascii="Times New Roman" w:cs="Times New Roman" w:hAnsi="Times New Roman"/>
          <w:sz w:val="24"/>
          <w:szCs w:val="24"/>
        </w:rPr>
        <w:t>Aruwa</w:t>
      </w:r>
      <w:r>
        <w:rPr>
          <w:rFonts w:ascii="Times New Roman" w:cs="Times New Roman" w:hAnsi="Times New Roman"/>
          <w:sz w:val="24"/>
          <w:szCs w:val="24"/>
        </w:rPr>
        <w:t xml:space="preserve">, 2014) On the same context the above, according to tax revenue collection process at local level, there defined tax in similar tone in these way- "Tax are not voluntarily imposed; they are imposed by and for the state." </w:t>
      </w:r>
    </w:p>
    <w:p w14:paraId="1D088662">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"Tax represent a payment enforced from a citizen" so, thus education tax is one kind of tax. They also defined and said, “A tax is a compulsive payment made by all those whom it is applied without regard for any service directly provided by government.” A tax is a compulsory payment that may be levied by a government upon private individuals or firms, to fund the general costs of government. Taxes generally differ from taxes or user fees as taxes pay for benefits, like for a specific service. </w:t>
      </w:r>
    </w:p>
    <w:p w14:paraId="6B1819D7">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Thus, tax are generally mandatory fees, and what is more compulsory because no, you must pay regardless the fact of getting </w:t>
      </w:r>
      <w:r>
        <w:rPr>
          <w:rFonts w:ascii="Times New Roman" w:cs="Times New Roman" w:hAnsi="Times New Roman"/>
          <w:sz w:val="24"/>
          <w:szCs w:val="24"/>
        </w:rPr>
        <w:t>individualised</w:t>
      </w:r>
      <w:r>
        <w:rPr>
          <w:rFonts w:ascii="Times New Roman" w:cs="Times New Roman" w:hAnsi="Times New Roman"/>
          <w:sz w:val="24"/>
          <w:szCs w:val="24"/>
        </w:rPr>
        <w:t xml:space="preserve"> benefit.  </w:t>
      </w:r>
    </w:p>
    <w:p w14:paraId="16A44EC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Bassett (2013) concluded about a tax by stating as such, there are four characteristics of tax •A compulsory levy. A tax is defined as compulsory payment or contribution by individuals, business or any economic agents to government of country for various functions in the country </w:t>
      </w:r>
      <w:r>
        <w:rPr>
          <w:rFonts w:ascii="Times New Roman" w:cs="Times New Roman" w:hAnsi="Times New Roman"/>
          <w:sz w:val="24"/>
          <w:szCs w:val="24"/>
        </w:rPr>
        <w:t>which does not involve a direct individual benefit. • A general burden on all taxpayer(s). Every taxpayer has obligation to pay tax to the authority. • Tax payment is made on the assumption that taxpayer’s benefit is not in proportion to the contribution to government revenue. The payment of tax doesn’t mean the person will receive direct and comparable amount of goods and services as what has been paid to the government. • A tax is not to cover specific benefits provided to a taxpayer. A tax is levied irrespective of how it is collected and spent. A taxpayer is entitled to nothing directly, for payment of the tax. The taxpayer must pay taxes simply because of obligation towards the community to facilitate and ensure the continuity of government functions in rendering services that would benefit all.</w:t>
      </w:r>
    </w:p>
    <w:p w14:paraId="38701EDC">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2.1.2 Education Tax </w:t>
      </w:r>
    </w:p>
    <w:p w14:paraId="405CB89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Education Tax is one of Nigeria’s efforts toward funding of the sector which started when the military government introduced an Act of National Assembly that established an interventionist agency in promoting higher education which was called Education Tax Fund. In 1993, the agency was known as Education Trust Fund with objectives of financing primary, secondary &amp; tertiary education. It was put in place on 1st January 1993 through Act No 7 of 1993, and this agency was later called Tertiary Education Trust Fund (</w:t>
      </w:r>
      <w:r>
        <w:rPr>
          <w:rFonts w:ascii="Times New Roman" w:cs="Times New Roman" w:hAnsi="Times New Roman"/>
          <w:sz w:val="24"/>
          <w:szCs w:val="24"/>
        </w:rPr>
        <w:t>TETFund</w:t>
      </w:r>
      <w:r>
        <w:rPr>
          <w:rFonts w:ascii="Times New Roman" w:cs="Times New Roman" w:hAnsi="Times New Roman"/>
          <w:sz w:val="24"/>
          <w:szCs w:val="24"/>
        </w:rPr>
        <w:t xml:space="preserve">) through Act No 40 of 1998 that was later repealed through Tertiary Education Trust Fund (Establishment, </w:t>
      </w:r>
      <w:r>
        <w:rPr>
          <w:rFonts w:ascii="Times New Roman" w:cs="Times New Roman" w:hAnsi="Times New Roman"/>
          <w:sz w:val="24"/>
          <w:szCs w:val="24"/>
        </w:rPr>
        <w:t>Etc</w:t>
      </w:r>
      <w:r>
        <w:rPr>
          <w:rFonts w:ascii="Times New Roman" w:cs="Times New Roman" w:hAnsi="Times New Roman"/>
          <w:sz w:val="24"/>
          <w:szCs w:val="24"/>
        </w:rPr>
        <w:t xml:space="preserve">) Act No 16 of 2011. </w:t>
      </w:r>
    </w:p>
    <w:p w14:paraId="40222417">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Education Tax Fund is an intervention agency of Federal Government aimed at adding value in teaching, learning and research with the primary purpose of improving our institutions through standard practice in teaching, learning, and research so as to restore and revive institutions to improve the standard of tertiary education in Nigeria; to provide and expand public tertiary infrastructure facilities; expand and improve the quality of teaching, learning to provide the wherewithal for research and development. The main source of fund is Education </w:t>
      </w:r>
      <w:r>
        <w:rPr>
          <w:rFonts w:ascii="Times New Roman" w:cs="Times New Roman" w:hAnsi="Times New Roman"/>
          <w:sz w:val="24"/>
          <w:szCs w:val="24"/>
        </w:rPr>
        <w:t xml:space="preserve">Tax from where funds are sourced from 3% of the assessable profits of Nigerian companies as the tax to be paid in the bank of the Education Tax Fund. </w:t>
      </w:r>
    </w:p>
    <w:p w14:paraId="78CF58C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In 2021, the taxes were increased to 2.5% using 2021 Finance Act and further increased to 3% by the 2023 Finance Act to be paid in the account of Education Tax fund from September 2023. The collected Education tax fund shall be used for the general enhancement of standard of Education, facilities for learning &amp; research, purchase of equipment etc. In 1993, the agency was known as Education Trust Fund with objectives of financing primary, secondary &amp; tertiary education. </w:t>
      </w:r>
    </w:p>
    <w:p w14:paraId="458D9CA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While in 2011 it was replaced by TETFUND with the aim of the fund to boost the standard of tertiary education, particularly the public universities, colleges of education, Polytechnic and others as the role is vital in developing adequate manpower resource, for high Caliber humans resources and technical knowledge in ensuring national growth through an increase in GDP of the country.</w:t>
      </w:r>
    </w:p>
    <w:p w14:paraId="64BF0B07">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2.1.3 Economic Growth </w:t>
      </w:r>
    </w:p>
    <w:p w14:paraId="10170860">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This measures the value of production of the economy from all goods and services. In other words, the measure of economic output for the economy in that time frame. Economic growth is defined by </w:t>
      </w:r>
      <w:r>
        <w:rPr>
          <w:rFonts w:ascii="Times New Roman" w:cs="Times New Roman" w:hAnsi="Times New Roman"/>
          <w:sz w:val="24"/>
          <w:szCs w:val="24"/>
        </w:rPr>
        <w:t>Dwivedi</w:t>
      </w:r>
      <w:r>
        <w:rPr>
          <w:rFonts w:ascii="Times New Roman" w:cs="Times New Roman" w:hAnsi="Times New Roman"/>
          <w:sz w:val="24"/>
          <w:szCs w:val="24"/>
        </w:rPr>
        <w:t xml:space="preserve"> (2004) as increase in per-head real national product which goes on persistently and for an extended time frame. This indicates that the increase in products must be larger than an increase in the population. Economic growth is normally described as a change in the size of an economy over a period.</w:t>
      </w:r>
    </w:p>
    <w:p w14:paraId="5EA915E0">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Nominal economic growth measures the change in dollar value of goods and services manufactured by an economy. The change may include changes in the volume of goods and services manufactured, in addition to changes in their prices. Real growth in the economy only considers the amount of additional goods and services manufactured within that period. The economy can be defined as total output of goods and services within an economy or GDP </w:t>
      </w:r>
      <w:r>
        <w:rPr>
          <w:rFonts w:ascii="Times New Roman" w:cs="Times New Roman" w:hAnsi="Times New Roman"/>
          <w:sz w:val="24"/>
          <w:szCs w:val="24"/>
        </w:rPr>
        <w:t>(Gross Domestic Product). An economy’s overall dollar amount of goods and services growing within a period is called an expansion in monetary value of goods and services.</w:t>
      </w:r>
    </w:p>
    <w:p w14:paraId="17B92BC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A resultant factor of this could be the change in number of goods and services that has been made in an economy, along with price. Many economists call growth in the number of goods and services only, not having consideration of changes in price, real economic growth.</w:t>
      </w:r>
    </w:p>
    <w:p w14:paraId="35D09535">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2.1.4 Gross Domestic Product </w:t>
      </w:r>
    </w:p>
    <w:p w14:paraId="1DF8E307">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GDP refers to the aggregate of a country’s monetary value of all finished products and services that has been manufactured within the country’s physical boundaries, for example, the entire world, a continent, and a county within a specific timeslot; in general this means over a particular calendar year or quarter, regardless of the origin of their manufacturing origin. GDP’s calculation can be reached in 3 ways, each with similar results and they also happen to reflect different facets of the economy – namely expenditure based, that adds up Private consumption, Gross Investment, Government Expenditures, and Net Exports (C+I+G+X M), Income based where all incomes paid out for productive activities are summed including: wagers, profits, rents, and interest payments, or a Production/Value Added basis where for each phase of production for all firms the value added is included in the sum to ensure we are not counting goods twice.</w:t>
      </w:r>
    </w:p>
    <w:p w14:paraId="702A5609">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2.1.5 Gross National Income</w:t>
      </w:r>
    </w:p>
    <w:p w14:paraId="233396F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Like GNP, which we covered previously, GNI (Gross National Income) is a measure of income that expands the scope of the measure to look at how much money is earned by the residents of a country and businesses operated by residents, irrespective of the place where that income originates from. Formally expressed as GNI = GDP + Net Primary Income from Abroad, it incorporates cross-border flows of employee compensation, investment income such as dividends and interest, and retained earnings of foreign subsidiaries, subtracting equivalent payments made to foreign residents operating domestically. The conceptual distinction </w:t>
      </w:r>
      <w:r>
        <w:rPr>
          <w:rFonts w:ascii="Times New Roman" w:cs="Times New Roman" w:hAnsi="Times New Roman"/>
          <w:sz w:val="24"/>
          <w:szCs w:val="24"/>
        </w:rPr>
        <w:t>between the two indicators is therefore territorial versus ownership-based: GDP captures what is produced within a nation's borders, while GNI captures what is earned by a nation's residents globally.</w:t>
      </w:r>
    </w:p>
    <w:p w14:paraId="0D32AF8A">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2.1.6 Human Capital Development</w:t>
      </w:r>
    </w:p>
    <w:p w14:paraId="6C84EAA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concept of human capital indicates all people's knowledge capabilities, skill, competencies and personal characteristics, which they derive from training education and work experience. It shows the productive potential in the </w:t>
      </w:r>
      <w:r>
        <w:rPr>
          <w:rFonts w:ascii="Times New Roman" w:cs="Times New Roman" w:hAnsi="Times New Roman"/>
          <w:sz w:val="24"/>
          <w:szCs w:val="24"/>
        </w:rPr>
        <w:t>labour</w:t>
      </w:r>
      <w:r>
        <w:rPr>
          <w:rFonts w:ascii="Times New Roman" w:cs="Times New Roman" w:hAnsi="Times New Roman"/>
          <w:sz w:val="24"/>
          <w:szCs w:val="24"/>
        </w:rPr>
        <w:t xml:space="preserve"> skills that the employees possess and is regarded as an asset. It is intangible compared to material capital, but the development of the concept can significantly influence the process of growth in several economies and at the heart of it lies the philosophy that the key to organizational success depends upon people being the strongest asset to the company. Developing such a capital through various projects can help organization in increasing and improving work force capabilities through training skill upgrading. Human capital development is identified as the development and </w:t>
      </w:r>
      <w:r>
        <w:rPr>
          <w:rFonts w:ascii="Times New Roman" w:cs="Times New Roman" w:hAnsi="Times New Roman"/>
          <w:sz w:val="24"/>
          <w:szCs w:val="24"/>
        </w:rPr>
        <w:t>optimisation</w:t>
      </w:r>
      <w:r>
        <w:rPr>
          <w:rFonts w:ascii="Times New Roman" w:cs="Times New Roman" w:hAnsi="Times New Roman"/>
          <w:sz w:val="24"/>
          <w:szCs w:val="24"/>
        </w:rPr>
        <w:t xml:space="preserve"> of humans within the </w:t>
      </w:r>
      <w:r>
        <w:rPr>
          <w:rFonts w:ascii="Times New Roman" w:cs="Times New Roman" w:hAnsi="Times New Roman"/>
          <w:sz w:val="24"/>
          <w:szCs w:val="24"/>
        </w:rPr>
        <w:t>labour</w:t>
      </w:r>
      <w:r>
        <w:rPr>
          <w:rFonts w:ascii="Times New Roman" w:cs="Times New Roman" w:hAnsi="Times New Roman"/>
          <w:sz w:val="24"/>
          <w:szCs w:val="24"/>
        </w:rPr>
        <w:t xml:space="preserve"> force. Human capital development </w:t>
      </w:r>
      <w:r>
        <w:rPr>
          <w:rFonts w:ascii="Times New Roman" w:cs="Times New Roman" w:hAnsi="Times New Roman"/>
          <w:sz w:val="24"/>
          <w:szCs w:val="24"/>
        </w:rPr>
        <w:t>centres</w:t>
      </w:r>
      <w:r>
        <w:rPr>
          <w:rFonts w:ascii="Times New Roman" w:cs="Times New Roman" w:hAnsi="Times New Roman"/>
          <w:sz w:val="24"/>
          <w:szCs w:val="24"/>
        </w:rPr>
        <w:t xml:space="preserve"> </w:t>
      </w:r>
      <w:r>
        <w:rPr>
          <w:rFonts w:ascii="Times New Roman" w:cs="Times New Roman" w:hAnsi="Times New Roman"/>
          <w:sz w:val="24"/>
          <w:szCs w:val="24"/>
        </w:rPr>
        <w:t>around</w:t>
      </w:r>
      <w:r>
        <w:rPr>
          <w:rFonts w:ascii="Times New Roman" w:cs="Times New Roman" w:hAnsi="Times New Roman"/>
          <w:sz w:val="24"/>
          <w:szCs w:val="24"/>
        </w:rPr>
        <w:t xml:space="preserve"> the notion that the individuals within an organization are the most productive assets they have</w:t>
      </w:r>
    </w:p>
    <w:p w14:paraId="422A878B">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2.2 Theoretical Review</w:t>
      </w:r>
    </w:p>
    <w:p w14:paraId="749EC3F9">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2.2.1 Endogenous Growth Theory</w:t>
      </w:r>
    </w:p>
    <w:p w14:paraId="09D1178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This was formulated by Paul </w:t>
      </w:r>
      <w:r>
        <w:rPr>
          <w:rFonts w:ascii="Times New Roman" w:cs="Times New Roman" w:hAnsi="Times New Roman"/>
          <w:sz w:val="24"/>
          <w:szCs w:val="24"/>
        </w:rPr>
        <w:t>Romer</w:t>
      </w:r>
      <w:r>
        <w:rPr>
          <w:rFonts w:ascii="Times New Roman" w:cs="Times New Roman" w:hAnsi="Times New Roman"/>
          <w:sz w:val="24"/>
          <w:szCs w:val="24"/>
        </w:rPr>
        <w:t xml:space="preserve"> (1986; 1990), and Robert Lucas (1988). The most prominent features are that it postulates endogenous origins of economic growth through actions of individuals, governments, and firms as opposed to the </w:t>
      </w:r>
      <w:r>
        <w:rPr>
          <w:rFonts w:ascii="Times New Roman" w:cs="Times New Roman" w:hAnsi="Times New Roman"/>
          <w:sz w:val="24"/>
          <w:szCs w:val="24"/>
        </w:rPr>
        <w:t>neoclassicals</w:t>
      </w:r>
      <w:r>
        <w:rPr>
          <w:rFonts w:ascii="Times New Roman" w:cs="Times New Roman" w:hAnsi="Times New Roman"/>
          <w:sz w:val="24"/>
          <w:szCs w:val="24"/>
        </w:rPr>
        <w:t xml:space="preserve">’ tendency to regard technology advances exogenously. Education seems to be a critical element to ensure sustainable long-term growth and aims at clarifying how economic growth can stem from internal causes, which for these authors range between Knowledge, innovation, technological innovation and Strategic investment, </w:t>
      </w:r>
      <w:r>
        <w:rPr>
          <w:rFonts w:ascii="Times New Roman" w:cs="Times New Roman" w:hAnsi="Times New Roman"/>
          <w:sz w:val="24"/>
          <w:szCs w:val="24"/>
        </w:rPr>
        <w:t>etc</w:t>
      </w:r>
      <w:r>
        <w:rPr>
          <w:rFonts w:ascii="Times New Roman" w:cs="Times New Roman" w:hAnsi="Times New Roman"/>
          <w:sz w:val="24"/>
          <w:szCs w:val="24"/>
        </w:rPr>
        <w:t xml:space="preserve"> instead of from exogenous factors. As Knowledge, which is non-rival (i.e. That a person may use it simultaneously and it may serve the community </w:t>
      </w:r>
      <w:r>
        <w:rPr>
          <w:rFonts w:ascii="Times New Roman" w:cs="Times New Roman" w:hAnsi="Times New Roman"/>
          <w:sz w:val="24"/>
          <w:szCs w:val="24"/>
        </w:rPr>
        <w:t xml:space="preserve">without diminishing its quantity) and partially non-exclusive (i.e. There are mechanisms to prevent its use, or its costs of access are positive), it is considered to provide positive externalities on society; in such a way that all those who are producing physical and non-physical goods and services are more efficient. This creates spillover effect where educated graduates drive industrial innovation thereby increasing the national GDP It identifies accumulated human knowledge as the primary driver of growth and shows that private investment in knowledge-generating activities including education, research will be systematically below the socially optimal level, because individual firms cannot fully capture the spillover benefits their investments create for the rest </w:t>
      </w:r>
      <w:r>
        <w:rPr>
          <w:rFonts w:ascii="Times New Roman" w:cs="Times New Roman" w:hAnsi="Times New Roman"/>
          <w:sz w:val="24"/>
          <w:szCs w:val="24"/>
        </w:rPr>
        <w:t>of  the</w:t>
      </w:r>
      <w:r>
        <w:rPr>
          <w:rFonts w:ascii="Times New Roman" w:cs="Times New Roman" w:hAnsi="Times New Roman"/>
          <w:sz w:val="24"/>
          <w:szCs w:val="24"/>
        </w:rPr>
        <w:t xml:space="preserve"> economy.  Under </w:t>
      </w:r>
      <w:r>
        <w:rPr>
          <w:rFonts w:ascii="Times New Roman" w:cs="Times New Roman" w:hAnsi="Times New Roman"/>
          <w:sz w:val="24"/>
          <w:szCs w:val="24"/>
        </w:rPr>
        <w:t>Romer's</w:t>
      </w:r>
      <w:r>
        <w:rPr>
          <w:rFonts w:ascii="Times New Roman" w:cs="Times New Roman" w:hAnsi="Times New Roman"/>
          <w:sz w:val="24"/>
          <w:szCs w:val="24"/>
        </w:rPr>
        <w:t xml:space="preserve"> model of endogenous technological change, the growth of output per person and new knowledge depends on how many people are engaged in knowledge-based jobs.</w:t>
      </w:r>
    </w:p>
    <w:p w14:paraId="35814BD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In as much as the Endogenous Growth theory holds predictions, there are limitations that needs to be acknowledged especially in the Nigerian context in which some of the predictions don’t hold. First, it presumes that investment in education translates efficiently into human capital. This presumption is disregarded when educational institutions are poorly managed, when curricula are misaligned with </w:t>
      </w:r>
      <w:r>
        <w:rPr>
          <w:rFonts w:ascii="Times New Roman" w:cs="Times New Roman" w:hAnsi="Times New Roman"/>
          <w:sz w:val="24"/>
          <w:szCs w:val="24"/>
        </w:rPr>
        <w:t>labour</w:t>
      </w:r>
      <w:r>
        <w:rPr>
          <w:rFonts w:ascii="Times New Roman" w:cs="Times New Roman" w:hAnsi="Times New Roman"/>
          <w:sz w:val="24"/>
          <w:szCs w:val="24"/>
        </w:rPr>
        <w:t xml:space="preserve"> market needs, or when graduates migrate rather than contributing to the domestic economy. The persistent brain drain in Nigeria the “JAPA SYNDROME” represents a structural lag in the endogenous growth mechanism: TETFUND produces graduates and researchers, but a significant portion leave the country, taking their human capital with them and reducing the spillover benefits that should accrue to Nigeria's economy.</w:t>
      </w:r>
    </w:p>
    <w:p w14:paraId="3C48871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second is that Lucas (1988) makes assumptions on the location in which the externalities to human capital occur, for example being domestic. When the private sector does not take in the graduates produced by the education system as evidenced by Nigeria's high graduate unemployment rate, the domestic spillover effect is reduced. The human capital stock may be </w:t>
      </w:r>
      <w:r>
        <w:rPr>
          <w:rFonts w:ascii="Times New Roman" w:cs="Times New Roman" w:hAnsi="Times New Roman"/>
          <w:sz w:val="24"/>
          <w:szCs w:val="24"/>
        </w:rPr>
        <w:t>rising (consistent with improving HDI values), but if graduates are underemployed, the productivity channel from education to GDP and GNI remains weak.</w:t>
      </w:r>
    </w:p>
    <w:p w14:paraId="4572AE4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These limitations do not invalidate the theoretical framework but rather puts into perspective the empirical results of this study. Even where the observed link between education tax and economic growth appears not strong but positive, it may be that the endogenous growth mechanisms are not inherently weak per se but the operating of those mechanisms </w:t>
      </w:r>
    </w:p>
    <w:p w14:paraId="5B95CE5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in</w:t>
      </w:r>
      <w:r>
        <w:rPr>
          <w:rFonts w:ascii="Times New Roman" w:cs="Times New Roman" w:hAnsi="Times New Roman"/>
          <w:sz w:val="24"/>
          <w:szCs w:val="24"/>
        </w:rPr>
        <w:t xml:space="preserve"> Nigeria’s context is dampened by Nigeria’s peculiar institutional bottlenecks.</w:t>
      </w:r>
    </w:p>
    <w:p w14:paraId="1D199794">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2.2.2 Human Capital Theory</w:t>
      </w:r>
    </w:p>
    <w:p w14:paraId="79D8D68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This is primarily proposed by Gray Becker (1964) and Theodore Schultz (1961). This theory sees education as a sort of investment where firms spend on schooling to improve the productivity of their workers, thus improving its performance in the future. Investment in training and schooling increases </w:t>
      </w:r>
      <w:r>
        <w:rPr>
          <w:rFonts w:ascii="Times New Roman" w:cs="Times New Roman" w:hAnsi="Times New Roman"/>
          <w:sz w:val="24"/>
          <w:szCs w:val="24"/>
        </w:rPr>
        <w:t>labour’s</w:t>
      </w:r>
      <w:r>
        <w:rPr>
          <w:rFonts w:ascii="Times New Roman" w:cs="Times New Roman" w:hAnsi="Times New Roman"/>
          <w:sz w:val="24"/>
          <w:szCs w:val="24"/>
        </w:rPr>
        <w:t xml:space="preserve"> productivity; this investment, in turn, has long-run benefits such as greater income. It was in the 1960s that the theory emerged from scholars like Ted Schultz, a Nobel </w:t>
      </w:r>
      <w:r>
        <w:rPr>
          <w:rFonts w:ascii="Times New Roman" w:cs="Times New Roman" w:hAnsi="Times New Roman"/>
          <w:sz w:val="24"/>
          <w:szCs w:val="24"/>
        </w:rPr>
        <w:t>prize</w:t>
      </w:r>
      <w:r>
        <w:rPr>
          <w:rFonts w:ascii="Times New Roman" w:cs="Times New Roman" w:hAnsi="Times New Roman"/>
          <w:sz w:val="24"/>
          <w:szCs w:val="24"/>
        </w:rPr>
        <w:t xml:space="preserve"> recipient in economics, and Gary Becker who tried to offer explanations for the disparities in occupational earnings and occupational training systems. It </w:t>
      </w:r>
      <w:r>
        <w:rPr>
          <w:rFonts w:ascii="Times New Roman" w:cs="Times New Roman" w:hAnsi="Times New Roman"/>
          <w:sz w:val="24"/>
          <w:szCs w:val="24"/>
        </w:rPr>
        <w:t>conceptualises</w:t>
      </w:r>
      <w:r>
        <w:rPr>
          <w:rFonts w:ascii="Times New Roman" w:cs="Times New Roman" w:hAnsi="Times New Roman"/>
          <w:sz w:val="24"/>
          <w:szCs w:val="24"/>
        </w:rPr>
        <w:t xml:space="preserve"> training as one type of an investment a person decides to undertake with expected returns over a lifetime in the form of wages. </w:t>
      </w:r>
    </w:p>
    <w:p w14:paraId="0EAB5AC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human capital model shows that people invest in their own human capital by having accepted lower wages at one time in compensation for higher pay over subsequent work. </w:t>
      </w:r>
    </w:p>
    <w:p w14:paraId="5EC74F40">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Such returns from an investment come in the form of higher future productivity and incomes. However, researchers claim that the theory did not consider other aspects of </w:t>
      </w:r>
      <w:r>
        <w:rPr>
          <w:rFonts w:ascii="Times New Roman" w:cs="Times New Roman" w:hAnsi="Times New Roman"/>
          <w:sz w:val="24"/>
          <w:szCs w:val="24"/>
        </w:rPr>
        <w:t>labour</w:t>
      </w:r>
      <w:r>
        <w:rPr>
          <w:rFonts w:ascii="Times New Roman" w:cs="Times New Roman" w:hAnsi="Times New Roman"/>
          <w:sz w:val="24"/>
          <w:szCs w:val="24"/>
        </w:rPr>
        <w:t xml:space="preserve"> market such as skill portability, differences in wages between countries/regions and sectors, etc.</w:t>
      </w:r>
    </w:p>
    <w:p w14:paraId="1F382FDB">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theory argues that education improves skills, knowledge, and competencies, thereby increasing </w:t>
      </w:r>
      <w:r>
        <w:rPr>
          <w:rFonts w:ascii="Times New Roman" w:cs="Times New Roman" w:hAnsi="Times New Roman"/>
          <w:sz w:val="24"/>
          <w:szCs w:val="24"/>
        </w:rPr>
        <w:t>labour</w:t>
      </w:r>
      <w:r>
        <w:rPr>
          <w:rFonts w:ascii="Times New Roman" w:cs="Times New Roman" w:hAnsi="Times New Roman"/>
          <w:sz w:val="24"/>
          <w:szCs w:val="24"/>
        </w:rPr>
        <w:t xml:space="preserve"> productivity and national output. The sole purpose of the theory is to explain that education and training are not just consumption goods, but investments that boosts an </w:t>
      </w:r>
      <w:r>
        <w:rPr>
          <w:rFonts w:ascii="Times New Roman" w:cs="Times New Roman" w:hAnsi="Times New Roman"/>
          <w:sz w:val="24"/>
          <w:szCs w:val="24"/>
        </w:rPr>
        <w:t xml:space="preserve">individual's productivity and, by extension, a nation's wealth. These expenditures are investment in human capital not just government spending, and they enhance the education quality, acquisition of skills, educated and skilled workers which improves overall efficiency, innovativeness of the workforce and higher output by the workers of firms. Countries that invest more in education will experience faster growth of the economy. The theory views resources spent on education not as consumption, but as productive investment that brings forth future economic returns. Therefore, education tax affects the economic growth through human capital formation. </w:t>
      </w:r>
    </w:p>
    <w:p w14:paraId="4990A3B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This study is anchored on the Endogenous growth theory. It opines that as the government taxes the firm to build schools the corporation makes a transition of profit to human capital which will ultimately result into a skilled workforce leading to enhanced productivity and hence, economic growth. Thus; it explains why Nigerian governments have come to require education tax as. Private entities wouldn't be producing 'public goods' like education through investment without the facilitation and intervention of the state's taxation regime. In addition, knowledge doesn't exhibit decreasing returns like some inputs do but instead show increasing return i.e. the more a society knows the easier the society can innovate further if, funding is being put to efficient use that may drive innovation.</w:t>
      </w:r>
    </w:p>
    <w:p w14:paraId="4CE5CEC4">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2.3 Empirical Review</w:t>
      </w:r>
    </w:p>
    <w:p w14:paraId="273A17E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In relation to the effect of education tax on the growth and development of the Nigerian economy, some studies were carried out by some academics. Some of which are:</w:t>
      </w:r>
    </w:p>
    <w:p w14:paraId="7AB31B67">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Effect of Corporate and Tertiary Education taxation in economic growth of Nigeria” was studied by </w:t>
      </w:r>
      <w:r>
        <w:rPr>
          <w:rFonts w:ascii="Times New Roman" w:cs="Times New Roman" w:hAnsi="Times New Roman"/>
          <w:sz w:val="24"/>
          <w:szCs w:val="24"/>
        </w:rPr>
        <w:t>Inyiama</w:t>
      </w:r>
      <w:r>
        <w:rPr>
          <w:rFonts w:ascii="Times New Roman" w:cs="Times New Roman" w:hAnsi="Times New Roman"/>
          <w:sz w:val="24"/>
          <w:szCs w:val="24"/>
        </w:rPr>
        <w:t xml:space="preserve"> and </w:t>
      </w:r>
      <w:r>
        <w:rPr>
          <w:rFonts w:ascii="Times New Roman" w:cs="Times New Roman" w:hAnsi="Times New Roman"/>
          <w:sz w:val="24"/>
          <w:szCs w:val="24"/>
        </w:rPr>
        <w:t>Nwankwo</w:t>
      </w:r>
      <w:r>
        <w:rPr>
          <w:rFonts w:ascii="Times New Roman" w:cs="Times New Roman" w:hAnsi="Times New Roman"/>
          <w:sz w:val="24"/>
          <w:szCs w:val="24"/>
        </w:rPr>
        <w:t xml:space="preserve"> (2016). The objective was to find the effect of corporate tax and education tax in growth of Nigerian economy. For this study, data used for estimation were annual reports of some selected corporations, Nigerian Stock Exchange </w:t>
      </w:r>
      <w:r>
        <w:rPr>
          <w:rFonts w:ascii="Times New Roman" w:cs="Times New Roman" w:hAnsi="Times New Roman"/>
          <w:sz w:val="24"/>
          <w:szCs w:val="24"/>
        </w:rPr>
        <w:t>Factbook</w:t>
      </w:r>
      <w:r>
        <w:rPr>
          <w:rFonts w:ascii="Times New Roman" w:cs="Times New Roman" w:hAnsi="Times New Roman"/>
          <w:sz w:val="24"/>
          <w:szCs w:val="24"/>
        </w:rPr>
        <w:t xml:space="preserve">, CBN statistical bulletin, and other literature materials. To test the hypotheses, a single regression </w:t>
      </w:r>
      <w:r>
        <w:rPr>
          <w:rFonts w:ascii="Times New Roman" w:cs="Times New Roman" w:hAnsi="Times New Roman"/>
          <w:sz w:val="24"/>
          <w:szCs w:val="24"/>
        </w:rPr>
        <w:t xml:space="preserve">method was utilized. The relationships that exist between variables under investigation including dependent variables were </w:t>
      </w:r>
      <w:r>
        <w:rPr>
          <w:rFonts w:ascii="Times New Roman" w:cs="Times New Roman" w:hAnsi="Times New Roman"/>
          <w:sz w:val="24"/>
          <w:szCs w:val="24"/>
        </w:rPr>
        <w:t>analysed</w:t>
      </w:r>
      <w:r>
        <w:rPr>
          <w:rFonts w:ascii="Times New Roman" w:cs="Times New Roman" w:hAnsi="Times New Roman"/>
          <w:sz w:val="24"/>
          <w:szCs w:val="24"/>
        </w:rPr>
        <w:t xml:space="preserve"> using correlation analysis. The results showed that company income tax and Tertiary Education Tax exert a statistically significant influence on the Nigerian GDP. The independent variables employed were Tertiary education tax and Company income tax and dependent variable GDP. Research results shows that both education and income tax contribute to GDP growth positively and highly. Hence, the paper concluded that governments through tax agencies at any of the local, state, or federal levels should supply a detailed list of taxable products and services to help avoid dual taxation and conflicts of interest.</w:t>
      </w:r>
    </w:p>
    <w:p w14:paraId="442F4A9C">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Sebki</w:t>
      </w:r>
      <w:r>
        <w:rPr>
          <w:rFonts w:ascii="Times New Roman" w:cs="Times New Roman" w:hAnsi="Times New Roman"/>
          <w:sz w:val="24"/>
          <w:szCs w:val="24"/>
        </w:rPr>
        <w:t xml:space="preserve"> (2021) did research with title "Education and Economic Growth in Developing Countries: Empirical Evidence from GMM Estimators for Dynamic Panel Data." The objective of the research was to demonstrate the effects of rates of enrolment of secondary and higher education for developing country group with a sample of 40. In the research, a dynamic panel data for the period from 2000-2016 had been used to calculate the model estimates based on GMM techniques. GMM estimation of the models through Arellano and Bond estimator or also called dynamic panel data regression (difference GMM estimator) show positive and significant relationship between rate of enrolment in higher education and economic growth. Based on these results, the study suggested that embracing a systemic reform in the educational systems in the world to assure the quality, relevance and consistency of secondary and tertiary education for the economy. The world economy being more reliant than any other time on the knowledge economy and technology should enhance the quality, not quantity, of higher education while encouraging collaborative growth. With assistance of internationally active </w:t>
      </w:r>
      <w:r>
        <w:rPr>
          <w:rFonts w:ascii="Times New Roman" w:cs="Times New Roman" w:hAnsi="Times New Roman"/>
          <w:sz w:val="24"/>
          <w:szCs w:val="24"/>
        </w:rPr>
        <w:t>organisations</w:t>
      </w:r>
      <w:r>
        <w:rPr>
          <w:rFonts w:ascii="Times New Roman" w:cs="Times New Roman" w:hAnsi="Times New Roman"/>
          <w:sz w:val="24"/>
          <w:szCs w:val="24"/>
        </w:rPr>
        <w:t xml:space="preserve"> in terms of development of human capital, local academic community may learn by integrating current world best knowledge base to grow human capital. </w:t>
      </w:r>
    </w:p>
    <w:p w14:paraId="654E16D0">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impact of education tax on human capital development was conducted by </w:t>
      </w:r>
      <w:r>
        <w:rPr>
          <w:rFonts w:ascii="Times New Roman" w:cs="Times New Roman" w:hAnsi="Times New Roman"/>
          <w:sz w:val="24"/>
          <w:szCs w:val="24"/>
        </w:rPr>
        <w:t>Adejare</w:t>
      </w:r>
      <w:r>
        <w:rPr>
          <w:rFonts w:ascii="Times New Roman" w:cs="Times New Roman" w:hAnsi="Times New Roman"/>
          <w:sz w:val="24"/>
          <w:szCs w:val="24"/>
        </w:rPr>
        <w:t xml:space="preserve"> (2017) with research titled “Empirical analysis of the effect of education tax on human capital development in Nigeria.” It assessed the short run, long run effect of education tax on human capital development and the relation with another variable. Education tax has positive and significant impact on human capital development in the short run and long run in Nigeria. </w:t>
      </w:r>
      <w:r>
        <w:rPr>
          <w:rFonts w:ascii="Times New Roman" w:cs="Times New Roman" w:hAnsi="Times New Roman"/>
          <w:sz w:val="24"/>
          <w:szCs w:val="24"/>
        </w:rPr>
        <w:t>Adejare</w:t>
      </w:r>
      <w:r>
        <w:rPr>
          <w:rFonts w:ascii="Times New Roman" w:cs="Times New Roman" w:hAnsi="Times New Roman"/>
          <w:sz w:val="24"/>
          <w:szCs w:val="24"/>
        </w:rPr>
        <w:t xml:space="preserve"> (2017) was recommend to the federal republic of Nigeria to efficiently handle the education tax in order to promote the human capital development.</w:t>
      </w:r>
    </w:p>
    <w:p w14:paraId="7FCE291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Aminu</w:t>
      </w:r>
      <w:r>
        <w:rPr>
          <w:rFonts w:ascii="Times New Roman" w:cs="Times New Roman" w:hAnsi="Times New Roman"/>
          <w:sz w:val="24"/>
          <w:szCs w:val="24"/>
        </w:rPr>
        <w:t xml:space="preserve"> and </w:t>
      </w:r>
      <w:r>
        <w:rPr>
          <w:rFonts w:ascii="Times New Roman" w:cs="Times New Roman" w:hAnsi="Times New Roman"/>
          <w:sz w:val="24"/>
          <w:szCs w:val="24"/>
        </w:rPr>
        <w:t>Aminu</w:t>
      </w:r>
      <w:r>
        <w:rPr>
          <w:rFonts w:ascii="Times New Roman" w:cs="Times New Roman" w:hAnsi="Times New Roman"/>
          <w:sz w:val="24"/>
          <w:szCs w:val="24"/>
        </w:rPr>
        <w:t xml:space="preserve"> (2018) carried research on “The effect of Tertiary Education Trust Fund (TETFUND) Intervention on the Performance of Academic Staff of Ramat Polytechnic Maiduguri </w:t>
      </w:r>
      <w:r>
        <w:rPr>
          <w:rFonts w:ascii="Times New Roman" w:cs="Times New Roman" w:hAnsi="Times New Roman"/>
          <w:sz w:val="24"/>
          <w:szCs w:val="24"/>
        </w:rPr>
        <w:t>Borno</w:t>
      </w:r>
      <w:r>
        <w:rPr>
          <w:rFonts w:ascii="Times New Roman" w:cs="Times New Roman" w:hAnsi="Times New Roman"/>
          <w:sz w:val="24"/>
          <w:szCs w:val="24"/>
        </w:rPr>
        <w:t xml:space="preserve"> state.”  It investigated and established how the TETFUND intervention impact on the academic performance of the staff of Ramat Polytechnic Maiduguri </w:t>
      </w:r>
      <w:r>
        <w:rPr>
          <w:rFonts w:ascii="Times New Roman" w:cs="Times New Roman" w:hAnsi="Times New Roman"/>
          <w:sz w:val="24"/>
          <w:szCs w:val="24"/>
        </w:rPr>
        <w:t>Borno</w:t>
      </w:r>
      <w:r>
        <w:rPr>
          <w:rFonts w:ascii="Times New Roman" w:cs="Times New Roman" w:hAnsi="Times New Roman"/>
          <w:sz w:val="24"/>
          <w:szCs w:val="24"/>
        </w:rPr>
        <w:t xml:space="preserve"> state had been. Descriptive statistic, inferential statistic, and correlation was employed for analysis of data collected. Statistical package for social science (SPSS) was employed for the analysis and result showed that TETFUND research grant affect positively and has a significant impact on the performance of the academic staffs on terms of research of the same staff of the institution therefore recommended that much research grants should be provided for staff on time.</w:t>
      </w:r>
    </w:p>
    <w:p w14:paraId="230B370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In their Paper, </w:t>
      </w:r>
      <w:r>
        <w:rPr>
          <w:rFonts w:ascii="Times New Roman" w:cs="Times New Roman" w:hAnsi="Times New Roman"/>
          <w:sz w:val="24"/>
          <w:szCs w:val="24"/>
        </w:rPr>
        <w:t>Ani</w:t>
      </w:r>
      <w:r>
        <w:rPr>
          <w:rFonts w:ascii="Times New Roman" w:cs="Times New Roman" w:hAnsi="Times New Roman"/>
          <w:sz w:val="24"/>
          <w:szCs w:val="24"/>
        </w:rPr>
        <w:t xml:space="preserve"> and </w:t>
      </w:r>
      <w:r>
        <w:rPr>
          <w:rFonts w:ascii="Times New Roman" w:cs="Times New Roman" w:hAnsi="Times New Roman"/>
          <w:sz w:val="24"/>
          <w:szCs w:val="24"/>
        </w:rPr>
        <w:t>Mbah</w:t>
      </w:r>
      <w:r>
        <w:rPr>
          <w:rFonts w:ascii="Times New Roman" w:cs="Times New Roman" w:hAnsi="Times New Roman"/>
          <w:sz w:val="24"/>
          <w:szCs w:val="24"/>
        </w:rPr>
        <w:t xml:space="preserve"> (2021) examined “'Education tax Effect on Firms' value of production industries in Nigeria.” They intended to find out how the education tax impacts the firms’ values in the production industries in Nigeria by setting education tax as independent variable, returns on investment (ROI), return on equity (ROE) and earnings per share (EPS) as dependent variables to the firms’ values. Five production industry were chosen using the random sampling techniques out of nineteen in Nigeria. With an ex-post facto research design, secondary data were collected from the audited annual reports of some beverage companies and the Nigeria stock exchange fact book. Correlation and regression analysis together with </w:t>
      </w:r>
      <w:r>
        <w:rPr>
          <w:rFonts w:ascii="Times New Roman" w:cs="Times New Roman" w:hAnsi="Times New Roman"/>
          <w:sz w:val="24"/>
          <w:szCs w:val="24"/>
        </w:rPr>
        <w:t xml:space="preserve">descriptive statistics techniques was used for data analysis. It revealed that education tax had an insignificant effect on the ROI of sample of production industry while it influences ROE and EPS positively. Recommendation: The production companies should increase sales revenue, diversify sources of income and investment on worth of money business to increase Return on investment. Investment on profitable assets is also recommended for consumer </w:t>
      </w:r>
      <w:r>
        <w:rPr>
          <w:rFonts w:ascii="Times New Roman" w:cs="Times New Roman" w:hAnsi="Times New Roman"/>
          <w:sz w:val="24"/>
          <w:szCs w:val="24"/>
        </w:rPr>
        <w:t>Product Company</w:t>
      </w:r>
      <w:r>
        <w:rPr>
          <w:rFonts w:ascii="Times New Roman" w:cs="Times New Roman" w:hAnsi="Times New Roman"/>
          <w:sz w:val="24"/>
          <w:szCs w:val="24"/>
        </w:rPr>
        <w:t xml:space="preserve"> to reduce cost and increase Return on equity and Earnings per share.</w:t>
      </w:r>
    </w:p>
    <w:p w14:paraId="004B52D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Research by </w:t>
      </w:r>
      <w:r>
        <w:rPr>
          <w:rFonts w:ascii="Times New Roman" w:cs="Times New Roman" w:hAnsi="Times New Roman"/>
          <w:sz w:val="24"/>
          <w:szCs w:val="24"/>
        </w:rPr>
        <w:t>Shuaib</w:t>
      </w:r>
      <w:r>
        <w:rPr>
          <w:rFonts w:ascii="Times New Roman" w:cs="Times New Roman" w:hAnsi="Times New Roman"/>
          <w:sz w:val="24"/>
          <w:szCs w:val="24"/>
        </w:rPr>
        <w:t xml:space="preserve"> (2017) which is “Tertiary education trust fund and higher education in Nigeria: The impact of </w:t>
      </w:r>
      <w:r>
        <w:rPr>
          <w:rFonts w:ascii="Times New Roman" w:cs="Times New Roman" w:hAnsi="Times New Roman"/>
          <w:sz w:val="24"/>
          <w:szCs w:val="24"/>
        </w:rPr>
        <w:t>TETFund</w:t>
      </w:r>
      <w:r>
        <w:rPr>
          <w:rFonts w:ascii="Times New Roman" w:cs="Times New Roman" w:hAnsi="Times New Roman"/>
          <w:sz w:val="24"/>
          <w:szCs w:val="24"/>
        </w:rPr>
        <w:t xml:space="preserve"> intervention on Research and Development” was reviewed by (</w:t>
      </w:r>
      <w:r>
        <w:rPr>
          <w:rFonts w:ascii="Times New Roman" w:cs="Times New Roman" w:hAnsi="Times New Roman"/>
          <w:sz w:val="24"/>
          <w:szCs w:val="24"/>
        </w:rPr>
        <w:t>Shuaib</w:t>
      </w:r>
      <w:r>
        <w:rPr>
          <w:rFonts w:ascii="Times New Roman" w:cs="Times New Roman" w:hAnsi="Times New Roman"/>
          <w:sz w:val="24"/>
          <w:szCs w:val="24"/>
        </w:rPr>
        <w:t xml:space="preserve"> (2017)). He emphasized the roles that Research and development plays to a </w:t>
      </w:r>
      <w:r>
        <w:rPr>
          <w:rFonts w:ascii="Times New Roman" w:cs="Times New Roman" w:hAnsi="Times New Roman"/>
          <w:sz w:val="24"/>
          <w:szCs w:val="24"/>
        </w:rPr>
        <w:t>nations</w:t>
      </w:r>
      <w:r>
        <w:rPr>
          <w:rFonts w:ascii="Times New Roman" w:cs="Times New Roman" w:hAnsi="Times New Roman"/>
          <w:sz w:val="24"/>
          <w:szCs w:val="24"/>
        </w:rPr>
        <w:t xml:space="preserve"> development that was rarely seen before the presence of TET Fund and treated the analysis of research and development comprehensively as part of nations developmental variables. </w:t>
      </w:r>
      <w:r>
        <w:rPr>
          <w:rFonts w:ascii="Times New Roman" w:cs="Times New Roman" w:hAnsi="Times New Roman"/>
          <w:sz w:val="24"/>
          <w:szCs w:val="24"/>
        </w:rPr>
        <w:t>TETFund</w:t>
      </w:r>
      <w:r>
        <w:rPr>
          <w:rFonts w:ascii="Times New Roman" w:cs="Times New Roman" w:hAnsi="Times New Roman"/>
          <w:sz w:val="24"/>
          <w:szCs w:val="24"/>
        </w:rPr>
        <w:t xml:space="preserve"> has had strategic importance on the Nigerian educational system due to its significant importance to research, invention, innovation and education on its own. He used documentary analysis, with a thematic analysis tool on secondary data to assess the </w:t>
      </w:r>
      <w:r>
        <w:rPr>
          <w:rFonts w:ascii="Times New Roman" w:cs="Times New Roman" w:hAnsi="Times New Roman"/>
          <w:sz w:val="24"/>
          <w:szCs w:val="24"/>
        </w:rPr>
        <w:t>TETFund</w:t>
      </w:r>
      <w:r>
        <w:rPr>
          <w:rFonts w:ascii="Times New Roman" w:cs="Times New Roman" w:hAnsi="Times New Roman"/>
          <w:sz w:val="24"/>
          <w:szCs w:val="24"/>
        </w:rPr>
        <w:t xml:space="preserve"> interventions, which it concluded that </w:t>
      </w:r>
      <w:r>
        <w:rPr>
          <w:rFonts w:ascii="Times New Roman" w:cs="Times New Roman" w:hAnsi="Times New Roman"/>
          <w:sz w:val="24"/>
          <w:szCs w:val="24"/>
        </w:rPr>
        <w:t>TETFund</w:t>
      </w:r>
      <w:r>
        <w:rPr>
          <w:rFonts w:ascii="Times New Roman" w:cs="Times New Roman" w:hAnsi="Times New Roman"/>
          <w:sz w:val="24"/>
          <w:szCs w:val="24"/>
        </w:rPr>
        <w:t xml:space="preserve"> is now the major, if not only, funder of research in Nigerian public Universities and a need for balance for the </w:t>
      </w:r>
      <w:r>
        <w:rPr>
          <w:rFonts w:ascii="Times New Roman" w:cs="Times New Roman" w:hAnsi="Times New Roman"/>
          <w:sz w:val="24"/>
          <w:szCs w:val="24"/>
        </w:rPr>
        <w:t>utilisation</w:t>
      </w:r>
      <w:r>
        <w:rPr>
          <w:rFonts w:ascii="Times New Roman" w:cs="Times New Roman" w:hAnsi="Times New Roman"/>
          <w:sz w:val="24"/>
          <w:szCs w:val="24"/>
        </w:rPr>
        <w:t xml:space="preserve"> of </w:t>
      </w:r>
      <w:r>
        <w:rPr>
          <w:rFonts w:ascii="Times New Roman" w:cs="Times New Roman" w:hAnsi="Times New Roman"/>
          <w:sz w:val="24"/>
          <w:szCs w:val="24"/>
        </w:rPr>
        <w:t>TETfund</w:t>
      </w:r>
      <w:r>
        <w:rPr>
          <w:rFonts w:ascii="Times New Roman" w:cs="Times New Roman" w:hAnsi="Times New Roman"/>
          <w:sz w:val="24"/>
          <w:szCs w:val="24"/>
        </w:rPr>
        <w:t xml:space="preserve"> on infrastructure projects vis-à-vis research funding is proposed. </w:t>
      </w:r>
    </w:p>
    <w:p w14:paraId="64B53A7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Udu</w:t>
      </w:r>
      <w:r>
        <w:rPr>
          <w:rFonts w:ascii="Times New Roman" w:cs="Times New Roman" w:hAnsi="Times New Roman"/>
          <w:sz w:val="24"/>
          <w:szCs w:val="24"/>
        </w:rPr>
        <w:t xml:space="preserve"> and </w:t>
      </w:r>
      <w:r>
        <w:rPr>
          <w:rFonts w:ascii="Times New Roman" w:cs="Times New Roman" w:hAnsi="Times New Roman"/>
          <w:sz w:val="24"/>
          <w:szCs w:val="24"/>
        </w:rPr>
        <w:t>Nkwede</w:t>
      </w:r>
      <w:r>
        <w:rPr>
          <w:rFonts w:ascii="Times New Roman" w:cs="Times New Roman" w:hAnsi="Times New Roman"/>
          <w:sz w:val="24"/>
          <w:szCs w:val="24"/>
        </w:rPr>
        <w:t xml:space="preserve"> (2014) explored the impact of the “Nigerian Tertiary Education Fund Interventions on the Sustainable Development of the Nigerian Universities.” With Public Goods Theory as theoretical framework and content analysis approach in the research; they make an extensive use of documents, which is necessitated by three main research questions set out in the paper and discovered that the </w:t>
      </w:r>
      <w:r>
        <w:rPr>
          <w:rFonts w:ascii="Times New Roman" w:cs="Times New Roman" w:hAnsi="Times New Roman"/>
          <w:sz w:val="24"/>
          <w:szCs w:val="24"/>
        </w:rPr>
        <w:t>TETFund</w:t>
      </w:r>
      <w:r>
        <w:rPr>
          <w:rFonts w:ascii="Times New Roman" w:cs="Times New Roman" w:hAnsi="Times New Roman"/>
          <w:sz w:val="24"/>
          <w:szCs w:val="24"/>
        </w:rPr>
        <w:t xml:space="preserve"> interventions positively affected  the physical development and human resource development of the Nigerian Universities particularly, EBSU which implied sustainable development. The study recommended among others to reduce or remove all bureaucratic hindrances on access to </w:t>
      </w:r>
      <w:r>
        <w:rPr>
          <w:rFonts w:ascii="Times New Roman" w:cs="Times New Roman" w:hAnsi="Times New Roman"/>
          <w:sz w:val="24"/>
          <w:szCs w:val="24"/>
        </w:rPr>
        <w:t>TETFund</w:t>
      </w:r>
      <w:r>
        <w:rPr>
          <w:rFonts w:ascii="Times New Roman" w:cs="Times New Roman" w:hAnsi="Times New Roman"/>
          <w:sz w:val="24"/>
          <w:szCs w:val="24"/>
        </w:rPr>
        <w:t xml:space="preserve">. Proper selection </w:t>
      </w:r>
      <w:r>
        <w:rPr>
          <w:rFonts w:ascii="Times New Roman" w:cs="Times New Roman" w:hAnsi="Times New Roman"/>
          <w:sz w:val="24"/>
          <w:szCs w:val="24"/>
        </w:rPr>
        <w:t xml:space="preserve">and engagement of competent contractors for projects Funded by </w:t>
      </w:r>
      <w:r>
        <w:rPr>
          <w:rFonts w:ascii="Times New Roman" w:cs="Times New Roman" w:hAnsi="Times New Roman"/>
          <w:sz w:val="24"/>
          <w:szCs w:val="24"/>
        </w:rPr>
        <w:t>TETfund</w:t>
      </w:r>
      <w:r>
        <w:rPr>
          <w:rFonts w:ascii="Times New Roman" w:cs="Times New Roman" w:hAnsi="Times New Roman"/>
          <w:sz w:val="24"/>
          <w:szCs w:val="24"/>
        </w:rPr>
        <w:t xml:space="preserve"> and sourcing of external funding support to government-funded universities in Nigeria to improve the capacity and standard of Nigerian universities. </w:t>
      </w:r>
    </w:p>
    <w:p w14:paraId="17911B4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Opuala</w:t>
      </w:r>
      <w:r>
        <w:rPr>
          <w:rFonts w:ascii="Times New Roman" w:cs="Times New Roman" w:hAnsi="Times New Roman"/>
          <w:sz w:val="24"/>
          <w:szCs w:val="24"/>
        </w:rPr>
        <w:t xml:space="preserve"> and Orji (2024) examined “Educational Sector Financing and Economic Wellbeing.” The study investigated the relationship between financing activities in the educational sector and economic wellbeing in Nigeria focusing on the areas of government spending, private domestic spending and foreign spending in the education industry. Data were </w:t>
      </w:r>
      <w:r>
        <w:rPr>
          <w:rFonts w:ascii="Times New Roman" w:cs="Times New Roman" w:hAnsi="Times New Roman"/>
          <w:sz w:val="24"/>
          <w:szCs w:val="24"/>
        </w:rPr>
        <w:t>analysed</w:t>
      </w:r>
      <w:r>
        <w:rPr>
          <w:rFonts w:ascii="Times New Roman" w:cs="Times New Roman" w:hAnsi="Times New Roman"/>
          <w:sz w:val="24"/>
          <w:szCs w:val="24"/>
        </w:rPr>
        <w:t xml:space="preserve"> using econometric methods which showed the presence of long-term relationship between Educational Sector Financing and the Human Development Index (HDI), and the growth of domestic financing in the education sector over time. It showed that, despite growth in public funding and education sector financing in general over the period under review, there was evidence of higher cases of unemployed graduates and thus, indicated under employment of the educated, a gap between investments and educational outcomes. Thus, the policy inference drawn from the findings showed that, due to the strong correlation between government finance for education and human development in Nigeria, there was the need to manage resources effectively, to improve efficiency in the sector through deliberate public funding on areas where there is deficiency and hence improve economic wellbeing.</w:t>
      </w:r>
    </w:p>
    <w:p w14:paraId="34D093E4">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Omodero</w:t>
      </w:r>
      <w:r>
        <w:rPr>
          <w:rFonts w:ascii="Times New Roman" w:cs="Times New Roman" w:hAnsi="Times New Roman"/>
          <w:sz w:val="24"/>
          <w:szCs w:val="24"/>
        </w:rPr>
        <w:t xml:space="preserve"> </w:t>
      </w:r>
      <w:r>
        <w:rPr>
          <w:rFonts w:ascii="Times New Roman" w:cs="Times New Roman" w:hAnsi="Times New Roman"/>
          <w:i/>
          <w:iCs/>
          <w:sz w:val="24"/>
          <w:szCs w:val="24"/>
        </w:rPr>
        <w:t>et al</w:t>
      </w:r>
      <w:r>
        <w:rPr>
          <w:rFonts w:ascii="Times New Roman" w:cs="Times New Roman" w:hAnsi="Times New Roman"/>
          <w:sz w:val="24"/>
          <w:szCs w:val="24"/>
        </w:rPr>
        <w:t xml:space="preserve">. (2017) conducted a study that tested the viability of using both “Tertiary Education Tax and Information Technology Development Levy in financing Nigeria Education System.” Findings revealed that Nigerian education system require more funding as the tertiary education tax does not seem adequate to finance the tertiary academic activities while the information technology development levy appear significant enough in financing tertiary education in Nigeria. Thus, suggested other sources of national income should be explored in addition to Tertiary Education Tax. The study suggested better fiscal planning for the expenditure of education by cutting back on expenditures on less useful activities and also </w:t>
      </w:r>
      <w:r>
        <w:rPr>
          <w:rFonts w:ascii="Times New Roman" w:cs="Times New Roman" w:hAnsi="Times New Roman"/>
          <w:sz w:val="24"/>
          <w:szCs w:val="24"/>
        </w:rPr>
        <w:t>suggested for policy direction toward the implementation of such a measure in the public sector of the Nigerian economy by the concerned authorities, as well as, advise for the government to deal with whatever difficulty that might hinder classroom activities for its educators.</w:t>
      </w:r>
    </w:p>
    <w:p w14:paraId="40C6598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Ogunode</w:t>
      </w:r>
      <w:r>
        <w:rPr>
          <w:rFonts w:ascii="Times New Roman" w:cs="Times New Roman" w:hAnsi="Times New Roman"/>
          <w:sz w:val="24"/>
          <w:szCs w:val="24"/>
        </w:rPr>
        <w:t xml:space="preserve"> (2023) assessed the “Impact of the Tertiary Education Trust Fund (TETFUND) on Tertiary Education in Nigeria” based on secondary data collected from several Nigerian newspaper and web media outlets. This study recommended that the setting up of a regional branch of the TETFUND across the six geographical zones of Nigeria be encouraged for efficiency in delivery, that greater partnership involvement and participation of relevant stakeholder in the management and administration of higher education such as ASUU, ASUCOE, and ASUP be encourage, part of TETFUND collected be investing in projects with income yielding capacity, further development of the Nigerian tertiary education structure be facilitated. </w:t>
      </w:r>
    </w:p>
    <w:p w14:paraId="1465B018">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Onyeike</w:t>
      </w:r>
      <w:r>
        <w:rPr>
          <w:rFonts w:ascii="Times New Roman" w:cs="Times New Roman" w:hAnsi="Times New Roman"/>
          <w:sz w:val="24"/>
          <w:szCs w:val="24"/>
        </w:rPr>
        <w:t xml:space="preserve"> and </w:t>
      </w:r>
      <w:r>
        <w:rPr>
          <w:rFonts w:ascii="Times New Roman" w:cs="Times New Roman" w:hAnsi="Times New Roman"/>
          <w:sz w:val="24"/>
          <w:szCs w:val="24"/>
        </w:rPr>
        <w:t>Eseyin</w:t>
      </w:r>
      <w:r>
        <w:rPr>
          <w:rFonts w:ascii="Times New Roman" w:cs="Times New Roman" w:hAnsi="Times New Roman"/>
          <w:sz w:val="24"/>
          <w:szCs w:val="24"/>
        </w:rPr>
        <w:t xml:space="preserve"> (2014) examined the “Impact of the Tertiary Education Trust Fund (TETFUND) on the management of Nigerian university education.”  It reviewed the history of Nigerian Universities; as well as the Tertiary Education Trust Fund history. It considered the TETFUND’s key functions such as facilitation of project, fund administration, and professional development of staff,; It identified challenges that militating TETFUND; also, proposed solutions in improving TETFUND’s relevancy; from which it was concludes that, the Nigeria University Education’s structure would be better and with the assistances of external agents, TETFUND will enhance, while private establishment should </w:t>
      </w:r>
      <w:r>
        <w:rPr>
          <w:rFonts w:ascii="Times New Roman" w:cs="Times New Roman" w:hAnsi="Times New Roman"/>
          <w:sz w:val="24"/>
          <w:szCs w:val="24"/>
        </w:rPr>
        <w:t>endeavour</w:t>
      </w:r>
      <w:r>
        <w:rPr>
          <w:rFonts w:ascii="Times New Roman" w:cs="Times New Roman" w:hAnsi="Times New Roman"/>
          <w:sz w:val="24"/>
          <w:szCs w:val="24"/>
        </w:rPr>
        <w:t xml:space="preserve"> to empowerment TETFUND with legislations that would support its sustainability.</w:t>
      </w:r>
    </w:p>
    <w:p w14:paraId="1C213B9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Aminu</w:t>
      </w:r>
      <w:r>
        <w:rPr>
          <w:rFonts w:ascii="Times New Roman" w:cs="Times New Roman" w:hAnsi="Times New Roman"/>
          <w:sz w:val="24"/>
          <w:szCs w:val="24"/>
        </w:rPr>
        <w:t xml:space="preserve"> (2020) examined “The Impact of Education Tax and Investment in Human Capital on Economic Growth in Nigeria” with the utilization of the Non-Linear Autoregressive Distributed Lag Model of </w:t>
      </w:r>
      <w:r>
        <w:rPr>
          <w:rFonts w:ascii="Times New Roman" w:cs="Times New Roman" w:hAnsi="Times New Roman"/>
          <w:sz w:val="24"/>
          <w:szCs w:val="24"/>
        </w:rPr>
        <w:t>cointegration</w:t>
      </w:r>
      <w:r>
        <w:rPr>
          <w:rFonts w:ascii="Times New Roman" w:cs="Times New Roman" w:hAnsi="Times New Roman"/>
          <w:sz w:val="24"/>
          <w:szCs w:val="24"/>
        </w:rPr>
        <w:t xml:space="preserve"> analysis on twenty-five years (1995-2019) of time series data. Findings revealed that Education Tax and Investment in Human Capital contribute </w:t>
      </w:r>
      <w:r>
        <w:rPr>
          <w:rFonts w:ascii="Times New Roman" w:cs="Times New Roman" w:hAnsi="Times New Roman"/>
          <w:sz w:val="24"/>
          <w:szCs w:val="24"/>
        </w:rPr>
        <w:t xml:space="preserve">significantly positive to the growth of the Nigerian Economy over the sample period. He then provided some policy recommendation that if implemented will significantly contribute to the Nigerian economy: To boost the Nigerian economy, there would be need to establish a viable conducive macroeconomic environment with a sustainable utilization of income derivable from the education tax to promote increased investment in human capital for public institutions. Again for Education Tax to contribute to sustained timely economic growth and development in Nigerian Economy, students, parents and employers, public and the other interested individuals should contribute their own share of funding the education at primary, secondary and tertiary levels, to be complemented by education tax to fund investment in human capital in the public sectors. </w:t>
      </w:r>
    </w:p>
    <w:p w14:paraId="41F81CD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Nazukova</w:t>
      </w:r>
      <w:r>
        <w:rPr>
          <w:rFonts w:ascii="Times New Roman" w:cs="Times New Roman" w:hAnsi="Times New Roman"/>
          <w:sz w:val="24"/>
          <w:szCs w:val="24"/>
        </w:rPr>
        <w:t xml:space="preserve"> (2020) explored “Public Funding of Education as a Factor of Economic Growth.” The paper outlined the primary approaches to </w:t>
      </w:r>
      <w:r>
        <w:rPr>
          <w:rFonts w:ascii="Times New Roman" w:cs="Times New Roman" w:hAnsi="Times New Roman"/>
          <w:sz w:val="24"/>
          <w:szCs w:val="24"/>
        </w:rPr>
        <w:t>analysing</w:t>
      </w:r>
      <w:r>
        <w:rPr>
          <w:rFonts w:ascii="Times New Roman" w:cs="Times New Roman" w:hAnsi="Times New Roman"/>
          <w:sz w:val="24"/>
          <w:szCs w:val="24"/>
        </w:rPr>
        <w:t xml:space="preserve"> how education impacts economic growth. These approaches involve assessing the correlation between indicators of economic growth (GDP or GDP growth per capita) and three categories of education indicators: quantitative (level of educational attainment among the population), qualitative (standardized student grades), and financial (amount of education spending). It emphasized that educational attainment and quality of learning are linked to educational funding levels. The research validated a substantial positive relationship between per-student public spending on higher and secondary education and a country's total factor productivity. The study acknowledged that there isn't a universal optimal strategy for allocating public funding across education levels, as some countries </w:t>
      </w:r>
      <w:r>
        <w:rPr>
          <w:rFonts w:ascii="Times New Roman" w:cs="Times New Roman" w:hAnsi="Times New Roman"/>
          <w:sz w:val="24"/>
          <w:szCs w:val="24"/>
        </w:rPr>
        <w:t>favour</w:t>
      </w:r>
      <w:r>
        <w:rPr>
          <w:rFonts w:ascii="Times New Roman" w:cs="Times New Roman" w:hAnsi="Times New Roman"/>
          <w:sz w:val="24"/>
          <w:szCs w:val="24"/>
        </w:rPr>
        <w:t xml:space="preserve"> primary education for accelerated economic growth, others secondary, and others tertiary, depending on technological sophistication, human capital's professional structure, and contextual factors like institutional quality. The paper </w:t>
      </w:r>
      <w:r>
        <w:rPr>
          <w:rFonts w:ascii="Times New Roman" w:cs="Times New Roman" w:hAnsi="Times New Roman"/>
          <w:sz w:val="24"/>
          <w:szCs w:val="24"/>
        </w:rPr>
        <w:t>analysed</w:t>
      </w:r>
      <w:r>
        <w:rPr>
          <w:rFonts w:ascii="Times New Roman" w:cs="Times New Roman" w:hAnsi="Times New Roman"/>
          <w:sz w:val="24"/>
          <w:szCs w:val="24"/>
        </w:rPr>
        <w:t xml:space="preserve"> various public and private funding mechanisms for different education levels, with private funds including directly private funding and public-to-private transfers to families with students. The study </w:t>
      </w:r>
      <w:r>
        <w:rPr>
          <w:rFonts w:ascii="Times New Roman" w:cs="Times New Roman" w:hAnsi="Times New Roman"/>
          <w:sz w:val="24"/>
          <w:szCs w:val="24"/>
        </w:rPr>
        <w:t xml:space="preserve">concluded that public educational funding, both direct and indirect (public-to-private transfers), at various levels reflects a prioritization of a country's human capital's specific educational and professional composition. It concluded by stressing the importance of aligning educational funding budgetary processes with a nation's technological, skill, and institutional foundations and the strategic forecasts of socio-economic development. </w:t>
      </w:r>
      <w:r>
        <w:rPr>
          <w:rFonts w:ascii="Times New Roman" w:cs="Times New Roman" w:hAnsi="Times New Roman"/>
          <w:sz w:val="24"/>
          <w:szCs w:val="24"/>
        </w:rPr>
        <w:t>Abubakkar</w:t>
      </w:r>
      <w:r>
        <w:rPr>
          <w:rFonts w:ascii="Times New Roman" w:cs="Times New Roman" w:hAnsi="Times New Roman"/>
          <w:sz w:val="24"/>
          <w:szCs w:val="24"/>
        </w:rPr>
        <w:t xml:space="preserve"> (2023) provided a “Cross-Country Analysis of The Relationship between Education and Economic Growth.” While widespread agreement exists that education boosts economic growth, its extent and form across various countries and income levels remain less understood. Employing data for 89 low-, middle-, and high-income countries from 2002 to 2020, the paper constructed a human capital index using Penn World Table and World Bank data. It utilized a growth accounting model that incorporates education alongside </w:t>
      </w:r>
      <w:r>
        <w:rPr>
          <w:rFonts w:ascii="Times New Roman" w:cs="Times New Roman" w:hAnsi="Times New Roman"/>
          <w:sz w:val="24"/>
          <w:szCs w:val="24"/>
        </w:rPr>
        <w:t>labour</w:t>
      </w:r>
      <w:r>
        <w:rPr>
          <w:rFonts w:ascii="Times New Roman" w:cs="Times New Roman" w:hAnsi="Times New Roman"/>
          <w:sz w:val="24"/>
          <w:szCs w:val="24"/>
        </w:rPr>
        <w:t xml:space="preserve"> and capital as conventional inputs. The study revealed that education significantly enhances per capita real GDP growth, with an average increase of 0.2% in annual per capita real GDP growth for each extra year of schooling. It also discovered that education yielded greater returns in low- and middle-income countries compared to high-income countries, meaning each increase in education had a more substantial impact on a low-income country's growth than on a high-income country's growth. Moreover, the paper found strong evidence of a concave relationship between the education index and per capita real GDP growth, suggesting that ‘poorer countries should invest more resources into education if they are to increase their rate of economic growth.’</w:t>
      </w:r>
    </w:p>
    <w:p w14:paraId="66786B01">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Using a descriptive survey design, </w:t>
      </w:r>
      <w:r>
        <w:rPr>
          <w:rFonts w:ascii="Times New Roman" w:cs="Times New Roman" w:hAnsi="Times New Roman"/>
          <w:sz w:val="24"/>
          <w:szCs w:val="24"/>
        </w:rPr>
        <w:t>Onwuchekwa</w:t>
      </w:r>
      <w:r>
        <w:rPr>
          <w:rFonts w:ascii="Times New Roman" w:cs="Times New Roman" w:hAnsi="Times New Roman"/>
          <w:sz w:val="24"/>
          <w:szCs w:val="24"/>
        </w:rPr>
        <w:t xml:space="preserve"> (2016) studied “The Influence of Tertiary Trust Fund (TETFUND) on Educational Research in Nigerian Universities.” Data were collected among lecturers in Southeast Nigerian Universities who had no less than 5 years of experience. The target population of 6939 lecturers from seven Universities in southeast Nigeria resulted into a sample of 386 lecturers using stratified simple random sampling. Research question was ‘How far has TETFUND intervention fund influenced educational </w:t>
      </w:r>
      <w:r>
        <w:rPr>
          <w:rFonts w:ascii="Times New Roman" w:cs="Times New Roman" w:hAnsi="Times New Roman"/>
          <w:sz w:val="24"/>
          <w:szCs w:val="24"/>
        </w:rPr>
        <w:t xml:space="preserve">Research in Nigerian universities in Southeast Nigeria? Data was collected by use of structured ‘four-point </w:t>
      </w:r>
      <w:r>
        <w:rPr>
          <w:rFonts w:ascii="Times New Roman" w:cs="Times New Roman" w:hAnsi="Times New Roman"/>
          <w:sz w:val="24"/>
          <w:szCs w:val="24"/>
        </w:rPr>
        <w:t>Likert</w:t>
      </w:r>
      <w:r>
        <w:rPr>
          <w:rFonts w:ascii="Times New Roman" w:cs="Times New Roman" w:hAnsi="Times New Roman"/>
          <w:sz w:val="24"/>
          <w:szCs w:val="24"/>
        </w:rPr>
        <w:t xml:space="preserve"> scale questionnaire’. Two lecturers in educational management and one lecturer in Measurement and Evaluation validated the instrument.  The reliability of the instrument was tested using </w:t>
      </w:r>
      <w:r>
        <w:rPr>
          <w:rFonts w:ascii="Times New Roman" w:cs="Times New Roman" w:hAnsi="Times New Roman"/>
          <w:sz w:val="24"/>
          <w:szCs w:val="24"/>
        </w:rPr>
        <w:t>Cronbach</w:t>
      </w:r>
      <w:r>
        <w:rPr>
          <w:rFonts w:ascii="Times New Roman" w:cs="Times New Roman" w:hAnsi="Times New Roman"/>
          <w:sz w:val="24"/>
          <w:szCs w:val="24"/>
        </w:rPr>
        <w:t xml:space="preserve"> alpha (0.965). One-way ANOVA was tested at 0.05 level of significance with 14 degrees of freedom using Minitab analysis. It was found that intervention fund from TETFUND had not influenced educational research significantly in Nigerian universities in Southeast Nigeria. Study concludes with recommendations.</w:t>
      </w:r>
    </w:p>
    <w:p w14:paraId="34ADF6F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In another research by </w:t>
      </w:r>
      <w:r>
        <w:rPr>
          <w:rFonts w:ascii="Times New Roman" w:cs="Times New Roman" w:hAnsi="Times New Roman"/>
          <w:sz w:val="24"/>
          <w:szCs w:val="24"/>
        </w:rPr>
        <w:t>Orako</w:t>
      </w:r>
      <w:r>
        <w:rPr>
          <w:rFonts w:ascii="Times New Roman" w:cs="Times New Roman" w:hAnsi="Times New Roman"/>
          <w:sz w:val="24"/>
          <w:szCs w:val="24"/>
        </w:rPr>
        <w:t xml:space="preserve"> </w:t>
      </w:r>
      <w:r>
        <w:rPr>
          <w:rFonts w:ascii="Times New Roman" w:cs="Times New Roman" w:hAnsi="Times New Roman"/>
          <w:i/>
          <w:iCs/>
          <w:sz w:val="24"/>
          <w:szCs w:val="24"/>
        </w:rPr>
        <w:t>et al</w:t>
      </w:r>
      <w:r>
        <w:rPr>
          <w:rFonts w:ascii="Times New Roman" w:cs="Times New Roman" w:hAnsi="Times New Roman"/>
          <w:i/>
          <w:iCs/>
          <w:sz w:val="24"/>
          <w:szCs w:val="24"/>
        </w:rPr>
        <w:t>.</w:t>
      </w:r>
      <w:r>
        <w:rPr>
          <w:rFonts w:ascii="Times New Roman" w:cs="Times New Roman" w:hAnsi="Times New Roman"/>
          <w:sz w:val="24"/>
          <w:szCs w:val="24"/>
        </w:rPr>
        <w:t xml:space="preserve"> (2017), titled “Effect of tertiary education tax fund (TETFUND) in management of Nigerian tertiary institutions,” an examination of impact of TETFUND on the management of Nigeria tertiary education was conducted. More specifically, the research aimed to test the significant effect of ETF fund allocations on the enrolment ratio of Nigerian tertiary institutions. The study utilized descriptive cum correlational survey research design. They recommended that, ETF should be allocated based on enrolment rates of respective institutions in the Country to enhance their performance to satisfy TETFUND’s mandates.</w:t>
      </w:r>
    </w:p>
    <w:p w14:paraId="10E7D692">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Ugwuanyi</w:t>
      </w:r>
      <w:r>
        <w:rPr>
          <w:rFonts w:ascii="Times New Roman" w:cs="Times New Roman" w:hAnsi="Times New Roman"/>
          <w:sz w:val="24"/>
          <w:szCs w:val="24"/>
        </w:rPr>
        <w:t xml:space="preserve"> (2014) in his research, "Taxation and Tertiary Education Enhancement in Nigeria: An Evaluation of the Education Tax Fund (ETF) </w:t>
      </w:r>
      <w:r>
        <w:rPr>
          <w:rFonts w:ascii="Times New Roman" w:cs="Times New Roman" w:hAnsi="Times New Roman"/>
          <w:sz w:val="24"/>
          <w:szCs w:val="24"/>
        </w:rPr>
        <w:t>Between</w:t>
      </w:r>
      <w:r>
        <w:rPr>
          <w:rFonts w:ascii="Times New Roman" w:cs="Times New Roman" w:hAnsi="Times New Roman"/>
          <w:sz w:val="24"/>
          <w:szCs w:val="24"/>
        </w:rPr>
        <w:t xml:space="preserve"> 1999-2010," examined an eleven-year study of the activities of the Education Tax Fund (ETF) concerning Nigerian Tertiary Institutions. The study sought to demonstrate how ETF had contributed to the educational development of tertiary institutions. The research involved a review of publications from ETF's operations department and government documents. The findings indicated a positive developmental impact from ETF's interventions across various institutional projects, leading to improvements in lecturer working conditions and the student learning environment. The study noted a policy that in each Nigerian institution, lecturers not involved in management would receive equal ETF shares based on predefined criteria. The 1999 Education Tax Act </w:t>
      </w:r>
      <w:r>
        <w:rPr>
          <w:rFonts w:ascii="Times New Roman" w:cs="Times New Roman" w:hAnsi="Times New Roman"/>
          <w:sz w:val="24"/>
          <w:szCs w:val="24"/>
        </w:rPr>
        <w:t>mandated a distribution of 25% of total tax collected to universities, 12.5% to Polytechnics, and 12.5% to College of Educations, with 50% directed to primary and secondary schools. In conclusion, the study posited that ETF had enormous potential for addressing under-funding issues in Nigerian education and would continue to contribute immensely to future educational needs if appropriate measures were implemented.</w:t>
      </w:r>
    </w:p>
    <w:p w14:paraId="291F500B">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Adavbiele</w:t>
      </w:r>
      <w:r>
        <w:rPr>
          <w:rFonts w:ascii="Times New Roman" w:cs="Times New Roman" w:hAnsi="Times New Roman"/>
          <w:sz w:val="24"/>
          <w:szCs w:val="24"/>
        </w:rPr>
        <w:t xml:space="preserve"> (2016) investigated the "Impact of Education Trust Fund (ETF) on Tertiary Institutions in Nigeria, Using College of Education, as Case Study." This research addressed the widespread inadequacy of resources in Nigerian tertiary institutions due to limited funding, and the role of Tertiary Education Trust Fund (TETFUND), established as an intervention under the ETF, in their development through infrastructure provision. ETF was considered a solution to education funding challenges, a persistent issue evident from committee reports and union-government negotiations. The study focused on College of Education, </w:t>
      </w:r>
      <w:r>
        <w:rPr>
          <w:rFonts w:ascii="Times New Roman" w:cs="Times New Roman" w:hAnsi="Times New Roman"/>
          <w:sz w:val="24"/>
          <w:szCs w:val="24"/>
        </w:rPr>
        <w:t>Ekiadolor</w:t>
      </w:r>
      <w:r>
        <w:rPr>
          <w:rFonts w:ascii="Times New Roman" w:cs="Times New Roman" w:hAnsi="Times New Roman"/>
          <w:sz w:val="24"/>
          <w:szCs w:val="24"/>
        </w:rPr>
        <w:t xml:space="preserve"> in Edo State, encompassing all degree level students (estimated between 40,000 and 60,000, including part-time programs). The findings showed a positive developmental impact in the college, despite issues with the EFT fund lacking robust and efficient internal controls, leading to significant resource loss through corruption. Other problems identified include the absence of accurate accounting procedures and </w:t>
      </w:r>
      <w:r>
        <w:rPr>
          <w:rFonts w:ascii="Times New Roman" w:cs="Times New Roman" w:hAnsi="Times New Roman"/>
          <w:sz w:val="24"/>
          <w:szCs w:val="24"/>
        </w:rPr>
        <w:t>maldistribution</w:t>
      </w:r>
      <w:r>
        <w:rPr>
          <w:rFonts w:ascii="Times New Roman" w:cs="Times New Roman" w:hAnsi="Times New Roman"/>
          <w:sz w:val="24"/>
          <w:szCs w:val="24"/>
        </w:rPr>
        <w:t xml:space="preserve"> of ETF among colleges, with inadequate criteria for sharing. Recommendations were made to position colleges as </w:t>
      </w:r>
      <w:r>
        <w:rPr>
          <w:rFonts w:ascii="Times New Roman" w:cs="Times New Roman" w:hAnsi="Times New Roman"/>
          <w:sz w:val="24"/>
          <w:szCs w:val="24"/>
        </w:rPr>
        <w:t>centres</w:t>
      </w:r>
      <w:r>
        <w:rPr>
          <w:rFonts w:ascii="Times New Roman" w:cs="Times New Roman" w:hAnsi="Times New Roman"/>
          <w:sz w:val="24"/>
          <w:szCs w:val="24"/>
        </w:rPr>
        <w:t xml:space="preserve"> of excellence.</w:t>
      </w:r>
    </w:p>
    <w:p w14:paraId="314E87E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Research of the impact of public education expenditure components on Nigerian economic and education outcomes between 1970 and 2010 with emphasis on 30-year disaggregated analysis, conducted by </w:t>
      </w:r>
      <w:r>
        <w:rPr>
          <w:rFonts w:ascii="Times New Roman" w:cs="Times New Roman" w:hAnsi="Times New Roman"/>
          <w:sz w:val="24"/>
          <w:szCs w:val="24"/>
        </w:rPr>
        <w:t>Urhie</w:t>
      </w:r>
      <w:r>
        <w:rPr>
          <w:rFonts w:ascii="Times New Roman" w:cs="Times New Roman" w:hAnsi="Times New Roman"/>
          <w:sz w:val="24"/>
          <w:szCs w:val="24"/>
        </w:rPr>
        <w:t xml:space="preserve"> (2014) in 2014 entitled "Public Education Expenditure and Economic Growth in Nigeria: A Disaggregated Approach". This was used to verify a hypothesis that there are variations between recurrent and capital public education expenditure in affecting Nigeria’s economy. The conclusion the study derived is that public education expenditure impact Nigeria's economy indirectly and directly, with indirect approach becoming much stronger over </w:t>
      </w:r>
      <w:r>
        <w:rPr>
          <w:rFonts w:ascii="Times New Roman" w:cs="Times New Roman" w:hAnsi="Times New Roman"/>
          <w:sz w:val="24"/>
          <w:szCs w:val="24"/>
        </w:rPr>
        <w:t>the years for Nigeria’s economy. Therefore, overall economic improvement is possible through aggregate public education expenses even without advancements in education attainments. Furthermore, recurrent and capital public education expenditures had different effects on economic progress; public capital spending stimulated the economy without further impact, while public recurrent spending exerted significant negative effects. Recommendations for policies to enhance the overall efficiency of public education spending were provided.</w:t>
      </w:r>
    </w:p>
    <w:p w14:paraId="2CC02420">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w:t>
      </w:r>
      <w:r>
        <w:rPr>
          <w:rFonts w:ascii="Times New Roman" w:cs="Times New Roman" w:hAnsi="Times New Roman"/>
          <w:sz w:val="24"/>
          <w:szCs w:val="24"/>
        </w:rPr>
        <w:t>Adeyemi</w:t>
      </w:r>
      <w:r>
        <w:rPr>
          <w:rFonts w:ascii="Times New Roman" w:cs="Times New Roman" w:hAnsi="Times New Roman"/>
          <w:sz w:val="24"/>
          <w:szCs w:val="24"/>
        </w:rPr>
        <w:t xml:space="preserve"> and </w:t>
      </w:r>
      <w:r>
        <w:rPr>
          <w:rFonts w:ascii="Times New Roman" w:cs="Times New Roman" w:hAnsi="Times New Roman"/>
          <w:sz w:val="24"/>
          <w:szCs w:val="24"/>
        </w:rPr>
        <w:t>Ogunsola</w:t>
      </w:r>
      <w:r>
        <w:rPr>
          <w:rFonts w:ascii="Times New Roman" w:cs="Times New Roman" w:hAnsi="Times New Roman"/>
          <w:sz w:val="24"/>
          <w:szCs w:val="24"/>
        </w:rPr>
        <w:t xml:space="preserve"> (2016) study explored “Public Education Spending and National Income: An ARDL Approach.” In Nigeria it sought to determine a correlation between development of human capital and economic growth of Nigerian Economy. A time series data, from the year 1980-2013, sourced from World Bank Indicator, Nigerian National Bureau of Statistics, </w:t>
      </w:r>
      <w:r>
        <w:rPr>
          <w:rFonts w:ascii="Times New Roman" w:cs="Times New Roman" w:hAnsi="Times New Roman"/>
          <w:sz w:val="24"/>
          <w:szCs w:val="24"/>
        </w:rPr>
        <w:t>Nigeria</w:t>
      </w:r>
      <w:r>
        <w:rPr>
          <w:rFonts w:ascii="Times New Roman" w:cs="Times New Roman" w:hAnsi="Times New Roman"/>
          <w:sz w:val="24"/>
          <w:szCs w:val="24"/>
        </w:rPr>
        <w:t xml:space="preserve">. Data focused on the relationships among; Growth in Economy and; education, and health as Indicators for Human capital. Researchers observed </w:t>
      </w:r>
      <w:r>
        <w:rPr>
          <w:rFonts w:ascii="Times New Roman" w:cs="Times New Roman" w:hAnsi="Times New Roman"/>
          <w:sz w:val="24"/>
          <w:szCs w:val="24"/>
        </w:rPr>
        <w:t>cointegration</w:t>
      </w:r>
      <w:r>
        <w:rPr>
          <w:rFonts w:ascii="Times New Roman" w:cs="Times New Roman" w:hAnsi="Times New Roman"/>
          <w:sz w:val="24"/>
          <w:szCs w:val="24"/>
        </w:rPr>
        <w:t xml:space="preserve"> relationship among variables in long-run with the use of ADF, ARDL and OLS, and; there was significant long- run relationship among; Gross capital formation, secondary school enrolment, secondary schooling enrolment &amp; secondary level education, secondary enrolment &amp; overall schooling enrolment, as well as Education Spending, Health Spending, and life expectation &amp; secondary level schooling at 1% level of significance respectively, and also at 1% level of secondary enrolment and overall schooling enrolment, and human capital at 5% significance level. There was also significant long- run relationship among growth, tertiary schooling, and tertiary school enrolment; also, significant long- run relations among health spending, Grossman capital formation, and life span, while negative long- run association among education and health spending and primary education enrolment; hence, adequate health and education services should be provided by Governments.</w:t>
      </w:r>
    </w:p>
    <w:p w14:paraId="6236A17C">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Ogunjobi</w:t>
      </w:r>
      <w:r>
        <w:rPr>
          <w:rFonts w:ascii="Times New Roman" w:cs="Times New Roman" w:hAnsi="Times New Roman"/>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 xml:space="preserve">. (2024) </w:t>
      </w:r>
      <w:r>
        <w:rPr>
          <w:rFonts w:ascii="Times New Roman" w:cs="Times New Roman" w:hAnsi="Times New Roman"/>
          <w:sz w:val="24"/>
          <w:szCs w:val="24"/>
        </w:rPr>
        <w:t>analysed</w:t>
      </w:r>
      <w:r>
        <w:rPr>
          <w:rFonts w:ascii="Times New Roman" w:cs="Times New Roman" w:hAnsi="Times New Roman"/>
          <w:sz w:val="24"/>
          <w:szCs w:val="24"/>
        </w:rPr>
        <w:t xml:space="preserve"> “Public Education Recurrent Expenditure and Productivity in the Manufacturing Sector in Nigeria” and found ongoing debate on Government investment </w:t>
      </w:r>
      <w:r>
        <w:rPr>
          <w:rFonts w:ascii="Times New Roman" w:cs="Times New Roman" w:hAnsi="Times New Roman"/>
          <w:sz w:val="24"/>
          <w:szCs w:val="24"/>
        </w:rPr>
        <w:t xml:space="preserve">growth. It studied the impact of public education recurrent expenditure from 1981–2019 on productivity in Nigeria. Using the ADF unit root test, and an ARDL model for analysis of a relationship among the following factors; Public education spending (per student), Public health spending (per student), trade openness, the annual percentage change of inflation rate, and productivity in Nigeria’s manufacturing sector, The researcher conclude that Public education recurrent spend had no significance impact on productivity of manufacturing sectors thus, government need to implement policies that addresses poor sector productivity of Nigeria referencing public education spending of the Nigerian government . </w:t>
      </w:r>
    </w:p>
    <w:p w14:paraId="64DE0549">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In the </w:t>
      </w:r>
      <w:r>
        <w:rPr>
          <w:rFonts w:ascii="Times New Roman" w:cs="Times New Roman" w:hAnsi="Times New Roman"/>
          <w:sz w:val="24"/>
          <w:szCs w:val="24"/>
        </w:rPr>
        <w:t>Conto</w:t>
      </w:r>
      <w:r>
        <w:rPr>
          <w:rFonts w:ascii="Times New Roman" w:cs="Times New Roman" w:hAnsi="Times New Roman"/>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 xml:space="preserve">. (2021) study “Potential Effects of COVID-19 School Closures on Foundational Skills and Country Responses for Mitigating Learning Loss” the researchers questioned what has been the impact of disruptive schooling and dropout on children's accumulation of foundational skills before and during the COVID-19 pandemic? They reported on analysis from the 13 low and lower-middle-income countries in their dataset, stating; We found that attendance at school and completed schooling are both strongly related to learning and numeracy outcomes, adding that we also found that country responses to school closures during the pandemic through the delivery of remote learning are largely insufficient to retain all children and prevent some from dropping out in order to mitigate the learning losses of children, particularly those who are most disadvantaged or very young. </w:t>
      </w:r>
    </w:p>
    <w:p w14:paraId="347DA94C">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A primer on the broad subject of the link between education, growth, and its impact on human capital by </w:t>
      </w:r>
      <w:r>
        <w:rPr>
          <w:rFonts w:ascii="Times New Roman" w:cs="Times New Roman" w:hAnsi="Times New Roman"/>
          <w:sz w:val="24"/>
          <w:szCs w:val="24"/>
        </w:rPr>
        <w:t>Flabbi</w:t>
      </w:r>
      <w:r>
        <w:rPr>
          <w:rFonts w:ascii="Times New Roman" w:cs="Times New Roman" w:hAnsi="Times New Roman"/>
          <w:sz w:val="24"/>
          <w:szCs w:val="24"/>
        </w:rPr>
        <w:t xml:space="preserve"> and </w:t>
      </w:r>
      <w:r>
        <w:rPr>
          <w:rFonts w:ascii="Times New Roman" w:cs="Times New Roman" w:hAnsi="Times New Roman"/>
          <w:sz w:val="24"/>
          <w:szCs w:val="24"/>
        </w:rPr>
        <w:t>Gatti</w:t>
      </w:r>
      <w:r>
        <w:rPr>
          <w:rFonts w:ascii="Times New Roman" w:cs="Times New Roman" w:hAnsi="Times New Roman"/>
          <w:sz w:val="24"/>
          <w:szCs w:val="24"/>
        </w:rPr>
        <w:t xml:space="preserve"> (2018), A Primer on Human Capital (Research Working Paper 8309)” reviewed key developments on the human capital-growth nexus within the micro- and macro- economic literature, proposing some central themes and outlining a framework useful beyond any country specificity, it was a two part research which, on a macro level addressed the effect of human capital in economic growth while, on a micro level examined how human capital investments affects the </w:t>
      </w:r>
      <w:r>
        <w:rPr>
          <w:rFonts w:ascii="Times New Roman" w:cs="Times New Roman" w:hAnsi="Times New Roman"/>
          <w:sz w:val="24"/>
          <w:szCs w:val="24"/>
        </w:rPr>
        <w:t>labour</w:t>
      </w:r>
      <w:r>
        <w:rPr>
          <w:rFonts w:ascii="Times New Roman" w:cs="Times New Roman" w:hAnsi="Times New Roman"/>
          <w:sz w:val="24"/>
          <w:szCs w:val="24"/>
        </w:rPr>
        <w:t xml:space="preserve"> income. Based on the results of their country- level </w:t>
      </w:r>
      <w:r>
        <w:rPr>
          <w:rFonts w:ascii="Times New Roman" w:cs="Times New Roman" w:hAnsi="Times New Roman"/>
          <w:sz w:val="24"/>
          <w:szCs w:val="24"/>
        </w:rPr>
        <w:t>studies for macroeconomics, they concluded that, “Investing in human capital is widely regarded as a necessity for sustainable development”. However, the magnitude of its impact in any given country and how specific policies impact particular segments of a country or groups within country will differ significantly.</w:t>
      </w:r>
    </w:p>
    <w:p w14:paraId="53D4920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According to their study titled “Public Spending on Education, Health care and Economic Growth in Selected Countries of Asia and the Pacific,” </w:t>
      </w:r>
      <w:r>
        <w:rPr>
          <w:rFonts w:ascii="Times New Roman" w:cs="Times New Roman" w:hAnsi="Times New Roman"/>
          <w:sz w:val="24"/>
          <w:szCs w:val="24"/>
        </w:rPr>
        <w:t>Maitra</w:t>
      </w:r>
      <w:r>
        <w:rPr>
          <w:rFonts w:ascii="Times New Roman" w:cs="Times New Roman" w:hAnsi="Times New Roman"/>
          <w:sz w:val="24"/>
          <w:szCs w:val="24"/>
        </w:rPr>
        <w:t xml:space="preserve"> and </w:t>
      </w:r>
      <w:r>
        <w:rPr>
          <w:rFonts w:ascii="Times New Roman" w:cs="Times New Roman" w:hAnsi="Times New Roman"/>
          <w:sz w:val="24"/>
          <w:szCs w:val="24"/>
        </w:rPr>
        <w:t>Mukhopadhyay</w:t>
      </w:r>
      <w:r>
        <w:rPr>
          <w:rFonts w:ascii="Times New Roman" w:cs="Times New Roman" w:hAnsi="Times New Roman"/>
          <w:sz w:val="24"/>
          <w:szCs w:val="24"/>
        </w:rPr>
        <w:t xml:space="preserve"> (2012) </w:t>
      </w:r>
      <w:r>
        <w:rPr>
          <w:rFonts w:ascii="Times New Roman" w:cs="Times New Roman" w:hAnsi="Times New Roman"/>
          <w:sz w:val="24"/>
          <w:szCs w:val="24"/>
        </w:rPr>
        <w:t>analysed</w:t>
      </w:r>
      <w:r>
        <w:rPr>
          <w:rFonts w:ascii="Times New Roman" w:cs="Times New Roman" w:hAnsi="Times New Roman"/>
          <w:sz w:val="24"/>
          <w:szCs w:val="24"/>
        </w:rPr>
        <w:t xml:space="preserve"> the relationship between the two public expenditures of 12 Asian &amp; Pacific regions in the past three decades to the GDP. The result revealed six (6) regions including Bangladesh, Malaysia, Kiribati, Philippines, Republic of Korea &amp; Maldives show evidence of the co-integrating relationship while Fiji, Nepal, Singapore, Sri Lanka, Tonga &amp; Vanuatu showed none. While examination on public expenses on education and healthcare toward the GDP, it has revealed in 6(six) regions: expenditure in the education sector shows negative impact on GDP in the Philippines while public expenditure on health has negative impact on </w:t>
      </w:r>
      <w:r>
        <w:rPr>
          <w:rFonts w:ascii="Times New Roman" w:cs="Times New Roman" w:hAnsi="Times New Roman"/>
          <w:sz w:val="24"/>
          <w:szCs w:val="24"/>
        </w:rPr>
        <w:t>Maldiives</w:t>
      </w:r>
      <w:r>
        <w:rPr>
          <w:rFonts w:ascii="Times New Roman" w:cs="Times New Roman" w:hAnsi="Times New Roman"/>
          <w:sz w:val="24"/>
          <w:szCs w:val="24"/>
        </w:rPr>
        <w:t xml:space="preserve"> Kiribati and in Vanuatu. So that governments planning for adequate funding for both sectors as neither spending on education nor on health will impact the region's GDP in six of the regions. </w:t>
      </w:r>
    </w:p>
    <w:p w14:paraId="1CF363C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Oriakhi</w:t>
      </w:r>
      <w:r>
        <w:rPr>
          <w:rFonts w:ascii="Times New Roman" w:cs="Times New Roman" w:hAnsi="Times New Roman"/>
          <w:sz w:val="24"/>
          <w:szCs w:val="24"/>
        </w:rPr>
        <w:t xml:space="preserve"> and </w:t>
      </w:r>
      <w:r>
        <w:rPr>
          <w:rFonts w:ascii="Times New Roman" w:cs="Times New Roman" w:hAnsi="Times New Roman"/>
          <w:sz w:val="24"/>
          <w:szCs w:val="24"/>
        </w:rPr>
        <w:t>Ameh's</w:t>
      </w:r>
      <w:r>
        <w:rPr>
          <w:rFonts w:ascii="Times New Roman" w:cs="Times New Roman" w:hAnsi="Times New Roman"/>
          <w:sz w:val="24"/>
          <w:szCs w:val="24"/>
        </w:rPr>
        <w:t xml:space="preserve"> (2014) study on “Government Expenditure and the Development of the Education Sector in Nigeria: an Evaluation” acknowledged under-budgeting for education over time, which prompted them to assess government expenditure's impact on education development. They proposed examining the effects of education spending on literacy levels in Nigeria through a time series linear regression model, exploring long-term relationships with education as the linkage mechanism using co-integration and Granger Causality techniques. It suggested that, in the long-term, other government expenditures are linked to education and could influence the rate of literacy in Nigeria. To effectively develop education sectors, </w:t>
      </w:r>
      <w:r>
        <w:rPr>
          <w:rFonts w:ascii="Times New Roman" w:cs="Times New Roman" w:hAnsi="Times New Roman"/>
          <w:sz w:val="24"/>
          <w:szCs w:val="24"/>
        </w:rPr>
        <w:t>adequate government financing of such sectors and strict measures against corruption within them would be advisable.</w:t>
      </w:r>
    </w:p>
    <w:p w14:paraId="40476A1D">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Oyedokun</w:t>
      </w:r>
      <w:r>
        <w:rPr>
          <w:rFonts w:ascii="Times New Roman" w:cs="Times New Roman" w:hAnsi="Times New Roman"/>
          <w:sz w:val="24"/>
          <w:szCs w:val="24"/>
        </w:rPr>
        <w:t xml:space="preserve"> and </w:t>
      </w:r>
      <w:r>
        <w:rPr>
          <w:rFonts w:ascii="Times New Roman" w:cs="Times New Roman" w:hAnsi="Times New Roman"/>
          <w:sz w:val="24"/>
          <w:szCs w:val="24"/>
        </w:rPr>
        <w:t>Adeyemi</w:t>
      </w:r>
      <w:r>
        <w:rPr>
          <w:rFonts w:ascii="Times New Roman" w:cs="Times New Roman" w:hAnsi="Times New Roman"/>
          <w:sz w:val="24"/>
          <w:szCs w:val="24"/>
        </w:rPr>
        <w:t xml:space="preserve"> (2018) paper entitled “Human Capital Formation and Economic Growth in Nigeria” assessed the correlation among human capital formation and Nigerian economy during the span of 1980-2015. The results showed that human capital formation was positively and strongly related to the explanatory and responsive variables; public spending in education, human capital, total student enrolment, and employment rates, total public expenditure in healthcare, and lifespan. The researcher then suggested that policy should be generated by the administration to guarantee that education and the healthcare system can work proficiently and they need to raise cash in health sector to encourage economic betterment and enhancement of people’s capacity.</w:t>
      </w:r>
    </w:p>
    <w:p w14:paraId="0EBEA372">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study conducted by </w:t>
      </w:r>
      <w:r>
        <w:rPr>
          <w:rFonts w:ascii="Times New Roman" w:cs="Times New Roman" w:hAnsi="Times New Roman"/>
          <w:sz w:val="24"/>
          <w:szCs w:val="24"/>
        </w:rPr>
        <w:t>Onyeizugbe</w:t>
      </w:r>
      <w:r>
        <w:rPr>
          <w:rFonts w:ascii="Times New Roman" w:cs="Times New Roman" w:hAnsi="Times New Roman"/>
          <w:sz w:val="24"/>
          <w:szCs w:val="24"/>
        </w:rPr>
        <w:t xml:space="preserve"> and </w:t>
      </w:r>
      <w:r>
        <w:rPr>
          <w:rFonts w:ascii="Times New Roman" w:cs="Times New Roman" w:hAnsi="Times New Roman"/>
          <w:sz w:val="24"/>
          <w:szCs w:val="24"/>
        </w:rPr>
        <w:t>Orogbu</w:t>
      </w:r>
      <w:r>
        <w:rPr>
          <w:rFonts w:ascii="Times New Roman" w:cs="Times New Roman" w:hAnsi="Times New Roman"/>
          <w:sz w:val="24"/>
          <w:szCs w:val="24"/>
        </w:rPr>
        <w:t xml:space="preserve"> (2016), based on “</w:t>
      </w:r>
      <w:r>
        <w:rPr>
          <w:rFonts w:ascii="Times New Roman" w:cs="Times New Roman" w:hAnsi="Times New Roman"/>
          <w:sz w:val="24"/>
          <w:szCs w:val="24"/>
        </w:rPr>
        <w:t>TETFund</w:t>
      </w:r>
      <w:r>
        <w:rPr>
          <w:rFonts w:ascii="Times New Roman" w:cs="Times New Roman" w:hAnsi="Times New Roman"/>
          <w:sz w:val="24"/>
          <w:szCs w:val="24"/>
        </w:rPr>
        <w:t xml:space="preserve"> International </w:t>
      </w:r>
      <w:r>
        <w:rPr>
          <w:rFonts w:ascii="Times New Roman" w:cs="Times New Roman" w:hAnsi="Times New Roman"/>
          <w:sz w:val="24"/>
          <w:szCs w:val="24"/>
        </w:rPr>
        <w:t>Programmes</w:t>
      </w:r>
      <w:r>
        <w:rPr>
          <w:rFonts w:ascii="Times New Roman" w:cs="Times New Roman" w:hAnsi="Times New Roman"/>
          <w:sz w:val="24"/>
          <w:szCs w:val="24"/>
        </w:rPr>
        <w:t xml:space="preserve"> and Academic Staff Development in Selected Universities in Southeast Nigeria” and which stated "that it is now world acknowledged that lecturers of Nigerian universities(teachers) tend to remain in stagnation especially in career progression for without prompt advancement, money set aside for their postgraduate </w:t>
      </w:r>
      <w:r>
        <w:rPr>
          <w:rFonts w:ascii="Times New Roman" w:cs="Times New Roman" w:hAnsi="Times New Roman"/>
          <w:sz w:val="24"/>
          <w:szCs w:val="24"/>
        </w:rPr>
        <w:t>programmes</w:t>
      </w:r>
      <w:r>
        <w:rPr>
          <w:rFonts w:ascii="Times New Roman" w:cs="Times New Roman" w:hAnsi="Times New Roman"/>
          <w:sz w:val="24"/>
          <w:szCs w:val="24"/>
        </w:rPr>
        <w:t xml:space="preserve">, thereby ‘publish or perish’ attitude that has gripped the scholarly world for some time now; and as an intervention the Federal government in 2011 instituted </w:t>
      </w:r>
      <w:r>
        <w:rPr>
          <w:rFonts w:ascii="Times New Roman" w:cs="Times New Roman" w:hAnsi="Times New Roman"/>
          <w:sz w:val="24"/>
          <w:szCs w:val="24"/>
        </w:rPr>
        <w:t>TETFund</w:t>
      </w:r>
      <w:r>
        <w:rPr>
          <w:rFonts w:ascii="Times New Roman" w:cs="Times New Roman" w:hAnsi="Times New Roman"/>
          <w:sz w:val="24"/>
          <w:szCs w:val="24"/>
        </w:rPr>
        <w:t xml:space="preserve"> to enhance local and foreign trainings for staff and also provide educational facilities in the universities. Unfortunately, most Nigeria Universities couldn’t access this funding on due to poorly implemented stringent processes for application by staffs of university which limited the opportunities available to her academic staff. Based on this background the research </w:t>
      </w:r>
      <w:r>
        <w:rPr>
          <w:rFonts w:ascii="Times New Roman" w:cs="Times New Roman" w:hAnsi="Times New Roman"/>
          <w:sz w:val="24"/>
          <w:szCs w:val="24"/>
        </w:rPr>
        <w:t>TETFund</w:t>
      </w:r>
      <w:r>
        <w:rPr>
          <w:rFonts w:ascii="Times New Roman" w:cs="Times New Roman" w:hAnsi="Times New Roman"/>
          <w:sz w:val="24"/>
          <w:szCs w:val="24"/>
        </w:rPr>
        <w:t xml:space="preserve"> International </w:t>
      </w:r>
      <w:r>
        <w:rPr>
          <w:rFonts w:ascii="Times New Roman" w:cs="Times New Roman" w:hAnsi="Times New Roman"/>
          <w:sz w:val="24"/>
          <w:szCs w:val="24"/>
        </w:rPr>
        <w:t>Programmes</w:t>
      </w:r>
      <w:r>
        <w:rPr>
          <w:rFonts w:ascii="Times New Roman" w:cs="Times New Roman" w:hAnsi="Times New Roman"/>
          <w:sz w:val="24"/>
          <w:szCs w:val="24"/>
        </w:rPr>
        <w:t xml:space="preserve"> and Academic Staff Development in Southeast Nigeria intended to determine the level at which academic staff in the Nigerian Universities in Southeast of the region utilizes the fund dispersed from </w:t>
      </w:r>
      <w:r>
        <w:rPr>
          <w:rFonts w:ascii="Times New Roman" w:cs="Times New Roman" w:hAnsi="Times New Roman"/>
          <w:sz w:val="24"/>
          <w:szCs w:val="24"/>
        </w:rPr>
        <w:t>TETFund</w:t>
      </w:r>
      <w:r>
        <w:rPr>
          <w:rFonts w:ascii="Times New Roman" w:cs="Times New Roman" w:hAnsi="Times New Roman"/>
          <w:sz w:val="24"/>
          <w:szCs w:val="24"/>
        </w:rPr>
        <w:t xml:space="preserve"> for the training abroad. The sample consisted of the Nigerian universities, that </w:t>
      </w:r>
      <w:r>
        <w:rPr>
          <w:rFonts w:ascii="Times New Roman" w:cs="Times New Roman" w:hAnsi="Times New Roman"/>
          <w:sz w:val="24"/>
          <w:szCs w:val="24"/>
        </w:rPr>
        <w:t xml:space="preserve">of University of Nigeria, </w:t>
      </w:r>
      <w:r>
        <w:rPr>
          <w:rFonts w:ascii="Times New Roman" w:cs="Times New Roman" w:hAnsi="Times New Roman"/>
          <w:sz w:val="24"/>
          <w:szCs w:val="24"/>
        </w:rPr>
        <w:t>Nsukka</w:t>
      </w:r>
      <w:r>
        <w:rPr>
          <w:rFonts w:ascii="Times New Roman" w:cs="Times New Roman" w:hAnsi="Times New Roman"/>
          <w:sz w:val="24"/>
          <w:szCs w:val="24"/>
        </w:rPr>
        <w:t xml:space="preserve"> and </w:t>
      </w:r>
      <w:r>
        <w:rPr>
          <w:rFonts w:ascii="Times New Roman" w:cs="Times New Roman" w:hAnsi="Times New Roman"/>
          <w:sz w:val="24"/>
          <w:szCs w:val="24"/>
        </w:rPr>
        <w:t>Ebonyi</w:t>
      </w:r>
      <w:r>
        <w:rPr>
          <w:rFonts w:ascii="Times New Roman" w:cs="Times New Roman" w:hAnsi="Times New Roman"/>
          <w:sz w:val="24"/>
          <w:szCs w:val="24"/>
        </w:rPr>
        <w:t xml:space="preserve"> State University, </w:t>
      </w:r>
      <w:r>
        <w:rPr>
          <w:rFonts w:ascii="Times New Roman" w:cs="Times New Roman" w:hAnsi="Times New Roman"/>
          <w:sz w:val="24"/>
          <w:szCs w:val="24"/>
        </w:rPr>
        <w:t>Abakaliki</w:t>
      </w:r>
      <w:r>
        <w:rPr>
          <w:rFonts w:ascii="Times New Roman" w:cs="Times New Roman" w:hAnsi="Times New Roman"/>
          <w:sz w:val="24"/>
          <w:szCs w:val="24"/>
        </w:rPr>
        <w:t xml:space="preserve">. Data collected comprised questionnaires from academic staffs of two Nigerian Universities and comprehensive literature review. Through vigorous analysis via coefficient correlation the study came up with the fact that </w:t>
      </w:r>
      <w:r>
        <w:rPr>
          <w:rFonts w:ascii="Times New Roman" w:cs="Times New Roman" w:hAnsi="Times New Roman"/>
          <w:sz w:val="24"/>
          <w:szCs w:val="24"/>
        </w:rPr>
        <w:t>TETFund</w:t>
      </w:r>
      <w:r>
        <w:rPr>
          <w:rFonts w:ascii="Times New Roman" w:cs="Times New Roman" w:hAnsi="Times New Roman"/>
          <w:sz w:val="24"/>
          <w:szCs w:val="24"/>
        </w:rPr>
        <w:t xml:space="preserve"> International trainings lead to a statistically significant advancement in academic staff career in southeastern universities in Nigerian but that the institution had challenges in that university only accesses part of the budgeted funds due to it non-compliance to terms. Recommendations included rapid clearance of requirement, equitable and transparent nomination of staffs, timely processing of scholarships, conferences and scholarships in other categories of training and granting alternative to institutions that do not adhere to requirements and unable to access the allocation for scholarship.</w:t>
      </w:r>
    </w:p>
    <w:p w14:paraId="4290F5C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The study of </w:t>
      </w:r>
      <w:r>
        <w:rPr>
          <w:rFonts w:ascii="Times New Roman" w:cs="Times New Roman" w:hAnsi="Times New Roman"/>
          <w:sz w:val="24"/>
          <w:szCs w:val="24"/>
        </w:rPr>
        <w:t>Isiaka</w:t>
      </w:r>
      <w:r>
        <w:rPr>
          <w:rFonts w:ascii="Times New Roman" w:cs="Times New Roman" w:hAnsi="Times New Roman"/>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 xml:space="preserve"> (2020) titled “Tertiary Education Trust Fund Intervention on Academic Staff Capacity Building in Lagos State University, Nigeria", applied a Descriptive Survey research approach to describe how the </w:t>
      </w:r>
      <w:r>
        <w:rPr>
          <w:rFonts w:ascii="Times New Roman" w:cs="Times New Roman" w:hAnsi="Times New Roman"/>
          <w:sz w:val="24"/>
          <w:szCs w:val="24"/>
        </w:rPr>
        <w:t>TETFund</w:t>
      </w:r>
      <w:r>
        <w:rPr>
          <w:rFonts w:ascii="Times New Roman" w:cs="Times New Roman" w:hAnsi="Times New Roman"/>
          <w:sz w:val="24"/>
          <w:szCs w:val="24"/>
        </w:rPr>
        <w:t xml:space="preserve"> has involved in building the academic staff's capacity in Lagos State University. The study population consisted of all academic staff of Lagos State University. Two objectives were put forward with each of its respective research question and one hundred and ninety-six copies of questionnaire were distributed to all. The respondents submitted the questionnaire which was </w:t>
      </w:r>
      <w:r>
        <w:rPr>
          <w:rFonts w:ascii="Times New Roman" w:cs="Times New Roman" w:hAnsi="Times New Roman"/>
          <w:sz w:val="24"/>
          <w:szCs w:val="24"/>
        </w:rPr>
        <w:t>analysed</w:t>
      </w:r>
      <w:r>
        <w:rPr>
          <w:rFonts w:ascii="Times New Roman" w:cs="Times New Roman" w:hAnsi="Times New Roman"/>
          <w:sz w:val="24"/>
          <w:szCs w:val="24"/>
        </w:rPr>
        <w:t xml:space="preserve"> questionnaire named </w:t>
      </w:r>
      <w:r>
        <w:rPr>
          <w:rFonts w:ascii="Times New Roman" w:cs="Times New Roman" w:hAnsi="Times New Roman"/>
          <w:sz w:val="24"/>
          <w:szCs w:val="24"/>
        </w:rPr>
        <w:t>Tetfund</w:t>
      </w:r>
      <w:r>
        <w:rPr>
          <w:rFonts w:ascii="Times New Roman" w:cs="Times New Roman" w:hAnsi="Times New Roman"/>
          <w:sz w:val="24"/>
          <w:szCs w:val="24"/>
        </w:rPr>
        <w:t xml:space="preserve"> Intervention on Academic Staff Capacity Building Questionnaire, established that improvement of facility for teaching and learning purpose was the fundamental purpose of the </w:t>
      </w:r>
      <w:r>
        <w:rPr>
          <w:rFonts w:ascii="Times New Roman" w:cs="Times New Roman" w:hAnsi="Times New Roman"/>
          <w:sz w:val="24"/>
          <w:szCs w:val="24"/>
        </w:rPr>
        <w:t>TETfund</w:t>
      </w:r>
      <w:r>
        <w:rPr>
          <w:rFonts w:ascii="Times New Roman" w:cs="Times New Roman" w:hAnsi="Times New Roman"/>
          <w:sz w:val="24"/>
          <w:szCs w:val="24"/>
        </w:rPr>
        <w:t xml:space="preserve"> intervention in Lagos State university which brought an immense significant improvement to the academic staff's careers in the institution. The researchers recommend the removal of red tape in any </w:t>
      </w:r>
      <w:r>
        <w:rPr>
          <w:rFonts w:ascii="Times New Roman" w:cs="Times New Roman" w:hAnsi="Times New Roman"/>
          <w:sz w:val="24"/>
          <w:szCs w:val="24"/>
        </w:rPr>
        <w:t>TETfund</w:t>
      </w:r>
      <w:r>
        <w:rPr>
          <w:rFonts w:ascii="Times New Roman" w:cs="Times New Roman" w:hAnsi="Times New Roman"/>
          <w:sz w:val="24"/>
          <w:szCs w:val="24"/>
        </w:rPr>
        <w:t xml:space="preserve"> funds process and the adoption of the combined government and nongovernmental institutions and donors’ participation for optimal learning efficiency and effectiveness.</w:t>
      </w:r>
    </w:p>
    <w:p w14:paraId="4E3190F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Ignatius and </w:t>
      </w:r>
      <w:r>
        <w:rPr>
          <w:rFonts w:ascii="Times New Roman" w:cs="Times New Roman" w:hAnsi="Times New Roman"/>
          <w:sz w:val="24"/>
          <w:szCs w:val="24"/>
        </w:rPr>
        <w:t>Umotong</w:t>
      </w:r>
      <w:r>
        <w:rPr>
          <w:rFonts w:ascii="Times New Roman" w:cs="Times New Roman" w:hAnsi="Times New Roman"/>
          <w:sz w:val="24"/>
          <w:szCs w:val="24"/>
        </w:rPr>
        <w:t xml:space="preserve"> (2022) </w:t>
      </w:r>
      <w:r>
        <w:rPr>
          <w:rFonts w:ascii="Times New Roman" w:cs="Times New Roman" w:hAnsi="Times New Roman"/>
          <w:sz w:val="24"/>
          <w:szCs w:val="24"/>
        </w:rPr>
        <w:t>analysed</w:t>
      </w:r>
      <w:r>
        <w:rPr>
          <w:rFonts w:ascii="Times New Roman" w:cs="Times New Roman" w:hAnsi="Times New Roman"/>
          <w:sz w:val="24"/>
          <w:szCs w:val="24"/>
        </w:rPr>
        <w:t xml:space="preserve"> “Decay in Educational System: The Nigerian Perspective.” It acknowledged that: Educational sector has traditionally played the backbone for any developing country such as Nigeria, to pursue nation building, social integration and economy advancement; </w:t>
      </w:r>
      <w:r>
        <w:rPr>
          <w:rFonts w:ascii="Times New Roman" w:cs="Times New Roman" w:hAnsi="Times New Roman"/>
          <w:sz w:val="24"/>
          <w:szCs w:val="24"/>
        </w:rPr>
        <w:t>However</w:t>
      </w:r>
      <w:r>
        <w:rPr>
          <w:rFonts w:ascii="Times New Roman" w:cs="Times New Roman" w:hAnsi="Times New Roman"/>
          <w:sz w:val="24"/>
          <w:szCs w:val="24"/>
        </w:rPr>
        <w:t>, it cannot be over emphasized that Nigeria's educational system has fallen badly behind. This paper sets out to establish the problems prevailing in the system and solutions for betterment of Nigerian Education Sector; Nigeria has 5 National Policy objectives in her National Policy on Education of1998; but has generally fallen short of these objectives; This research examined through analysis, the sources and the key actor in the collapse of the Nigeria education system; The challenges encountered were; corruption and malpractices from the Government and stakeholders, excessive spending on education, unqualified staffs, deficiency in contemporary tools/instruments and, indiscipline on the part of staff, students, guardians and Government; Moral decay and resistance to existing laws. They recommended intensified sensitization on condemnation of Corruption and public enlightenment, promoting accountability, transparency and; and fostering accountability, transparency and development of transparent institutions.</w:t>
      </w:r>
    </w:p>
    <w:p w14:paraId="5E92F3A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study by </w:t>
      </w:r>
      <w:r>
        <w:rPr>
          <w:rFonts w:ascii="Times New Roman" w:cs="Times New Roman" w:hAnsi="Times New Roman"/>
          <w:sz w:val="24"/>
          <w:szCs w:val="24"/>
        </w:rPr>
        <w:t>Nwosu</w:t>
      </w:r>
      <w:r>
        <w:rPr>
          <w:rFonts w:ascii="Times New Roman" w:cs="Times New Roman" w:hAnsi="Times New Roman"/>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 xml:space="preserve"> (2023) was based on the topic “Effect of taxation on Economic Growth in Nigeria” and the purpose of the research was to examine the effect of taxation on Nigerian Economy and the variables </w:t>
      </w:r>
      <w:r>
        <w:rPr>
          <w:rFonts w:ascii="Times New Roman" w:cs="Times New Roman" w:hAnsi="Times New Roman"/>
          <w:sz w:val="24"/>
          <w:szCs w:val="24"/>
        </w:rPr>
        <w:t>analysed</w:t>
      </w:r>
      <w:r>
        <w:rPr>
          <w:rFonts w:ascii="Times New Roman" w:cs="Times New Roman" w:hAnsi="Times New Roman"/>
          <w:sz w:val="24"/>
          <w:szCs w:val="24"/>
        </w:rPr>
        <w:t xml:space="preserve"> and found out as a result of issues that include:- evasion of tax and poor administrations, the existence of the combination or collusion between the evader of tax and tax collector resulting to insufficient revenue to be channel to investment so as to encourage economy for the purpose of betterment of its economic growth. The study used descriptive statistic tool for data analysis and multiple regression tool to provide in-depth analysis of data. Findings of the research indicated an insignificant negative relationship between PPT and GDP, an insignificant positive relationship between CIT and GDP, a significant positive relationship between VAT and GDP, insignificant positive relationship </w:t>
      </w:r>
      <w:r>
        <w:rPr>
          <w:rFonts w:ascii="Times New Roman" w:cs="Times New Roman" w:hAnsi="Times New Roman"/>
          <w:sz w:val="24"/>
          <w:szCs w:val="24"/>
        </w:rPr>
        <w:t>between EDUTAX and GDP, non-significant negative relationship between Gas income and GDP and it a r-square of 0.942871 and an F-Stat of 0.000192. Thus, recommendations were made to enhance the Administration of Petroleum taxation and avoid revenue loses and make productive use of petroleum tax revenue to boosts productive economic activity in Nigeria, making use of company tax appropriately as a tool for developing economy, and the policy to always take VAT collections and investment policies so as to stimulate a direct positive relationship with Gross Domestic Product.</w:t>
      </w:r>
    </w:p>
    <w:p w14:paraId="469A0FA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Omodero</w:t>
      </w:r>
      <w:r>
        <w:rPr>
          <w:rFonts w:ascii="Times New Roman" w:cs="Times New Roman" w:hAnsi="Times New Roman"/>
          <w:sz w:val="24"/>
          <w:szCs w:val="24"/>
        </w:rPr>
        <w:t xml:space="preserve"> &amp; </w:t>
      </w:r>
      <w:r>
        <w:rPr>
          <w:rFonts w:ascii="Times New Roman" w:cs="Times New Roman" w:hAnsi="Times New Roman"/>
          <w:sz w:val="24"/>
          <w:szCs w:val="24"/>
        </w:rPr>
        <w:t>Adefolake</w:t>
      </w:r>
      <w:r>
        <w:rPr>
          <w:rFonts w:ascii="Times New Roman" w:cs="Times New Roman" w:hAnsi="Times New Roman"/>
          <w:sz w:val="24"/>
          <w:szCs w:val="24"/>
        </w:rPr>
        <w:t xml:space="preserve"> (2022) in a study titled “Tax Revenue and its economic Growth in Nigeria” looked at the contribution of different taxes to economic growth of Nigeria and employed a time-series data for the study which lasted from 2000-2021. The general objective of their study was 'to evaluate the impact of Hydrocarbon Tax, Corporation Income Tax, and Value Added Tax on the economic growth of Nigeria. Following the test for unit root, Johansen </w:t>
      </w:r>
      <w:r>
        <w:rPr>
          <w:rFonts w:ascii="Times New Roman" w:cs="Times New Roman" w:hAnsi="Times New Roman"/>
          <w:sz w:val="24"/>
          <w:szCs w:val="24"/>
        </w:rPr>
        <w:t>cointegration</w:t>
      </w:r>
      <w:r>
        <w:rPr>
          <w:rFonts w:ascii="Times New Roman" w:cs="Times New Roman" w:hAnsi="Times New Roman"/>
          <w:sz w:val="24"/>
          <w:szCs w:val="24"/>
        </w:rPr>
        <w:t xml:space="preserve"> test was used for investigating any </w:t>
      </w:r>
      <w:r>
        <w:rPr>
          <w:rFonts w:ascii="Times New Roman" w:cs="Times New Roman" w:hAnsi="Times New Roman"/>
          <w:sz w:val="24"/>
          <w:szCs w:val="24"/>
        </w:rPr>
        <w:t>cointegrating</w:t>
      </w:r>
      <w:r>
        <w:rPr>
          <w:rFonts w:ascii="Times New Roman" w:cs="Times New Roman" w:hAnsi="Times New Roman"/>
          <w:sz w:val="24"/>
          <w:szCs w:val="24"/>
        </w:rPr>
        <w:t xml:space="preserve"> relationship between variables and it was discovered that variables had a long run relationship. Then vector error correction model (VECM) analysis was used to assess the influence of Hydrocarbon Tax, CIT and VAT on the GDP of Nigeria. The research by </w:t>
      </w:r>
      <w:r>
        <w:rPr>
          <w:rFonts w:ascii="Times New Roman" w:cs="Times New Roman" w:hAnsi="Times New Roman"/>
          <w:sz w:val="24"/>
          <w:szCs w:val="24"/>
        </w:rPr>
        <w:t>Omodero</w:t>
      </w:r>
      <w:r>
        <w:rPr>
          <w:rFonts w:ascii="Times New Roman" w:cs="Times New Roman" w:hAnsi="Times New Roman"/>
          <w:sz w:val="24"/>
          <w:szCs w:val="24"/>
        </w:rPr>
        <w:t xml:space="preserve"> and </w:t>
      </w:r>
      <w:r>
        <w:rPr>
          <w:rFonts w:ascii="Times New Roman" w:cs="Times New Roman" w:hAnsi="Times New Roman"/>
          <w:sz w:val="24"/>
          <w:szCs w:val="24"/>
        </w:rPr>
        <w:t>Adefolake</w:t>
      </w:r>
      <w:r>
        <w:rPr>
          <w:rFonts w:ascii="Times New Roman" w:cs="Times New Roman" w:hAnsi="Times New Roman"/>
          <w:sz w:val="24"/>
          <w:szCs w:val="24"/>
        </w:rPr>
        <w:t xml:space="preserve"> (2022) also observed that Hydrocarbon Tax and VAT had a significant and positive impacts on Nigerian’s Economic Growth while, CIT had a significant and negative impacts on Nigerian’s Economic growth which resulted in recommendation on carrying out training programs and seminars for companies and individuals by the respective tax authorities that will emphasize the benefit of paying taxes as well as role played by taxation in the economic Development of the country to the companies so that they can take on full participation in Paying the respective Taxes, since those companies are carrying out the largest contribution to fulfilling the obligation of the Federal Government to its Citizens.' </w:t>
      </w:r>
    </w:p>
    <w:p w14:paraId="1F586107">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Osamor</w:t>
      </w:r>
      <w:r>
        <w:rPr>
          <w:rFonts w:ascii="Times New Roman" w:cs="Times New Roman" w:hAnsi="Times New Roman"/>
          <w:sz w:val="24"/>
          <w:szCs w:val="24"/>
        </w:rPr>
        <w:t xml:space="preserve"> </w:t>
      </w:r>
      <w:r>
        <w:rPr>
          <w:rFonts w:ascii="Times New Roman" w:cs="Times New Roman" w:hAnsi="Times New Roman"/>
          <w:i/>
          <w:sz w:val="24"/>
          <w:szCs w:val="24"/>
        </w:rPr>
        <w:t>et al</w:t>
      </w:r>
      <w:r>
        <w:rPr>
          <w:rFonts w:ascii="Times New Roman" w:cs="Times New Roman" w:hAnsi="Times New Roman"/>
          <w:sz w:val="24"/>
          <w:szCs w:val="24"/>
        </w:rPr>
        <w:t xml:space="preserve"> (2023) in their study called “Tax Revenue and Economic Growth: Empirical Evidence from Nigeria” believed that companies could shift their funds and not to pay taxes (Tax Evasion/Avoidance) thus reduce overall contribution to governmental revenue to ensure economic development of a nation and the current study.  Their results found that (PPT), (CIT), (VAT) and custom duty (CDT) all impacted Nigeria’s Economic Growth in a negatively insignificant way and that Tax Revenue has negative insignificant impact on Nigerian Economy. Therefore, the researchers recommended that Tax Audit be enhanced so as to check tax evasions and avoidance and boost country’s revenue for Economic Development.</w:t>
      </w:r>
    </w:p>
    <w:p w14:paraId="1C8F02B7">
      <w:pPr>
        <w:pStyle w:val="style0"/>
        <w:spacing w:lineRule="auto" w:line="480"/>
        <w:rPr>
          <w:rFonts w:ascii="Times New Roman" w:cs="Times New Roman" w:hAnsi="Times New Roman"/>
          <w:sz w:val="24"/>
          <w:szCs w:val="24"/>
        </w:rPr>
      </w:pPr>
    </w:p>
    <w:p w14:paraId="3567F0A9">
      <w:pPr>
        <w:pStyle w:val="style0"/>
        <w:spacing w:lineRule="auto" w:line="480"/>
        <w:rPr>
          <w:rFonts w:ascii="Times New Roman" w:cs="Times New Roman" w:hAnsi="Times New Roman"/>
          <w:sz w:val="24"/>
          <w:szCs w:val="24"/>
        </w:rPr>
      </w:pPr>
    </w:p>
    <w:p w14:paraId="6F88567D">
      <w:pPr>
        <w:pStyle w:val="style0"/>
        <w:spacing w:lineRule="auto" w:line="480"/>
        <w:rPr>
          <w:rFonts w:ascii="Times New Roman" w:cs="Times New Roman" w:hAnsi="Times New Roman"/>
          <w:sz w:val="24"/>
          <w:szCs w:val="24"/>
        </w:rPr>
      </w:pPr>
    </w:p>
    <w:p w14:paraId="5C6AE41B">
      <w:pPr>
        <w:pStyle w:val="style0"/>
        <w:spacing w:lineRule="auto" w:line="480"/>
        <w:rPr>
          <w:rFonts w:ascii="Times New Roman" w:cs="Times New Roman" w:hAnsi="Times New Roman"/>
          <w:sz w:val="24"/>
          <w:szCs w:val="24"/>
        </w:rPr>
      </w:pPr>
    </w:p>
    <w:p w14:paraId="0BBDD2D4">
      <w:pPr>
        <w:pStyle w:val="style0"/>
        <w:spacing w:lineRule="auto" w:line="480"/>
        <w:rPr>
          <w:rFonts w:ascii="Times New Roman" w:cs="Times New Roman" w:hAnsi="Times New Roman"/>
          <w:sz w:val="24"/>
          <w:szCs w:val="24"/>
        </w:rPr>
      </w:pPr>
    </w:p>
    <w:p w14:paraId="0C4DBB87">
      <w:pPr>
        <w:pStyle w:val="style0"/>
        <w:spacing w:lineRule="auto" w:line="480"/>
        <w:rPr>
          <w:rFonts w:ascii="Times New Roman" w:cs="Times New Roman" w:hAnsi="Times New Roman"/>
          <w:sz w:val="24"/>
          <w:szCs w:val="24"/>
        </w:rPr>
      </w:pPr>
    </w:p>
    <w:p w14:paraId="1D1FD97A">
      <w:pPr>
        <w:pStyle w:val="style0"/>
        <w:spacing w:lineRule="auto" w:line="480"/>
        <w:rPr>
          <w:rFonts w:ascii="Times New Roman" w:cs="Times New Roman" w:hAnsi="Times New Roman"/>
          <w:sz w:val="24"/>
          <w:szCs w:val="24"/>
        </w:rPr>
      </w:pPr>
    </w:p>
    <w:p w14:paraId="69E6CFF8">
      <w:pPr>
        <w:pStyle w:val="style0"/>
        <w:spacing w:lineRule="auto" w:line="480"/>
        <w:rPr>
          <w:rFonts w:ascii="Times New Roman" w:cs="Times New Roman" w:hAnsi="Times New Roman"/>
          <w:sz w:val="24"/>
          <w:szCs w:val="24"/>
        </w:rPr>
      </w:pPr>
    </w:p>
    <w:p w14:paraId="56C55534">
      <w:pPr>
        <w:pStyle w:val="style0"/>
        <w:spacing w:lineRule="auto" w:line="480"/>
        <w:rPr>
          <w:rFonts w:ascii="Times New Roman" w:cs="Times New Roman" w:hAnsi="Times New Roman"/>
          <w:sz w:val="24"/>
          <w:szCs w:val="24"/>
        </w:rPr>
      </w:pPr>
    </w:p>
    <w:p w14:paraId="6B628C3F">
      <w:pPr>
        <w:pStyle w:val="style0"/>
        <w:spacing w:lineRule="auto" w:line="480"/>
        <w:rPr>
          <w:rFonts w:ascii="Times New Roman" w:cs="Times New Roman" w:hAnsi="Times New Roman"/>
          <w:sz w:val="24"/>
          <w:szCs w:val="24"/>
        </w:rPr>
      </w:pPr>
    </w:p>
    <w:p w14:paraId="3EAB3D5B">
      <w:pPr>
        <w:pStyle w:val="style0"/>
        <w:spacing w:lineRule="auto" w:line="480"/>
        <w:rPr>
          <w:rFonts w:ascii="Times New Roman" w:cs="Times New Roman" w:hAnsi="Times New Roman"/>
          <w:sz w:val="24"/>
          <w:szCs w:val="24"/>
        </w:rPr>
      </w:pPr>
    </w:p>
    <w:p w14:paraId="4A5D9843">
      <w:pPr>
        <w:pStyle w:val="style0"/>
        <w:spacing w:lineRule="auto" w:line="480"/>
        <w:rPr>
          <w:rFonts w:ascii="Times New Roman" w:cs="Times New Roman" w:hAnsi="Times New Roman"/>
          <w:sz w:val="24"/>
          <w:szCs w:val="24"/>
        </w:rPr>
      </w:pPr>
    </w:p>
    <w:p w14:paraId="03A711C5">
      <w:pPr>
        <w:pStyle w:val="style0"/>
        <w:spacing w:lineRule="auto" w:line="480"/>
        <w:rPr>
          <w:rFonts w:ascii="Times New Roman" w:cs="Times New Roman" w:hAnsi="Times New Roman"/>
          <w:sz w:val="24"/>
          <w:szCs w:val="24"/>
        </w:rPr>
      </w:pPr>
    </w:p>
    <w:p w14:paraId="3B61545C">
      <w:pPr>
        <w:pStyle w:val="style0"/>
        <w:spacing w:lineRule="auto" w:line="480"/>
        <w:rPr>
          <w:rFonts w:ascii="Times New Roman" w:cs="Times New Roman" w:hAnsi="Times New Roman"/>
          <w:sz w:val="24"/>
          <w:szCs w:val="24"/>
        </w:rPr>
      </w:pPr>
    </w:p>
    <w:p w14:paraId="45ABD345">
      <w:pPr>
        <w:pStyle w:val="style0"/>
        <w:spacing w:after="0" w:lineRule="auto" w:line="240"/>
        <w:jc w:val="both"/>
        <w:rPr>
          <w:rFonts w:ascii="Times New Roman" w:cs="Times New Roman" w:hAnsi="Times New Roman"/>
          <w:sz w:val="24"/>
          <w:szCs w:val="24"/>
        </w:rPr>
      </w:pPr>
      <w:r>
        <w:rPr>
          <w:rFonts w:ascii="Times New Roman" w:cs="Times New Roman" w:hAnsi="Times New Roman"/>
          <w:b/>
          <w:sz w:val="24"/>
          <w:szCs w:val="24"/>
        </w:rPr>
        <w:t>Table 1:</w:t>
      </w:r>
      <w:r>
        <w:rPr>
          <w:rFonts w:ascii="Times New Roman" w:cs="Times New Roman" w:hAnsi="Times New Roman"/>
          <w:sz w:val="24"/>
          <w:szCs w:val="24"/>
        </w:rPr>
        <w:t xml:space="preserve"> Summary of Empirical Review</w:t>
      </w:r>
    </w:p>
    <w:tbl>
      <w:tblPr>
        <w:tblStyle w:val="style154"/>
        <w:tblW w:w="11330" w:type="dxa"/>
        <w:tblInd w:w="-90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80"/>
        <w:gridCol w:w="1455"/>
        <w:gridCol w:w="80"/>
        <w:gridCol w:w="2710"/>
        <w:gridCol w:w="80"/>
        <w:gridCol w:w="2260"/>
        <w:gridCol w:w="80"/>
        <w:gridCol w:w="3875"/>
        <w:gridCol w:w="80"/>
      </w:tblGrid>
      <w:tr w14:paraId="0989E34A">
        <w:trPr>
          <w:gridAfter w:val="1"/>
          <w:wAfter w:w="80" w:type="dxa"/>
        </w:trPr>
        <w:tc>
          <w:tcPr>
            <w:tcW w:w="630" w:type="dxa"/>
            <w:tcBorders>
              <w:top w:val="single" w:sz="4" w:space="0" w:color="auto"/>
              <w:bottom w:val="single" w:sz="4" w:space="0" w:color="auto"/>
            </w:tcBorders>
          </w:tcPr>
          <w:p w14:paraId="6BD4CB04">
            <w:pPr>
              <w:pStyle w:val="style0"/>
              <w:jc w:val="both"/>
              <w:rPr>
                <w:rFonts w:ascii="Times New Roman" w:cs="Times New Roman" w:hAnsi="Times New Roman"/>
                <w:b/>
                <w:szCs w:val="24"/>
              </w:rPr>
            </w:pPr>
            <w:r>
              <w:rPr>
                <w:rFonts w:ascii="Times New Roman" w:cs="Times New Roman" w:hAnsi="Times New Roman"/>
                <w:b/>
                <w:szCs w:val="24"/>
              </w:rPr>
              <w:t>S/N</w:t>
            </w:r>
          </w:p>
        </w:tc>
        <w:tc>
          <w:tcPr>
            <w:tcW w:w="1535" w:type="dxa"/>
            <w:gridSpan w:val="2"/>
            <w:tcBorders>
              <w:top w:val="single" w:sz="4" w:space="0" w:color="auto"/>
              <w:bottom w:val="single" w:sz="4" w:space="0" w:color="auto"/>
            </w:tcBorders>
          </w:tcPr>
          <w:p w14:paraId="5D7D4732">
            <w:pPr>
              <w:pStyle w:val="style0"/>
              <w:jc w:val="both"/>
              <w:rPr>
                <w:rFonts w:ascii="Times New Roman" w:cs="Times New Roman" w:hAnsi="Times New Roman"/>
                <w:b/>
                <w:szCs w:val="24"/>
              </w:rPr>
            </w:pPr>
            <w:r>
              <w:rPr>
                <w:rFonts w:ascii="Times New Roman" w:cs="Times New Roman" w:hAnsi="Times New Roman"/>
                <w:b/>
                <w:szCs w:val="24"/>
              </w:rPr>
              <w:t>Author(S) &amp;Year</w:t>
            </w:r>
          </w:p>
        </w:tc>
        <w:tc>
          <w:tcPr>
            <w:tcW w:w="2790" w:type="dxa"/>
            <w:gridSpan w:val="2"/>
            <w:tcBorders>
              <w:top w:val="single" w:sz="4" w:space="0" w:color="auto"/>
              <w:bottom w:val="single" w:sz="4" w:space="0" w:color="auto"/>
            </w:tcBorders>
          </w:tcPr>
          <w:p w14:paraId="2A2134FD">
            <w:pPr>
              <w:pStyle w:val="style0"/>
              <w:jc w:val="both"/>
              <w:rPr>
                <w:rFonts w:ascii="Times New Roman" w:cs="Times New Roman" w:hAnsi="Times New Roman"/>
                <w:b/>
                <w:szCs w:val="24"/>
              </w:rPr>
            </w:pPr>
            <w:r>
              <w:rPr>
                <w:rFonts w:ascii="Times New Roman" w:cs="Times New Roman" w:hAnsi="Times New Roman"/>
                <w:b/>
                <w:szCs w:val="24"/>
              </w:rPr>
              <w:t>Topic</w:t>
            </w:r>
          </w:p>
        </w:tc>
        <w:tc>
          <w:tcPr>
            <w:tcW w:w="2340" w:type="dxa"/>
            <w:gridSpan w:val="2"/>
            <w:tcBorders>
              <w:top w:val="single" w:sz="4" w:space="0" w:color="auto"/>
              <w:bottom w:val="single" w:sz="4" w:space="0" w:color="auto"/>
            </w:tcBorders>
          </w:tcPr>
          <w:p w14:paraId="56FA8FFF">
            <w:pPr>
              <w:pStyle w:val="style0"/>
              <w:jc w:val="both"/>
              <w:rPr>
                <w:rFonts w:ascii="Times New Roman" w:cs="Times New Roman" w:hAnsi="Times New Roman"/>
                <w:b/>
                <w:szCs w:val="24"/>
              </w:rPr>
            </w:pPr>
            <w:r>
              <w:rPr>
                <w:rFonts w:ascii="Times New Roman" w:cs="Times New Roman" w:hAnsi="Times New Roman"/>
                <w:b/>
                <w:szCs w:val="24"/>
              </w:rPr>
              <w:t>Methodology</w:t>
            </w:r>
          </w:p>
        </w:tc>
        <w:tc>
          <w:tcPr>
            <w:tcW w:w="3955" w:type="dxa"/>
            <w:gridSpan w:val="2"/>
            <w:tcBorders>
              <w:top w:val="single" w:sz="4" w:space="0" w:color="auto"/>
              <w:bottom w:val="single" w:sz="4" w:space="0" w:color="auto"/>
            </w:tcBorders>
          </w:tcPr>
          <w:p w14:paraId="65730B6B">
            <w:pPr>
              <w:pStyle w:val="style0"/>
              <w:jc w:val="both"/>
              <w:rPr>
                <w:rFonts w:ascii="Times New Roman" w:cs="Times New Roman" w:hAnsi="Times New Roman"/>
                <w:b/>
                <w:szCs w:val="24"/>
              </w:rPr>
            </w:pPr>
            <w:r>
              <w:rPr>
                <w:rFonts w:ascii="Times New Roman" w:cs="Times New Roman" w:hAnsi="Times New Roman"/>
                <w:b/>
                <w:szCs w:val="24"/>
              </w:rPr>
              <w:t>Findings</w:t>
            </w:r>
          </w:p>
        </w:tc>
      </w:tr>
      <w:tr w14:paraId="26CF6087">
        <w:tblPrEx/>
        <w:trPr>
          <w:gridAfter w:val="1"/>
          <w:wAfter w:w="80" w:type="dxa"/>
        </w:trPr>
        <w:tc>
          <w:tcPr>
            <w:tcW w:w="630" w:type="dxa"/>
            <w:tcBorders>
              <w:top w:val="single" w:sz="4" w:space="0" w:color="auto"/>
            </w:tcBorders>
          </w:tcPr>
          <w:p w14:paraId="09E13214">
            <w:pPr>
              <w:pStyle w:val="style0"/>
              <w:rPr>
                <w:rFonts w:ascii="Times New Roman" w:cs="Times New Roman" w:hAnsi="Times New Roman"/>
                <w:szCs w:val="24"/>
              </w:rPr>
            </w:pPr>
            <w:r>
              <w:rPr>
                <w:rFonts w:ascii="Times New Roman" w:cs="Times New Roman" w:hAnsi="Times New Roman"/>
                <w:szCs w:val="24"/>
              </w:rPr>
              <w:t>1</w:t>
            </w:r>
          </w:p>
        </w:tc>
        <w:tc>
          <w:tcPr>
            <w:tcW w:w="1535" w:type="dxa"/>
            <w:gridSpan w:val="2"/>
            <w:tcBorders>
              <w:top w:val="single" w:sz="4" w:space="0" w:color="auto"/>
            </w:tcBorders>
          </w:tcPr>
          <w:p w14:paraId="1F4AD27A">
            <w:pPr>
              <w:pStyle w:val="style0"/>
              <w:rPr>
                <w:rFonts w:ascii="Times New Roman" w:cs="Times New Roman" w:hAnsi="Times New Roman"/>
                <w:szCs w:val="24"/>
              </w:rPr>
            </w:pPr>
            <w:r>
              <w:rPr>
                <w:rFonts w:ascii="Times New Roman" w:cs="Times New Roman" w:hAnsi="Times New Roman"/>
                <w:szCs w:val="24"/>
              </w:rPr>
              <w:t>Ogunjobi</w:t>
            </w:r>
            <w:r>
              <w:rPr>
                <w:rFonts w:ascii="Times New Roman" w:cs="Times New Roman" w:hAnsi="Times New Roman"/>
                <w:szCs w:val="24"/>
              </w:rPr>
              <w:t xml:space="preserve"> </w:t>
            </w:r>
            <w:r>
              <w:rPr>
                <w:rFonts w:ascii="Times New Roman" w:cs="Times New Roman" w:hAnsi="Times New Roman"/>
                <w:i/>
                <w:szCs w:val="24"/>
              </w:rPr>
              <w:t>et al</w:t>
            </w:r>
            <w:r>
              <w:rPr>
                <w:rFonts w:ascii="Times New Roman" w:cs="Times New Roman" w:hAnsi="Times New Roman"/>
                <w:szCs w:val="24"/>
              </w:rPr>
              <w:t>. (2024)</w:t>
            </w:r>
          </w:p>
          <w:p w14:paraId="1479686A">
            <w:pPr>
              <w:pStyle w:val="style0"/>
              <w:rPr>
                <w:rFonts w:ascii="Times New Roman" w:cs="Times New Roman" w:hAnsi="Times New Roman"/>
                <w:szCs w:val="24"/>
              </w:rPr>
            </w:pPr>
          </w:p>
        </w:tc>
        <w:tc>
          <w:tcPr>
            <w:tcW w:w="2790" w:type="dxa"/>
            <w:gridSpan w:val="2"/>
            <w:tcBorders>
              <w:top w:val="single" w:sz="4" w:space="0" w:color="auto"/>
            </w:tcBorders>
          </w:tcPr>
          <w:p w14:paraId="10A77909">
            <w:pPr>
              <w:pStyle w:val="style0"/>
              <w:rPr>
                <w:rFonts w:ascii="Times New Roman" w:cs="Times New Roman" w:hAnsi="Times New Roman"/>
                <w:szCs w:val="24"/>
              </w:rPr>
            </w:pPr>
            <w:r>
              <w:rPr>
                <w:rFonts w:ascii="Times New Roman" w:cs="Times New Roman" w:hAnsi="Times New Roman"/>
                <w:szCs w:val="24"/>
              </w:rPr>
              <w:t>Government spending on recurring education expenses and productivity of the manufacturing industry in Nigeria</w:t>
            </w:r>
          </w:p>
          <w:p w14:paraId="03DB0F89">
            <w:pPr>
              <w:pStyle w:val="style0"/>
              <w:rPr>
                <w:rFonts w:ascii="Times New Roman" w:cs="Times New Roman" w:hAnsi="Times New Roman"/>
                <w:szCs w:val="24"/>
              </w:rPr>
            </w:pPr>
          </w:p>
        </w:tc>
        <w:tc>
          <w:tcPr>
            <w:tcW w:w="2340" w:type="dxa"/>
            <w:gridSpan w:val="2"/>
            <w:tcBorders>
              <w:top w:val="single" w:sz="4" w:space="0" w:color="auto"/>
            </w:tcBorders>
          </w:tcPr>
          <w:p w14:paraId="05EFB644">
            <w:pPr>
              <w:pStyle w:val="style0"/>
              <w:rPr>
                <w:rFonts w:ascii="Times New Roman" w:cs="Times New Roman" w:hAnsi="Times New Roman"/>
                <w:szCs w:val="24"/>
              </w:rPr>
            </w:pPr>
            <w:r>
              <w:rPr>
                <w:rFonts w:ascii="Times New Roman" w:cs="Times New Roman" w:hAnsi="Times New Roman"/>
                <w:szCs w:val="24"/>
              </w:rPr>
              <w:t>Augmented Dickey-Fuller (ADF) unit root test and Auto Regressive Distributive Lags (ARDL) approach</w:t>
            </w:r>
          </w:p>
        </w:tc>
        <w:tc>
          <w:tcPr>
            <w:tcW w:w="3955" w:type="dxa"/>
            <w:gridSpan w:val="2"/>
            <w:tcBorders>
              <w:top w:val="single" w:sz="4" w:space="0" w:color="auto"/>
            </w:tcBorders>
          </w:tcPr>
          <w:p w14:paraId="58300AB8">
            <w:pPr>
              <w:pStyle w:val="style0"/>
              <w:rPr>
                <w:rFonts w:ascii="Times New Roman" w:cs="Times New Roman" w:hAnsi="Times New Roman"/>
                <w:szCs w:val="24"/>
              </w:rPr>
            </w:pPr>
            <w:r>
              <w:rPr>
                <w:rFonts w:ascii="Times New Roman" w:cs="Times New Roman" w:hAnsi="Times New Roman"/>
                <w:szCs w:val="24"/>
              </w:rPr>
              <w:t>Public education spending as a recurring cost is weakly related to output per production worker.</w:t>
            </w:r>
          </w:p>
          <w:p w14:paraId="461821A4">
            <w:pPr>
              <w:pStyle w:val="style0"/>
              <w:rPr>
                <w:rFonts w:ascii="Times New Roman" w:cs="Times New Roman" w:hAnsi="Times New Roman"/>
                <w:szCs w:val="24"/>
              </w:rPr>
            </w:pPr>
          </w:p>
        </w:tc>
      </w:tr>
      <w:tr w14:paraId="35D69AB4">
        <w:tblPrEx/>
        <w:trPr>
          <w:gridAfter w:val="1"/>
          <w:wAfter w:w="80" w:type="dxa"/>
        </w:trPr>
        <w:tc>
          <w:tcPr>
            <w:tcW w:w="630" w:type="dxa"/>
            <w:tcBorders/>
          </w:tcPr>
          <w:p w14:paraId="7CB6ED9C">
            <w:pPr>
              <w:pStyle w:val="style0"/>
              <w:rPr>
                <w:rFonts w:ascii="Times New Roman" w:cs="Times New Roman" w:hAnsi="Times New Roman"/>
                <w:szCs w:val="24"/>
              </w:rPr>
            </w:pPr>
            <w:r>
              <w:rPr>
                <w:rFonts w:ascii="Times New Roman" w:cs="Times New Roman" w:hAnsi="Times New Roman"/>
                <w:szCs w:val="24"/>
              </w:rPr>
              <w:t>2.</w:t>
            </w:r>
          </w:p>
        </w:tc>
        <w:tc>
          <w:tcPr>
            <w:tcW w:w="1535" w:type="dxa"/>
            <w:gridSpan w:val="2"/>
            <w:tcBorders/>
          </w:tcPr>
          <w:p w14:paraId="10C68052">
            <w:pPr>
              <w:pStyle w:val="style0"/>
              <w:rPr>
                <w:rFonts w:ascii="Times New Roman" w:cs="Times New Roman" w:hAnsi="Times New Roman"/>
                <w:szCs w:val="24"/>
              </w:rPr>
            </w:pPr>
            <w:r>
              <w:rPr>
                <w:rFonts w:ascii="Times New Roman" w:cs="Times New Roman" w:hAnsi="Times New Roman"/>
                <w:szCs w:val="24"/>
              </w:rPr>
              <w:t>Opuala</w:t>
            </w:r>
            <w:r>
              <w:rPr>
                <w:rFonts w:ascii="Times New Roman" w:cs="Times New Roman" w:hAnsi="Times New Roman"/>
                <w:szCs w:val="24"/>
              </w:rPr>
              <w:t xml:space="preserve"> and Orji (2024)</w:t>
            </w:r>
          </w:p>
          <w:p w14:paraId="2A358D00">
            <w:pPr>
              <w:pStyle w:val="style0"/>
              <w:rPr>
                <w:rFonts w:ascii="Times New Roman" w:cs="Times New Roman" w:hAnsi="Times New Roman"/>
                <w:szCs w:val="24"/>
              </w:rPr>
            </w:pPr>
          </w:p>
        </w:tc>
        <w:tc>
          <w:tcPr>
            <w:tcW w:w="2790" w:type="dxa"/>
            <w:gridSpan w:val="2"/>
            <w:tcBorders/>
          </w:tcPr>
          <w:p w14:paraId="636F1037">
            <w:pPr>
              <w:pStyle w:val="style0"/>
              <w:rPr>
                <w:rFonts w:ascii="Times New Roman" w:cs="Times New Roman" w:hAnsi="Times New Roman"/>
                <w:szCs w:val="24"/>
              </w:rPr>
            </w:pPr>
            <w:r>
              <w:rPr>
                <w:rFonts w:ascii="Times New Roman" w:cs="Times New Roman" w:hAnsi="Times New Roman"/>
                <w:szCs w:val="24"/>
              </w:rPr>
              <w:t>Educational Sector Financing and Economic Wellbeing</w:t>
            </w:r>
          </w:p>
        </w:tc>
        <w:tc>
          <w:tcPr>
            <w:tcW w:w="2340" w:type="dxa"/>
            <w:gridSpan w:val="2"/>
            <w:tcBorders/>
          </w:tcPr>
          <w:p w14:paraId="36CDF84E">
            <w:pPr>
              <w:pStyle w:val="style0"/>
              <w:rPr>
                <w:rFonts w:ascii="Times New Roman" w:cs="Times New Roman" w:hAnsi="Times New Roman"/>
                <w:szCs w:val="24"/>
              </w:rPr>
            </w:pPr>
            <w:r>
              <w:rPr>
                <w:rFonts w:ascii="Times New Roman" w:cs="Times New Roman" w:hAnsi="Times New Roman"/>
                <w:szCs w:val="24"/>
              </w:rPr>
              <w:t>Econometric Techniques (Co-integration analysis)</w:t>
            </w:r>
          </w:p>
        </w:tc>
        <w:tc>
          <w:tcPr>
            <w:tcW w:w="3955" w:type="dxa"/>
            <w:gridSpan w:val="2"/>
            <w:tcBorders/>
          </w:tcPr>
          <w:p w14:paraId="16BB9883">
            <w:pPr>
              <w:pStyle w:val="style0"/>
              <w:rPr>
                <w:rFonts w:ascii="Times New Roman" w:cs="Times New Roman" w:hAnsi="Times New Roman"/>
                <w:szCs w:val="24"/>
              </w:rPr>
            </w:pPr>
            <w:r>
              <w:rPr>
                <w:rFonts w:ascii="Times New Roman" w:cs="Times New Roman" w:hAnsi="Times New Roman"/>
                <w:szCs w:val="24"/>
              </w:rPr>
              <w:t xml:space="preserve">Long-term relationship between </w:t>
            </w:r>
            <w:r>
              <w:rPr>
                <w:rFonts w:ascii="Times New Roman" w:cs="Times New Roman" w:hAnsi="Times New Roman"/>
                <w:szCs w:val="24"/>
              </w:rPr>
              <w:t>govt</w:t>
            </w:r>
            <w:r>
              <w:rPr>
                <w:rFonts w:ascii="Times New Roman" w:cs="Times New Roman" w:hAnsi="Times New Roman"/>
                <w:szCs w:val="24"/>
              </w:rPr>
              <w:t xml:space="preserve"> financing and HDI; however, underemployment persists among the educated</w:t>
            </w:r>
          </w:p>
        </w:tc>
      </w:tr>
      <w:tr w14:paraId="0D95F941">
        <w:tblPrEx/>
        <w:trPr>
          <w:gridAfter w:val="1"/>
          <w:wAfter w:w="80" w:type="dxa"/>
        </w:trPr>
        <w:tc>
          <w:tcPr>
            <w:tcW w:w="630" w:type="dxa"/>
            <w:tcBorders/>
          </w:tcPr>
          <w:p w14:paraId="04F9BF50">
            <w:pPr>
              <w:pStyle w:val="style0"/>
              <w:rPr>
                <w:rFonts w:ascii="Times New Roman" w:cs="Times New Roman" w:hAnsi="Times New Roman"/>
                <w:szCs w:val="24"/>
              </w:rPr>
            </w:pPr>
            <w:r>
              <w:rPr>
                <w:rFonts w:ascii="Times New Roman" w:cs="Times New Roman" w:hAnsi="Times New Roman"/>
                <w:szCs w:val="24"/>
              </w:rPr>
              <w:t>3,</w:t>
            </w:r>
          </w:p>
        </w:tc>
        <w:tc>
          <w:tcPr>
            <w:tcW w:w="1535" w:type="dxa"/>
            <w:gridSpan w:val="2"/>
            <w:tcBorders/>
          </w:tcPr>
          <w:p w14:paraId="7C2D2452">
            <w:pPr>
              <w:pStyle w:val="style0"/>
              <w:rPr>
                <w:rFonts w:ascii="Times New Roman" w:cs="Times New Roman" w:hAnsi="Times New Roman"/>
                <w:szCs w:val="24"/>
              </w:rPr>
            </w:pPr>
            <w:r>
              <w:rPr>
                <w:rFonts w:ascii="Times New Roman" w:cs="Times New Roman" w:hAnsi="Times New Roman"/>
                <w:szCs w:val="24"/>
              </w:rPr>
              <w:t>Abubakarr</w:t>
            </w:r>
            <w:r>
              <w:rPr>
                <w:rFonts w:ascii="Times New Roman" w:cs="Times New Roman" w:hAnsi="Times New Roman"/>
                <w:szCs w:val="24"/>
              </w:rPr>
              <w:t xml:space="preserve"> (2023)</w:t>
            </w:r>
          </w:p>
          <w:p w14:paraId="6AD749D5">
            <w:pPr>
              <w:pStyle w:val="style0"/>
              <w:rPr>
                <w:rFonts w:ascii="Times New Roman" w:cs="Times New Roman" w:hAnsi="Times New Roman"/>
                <w:szCs w:val="24"/>
              </w:rPr>
            </w:pPr>
          </w:p>
        </w:tc>
        <w:tc>
          <w:tcPr>
            <w:tcW w:w="2790" w:type="dxa"/>
            <w:gridSpan w:val="2"/>
            <w:tcBorders/>
          </w:tcPr>
          <w:p w14:paraId="60386DE2">
            <w:pPr>
              <w:pStyle w:val="style0"/>
              <w:rPr>
                <w:rFonts w:ascii="Times New Roman" w:cs="Times New Roman" w:hAnsi="Times New Roman"/>
                <w:szCs w:val="24"/>
              </w:rPr>
            </w:pPr>
            <w:r>
              <w:rPr>
                <w:rFonts w:ascii="Times New Roman" w:cs="Times New Roman" w:hAnsi="Times New Roman"/>
                <w:szCs w:val="24"/>
              </w:rPr>
              <w:t>The Relationship Between Education and Economic Growth: Cross-Country Analysis</w:t>
            </w:r>
          </w:p>
        </w:tc>
        <w:tc>
          <w:tcPr>
            <w:tcW w:w="2340" w:type="dxa"/>
            <w:gridSpan w:val="2"/>
            <w:tcBorders/>
          </w:tcPr>
          <w:p w14:paraId="6FDC5A87">
            <w:pPr>
              <w:pStyle w:val="style0"/>
              <w:rPr>
                <w:rFonts w:ascii="Times New Roman" w:cs="Times New Roman" w:hAnsi="Times New Roman"/>
                <w:szCs w:val="24"/>
              </w:rPr>
            </w:pPr>
            <w:r>
              <w:rPr>
                <w:rFonts w:ascii="Times New Roman" w:cs="Times New Roman" w:hAnsi="Times New Roman"/>
                <w:szCs w:val="24"/>
              </w:rPr>
              <w:t>Systems GMM Estimation (2002-2020)</w:t>
            </w:r>
          </w:p>
        </w:tc>
        <w:tc>
          <w:tcPr>
            <w:tcW w:w="3955" w:type="dxa"/>
            <w:gridSpan w:val="2"/>
            <w:tcBorders/>
          </w:tcPr>
          <w:p w14:paraId="7389EEAB">
            <w:pPr>
              <w:pStyle w:val="style0"/>
              <w:rPr>
                <w:rFonts w:ascii="Times New Roman" w:cs="Times New Roman" w:hAnsi="Times New Roman"/>
                <w:szCs w:val="24"/>
              </w:rPr>
            </w:pPr>
            <w:r>
              <w:rPr>
                <w:rFonts w:ascii="Times New Roman" w:cs="Times New Roman" w:hAnsi="Times New Roman"/>
                <w:szCs w:val="24"/>
              </w:rPr>
              <w:t>Investment in education will lead to higher rate of return than for high income countries</w:t>
            </w:r>
          </w:p>
        </w:tc>
      </w:tr>
      <w:tr w14:paraId="59F71738">
        <w:tblPrEx/>
        <w:trPr>
          <w:gridAfter w:val="1"/>
          <w:wAfter w:w="80" w:type="dxa"/>
        </w:trPr>
        <w:tc>
          <w:tcPr>
            <w:tcW w:w="630" w:type="dxa"/>
            <w:tcBorders/>
          </w:tcPr>
          <w:p w14:paraId="4D87F214">
            <w:pPr>
              <w:pStyle w:val="style0"/>
              <w:rPr>
                <w:rFonts w:ascii="Times New Roman" w:cs="Times New Roman" w:hAnsi="Times New Roman"/>
                <w:szCs w:val="24"/>
              </w:rPr>
            </w:pPr>
            <w:r>
              <w:rPr>
                <w:rFonts w:ascii="Times New Roman" w:cs="Times New Roman" w:hAnsi="Times New Roman"/>
                <w:szCs w:val="24"/>
              </w:rPr>
              <w:t>4.</w:t>
            </w:r>
          </w:p>
        </w:tc>
        <w:tc>
          <w:tcPr>
            <w:tcW w:w="1535" w:type="dxa"/>
            <w:gridSpan w:val="2"/>
            <w:tcBorders/>
          </w:tcPr>
          <w:p w14:paraId="735EBD55">
            <w:pPr>
              <w:pStyle w:val="style0"/>
              <w:rPr>
                <w:rFonts w:ascii="Times New Roman" w:cs="Times New Roman" w:hAnsi="Times New Roman"/>
                <w:szCs w:val="24"/>
              </w:rPr>
            </w:pPr>
            <w:r>
              <w:rPr>
                <w:rFonts w:ascii="Times New Roman" w:cs="Times New Roman" w:hAnsi="Times New Roman"/>
                <w:szCs w:val="24"/>
              </w:rPr>
              <w:t>Ogunode</w:t>
            </w:r>
            <w:r>
              <w:rPr>
                <w:rFonts w:ascii="Times New Roman" w:cs="Times New Roman" w:hAnsi="Times New Roman"/>
                <w:szCs w:val="24"/>
              </w:rPr>
              <w:t xml:space="preserve"> (2023)</w:t>
            </w:r>
          </w:p>
        </w:tc>
        <w:tc>
          <w:tcPr>
            <w:tcW w:w="2790" w:type="dxa"/>
            <w:gridSpan w:val="2"/>
            <w:tcBorders/>
          </w:tcPr>
          <w:p w14:paraId="14925E71">
            <w:pPr>
              <w:pStyle w:val="style0"/>
              <w:rPr>
                <w:rFonts w:ascii="Times New Roman" w:cs="Times New Roman" w:hAnsi="Times New Roman"/>
                <w:szCs w:val="24"/>
              </w:rPr>
            </w:pPr>
            <w:r>
              <w:rPr>
                <w:rFonts w:ascii="Times New Roman" w:cs="Times New Roman" w:hAnsi="Times New Roman"/>
                <w:szCs w:val="24"/>
              </w:rPr>
              <w:t>Impact of Tertiary Education Trust fund (TETFUND) on Tertiary Education Development in Nigeria</w:t>
            </w:r>
          </w:p>
        </w:tc>
        <w:tc>
          <w:tcPr>
            <w:tcW w:w="2340" w:type="dxa"/>
            <w:gridSpan w:val="2"/>
            <w:tcBorders/>
          </w:tcPr>
          <w:p w14:paraId="4E3DD291">
            <w:pPr>
              <w:pStyle w:val="style0"/>
              <w:rPr>
                <w:rFonts w:ascii="Times New Roman" w:cs="Times New Roman" w:hAnsi="Times New Roman"/>
                <w:szCs w:val="24"/>
              </w:rPr>
            </w:pPr>
            <w:r>
              <w:rPr>
                <w:rFonts w:ascii="Times New Roman" w:cs="Times New Roman" w:hAnsi="Times New Roman"/>
                <w:szCs w:val="24"/>
              </w:rPr>
              <w:t>Secondary data from both print and online publications</w:t>
            </w:r>
          </w:p>
        </w:tc>
        <w:tc>
          <w:tcPr>
            <w:tcW w:w="3955" w:type="dxa"/>
            <w:gridSpan w:val="2"/>
            <w:tcBorders/>
          </w:tcPr>
          <w:p w14:paraId="34C3E363">
            <w:pPr>
              <w:pStyle w:val="style0"/>
              <w:rPr>
                <w:rFonts w:ascii="Times New Roman" w:cs="Times New Roman" w:hAnsi="Times New Roman"/>
                <w:szCs w:val="24"/>
              </w:rPr>
            </w:pPr>
            <w:r>
              <w:rPr>
                <w:rFonts w:ascii="Times New Roman" w:cs="Times New Roman" w:hAnsi="Times New Roman"/>
                <w:szCs w:val="24"/>
              </w:rPr>
              <w:t xml:space="preserve">TETFUND has played a role of immeasurable value in the support and development of infrastructure, as well as manpower and research </w:t>
            </w:r>
            <w:r>
              <w:rPr>
                <w:rFonts w:ascii="Times New Roman" w:cs="Times New Roman" w:hAnsi="Times New Roman"/>
                <w:szCs w:val="24"/>
              </w:rPr>
              <w:t>programmes</w:t>
            </w:r>
            <w:r>
              <w:rPr>
                <w:rFonts w:ascii="Times New Roman" w:cs="Times New Roman" w:hAnsi="Times New Roman"/>
                <w:szCs w:val="24"/>
              </w:rPr>
              <w:t xml:space="preserve"> and has also intervened in granting funds for the tertiary educational system administration in Nigeria.</w:t>
            </w:r>
          </w:p>
        </w:tc>
      </w:tr>
      <w:tr w14:paraId="6F1445D1">
        <w:tblPrEx/>
        <w:trPr>
          <w:gridAfter w:val="1"/>
          <w:wAfter w:w="80" w:type="dxa"/>
        </w:trPr>
        <w:tc>
          <w:tcPr>
            <w:tcW w:w="630" w:type="dxa"/>
            <w:tcBorders/>
          </w:tcPr>
          <w:p w14:paraId="77429968">
            <w:pPr>
              <w:pStyle w:val="style0"/>
              <w:rPr>
                <w:rFonts w:ascii="Times New Roman" w:cs="Times New Roman" w:hAnsi="Times New Roman"/>
                <w:szCs w:val="24"/>
              </w:rPr>
            </w:pPr>
            <w:r>
              <w:rPr>
                <w:rFonts w:ascii="Times New Roman" w:cs="Times New Roman" w:hAnsi="Times New Roman"/>
                <w:szCs w:val="24"/>
              </w:rPr>
              <w:t>5.</w:t>
            </w:r>
          </w:p>
        </w:tc>
        <w:tc>
          <w:tcPr>
            <w:tcW w:w="1535" w:type="dxa"/>
            <w:gridSpan w:val="2"/>
            <w:tcBorders/>
          </w:tcPr>
          <w:p w14:paraId="5104115B">
            <w:pPr>
              <w:pStyle w:val="style0"/>
              <w:rPr>
                <w:rFonts w:ascii="Times New Roman" w:cs="Times New Roman" w:hAnsi="Times New Roman"/>
                <w:szCs w:val="24"/>
              </w:rPr>
            </w:pPr>
            <w:r>
              <w:rPr>
                <w:rFonts w:ascii="Times New Roman" w:cs="Times New Roman" w:hAnsi="Times New Roman"/>
                <w:szCs w:val="24"/>
              </w:rPr>
              <w:t>Osamor</w:t>
            </w:r>
            <w:r>
              <w:rPr>
                <w:rFonts w:ascii="Times New Roman" w:cs="Times New Roman" w:hAnsi="Times New Roman"/>
                <w:szCs w:val="24"/>
              </w:rPr>
              <w:t xml:space="preserve"> </w:t>
            </w:r>
            <w:r>
              <w:rPr>
                <w:rFonts w:ascii="Times New Roman" w:cs="Times New Roman" w:hAnsi="Times New Roman"/>
                <w:i/>
                <w:szCs w:val="24"/>
              </w:rPr>
              <w:t>et al</w:t>
            </w:r>
            <w:r>
              <w:rPr>
                <w:rFonts w:ascii="Times New Roman" w:cs="Times New Roman" w:hAnsi="Times New Roman"/>
                <w:szCs w:val="24"/>
              </w:rPr>
              <w:t xml:space="preserve"> (2023) </w:t>
            </w:r>
          </w:p>
        </w:tc>
        <w:tc>
          <w:tcPr>
            <w:tcW w:w="2790" w:type="dxa"/>
            <w:gridSpan w:val="2"/>
            <w:tcBorders/>
          </w:tcPr>
          <w:p w14:paraId="241AC386">
            <w:pPr>
              <w:pStyle w:val="style0"/>
              <w:rPr>
                <w:rFonts w:ascii="Times New Roman" w:cs="Times New Roman" w:hAnsi="Times New Roman"/>
                <w:szCs w:val="24"/>
              </w:rPr>
            </w:pPr>
            <w:r>
              <w:rPr>
                <w:rFonts w:ascii="Times New Roman" w:cs="Times New Roman" w:hAnsi="Times New Roman"/>
                <w:szCs w:val="24"/>
              </w:rPr>
              <w:t>Tax Revenue and Economic Performance: An Empirical Evaluation On the Nigeria Tax.</w:t>
            </w:r>
          </w:p>
          <w:p w14:paraId="31CBC200">
            <w:pPr>
              <w:pStyle w:val="style0"/>
              <w:rPr>
                <w:rFonts w:ascii="Times New Roman" w:cs="Times New Roman" w:hAnsi="Times New Roman"/>
                <w:szCs w:val="24"/>
              </w:rPr>
            </w:pPr>
          </w:p>
        </w:tc>
        <w:tc>
          <w:tcPr>
            <w:tcW w:w="2340" w:type="dxa"/>
            <w:gridSpan w:val="2"/>
            <w:tcBorders/>
          </w:tcPr>
          <w:p w14:paraId="70DE3710">
            <w:pPr>
              <w:pStyle w:val="style0"/>
              <w:rPr>
                <w:rFonts w:ascii="Times New Roman" w:cs="Times New Roman" w:hAnsi="Times New Roman"/>
                <w:szCs w:val="24"/>
              </w:rPr>
            </w:pPr>
            <w:r>
              <w:rPr>
                <w:rFonts w:ascii="Times New Roman" w:cs="Times New Roman" w:hAnsi="Times New Roman"/>
                <w:szCs w:val="24"/>
              </w:rPr>
              <w:t xml:space="preserve">Descriptive analysis, unit root test, </w:t>
            </w:r>
            <w:r>
              <w:rPr>
                <w:rFonts w:ascii="Times New Roman" w:cs="Times New Roman" w:hAnsi="Times New Roman"/>
                <w:szCs w:val="24"/>
              </w:rPr>
              <w:t>cointegration</w:t>
            </w:r>
            <w:r>
              <w:rPr>
                <w:rFonts w:ascii="Times New Roman" w:cs="Times New Roman" w:hAnsi="Times New Roman"/>
                <w:szCs w:val="24"/>
              </w:rPr>
              <w:t xml:space="preserve"> and ARDL</w:t>
            </w:r>
          </w:p>
        </w:tc>
        <w:tc>
          <w:tcPr>
            <w:tcW w:w="3955" w:type="dxa"/>
            <w:gridSpan w:val="2"/>
            <w:tcBorders/>
          </w:tcPr>
          <w:p w14:paraId="17F36271">
            <w:pPr>
              <w:pStyle w:val="style0"/>
              <w:rPr>
                <w:rFonts w:ascii="Times New Roman" w:cs="Times New Roman" w:hAnsi="Times New Roman"/>
                <w:szCs w:val="24"/>
              </w:rPr>
            </w:pPr>
            <w:r>
              <w:rPr>
                <w:rFonts w:ascii="Times New Roman" w:cs="Times New Roman" w:hAnsi="Times New Roman"/>
                <w:szCs w:val="24"/>
              </w:rPr>
              <w:t>PPT, CIT, VAT and CTD had a negative, but statistically insignificant impact on economic growth.</w:t>
            </w:r>
          </w:p>
        </w:tc>
      </w:tr>
      <w:tr w14:paraId="2AB8B387">
        <w:tblPrEx/>
        <w:trPr>
          <w:gridAfter w:val="1"/>
          <w:wAfter w:w="80" w:type="dxa"/>
        </w:trPr>
        <w:tc>
          <w:tcPr>
            <w:tcW w:w="630" w:type="dxa"/>
            <w:tcBorders/>
          </w:tcPr>
          <w:p w14:paraId="77C748AD">
            <w:pPr>
              <w:pStyle w:val="style0"/>
              <w:rPr>
                <w:rFonts w:ascii="Times New Roman" w:cs="Times New Roman" w:hAnsi="Times New Roman"/>
                <w:szCs w:val="24"/>
              </w:rPr>
            </w:pPr>
            <w:r>
              <w:rPr>
                <w:rFonts w:ascii="Times New Roman" w:cs="Times New Roman" w:hAnsi="Times New Roman"/>
                <w:szCs w:val="24"/>
              </w:rPr>
              <w:t>6</w:t>
            </w:r>
          </w:p>
        </w:tc>
        <w:tc>
          <w:tcPr>
            <w:tcW w:w="1535" w:type="dxa"/>
            <w:gridSpan w:val="2"/>
            <w:tcBorders/>
          </w:tcPr>
          <w:p w14:paraId="333C0877">
            <w:pPr>
              <w:pStyle w:val="style0"/>
              <w:rPr>
                <w:rFonts w:ascii="Times New Roman" w:cs="Times New Roman" w:hAnsi="Times New Roman"/>
                <w:szCs w:val="24"/>
              </w:rPr>
            </w:pPr>
            <w:r>
              <w:rPr>
                <w:rFonts w:ascii="Times New Roman" w:cs="Times New Roman" w:hAnsi="Times New Roman"/>
                <w:szCs w:val="24"/>
              </w:rPr>
              <w:t>Omodero</w:t>
            </w:r>
            <w:r>
              <w:rPr>
                <w:rFonts w:ascii="Times New Roman" w:cs="Times New Roman" w:hAnsi="Times New Roman"/>
                <w:szCs w:val="24"/>
              </w:rPr>
              <w:t xml:space="preserve"> and </w:t>
            </w:r>
            <w:r>
              <w:rPr>
                <w:rFonts w:ascii="Times New Roman" w:cs="Times New Roman" w:hAnsi="Times New Roman"/>
                <w:szCs w:val="24"/>
              </w:rPr>
              <w:t>Adefolake</w:t>
            </w:r>
            <w:r>
              <w:rPr>
                <w:rFonts w:ascii="Times New Roman" w:cs="Times New Roman" w:hAnsi="Times New Roman"/>
                <w:szCs w:val="24"/>
              </w:rPr>
              <w:t xml:space="preserve"> (2022)</w:t>
            </w:r>
          </w:p>
        </w:tc>
        <w:tc>
          <w:tcPr>
            <w:tcW w:w="2790" w:type="dxa"/>
            <w:gridSpan w:val="2"/>
            <w:tcBorders/>
          </w:tcPr>
          <w:p w14:paraId="211D7B33">
            <w:pPr>
              <w:pStyle w:val="style0"/>
              <w:rPr>
                <w:rFonts w:ascii="Times New Roman" w:cs="Times New Roman" w:hAnsi="Times New Roman"/>
                <w:szCs w:val="24"/>
              </w:rPr>
            </w:pPr>
            <w:r>
              <w:rPr>
                <w:rFonts w:ascii="Times New Roman" w:cs="Times New Roman" w:hAnsi="Times New Roman"/>
                <w:szCs w:val="24"/>
              </w:rPr>
              <w:t>Tax revenue and economic growth in Nigeria.</w:t>
            </w:r>
          </w:p>
        </w:tc>
        <w:tc>
          <w:tcPr>
            <w:tcW w:w="2340" w:type="dxa"/>
            <w:gridSpan w:val="2"/>
            <w:tcBorders/>
          </w:tcPr>
          <w:p w14:paraId="030C0F53">
            <w:pPr>
              <w:pStyle w:val="style0"/>
              <w:rPr>
                <w:rFonts w:ascii="Times New Roman" w:cs="Times New Roman" w:hAnsi="Times New Roman"/>
                <w:szCs w:val="24"/>
              </w:rPr>
            </w:pPr>
            <w:r>
              <w:rPr>
                <w:rFonts w:ascii="Times New Roman" w:cs="Times New Roman" w:hAnsi="Times New Roman"/>
                <w:szCs w:val="24"/>
              </w:rPr>
              <w:t>Augmented Dickey Fuller (ADF) and Vector Error Correction Model</w:t>
            </w:r>
          </w:p>
        </w:tc>
        <w:tc>
          <w:tcPr>
            <w:tcW w:w="3955" w:type="dxa"/>
            <w:gridSpan w:val="2"/>
            <w:tcBorders/>
          </w:tcPr>
          <w:p w14:paraId="00B494AF">
            <w:pPr>
              <w:pStyle w:val="style0"/>
              <w:rPr>
                <w:rFonts w:ascii="Times New Roman" w:cs="Times New Roman" w:hAnsi="Times New Roman"/>
                <w:szCs w:val="24"/>
              </w:rPr>
            </w:pPr>
            <w:r>
              <w:rPr>
                <w:rFonts w:ascii="Times New Roman" w:cs="Times New Roman" w:hAnsi="Times New Roman"/>
                <w:szCs w:val="24"/>
              </w:rPr>
              <w:t>It found positive and statistically significant influence of PPT and VAT on GDP. On the contrary, there was negative influence of CIT on GDP.</w:t>
            </w:r>
          </w:p>
        </w:tc>
      </w:tr>
      <w:tr w14:paraId="47B46921">
        <w:tblPrEx/>
        <w:trPr>
          <w:gridAfter w:val="1"/>
          <w:wAfter w:w="80" w:type="dxa"/>
        </w:trPr>
        <w:tc>
          <w:tcPr>
            <w:tcW w:w="630" w:type="dxa"/>
            <w:tcBorders/>
          </w:tcPr>
          <w:p w14:paraId="0ACC0421">
            <w:pPr>
              <w:pStyle w:val="style0"/>
              <w:rPr>
                <w:rFonts w:ascii="Times New Roman" w:cs="Times New Roman" w:hAnsi="Times New Roman"/>
                <w:szCs w:val="24"/>
              </w:rPr>
            </w:pPr>
            <w:r>
              <w:rPr>
                <w:rFonts w:ascii="Times New Roman" w:cs="Times New Roman" w:hAnsi="Times New Roman"/>
                <w:szCs w:val="24"/>
              </w:rPr>
              <w:t>7.</w:t>
            </w:r>
          </w:p>
        </w:tc>
        <w:tc>
          <w:tcPr>
            <w:tcW w:w="1535" w:type="dxa"/>
            <w:gridSpan w:val="2"/>
            <w:tcBorders/>
          </w:tcPr>
          <w:p w14:paraId="4FC70E43">
            <w:pPr>
              <w:pStyle w:val="style0"/>
              <w:rPr>
                <w:rFonts w:ascii="Times New Roman" w:cs="Times New Roman" w:hAnsi="Times New Roman"/>
                <w:szCs w:val="24"/>
              </w:rPr>
            </w:pPr>
            <w:r>
              <w:rPr>
                <w:rFonts w:ascii="Times New Roman" w:cs="Times New Roman" w:hAnsi="Times New Roman"/>
                <w:szCs w:val="24"/>
              </w:rPr>
              <w:t>Ani</w:t>
            </w:r>
            <w:r>
              <w:rPr>
                <w:rFonts w:ascii="Times New Roman" w:cs="Times New Roman" w:hAnsi="Times New Roman"/>
                <w:szCs w:val="24"/>
              </w:rPr>
              <w:t xml:space="preserve"> and </w:t>
            </w:r>
            <w:r>
              <w:rPr>
                <w:rFonts w:ascii="Times New Roman" w:cs="Times New Roman" w:hAnsi="Times New Roman"/>
                <w:szCs w:val="24"/>
              </w:rPr>
              <w:t>Mbah</w:t>
            </w:r>
            <w:r>
              <w:rPr>
                <w:rFonts w:ascii="Times New Roman" w:cs="Times New Roman" w:hAnsi="Times New Roman"/>
                <w:szCs w:val="24"/>
              </w:rPr>
              <w:t xml:space="preserve"> (2021)</w:t>
            </w:r>
          </w:p>
        </w:tc>
        <w:tc>
          <w:tcPr>
            <w:tcW w:w="2790" w:type="dxa"/>
            <w:gridSpan w:val="2"/>
            <w:tcBorders/>
          </w:tcPr>
          <w:p w14:paraId="227AFF3D">
            <w:pPr>
              <w:pStyle w:val="style0"/>
              <w:rPr>
                <w:rFonts w:ascii="Times New Roman" w:cs="Times New Roman" w:hAnsi="Times New Roman"/>
                <w:szCs w:val="24"/>
              </w:rPr>
            </w:pPr>
            <w:r>
              <w:rPr>
                <w:rFonts w:ascii="Times New Roman" w:cs="Times New Roman" w:hAnsi="Times New Roman"/>
                <w:szCs w:val="24"/>
              </w:rPr>
              <w:t>Education tax on firm’s value of production industries in Nigeria</w:t>
            </w:r>
          </w:p>
        </w:tc>
        <w:tc>
          <w:tcPr>
            <w:tcW w:w="2340" w:type="dxa"/>
            <w:gridSpan w:val="2"/>
            <w:tcBorders/>
          </w:tcPr>
          <w:p w14:paraId="639E8FB0">
            <w:pPr>
              <w:pStyle w:val="style0"/>
              <w:rPr>
                <w:rFonts w:ascii="Times New Roman" w:cs="Times New Roman" w:hAnsi="Times New Roman"/>
                <w:szCs w:val="24"/>
              </w:rPr>
            </w:pPr>
            <w:r>
              <w:rPr>
                <w:rFonts w:ascii="Times New Roman" w:cs="Times New Roman" w:hAnsi="Times New Roman"/>
                <w:szCs w:val="24"/>
              </w:rPr>
              <w:t>Descriptive statistics, correlation and linear regression analysis using SPSS</w:t>
            </w:r>
          </w:p>
        </w:tc>
        <w:tc>
          <w:tcPr>
            <w:tcW w:w="3955" w:type="dxa"/>
            <w:gridSpan w:val="2"/>
            <w:tcBorders/>
          </w:tcPr>
          <w:p w14:paraId="54FB4C8C">
            <w:pPr>
              <w:pStyle w:val="style0"/>
              <w:rPr>
                <w:rFonts w:ascii="Times New Roman" w:cs="Times New Roman" w:hAnsi="Times New Roman"/>
                <w:szCs w:val="24"/>
              </w:rPr>
            </w:pPr>
            <w:r>
              <w:rPr>
                <w:rFonts w:ascii="Times New Roman" w:cs="Times New Roman" w:hAnsi="Times New Roman"/>
                <w:szCs w:val="24"/>
              </w:rPr>
              <w:t>It had a marginal and positive influence on the rate of returns to investment but significantly positive on the earnings per share of sampled production industry in Nigeria.</w:t>
            </w:r>
          </w:p>
        </w:tc>
      </w:tr>
      <w:tr w14:paraId="0AD1DACA">
        <w:tblPrEx/>
        <w:trPr>
          <w:gridAfter w:val="1"/>
          <w:wAfter w:w="80" w:type="dxa"/>
        </w:trPr>
        <w:tc>
          <w:tcPr>
            <w:tcW w:w="630" w:type="dxa"/>
            <w:tcBorders/>
          </w:tcPr>
          <w:p w14:paraId="6F3201C2">
            <w:pPr>
              <w:pStyle w:val="style0"/>
              <w:rPr>
                <w:rFonts w:ascii="Times New Roman" w:cs="Times New Roman" w:hAnsi="Times New Roman"/>
                <w:szCs w:val="24"/>
              </w:rPr>
            </w:pPr>
            <w:r>
              <w:rPr>
                <w:rFonts w:ascii="Times New Roman" w:cs="Times New Roman" w:hAnsi="Times New Roman"/>
                <w:szCs w:val="24"/>
              </w:rPr>
              <w:t>8.</w:t>
            </w:r>
          </w:p>
        </w:tc>
        <w:tc>
          <w:tcPr>
            <w:tcW w:w="1535" w:type="dxa"/>
            <w:gridSpan w:val="2"/>
            <w:tcBorders/>
          </w:tcPr>
          <w:p w14:paraId="6C7A6975">
            <w:pPr>
              <w:pStyle w:val="style0"/>
              <w:rPr>
                <w:rFonts w:ascii="Times New Roman" w:cs="Times New Roman" w:hAnsi="Times New Roman"/>
                <w:szCs w:val="24"/>
              </w:rPr>
            </w:pPr>
            <w:r>
              <w:rPr>
                <w:rFonts w:ascii="Times New Roman" w:cs="Times New Roman" w:hAnsi="Times New Roman"/>
                <w:szCs w:val="24"/>
              </w:rPr>
              <w:t>Conto</w:t>
            </w:r>
            <w:r>
              <w:rPr>
                <w:rFonts w:ascii="Times New Roman" w:cs="Times New Roman" w:hAnsi="Times New Roman"/>
                <w:szCs w:val="24"/>
              </w:rPr>
              <w:t xml:space="preserve"> </w:t>
            </w:r>
            <w:r>
              <w:rPr>
                <w:rFonts w:ascii="Times New Roman" w:cs="Times New Roman" w:hAnsi="Times New Roman"/>
                <w:i/>
                <w:szCs w:val="24"/>
              </w:rPr>
              <w:t>et al</w:t>
            </w:r>
            <w:r>
              <w:rPr>
                <w:rFonts w:ascii="Times New Roman" w:cs="Times New Roman" w:hAnsi="Times New Roman"/>
                <w:szCs w:val="24"/>
              </w:rPr>
              <w:t>. (2021)</w:t>
            </w:r>
          </w:p>
          <w:p w14:paraId="2F2CA29E">
            <w:pPr>
              <w:pStyle w:val="style0"/>
              <w:rPr>
                <w:rFonts w:ascii="Times New Roman" w:cs="Times New Roman" w:hAnsi="Times New Roman"/>
                <w:szCs w:val="24"/>
              </w:rPr>
            </w:pPr>
          </w:p>
        </w:tc>
        <w:tc>
          <w:tcPr>
            <w:tcW w:w="2790" w:type="dxa"/>
            <w:gridSpan w:val="2"/>
            <w:tcBorders/>
          </w:tcPr>
          <w:p w14:paraId="5E675DA4">
            <w:pPr>
              <w:pStyle w:val="style0"/>
              <w:rPr>
                <w:rFonts w:ascii="Times New Roman" w:cs="Times New Roman" w:hAnsi="Times New Roman"/>
                <w:szCs w:val="24"/>
              </w:rPr>
            </w:pPr>
            <w:r>
              <w:rPr>
                <w:rFonts w:ascii="Times New Roman" w:cs="Times New Roman" w:hAnsi="Times New Roman"/>
                <w:szCs w:val="24"/>
              </w:rPr>
              <w:t>COVID-19 School Closures’ Impact on Foundational Skills &amp; ways Country can respond to mitigate learning loss</w:t>
            </w:r>
          </w:p>
          <w:p w14:paraId="3E80390A">
            <w:pPr>
              <w:pStyle w:val="style0"/>
              <w:rPr>
                <w:rFonts w:ascii="Times New Roman" w:cs="Times New Roman" w:hAnsi="Times New Roman"/>
                <w:szCs w:val="24"/>
              </w:rPr>
            </w:pPr>
          </w:p>
        </w:tc>
        <w:tc>
          <w:tcPr>
            <w:tcW w:w="2340" w:type="dxa"/>
            <w:gridSpan w:val="2"/>
            <w:tcBorders/>
          </w:tcPr>
          <w:p w14:paraId="58191404">
            <w:pPr>
              <w:pStyle w:val="style0"/>
              <w:rPr>
                <w:rFonts w:ascii="Times New Roman" w:cs="Times New Roman" w:hAnsi="Times New Roman"/>
                <w:szCs w:val="24"/>
              </w:rPr>
            </w:pPr>
            <w:r>
              <w:rPr>
                <w:rFonts w:ascii="Times New Roman" w:cs="Times New Roman" w:hAnsi="Times New Roman"/>
                <w:szCs w:val="24"/>
              </w:rPr>
              <w:t>Household survey data (13 countries)</w:t>
            </w:r>
          </w:p>
        </w:tc>
        <w:tc>
          <w:tcPr>
            <w:tcW w:w="3955" w:type="dxa"/>
            <w:gridSpan w:val="2"/>
            <w:tcBorders/>
          </w:tcPr>
          <w:p w14:paraId="5521C00F">
            <w:pPr>
              <w:pStyle w:val="style0"/>
              <w:rPr>
                <w:rFonts w:ascii="Times New Roman" w:cs="Times New Roman" w:hAnsi="Times New Roman"/>
                <w:szCs w:val="24"/>
              </w:rPr>
            </w:pPr>
            <w:r>
              <w:rPr>
                <w:rFonts w:ascii="Times New Roman" w:cs="Times New Roman" w:hAnsi="Times New Roman"/>
                <w:szCs w:val="24"/>
              </w:rPr>
              <w:t>Missing or dropping out of school is related to poorer results in reading and mathematics and the remote learning response in most countries was not enough to ensure that all children continue to learn, do not drop out, and avoid the learning losses we predict.</w:t>
            </w:r>
          </w:p>
        </w:tc>
      </w:tr>
      <w:tr w14:paraId="33EE6390">
        <w:tblPrEx/>
        <w:trPr>
          <w:gridAfter w:val="1"/>
          <w:wAfter w:w="80" w:type="dxa"/>
        </w:trPr>
        <w:tc>
          <w:tcPr>
            <w:tcW w:w="630" w:type="dxa"/>
            <w:tcBorders/>
          </w:tcPr>
          <w:p w14:paraId="2FC33AF8">
            <w:pPr>
              <w:pStyle w:val="style0"/>
              <w:rPr>
                <w:rFonts w:ascii="Times New Roman" w:cs="Times New Roman" w:hAnsi="Times New Roman"/>
                <w:szCs w:val="24"/>
              </w:rPr>
            </w:pPr>
            <w:r>
              <w:rPr>
                <w:rFonts w:ascii="Times New Roman" w:cs="Times New Roman" w:hAnsi="Times New Roman"/>
                <w:szCs w:val="24"/>
              </w:rPr>
              <w:t>9.</w:t>
            </w:r>
          </w:p>
        </w:tc>
        <w:tc>
          <w:tcPr>
            <w:tcW w:w="1535" w:type="dxa"/>
            <w:gridSpan w:val="2"/>
            <w:tcBorders/>
          </w:tcPr>
          <w:p w14:paraId="6FBA0FC9">
            <w:pPr>
              <w:pStyle w:val="style0"/>
              <w:rPr>
                <w:rFonts w:ascii="Times New Roman" w:cs="Times New Roman" w:hAnsi="Times New Roman"/>
                <w:szCs w:val="24"/>
              </w:rPr>
            </w:pPr>
            <w:r>
              <w:rPr>
                <w:rFonts w:ascii="Times New Roman" w:cs="Times New Roman" w:hAnsi="Times New Roman"/>
                <w:szCs w:val="24"/>
              </w:rPr>
              <w:t>Sebki</w:t>
            </w:r>
            <w:r>
              <w:rPr>
                <w:rFonts w:ascii="Times New Roman" w:cs="Times New Roman" w:hAnsi="Times New Roman"/>
                <w:szCs w:val="24"/>
              </w:rPr>
              <w:t xml:space="preserve"> (2021)</w:t>
            </w:r>
          </w:p>
        </w:tc>
        <w:tc>
          <w:tcPr>
            <w:tcW w:w="2790" w:type="dxa"/>
            <w:gridSpan w:val="2"/>
            <w:tcBorders/>
          </w:tcPr>
          <w:p w14:paraId="4FFC8E1A">
            <w:pPr>
              <w:pStyle w:val="style0"/>
              <w:rPr>
                <w:rFonts w:ascii="Times New Roman" w:cs="Times New Roman" w:hAnsi="Times New Roman"/>
                <w:szCs w:val="24"/>
              </w:rPr>
            </w:pPr>
            <w:r>
              <w:rPr>
                <w:rFonts w:ascii="Times New Roman" w:cs="Times New Roman" w:hAnsi="Times New Roman"/>
                <w:szCs w:val="24"/>
              </w:rPr>
              <w:t xml:space="preserve">Education and economic growth in developing countries: Empirical evidence from GMM estimators for dynamic panel data </w:t>
            </w:r>
          </w:p>
        </w:tc>
        <w:tc>
          <w:tcPr>
            <w:tcW w:w="2340" w:type="dxa"/>
            <w:gridSpan w:val="2"/>
            <w:tcBorders/>
          </w:tcPr>
          <w:p w14:paraId="26E44D7E">
            <w:pPr>
              <w:pStyle w:val="style0"/>
              <w:rPr>
                <w:rFonts w:ascii="Times New Roman" w:cs="Times New Roman" w:hAnsi="Times New Roman"/>
                <w:szCs w:val="24"/>
              </w:rPr>
            </w:pPr>
            <w:r>
              <w:rPr>
                <w:rFonts w:ascii="Times New Roman" w:cs="Times New Roman" w:hAnsi="Times New Roman"/>
                <w:szCs w:val="24"/>
              </w:rPr>
              <w:t>Dynamic panel data estimators (GMM Estimators/Arellano &amp; Bond)</w:t>
            </w:r>
          </w:p>
        </w:tc>
        <w:tc>
          <w:tcPr>
            <w:tcW w:w="3955" w:type="dxa"/>
            <w:gridSpan w:val="2"/>
            <w:tcBorders/>
          </w:tcPr>
          <w:p w14:paraId="1F7DB0A5">
            <w:pPr>
              <w:pStyle w:val="style0"/>
              <w:rPr>
                <w:rFonts w:ascii="Times New Roman" w:cs="Times New Roman" w:hAnsi="Times New Roman"/>
                <w:szCs w:val="24"/>
              </w:rPr>
            </w:pPr>
            <w:r>
              <w:rPr>
                <w:rFonts w:ascii="Times New Roman" w:cs="Times New Roman" w:hAnsi="Times New Roman"/>
                <w:szCs w:val="24"/>
              </w:rPr>
              <w:t>Specifically, it indicated that the share of population aged 25–64 having tertiary education increased economic growth significantly and the share of population with tertiary education had a negative effect in this country.</w:t>
            </w:r>
          </w:p>
        </w:tc>
      </w:tr>
      <w:tr w14:paraId="0ED73FE2">
        <w:tblPrEx/>
        <w:trPr>
          <w:gridAfter w:val="1"/>
          <w:wAfter w:w="80" w:type="dxa"/>
        </w:trPr>
        <w:tc>
          <w:tcPr>
            <w:tcW w:w="630" w:type="dxa"/>
            <w:tcBorders/>
          </w:tcPr>
          <w:p w14:paraId="5B6E58F0">
            <w:pPr>
              <w:pStyle w:val="style0"/>
              <w:rPr>
                <w:rFonts w:ascii="Times New Roman" w:cs="Times New Roman" w:hAnsi="Times New Roman"/>
                <w:szCs w:val="24"/>
              </w:rPr>
            </w:pPr>
            <w:r>
              <w:rPr>
                <w:rFonts w:ascii="Times New Roman" w:cs="Times New Roman" w:hAnsi="Times New Roman"/>
                <w:szCs w:val="24"/>
              </w:rPr>
              <w:t xml:space="preserve">10. </w:t>
            </w:r>
          </w:p>
        </w:tc>
        <w:tc>
          <w:tcPr>
            <w:tcW w:w="1535" w:type="dxa"/>
            <w:gridSpan w:val="2"/>
            <w:tcBorders/>
          </w:tcPr>
          <w:p w14:paraId="3356CFEC">
            <w:pPr>
              <w:pStyle w:val="style0"/>
              <w:rPr>
                <w:rFonts w:ascii="Times New Roman" w:cs="Times New Roman" w:hAnsi="Times New Roman"/>
                <w:szCs w:val="24"/>
              </w:rPr>
            </w:pPr>
            <w:r>
              <w:rPr>
                <w:rFonts w:ascii="Times New Roman" w:cs="Times New Roman" w:hAnsi="Times New Roman"/>
                <w:szCs w:val="24"/>
              </w:rPr>
              <w:t>Aminu</w:t>
            </w:r>
            <w:r>
              <w:rPr>
                <w:rFonts w:ascii="Times New Roman" w:cs="Times New Roman" w:hAnsi="Times New Roman"/>
                <w:szCs w:val="24"/>
              </w:rPr>
              <w:t xml:space="preserve"> (2020)</w:t>
            </w:r>
          </w:p>
        </w:tc>
        <w:tc>
          <w:tcPr>
            <w:tcW w:w="2790" w:type="dxa"/>
            <w:gridSpan w:val="2"/>
            <w:tcBorders/>
          </w:tcPr>
          <w:p w14:paraId="24735752">
            <w:pPr>
              <w:pStyle w:val="style0"/>
              <w:rPr>
                <w:rFonts w:ascii="Times New Roman" w:cs="Times New Roman" w:hAnsi="Times New Roman"/>
                <w:szCs w:val="24"/>
              </w:rPr>
            </w:pPr>
            <w:r>
              <w:rPr>
                <w:rFonts w:ascii="Times New Roman" w:cs="Times New Roman" w:hAnsi="Times New Roman"/>
                <w:szCs w:val="24"/>
              </w:rPr>
              <w:t xml:space="preserve">The Role of Education tax in Human Capital formation </w:t>
            </w:r>
            <w:r>
              <w:rPr>
                <w:rFonts w:ascii="Times New Roman" w:cs="Times New Roman" w:hAnsi="Times New Roman"/>
                <w:szCs w:val="24"/>
              </w:rPr>
              <w:t>and its Implications for Nigeria's Economic growth.</w:t>
            </w:r>
          </w:p>
        </w:tc>
        <w:tc>
          <w:tcPr>
            <w:tcW w:w="2340" w:type="dxa"/>
            <w:gridSpan w:val="2"/>
            <w:tcBorders/>
          </w:tcPr>
          <w:p w14:paraId="77E99C4F">
            <w:pPr>
              <w:pStyle w:val="style0"/>
              <w:rPr>
                <w:rFonts w:ascii="Times New Roman" w:cs="Times New Roman" w:hAnsi="Times New Roman"/>
                <w:szCs w:val="24"/>
              </w:rPr>
            </w:pPr>
            <w:r>
              <w:rPr>
                <w:rFonts w:ascii="Times New Roman" w:cs="Times New Roman" w:hAnsi="Times New Roman"/>
                <w:szCs w:val="24"/>
              </w:rPr>
              <w:t xml:space="preserve">Non-Linear Autoregressive </w:t>
            </w:r>
            <w:r>
              <w:rPr>
                <w:rFonts w:ascii="Times New Roman" w:cs="Times New Roman" w:hAnsi="Times New Roman"/>
                <w:szCs w:val="24"/>
              </w:rPr>
              <w:t xml:space="preserve">Distributed Lag Model of </w:t>
            </w:r>
            <w:r>
              <w:rPr>
                <w:rFonts w:ascii="Times New Roman" w:cs="Times New Roman" w:hAnsi="Times New Roman"/>
                <w:szCs w:val="24"/>
              </w:rPr>
              <w:t>cointegration</w:t>
            </w:r>
          </w:p>
        </w:tc>
        <w:tc>
          <w:tcPr>
            <w:tcW w:w="3955" w:type="dxa"/>
            <w:gridSpan w:val="2"/>
            <w:tcBorders/>
          </w:tcPr>
          <w:p w14:paraId="581E7364">
            <w:pPr>
              <w:pStyle w:val="style0"/>
              <w:rPr>
                <w:rFonts w:ascii="Times New Roman" w:cs="Times New Roman" w:hAnsi="Times New Roman"/>
                <w:szCs w:val="24"/>
              </w:rPr>
            </w:pPr>
            <w:r>
              <w:rPr>
                <w:rFonts w:ascii="Times New Roman" w:cs="Times New Roman" w:hAnsi="Times New Roman"/>
                <w:szCs w:val="24"/>
              </w:rPr>
              <w:t xml:space="preserve">Education tax and investment on human capital revealed a significant positive </w:t>
            </w:r>
            <w:r>
              <w:rPr>
                <w:rFonts w:ascii="Times New Roman" w:cs="Times New Roman" w:hAnsi="Times New Roman"/>
                <w:szCs w:val="24"/>
              </w:rPr>
              <w:t>relationship with Nigerian economy over the sample period.</w:t>
            </w:r>
          </w:p>
          <w:p w14:paraId="233DA45D">
            <w:pPr>
              <w:pStyle w:val="style0"/>
              <w:rPr>
                <w:rFonts w:ascii="Times New Roman" w:cs="Times New Roman" w:hAnsi="Times New Roman"/>
                <w:szCs w:val="24"/>
              </w:rPr>
            </w:pPr>
          </w:p>
        </w:tc>
      </w:tr>
      <w:tr w14:paraId="28F86FE3">
        <w:tblPrEx/>
        <w:trPr>
          <w:gridAfter w:val="1"/>
          <w:wAfter w:w="80" w:type="dxa"/>
          <w:trHeight w:val="1260" w:hRule="atLeast"/>
        </w:trPr>
        <w:tc>
          <w:tcPr>
            <w:tcW w:w="630" w:type="dxa"/>
            <w:tcBorders/>
          </w:tcPr>
          <w:p w14:paraId="72BA6823">
            <w:pPr>
              <w:pStyle w:val="style0"/>
              <w:rPr>
                <w:rFonts w:ascii="Times New Roman" w:cs="Times New Roman" w:hAnsi="Times New Roman"/>
                <w:szCs w:val="24"/>
              </w:rPr>
            </w:pPr>
            <w:r>
              <w:rPr>
                <w:rFonts w:ascii="Times New Roman" w:cs="Times New Roman" w:hAnsi="Times New Roman"/>
                <w:szCs w:val="24"/>
              </w:rPr>
              <w:t>11.</w:t>
            </w:r>
          </w:p>
        </w:tc>
        <w:tc>
          <w:tcPr>
            <w:tcW w:w="1535" w:type="dxa"/>
            <w:gridSpan w:val="2"/>
            <w:tcBorders/>
          </w:tcPr>
          <w:p w14:paraId="7439F8E7">
            <w:pPr>
              <w:pStyle w:val="style0"/>
              <w:rPr>
                <w:rFonts w:ascii="Times New Roman" w:cs="Times New Roman" w:hAnsi="Times New Roman"/>
                <w:szCs w:val="24"/>
              </w:rPr>
            </w:pPr>
            <w:r>
              <w:rPr>
                <w:rFonts w:ascii="Times New Roman" w:cs="Times New Roman" w:hAnsi="Times New Roman"/>
                <w:szCs w:val="24"/>
              </w:rPr>
              <w:t>Isiaka</w:t>
            </w:r>
            <w:r>
              <w:rPr>
                <w:rFonts w:ascii="Times New Roman" w:cs="Times New Roman" w:hAnsi="Times New Roman"/>
                <w:szCs w:val="24"/>
              </w:rPr>
              <w:t xml:space="preserve"> </w:t>
            </w:r>
            <w:r>
              <w:rPr>
                <w:rFonts w:ascii="Times New Roman" w:cs="Times New Roman" w:hAnsi="Times New Roman"/>
                <w:i/>
                <w:szCs w:val="24"/>
              </w:rPr>
              <w:t>et al</w:t>
            </w:r>
            <w:r>
              <w:rPr>
                <w:rFonts w:ascii="Times New Roman" w:cs="Times New Roman" w:hAnsi="Times New Roman"/>
                <w:szCs w:val="24"/>
              </w:rPr>
              <w:t xml:space="preserve"> (2020)</w:t>
            </w:r>
          </w:p>
          <w:p w14:paraId="6F0EAF39">
            <w:pPr>
              <w:pStyle w:val="style0"/>
              <w:rPr>
                <w:rFonts w:ascii="Times New Roman" w:cs="Times New Roman" w:hAnsi="Times New Roman"/>
                <w:szCs w:val="24"/>
              </w:rPr>
            </w:pPr>
          </w:p>
        </w:tc>
        <w:tc>
          <w:tcPr>
            <w:tcW w:w="2790" w:type="dxa"/>
            <w:gridSpan w:val="2"/>
            <w:tcBorders/>
          </w:tcPr>
          <w:p w14:paraId="216520E9">
            <w:pPr>
              <w:pStyle w:val="style0"/>
              <w:rPr>
                <w:rFonts w:ascii="Times New Roman" w:cs="Times New Roman" w:hAnsi="Times New Roman"/>
                <w:szCs w:val="24"/>
              </w:rPr>
            </w:pPr>
            <w:r>
              <w:rPr>
                <w:rFonts w:ascii="Times New Roman" w:cs="Times New Roman" w:hAnsi="Times New Roman"/>
                <w:szCs w:val="24"/>
              </w:rPr>
              <w:t>Tertiary education trust fund intervention on academic staff capacity building in Lagos State University, Nigeria.</w:t>
            </w:r>
          </w:p>
        </w:tc>
        <w:tc>
          <w:tcPr>
            <w:tcW w:w="2340" w:type="dxa"/>
            <w:gridSpan w:val="2"/>
            <w:tcBorders/>
          </w:tcPr>
          <w:p w14:paraId="3FAC4038">
            <w:pPr>
              <w:pStyle w:val="style0"/>
              <w:rPr>
                <w:rFonts w:ascii="Times New Roman" w:cs="Times New Roman" w:hAnsi="Times New Roman"/>
                <w:szCs w:val="24"/>
              </w:rPr>
            </w:pPr>
            <w:r>
              <w:rPr>
                <w:rFonts w:ascii="Times New Roman" w:cs="Times New Roman" w:hAnsi="Times New Roman"/>
                <w:szCs w:val="24"/>
              </w:rPr>
              <w:t>Descriptive survey research design</w:t>
            </w:r>
          </w:p>
          <w:p w14:paraId="4E287950">
            <w:pPr>
              <w:pStyle w:val="style0"/>
              <w:rPr>
                <w:rFonts w:ascii="Times New Roman" w:cs="Times New Roman" w:hAnsi="Times New Roman"/>
                <w:szCs w:val="24"/>
              </w:rPr>
            </w:pPr>
          </w:p>
        </w:tc>
        <w:tc>
          <w:tcPr>
            <w:tcW w:w="3955" w:type="dxa"/>
            <w:gridSpan w:val="2"/>
            <w:tcBorders/>
          </w:tcPr>
          <w:p w14:paraId="01C2CB28">
            <w:pPr>
              <w:pStyle w:val="style0"/>
              <w:rPr>
                <w:rFonts w:ascii="Times New Roman" w:cs="Times New Roman" w:hAnsi="Times New Roman"/>
                <w:szCs w:val="24"/>
              </w:rPr>
            </w:pPr>
            <w:r>
              <w:rPr>
                <w:rFonts w:ascii="Times New Roman" w:cs="Times New Roman" w:hAnsi="Times New Roman"/>
                <w:szCs w:val="24"/>
              </w:rPr>
              <w:t>Provision of adequate learning facilities for meaningful teaching was the most outstanding fund intervention toward the qualitative change of academic staff of Lagos State University.</w:t>
            </w:r>
          </w:p>
        </w:tc>
      </w:tr>
      <w:tr w14:paraId="20E82B01">
        <w:tblPrEx/>
        <w:trPr>
          <w:gridAfter w:val="1"/>
          <w:wAfter w:w="80" w:type="dxa"/>
        </w:trPr>
        <w:tc>
          <w:tcPr>
            <w:tcW w:w="630" w:type="dxa"/>
            <w:tcBorders/>
          </w:tcPr>
          <w:p w14:paraId="5DE90D57">
            <w:pPr>
              <w:pStyle w:val="style0"/>
              <w:rPr>
                <w:rFonts w:ascii="Times New Roman" w:cs="Times New Roman" w:hAnsi="Times New Roman"/>
                <w:szCs w:val="24"/>
              </w:rPr>
            </w:pPr>
            <w:r>
              <w:rPr>
                <w:rFonts w:ascii="Times New Roman" w:cs="Times New Roman" w:hAnsi="Times New Roman"/>
                <w:szCs w:val="24"/>
              </w:rPr>
              <w:t>12.</w:t>
            </w:r>
          </w:p>
        </w:tc>
        <w:tc>
          <w:tcPr>
            <w:tcW w:w="1535" w:type="dxa"/>
            <w:gridSpan w:val="2"/>
            <w:tcBorders/>
          </w:tcPr>
          <w:p w14:paraId="50B1A416">
            <w:pPr>
              <w:pStyle w:val="style0"/>
              <w:rPr>
                <w:rFonts w:ascii="Times New Roman" w:cs="Times New Roman" w:hAnsi="Times New Roman"/>
                <w:szCs w:val="24"/>
              </w:rPr>
            </w:pPr>
            <w:r>
              <w:rPr>
                <w:rFonts w:ascii="Times New Roman" w:cs="Times New Roman" w:hAnsi="Times New Roman"/>
                <w:szCs w:val="24"/>
              </w:rPr>
              <w:t>Nazukova</w:t>
            </w:r>
            <w:r>
              <w:rPr>
                <w:rFonts w:ascii="Times New Roman" w:cs="Times New Roman" w:hAnsi="Times New Roman"/>
                <w:szCs w:val="24"/>
              </w:rPr>
              <w:t xml:space="preserve"> (2020)</w:t>
            </w:r>
          </w:p>
        </w:tc>
        <w:tc>
          <w:tcPr>
            <w:tcW w:w="2790" w:type="dxa"/>
            <w:gridSpan w:val="2"/>
            <w:tcBorders/>
          </w:tcPr>
          <w:p w14:paraId="49F0C5E5">
            <w:pPr>
              <w:pStyle w:val="style0"/>
              <w:rPr>
                <w:rFonts w:ascii="Times New Roman" w:cs="Times New Roman" w:hAnsi="Times New Roman"/>
                <w:szCs w:val="24"/>
              </w:rPr>
            </w:pPr>
            <w:r>
              <w:rPr>
                <w:rFonts w:ascii="Times New Roman" w:cs="Times New Roman" w:hAnsi="Times New Roman"/>
                <w:szCs w:val="24"/>
              </w:rPr>
              <w:t>Public Investment in education for purposes of economic development</w:t>
            </w:r>
          </w:p>
        </w:tc>
        <w:tc>
          <w:tcPr>
            <w:tcW w:w="2340" w:type="dxa"/>
            <w:gridSpan w:val="2"/>
            <w:tcBorders/>
          </w:tcPr>
          <w:p w14:paraId="34E4BD3B">
            <w:pPr>
              <w:pStyle w:val="style0"/>
              <w:rPr>
                <w:rFonts w:ascii="Times New Roman" w:cs="Times New Roman" w:hAnsi="Times New Roman"/>
                <w:szCs w:val="24"/>
              </w:rPr>
            </w:pPr>
            <w:r>
              <w:rPr>
                <w:rFonts w:ascii="Times New Roman" w:cs="Times New Roman" w:hAnsi="Times New Roman"/>
                <w:szCs w:val="24"/>
              </w:rPr>
              <w:t>Quantitative &amp; Qualitative Analysis</w:t>
            </w:r>
          </w:p>
          <w:p w14:paraId="463C4E82">
            <w:pPr>
              <w:pStyle w:val="style0"/>
              <w:rPr>
                <w:rFonts w:ascii="Times New Roman" w:cs="Times New Roman" w:hAnsi="Times New Roman"/>
                <w:szCs w:val="24"/>
              </w:rPr>
            </w:pPr>
            <w:r>
              <w:rPr>
                <w:rFonts w:ascii="Times New Roman" w:cs="Times New Roman" w:hAnsi="Times New Roman"/>
                <w:szCs w:val="24"/>
              </w:rPr>
              <w:t xml:space="preserve">of global indicators </w:t>
            </w:r>
          </w:p>
        </w:tc>
        <w:tc>
          <w:tcPr>
            <w:tcW w:w="3955" w:type="dxa"/>
            <w:gridSpan w:val="2"/>
            <w:tcBorders/>
          </w:tcPr>
          <w:p w14:paraId="129CB569">
            <w:pPr>
              <w:pStyle w:val="style0"/>
              <w:rPr>
                <w:rFonts w:ascii="Times New Roman" w:cs="Times New Roman" w:hAnsi="Times New Roman"/>
                <w:szCs w:val="24"/>
              </w:rPr>
            </w:pPr>
            <w:r>
              <w:rPr>
                <w:rFonts w:ascii="Times New Roman" w:cs="Times New Roman" w:hAnsi="Times New Roman"/>
                <w:szCs w:val="24"/>
              </w:rPr>
              <w:t>A strong positive correlation between per-student school finance aid state level and total factor productivity.</w:t>
            </w:r>
          </w:p>
        </w:tc>
      </w:tr>
      <w:tr w14:paraId="7187AC30">
        <w:tblPrEx/>
        <w:trPr>
          <w:gridAfter w:val="1"/>
          <w:wAfter w:w="80" w:type="dxa"/>
        </w:trPr>
        <w:tc>
          <w:tcPr>
            <w:tcW w:w="630" w:type="dxa"/>
            <w:tcBorders/>
          </w:tcPr>
          <w:p w14:paraId="05C67F23">
            <w:pPr>
              <w:pStyle w:val="style0"/>
              <w:rPr>
                <w:rFonts w:ascii="Times New Roman" w:cs="Times New Roman" w:hAnsi="Times New Roman"/>
                <w:szCs w:val="24"/>
              </w:rPr>
            </w:pPr>
            <w:r>
              <w:rPr>
                <w:rFonts w:ascii="Times New Roman" w:cs="Times New Roman" w:hAnsi="Times New Roman"/>
                <w:szCs w:val="24"/>
              </w:rPr>
              <w:t>13.</w:t>
            </w:r>
          </w:p>
        </w:tc>
        <w:tc>
          <w:tcPr>
            <w:tcW w:w="1535" w:type="dxa"/>
            <w:gridSpan w:val="2"/>
            <w:tcBorders/>
          </w:tcPr>
          <w:p w14:paraId="2B0816EA">
            <w:pPr>
              <w:pStyle w:val="style0"/>
              <w:rPr>
                <w:rFonts w:ascii="Times New Roman" w:cs="Times New Roman" w:hAnsi="Times New Roman"/>
                <w:szCs w:val="24"/>
              </w:rPr>
            </w:pPr>
            <w:r>
              <w:rPr>
                <w:rFonts w:ascii="Times New Roman" w:cs="Times New Roman" w:hAnsi="Times New Roman"/>
                <w:szCs w:val="24"/>
              </w:rPr>
              <w:t>Aminu</w:t>
            </w:r>
            <w:r>
              <w:rPr>
                <w:rFonts w:ascii="Times New Roman" w:cs="Times New Roman" w:hAnsi="Times New Roman"/>
                <w:szCs w:val="24"/>
              </w:rPr>
              <w:t xml:space="preserve"> and </w:t>
            </w:r>
            <w:r>
              <w:rPr>
                <w:rFonts w:ascii="Times New Roman" w:cs="Times New Roman" w:hAnsi="Times New Roman"/>
                <w:szCs w:val="24"/>
              </w:rPr>
              <w:t>Aminu</w:t>
            </w:r>
            <w:r>
              <w:rPr>
                <w:rFonts w:ascii="Times New Roman" w:cs="Times New Roman" w:hAnsi="Times New Roman"/>
                <w:szCs w:val="24"/>
              </w:rPr>
              <w:t xml:space="preserve"> (2018)</w:t>
            </w:r>
          </w:p>
        </w:tc>
        <w:tc>
          <w:tcPr>
            <w:tcW w:w="2790" w:type="dxa"/>
            <w:gridSpan w:val="2"/>
            <w:tcBorders/>
          </w:tcPr>
          <w:p w14:paraId="7063E77F">
            <w:pPr>
              <w:pStyle w:val="style0"/>
              <w:rPr>
                <w:rFonts w:ascii="Times New Roman" w:cs="Times New Roman" w:hAnsi="Times New Roman"/>
                <w:szCs w:val="24"/>
              </w:rPr>
            </w:pPr>
            <w:r>
              <w:rPr>
                <w:rFonts w:ascii="Times New Roman" w:cs="Times New Roman" w:hAnsi="Times New Roman"/>
                <w:szCs w:val="24"/>
              </w:rPr>
              <w:t xml:space="preserve">Impact of (TETFUND) intervention on academic staff performance of Ramat Polytechnic </w:t>
            </w:r>
            <w:r>
              <w:rPr>
                <w:rFonts w:ascii="Times New Roman" w:cs="Times New Roman" w:hAnsi="Times New Roman"/>
                <w:szCs w:val="24"/>
              </w:rPr>
              <w:t>Maidugiri</w:t>
            </w:r>
            <w:r>
              <w:rPr>
                <w:rFonts w:ascii="Times New Roman" w:cs="Times New Roman" w:hAnsi="Times New Roman"/>
                <w:szCs w:val="24"/>
              </w:rPr>
              <w:t xml:space="preserve">, </w:t>
            </w:r>
            <w:r>
              <w:rPr>
                <w:rFonts w:ascii="Times New Roman" w:cs="Times New Roman" w:hAnsi="Times New Roman"/>
                <w:szCs w:val="24"/>
              </w:rPr>
              <w:t>Borno</w:t>
            </w:r>
            <w:r>
              <w:rPr>
                <w:rFonts w:ascii="Times New Roman" w:cs="Times New Roman" w:hAnsi="Times New Roman"/>
                <w:szCs w:val="24"/>
              </w:rPr>
              <w:t xml:space="preserve"> State</w:t>
            </w:r>
          </w:p>
        </w:tc>
        <w:tc>
          <w:tcPr>
            <w:tcW w:w="2340" w:type="dxa"/>
            <w:gridSpan w:val="2"/>
            <w:tcBorders/>
          </w:tcPr>
          <w:p w14:paraId="43B4E0D5">
            <w:pPr>
              <w:pStyle w:val="style0"/>
              <w:rPr>
                <w:rFonts w:ascii="Times New Roman" w:cs="Times New Roman" w:hAnsi="Times New Roman"/>
                <w:szCs w:val="24"/>
              </w:rPr>
            </w:pPr>
            <w:r>
              <w:rPr>
                <w:rFonts w:ascii="Times New Roman" w:cs="Times New Roman" w:hAnsi="Times New Roman"/>
                <w:szCs w:val="24"/>
              </w:rPr>
              <w:t xml:space="preserve">Descriptive and inferential statistics (regression analysis) </w:t>
            </w:r>
          </w:p>
        </w:tc>
        <w:tc>
          <w:tcPr>
            <w:tcW w:w="3955" w:type="dxa"/>
            <w:gridSpan w:val="2"/>
            <w:tcBorders/>
          </w:tcPr>
          <w:p w14:paraId="0D222239">
            <w:pPr>
              <w:pStyle w:val="style0"/>
              <w:rPr>
                <w:rFonts w:ascii="Times New Roman" w:cs="Times New Roman" w:hAnsi="Times New Roman"/>
                <w:szCs w:val="24"/>
              </w:rPr>
            </w:pPr>
            <w:r>
              <w:rPr>
                <w:rFonts w:ascii="Times New Roman" w:cs="Times New Roman" w:hAnsi="Times New Roman"/>
                <w:szCs w:val="24"/>
              </w:rPr>
              <w:t>The impact of TETFUND intervention on the academic performance of staff, based on the research output, of the university had a greatly beneficial effect due to receipt of research grant.</w:t>
            </w:r>
          </w:p>
        </w:tc>
      </w:tr>
      <w:tr w14:paraId="026ED111">
        <w:tblPrEx/>
        <w:trPr>
          <w:gridAfter w:val="1"/>
          <w:wAfter w:w="80" w:type="dxa"/>
        </w:trPr>
        <w:tc>
          <w:tcPr>
            <w:tcW w:w="630" w:type="dxa"/>
            <w:tcBorders/>
          </w:tcPr>
          <w:p w14:paraId="7CE59236">
            <w:pPr>
              <w:pStyle w:val="style0"/>
              <w:rPr>
                <w:rFonts w:ascii="Times New Roman" w:cs="Times New Roman" w:hAnsi="Times New Roman"/>
                <w:szCs w:val="24"/>
              </w:rPr>
            </w:pPr>
            <w:r>
              <w:rPr>
                <w:rFonts w:ascii="Times New Roman" w:cs="Times New Roman" w:hAnsi="Times New Roman"/>
                <w:szCs w:val="24"/>
              </w:rPr>
              <w:t>14.</w:t>
            </w:r>
          </w:p>
        </w:tc>
        <w:tc>
          <w:tcPr>
            <w:tcW w:w="1535" w:type="dxa"/>
            <w:gridSpan w:val="2"/>
            <w:tcBorders/>
          </w:tcPr>
          <w:p w14:paraId="0E272DA9">
            <w:pPr>
              <w:pStyle w:val="style0"/>
              <w:rPr>
                <w:rFonts w:ascii="Times New Roman" w:cs="Times New Roman" w:hAnsi="Times New Roman"/>
                <w:szCs w:val="24"/>
              </w:rPr>
            </w:pPr>
            <w:r>
              <w:rPr>
                <w:rFonts w:ascii="Times New Roman" w:cs="Times New Roman" w:hAnsi="Times New Roman"/>
                <w:szCs w:val="24"/>
              </w:rPr>
              <w:t>Flabbi</w:t>
            </w:r>
            <w:r>
              <w:rPr>
                <w:rFonts w:ascii="Times New Roman" w:cs="Times New Roman" w:hAnsi="Times New Roman"/>
                <w:szCs w:val="24"/>
              </w:rPr>
              <w:t xml:space="preserve"> and </w:t>
            </w:r>
            <w:r>
              <w:rPr>
                <w:rFonts w:ascii="Times New Roman" w:cs="Times New Roman" w:hAnsi="Times New Roman"/>
                <w:szCs w:val="24"/>
              </w:rPr>
              <w:t>Gatti</w:t>
            </w:r>
            <w:r>
              <w:rPr>
                <w:rFonts w:ascii="Times New Roman" w:cs="Times New Roman" w:hAnsi="Times New Roman"/>
                <w:szCs w:val="24"/>
              </w:rPr>
              <w:t xml:space="preserve"> (2018)</w:t>
            </w:r>
          </w:p>
          <w:p w14:paraId="100F729B">
            <w:pPr>
              <w:pStyle w:val="style0"/>
              <w:rPr>
                <w:rFonts w:ascii="Times New Roman" w:cs="Times New Roman" w:hAnsi="Times New Roman"/>
                <w:szCs w:val="24"/>
              </w:rPr>
            </w:pPr>
          </w:p>
        </w:tc>
        <w:tc>
          <w:tcPr>
            <w:tcW w:w="2790" w:type="dxa"/>
            <w:gridSpan w:val="2"/>
            <w:tcBorders/>
          </w:tcPr>
          <w:p w14:paraId="3BAC5F5A">
            <w:pPr>
              <w:pStyle w:val="style0"/>
              <w:rPr>
                <w:rFonts w:ascii="Times New Roman" w:cs="Times New Roman" w:hAnsi="Times New Roman"/>
                <w:szCs w:val="24"/>
              </w:rPr>
            </w:pPr>
            <w:r>
              <w:rPr>
                <w:rFonts w:ascii="Times New Roman" w:cs="Times New Roman" w:hAnsi="Times New Roman"/>
                <w:szCs w:val="24"/>
              </w:rPr>
              <w:t>A primer on human capital (Research Working Paper 8309)</w:t>
            </w:r>
          </w:p>
          <w:p w14:paraId="5ED2DEA1">
            <w:pPr>
              <w:pStyle w:val="style0"/>
              <w:rPr>
                <w:rFonts w:ascii="Times New Roman" w:cs="Times New Roman" w:hAnsi="Times New Roman"/>
                <w:szCs w:val="24"/>
              </w:rPr>
            </w:pPr>
          </w:p>
        </w:tc>
        <w:tc>
          <w:tcPr>
            <w:tcW w:w="2340" w:type="dxa"/>
            <w:gridSpan w:val="2"/>
            <w:tcBorders/>
          </w:tcPr>
          <w:p w14:paraId="5AB3A5A5">
            <w:pPr>
              <w:pStyle w:val="style0"/>
              <w:rPr>
                <w:rFonts w:ascii="Times New Roman" w:cs="Times New Roman" w:hAnsi="Times New Roman"/>
                <w:szCs w:val="24"/>
              </w:rPr>
            </w:pPr>
            <w:r>
              <w:rPr>
                <w:rFonts w:ascii="Times New Roman" w:cs="Times New Roman" w:hAnsi="Times New Roman"/>
                <w:szCs w:val="24"/>
              </w:rPr>
              <w:t>Cross-country regressions and Development accounting</w:t>
            </w:r>
          </w:p>
        </w:tc>
        <w:tc>
          <w:tcPr>
            <w:tcW w:w="3955" w:type="dxa"/>
            <w:gridSpan w:val="2"/>
            <w:tcBorders/>
          </w:tcPr>
          <w:p w14:paraId="38E69F02">
            <w:pPr>
              <w:pStyle w:val="style0"/>
              <w:rPr>
                <w:rFonts w:ascii="Times New Roman" w:cs="Times New Roman" w:hAnsi="Times New Roman"/>
                <w:szCs w:val="24"/>
              </w:rPr>
            </w:pPr>
            <w:r>
              <w:rPr>
                <w:rFonts w:ascii="Times New Roman" w:cs="Times New Roman" w:hAnsi="Times New Roman"/>
                <w:szCs w:val="24"/>
              </w:rPr>
              <w:t>Investing in human capital is a promising strategy for growth, but effects are country-specific and vary by population.</w:t>
            </w:r>
          </w:p>
        </w:tc>
      </w:tr>
      <w:tr w14:paraId="49A5F7E9">
        <w:tblPrEx/>
        <w:trPr>
          <w:trHeight w:val="567" w:hRule="atLeast"/>
        </w:trPr>
        <w:tc>
          <w:tcPr>
            <w:tcW w:w="710" w:type="dxa"/>
            <w:gridSpan w:val="2"/>
            <w:tcBorders/>
          </w:tcPr>
          <w:p w14:paraId="70573BA2">
            <w:pPr>
              <w:pStyle w:val="style0"/>
              <w:rPr>
                <w:rFonts w:ascii="Times New Roman" w:cs="Times New Roman" w:hAnsi="Times New Roman"/>
                <w:szCs w:val="24"/>
              </w:rPr>
            </w:pPr>
            <w:r>
              <w:rPr>
                <w:rFonts w:ascii="Times New Roman" w:cs="Times New Roman" w:hAnsi="Times New Roman"/>
                <w:szCs w:val="24"/>
              </w:rPr>
              <w:t>15.</w:t>
            </w:r>
          </w:p>
        </w:tc>
        <w:tc>
          <w:tcPr>
            <w:tcW w:w="1535" w:type="dxa"/>
            <w:gridSpan w:val="2"/>
            <w:tcBorders/>
          </w:tcPr>
          <w:p w14:paraId="5D97BA7A">
            <w:pPr>
              <w:pStyle w:val="style0"/>
              <w:rPr>
                <w:rFonts w:ascii="Times New Roman" w:cs="Times New Roman" w:hAnsi="Times New Roman"/>
                <w:szCs w:val="24"/>
              </w:rPr>
            </w:pPr>
            <w:r>
              <w:rPr>
                <w:rFonts w:ascii="Times New Roman" w:cs="Times New Roman" w:hAnsi="Times New Roman"/>
                <w:szCs w:val="24"/>
              </w:rPr>
              <w:t>Oyedokun</w:t>
            </w:r>
            <w:r>
              <w:rPr>
                <w:rFonts w:ascii="Times New Roman" w:cs="Times New Roman" w:hAnsi="Times New Roman"/>
                <w:szCs w:val="24"/>
              </w:rPr>
              <w:t xml:space="preserve"> and </w:t>
            </w:r>
            <w:r>
              <w:rPr>
                <w:rFonts w:ascii="Times New Roman" w:cs="Times New Roman" w:hAnsi="Times New Roman"/>
                <w:szCs w:val="24"/>
              </w:rPr>
              <w:t>Adeyemi</w:t>
            </w:r>
            <w:r>
              <w:rPr>
                <w:rFonts w:ascii="Times New Roman" w:cs="Times New Roman" w:hAnsi="Times New Roman"/>
                <w:szCs w:val="24"/>
              </w:rPr>
              <w:t xml:space="preserve"> (2018)</w:t>
            </w:r>
          </w:p>
          <w:p w14:paraId="20D9B835">
            <w:pPr>
              <w:pStyle w:val="style0"/>
              <w:rPr>
                <w:rFonts w:ascii="Times New Roman" w:cs="Times New Roman" w:hAnsi="Times New Roman"/>
                <w:szCs w:val="24"/>
              </w:rPr>
            </w:pPr>
          </w:p>
        </w:tc>
        <w:tc>
          <w:tcPr>
            <w:tcW w:w="2790" w:type="dxa"/>
            <w:gridSpan w:val="2"/>
            <w:tcBorders/>
          </w:tcPr>
          <w:p w14:paraId="5B7C9395">
            <w:pPr>
              <w:pStyle w:val="style0"/>
              <w:rPr>
                <w:rFonts w:ascii="Times New Roman" w:cs="Times New Roman" w:hAnsi="Times New Roman"/>
                <w:szCs w:val="24"/>
              </w:rPr>
            </w:pPr>
            <w:r>
              <w:rPr>
                <w:rFonts w:ascii="Times New Roman" w:cs="Times New Roman" w:hAnsi="Times New Roman"/>
                <w:szCs w:val="24"/>
              </w:rPr>
              <w:t>Human Capital Formation and Economic Growth in Nigeria</w:t>
            </w:r>
          </w:p>
        </w:tc>
        <w:tc>
          <w:tcPr>
            <w:tcW w:w="2340" w:type="dxa"/>
            <w:gridSpan w:val="2"/>
            <w:tcBorders/>
          </w:tcPr>
          <w:p w14:paraId="55369C29">
            <w:pPr>
              <w:pStyle w:val="style0"/>
              <w:rPr>
                <w:rFonts w:ascii="Times New Roman" w:cs="Times New Roman" w:hAnsi="Times New Roman"/>
                <w:szCs w:val="24"/>
              </w:rPr>
            </w:pPr>
            <w:r>
              <w:rPr>
                <w:rFonts w:ascii="Times New Roman" w:cs="Times New Roman" w:hAnsi="Times New Roman"/>
                <w:szCs w:val="24"/>
              </w:rPr>
              <w:t>Augmented Dickey-Fuller (ADF)</w:t>
            </w:r>
          </w:p>
          <w:p w14:paraId="2B11B35A">
            <w:pPr>
              <w:pStyle w:val="style0"/>
              <w:rPr>
                <w:rFonts w:ascii="Times New Roman" w:cs="Times New Roman" w:hAnsi="Times New Roman"/>
                <w:szCs w:val="24"/>
              </w:rPr>
            </w:pPr>
          </w:p>
        </w:tc>
        <w:tc>
          <w:tcPr>
            <w:tcW w:w="3955" w:type="dxa"/>
            <w:gridSpan w:val="2"/>
            <w:tcBorders/>
          </w:tcPr>
          <w:p w14:paraId="611A5118">
            <w:pPr>
              <w:pStyle w:val="style0"/>
              <w:rPr>
                <w:rFonts w:ascii="Times New Roman" w:cs="Times New Roman" w:hAnsi="Times New Roman"/>
                <w:szCs w:val="24"/>
              </w:rPr>
            </w:pPr>
            <w:r>
              <w:rPr>
                <w:rFonts w:ascii="Times New Roman" w:cs="Times New Roman" w:hAnsi="Times New Roman"/>
                <w:szCs w:val="24"/>
              </w:rPr>
              <w:t>In the long- run, the relationship between government expenditure on health and education, school attendance, employment, economic output, life span, gross domestic product formation, all are correlated and positively.</w:t>
            </w:r>
          </w:p>
        </w:tc>
      </w:tr>
      <w:tr w14:paraId="1B30DBE3">
        <w:tblPrEx/>
        <w:trPr/>
        <w:tc>
          <w:tcPr>
            <w:tcW w:w="710" w:type="dxa"/>
            <w:gridSpan w:val="2"/>
            <w:tcBorders/>
          </w:tcPr>
          <w:p w14:paraId="7F247896">
            <w:pPr>
              <w:pStyle w:val="style0"/>
              <w:rPr>
                <w:rFonts w:ascii="Times New Roman" w:cs="Times New Roman" w:hAnsi="Times New Roman"/>
                <w:szCs w:val="24"/>
              </w:rPr>
            </w:pPr>
            <w:r>
              <w:rPr>
                <w:rFonts w:ascii="Times New Roman" w:cs="Times New Roman" w:hAnsi="Times New Roman"/>
                <w:szCs w:val="24"/>
              </w:rPr>
              <w:t>16.</w:t>
            </w:r>
          </w:p>
        </w:tc>
        <w:tc>
          <w:tcPr>
            <w:tcW w:w="1535" w:type="dxa"/>
            <w:gridSpan w:val="2"/>
            <w:tcBorders/>
          </w:tcPr>
          <w:p w14:paraId="3533159E">
            <w:pPr>
              <w:pStyle w:val="style0"/>
              <w:rPr>
                <w:rFonts w:ascii="Times New Roman" w:cs="Times New Roman" w:hAnsi="Times New Roman"/>
                <w:szCs w:val="24"/>
              </w:rPr>
            </w:pPr>
            <w:r>
              <w:rPr>
                <w:rFonts w:ascii="Times New Roman" w:cs="Times New Roman" w:hAnsi="Times New Roman"/>
                <w:szCs w:val="24"/>
              </w:rPr>
              <w:t>Adejare</w:t>
            </w:r>
            <w:r>
              <w:rPr>
                <w:rFonts w:ascii="Times New Roman" w:cs="Times New Roman" w:hAnsi="Times New Roman"/>
                <w:szCs w:val="24"/>
              </w:rPr>
              <w:t xml:space="preserve"> (2017)</w:t>
            </w:r>
          </w:p>
        </w:tc>
        <w:tc>
          <w:tcPr>
            <w:tcW w:w="2790" w:type="dxa"/>
            <w:gridSpan w:val="2"/>
            <w:tcBorders/>
          </w:tcPr>
          <w:p w14:paraId="03D12372">
            <w:pPr>
              <w:pStyle w:val="style0"/>
              <w:rPr>
                <w:rFonts w:ascii="Times New Roman" w:cs="Times New Roman" w:hAnsi="Times New Roman"/>
                <w:szCs w:val="24"/>
              </w:rPr>
            </w:pPr>
            <w:r>
              <w:rPr>
                <w:rFonts w:ascii="Times New Roman" w:cs="Times New Roman" w:hAnsi="Times New Roman"/>
                <w:szCs w:val="24"/>
              </w:rPr>
              <w:t>Empirical Analysis of the Effect of Education Tax on Human Capital Development in Nigeria</w:t>
            </w:r>
          </w:p>
        </w:tc>
        <w:tc>
          <w:tcPr>
            <w:tcW w:w="2340" w:type="dxa"/>
            <w:gridSpan w:val="2"/>
            <w:tcBorders/>
          </w:tcPr>
          <w:p w14:paraId="0949861D">
            <w:pPr>
              <w:pStyle w:val="style0"/>
              <w:rPr>
                <w:rFonts w:ascii="Times New Roman" w:cs="Times New Roman" w:hAnsi="Times New Roman"/>
                <w:szCs w:val="24"/>
              </w:rPr>
            </w:pPr>
            <w:r>
              <w:rPr>
                <w:rFonts w:ascii="Times New Roman" w:cs="Times New Roman" w:hAnsi="Times New Roman"/>
                <w:szCs w:val="24"/>
              </w:rPr>
              <w:t>Johansen co-integration and Granger causality tests (2000-2015)</w:t>
            </w:r>
          </w:p>
        </w:tc>
        <w:tc>
          <w:tcPr>
            <w:tcW w:w="3955" w:type="dxa"/>
            <w:gridSpan w:val="2"/>
            <w:tcBorders/>
          </w:tcPr>
          <w:p w14:paraId="64AAB4C4">
            <w:pPr>
              <w:pStyle w:val="style0"/>
              <w:rPr>
                <w:rFonts w:ascii="Times New Roman" w:cs="Times New Roman" w:hAnsi="Times New Roman"/>
                <w:szCs w:val="24"/>
              </w:rPr>
            </w:pPr>
            <w:r>
              <w:rPr>
                <w:rFonts w:ascii="Times New Roman" w:cs="Times New Roman" w:hAnsi="Times New Roman"/>
                <w:szCs w:val="24"/>
              </w:rPr>
              <w:t>Education tax positively impacts on the growth of human capital in Nigeria in the short-run and long-run.</w:t>
            </w:r>
          </w:p>
          <w:p w14:paraId="03E59FD2">
            <w:pPr>
              <w:pStyle w:val="style0"/>
              <w:rPr>
                <w:rFonts w:ascii="Times New Roman" w:cs="Times New Roman" w:hAnsi="Times New Roman"/>
                <w:szCs w:val="24"/>
              </w:rPr>
            </w:pPr>
          </w:p>
        </w:tc>
      </w:tr>
      <w:tr w14:paraId="113AABE4">
        <w:tblPrEx/>
        <w:trPr/>
        <w:tc>
          <w:tcPr>
            <w:tcW w:w="710" w:type="dxa"/>
            <w:gridSpan w:val="2"/>
            <w:tcBorders/>
          </w:tcPr>
          <w:p w14:paraId="3C704777">
            <w:pPr>
              <w:pStyle w:val="style0"/>
              <w:rPr>
                <w:rFonts w:ascii="Times New Roman" w:cs="Times New Roman" w:hAnsi="Times New Roman"/>
                <w:szCs w:val="24"/>
              </w:rPr>
            </w:pPr>
            <w:r>
              <w:rPr>
                <w:rFonts w:ascii="Times New Roman" w:cs="Times New Roman" w:hAnsi="Times New Roman"/>
                <w:szCs w:val="24"/>
              </w:rPr>
              <w:t>17.</w:t>
            </w:r>
          </w:p>
          <w:p w14:paraId="3A727C51">
            <w:pPr>
              <w:pStyle w:val="style0"/>
              <w:rPr>
                <w:rFonts w:ascii="Times New Roman" w:cs="Times New Roman" w:hAnsi="Times New Roman"/>
                <w:szCs w:val="24"/>
              </w:rPr>
            </w:pPr>
          </w:p>
          <w:p w14:paraId="55181255">
            <w:pPr>
              <w:pStyle w:val="style0"/>
              <w:rPr>
                <w:rFonts w:ascii="Times New Roman" w:cs="Times New Roman" w:hAnsi="Times New Roman"/>
                <w:szCs w:val="24"/>
              </w:rPr>
            </w:pPr>
          </w:p>
          <w:p w14:paraId="178417BB">
            <w:pPr>
              <w:pStyle w:val="style0"/>
              <w:rPr>
                <w:rFonts w:ascii="Times New Roman" w:cs="Times New Roman" w:hAnsi="Times New Roman"/>
                <w:szCs w:val="24"/>
              </w:rPr>
            </w:pPr>
          </w:p>
          <w:p w14:paraId="418F1409">
            <w:pPr>
              <w:pStyle w:val="style0"/>
              <w:rPr>
                <w:rFonts w:ascii="Times New Roman" w:cs="Times New Roman" w:hAnsi="Times New Roman"/>
                <w:szCs w:val="24"/>
              </w:rPr>
            </w:pPr>
          </w:p>
          <w:p w14:paraId="29007277">
            <w:pPr>
              <w:pStyle w:val="style0"/>
              <w:rPr>
                <w:rFonts w:ascii="Times New Roman" w:cs="Times New Roman" w:hAnsi="Times New Roman"/>
                <w:szCs w:val="24"/>
              </w:rPr>
            </w:pPr>
            <w:r>
              <w:rPr>
                <w:rFonts w:ascii="Times New Roman" w:cs="Times New Roman" w:hAnsi="Times New Roman"/>
                <w:szCs w:val="24"/>
              </w:rPr>
              <w:t xml:space="preserve">18.        </w:t>
            </w:r>
          </w:p>
        </w:tc>
        <w:tc>
          <w:tcPr>
            <w:tcW w:w="1535" w:type="dxa"/>
            <w:gridSpan w:val="2"/>
            <w:tcBorders/>
          </w:tcPr>
          <w:p w14:paraId="113406DD">
            <w:pPr>
              <w:pStyle w:val="style0"/>
              <w:rPr>
                <w:rFonts w:ascii="Times New Roman" w:cs="Times New Roman" w:hAnsi="Times New Roman"/>
                <w:szCs w:val="24"/>
              </w:rPr>
            </w:pPr>
            <w:r>
              <w:rPr>
                <w:rFonts w:ascii="Times New Roman" w:cs="Times New Roman" w:hAnsi="Times New Roman"/>
                <w:szCs w:val="24"/>
              </w:rPr>
              <w:t>Omodero</w:t>
            </w:r>
            <w:r>
              <w:rPr>
                <w:rFonts w:ascii="Times New Roman" w:cs="Times New Roman" w:hAnsi="Times New Roman"/>
                <w:szCs w:val="24"/>
              </w:rPr>
              <w:t xml:space="preserve"> </w:t>
            </w:r>
            <w:r>
              <w:rPr>
                <w:rFonts w:ascii="Times New Roman" w:cs="Times New Roman" w:hAnsi="Times New Roman"/>
                <w:i/>
                <w:iCs/>
                <w:szCs w:val="24"/>
              </w:rPr>
              <w:t>et al</w:t>
            </w:r>
            <w:r>
              <w:rPr>
                <w:rFonts w:ascii="Times New Roman" w:cs="Times New Roman" w:hAnsi="Times New Roman"/>
                <w:i/>
                <w:iCs/>
                <w:szCs w:val="24"/>
              </w:rPr>
              <w:t>.</w:t>
            </w:r>
            <w:r>
              <w:rPr>
                <w:rFonts w:ascii="Times New Roman" w:cs="Times New Roman" w:hAnsi="Times New Roman"/>
                <w:szCs w:val="24"/>
              </w:rPr>
              <w:t xml:space="preserve"> (2017)</w:t>
            </w:r>
          </w:p>
          <w:p w14:paraId="13F818A4">
            <w:pPr>
              <w:pStyle w:val="style0"/>
              <w:rPr>
                <w:rFonts w:ascii="Times New Roman" w:cs="Times New Roman" w:hAnsi="Times New Roman"/>
                <w:szCs w:val="24"/>
              </w:rPr>
            </w:pPr>
          </w:p>
          <w:p w14:paraId="2FD60294">
            <w:pPr>
              <w:pStyle w:val="style0"/>
              <w:rPr>
                <w:rFonts w:ascii="Times New Roman" w:cs="Times New Roman" w:hAnsi="Times New Roman"/>
                <w:szCs w:val="24"/>
              </w:rPr>
            </w:pPr>
          </w:p>
          <w:p w14:paraId="402DA7AE">
            <w:pPr>
              <w:pStyle w:val="style0"/>
              <w:rPr>
                <w:rFonts w:ascii="Times New Roman" w:cs="Times New Roman" w:hAnsi="Times New Roman"/>
                <w:szCs w:val="24"/>
              </w:rPr>
            </w:pPr>
          </w:p>
          <w:p w14:paraId="328695BA">
            <w:pPr>
              <w:pStyle w:val="style0"/>
              <w:rPr>
                <w:rFonts w:ascii="Times New Roman" w:cs="Times New Roman" w:hAnsi="Times New Roman"/>
                <w:szCs w:val="24"/>
              </w:rPr>
            </w:pPr>
            <w:r>
              <w:rPr>
                <w:rFonts w:ascii="Times New Roman" w:cs="Times New Roman" w:hAnsi="Times New Roman"/>
                <w:szCs w:val="24"/>
              </w:rPr>
              <w:t>Shuaib</w:t>
            </w:r>
            <w:r>
              <w:rPr>
                <w:rFonts w:ascii="Times New Roman" w:cs="Times New Roman" w:hAnsi="Times New Roman"/>
                <w:szCs w:val="24"/>
              </w:rPr>
              <w:t xml:space="preserve"> (2017)     </w:t>
            </w:r>
          </w:p>
          <w:p w14:paraId="702AE067">
            <w:pPr>
              <w:pStyle w:val="style0"/>
              <w:rPr>
                <w:rFonts w:ascii="Times New Roman" w:cs="Times New Roman" w:hAnsi="Times New Roman"/>
                <w:szCs w:val="24"/>
              </w:rPr>
            </w:pPr>
          </w:p>
        </w:tc>
        <w:tc>
          <w:tcPr>
            <w:tcW w:w="2790" w:type="dxa"/>
            <w:gridSpan w:val="2"/>
            <w:tcBorders/>
          </w:tcPr>
          <w:p w14:paraId="37EFB579">
            <w:pPr>
              <w:pStyle w:val="style0"/>
              <w:rPr>
                <w:rFonts w:ascii="Times New Roman" w:cs="Times New Roman" w:hAnsi="Times New Roman"/>
                <w:szCs w:val="24"/>
              </w:rPr>
            </w:pPr>
            <w:r>
              <w:rPr>
                <w:rFonts w:ascii="Times New Roman" w:cs="Times New Roman" w:hAnsi="Times New Roman"/>
                <w:szCs w:val="24"/>
              </w:rPr>
              <w:t>Tertiary education tax, information technology development levy and funding if educational system in Nigeria</w:t>
            </w:r>
          </w:p>
          <w:p w14:paraId="0211A5B9">
            <w:pPr>
              <w:pStyle w:val="style0"/>
              <w:rPr>
                <w:rFonts w:ascii="Times New Roman" w:cs="Times New Roman" w:hAnsi="Times New Roman"/>
                <w:szCs w:val="24"/>
              </w:rPr>
            </w:pPr>
            <w:r>
              <w:rPr>
                <w:rFonts w:ascii="Times New Roman" w:cs="Times New Roman" w:hAnsi="Times New Roman"/>
                <w:szCs w:val="24"/>
              </w:rPr>
              <w:t>Tertiary Education Trust fund (TETFUND), research and development and Nigeria’s higher education</w:t>
            </w:r>
          </w:p>
        </w:tc>
        <w:tc>
          <w:tcPr>
            <w:tcW w:w="2340" w:type="dxa"/>
            <w:gridSpan w:val="2"/>
            <w:tcBorders/>
          </w:tcPr>
          <w:p w14:paraId="7A0F579C">
            <w:pPr>
              <w:pStyle w:val="style0"/>
              <w:rPr>
                <w:rFonts w:ascii="Times New Roman" w:cs="Times New Roman" w:hAnsi="Times New Roman"/>
                <w:szCs w:val="24"/>
              </w:rPr>
            </w:pPr>
            <w:r>
              <w:rPr>
                <w:rFonts w:ascii="Times New Roman" w:cs="Times New Roman" w:hAnsi="Times New Roman"/>
                <w:szCs w:val="24"/>
              </w:rPr>
              <w:t>Multiples regression model using secondary data</w:t>
            </w:r>
          </w:p>
          <w:p w14:paraId="39A0FEB9">
            <w:pPr>
              <w:pStyle w:val="style0"/>
              <w:rPr>
                <w:rFonts w:ascii="Times New Roman" w:cs="Times New Roman" w:hAnsi="Times New Roman"/>
                <w:szCs w:val="24"/>
              </w:rPr>
            </w:pPr>
          </w:p>
          <w:p w14:paraId="7058E422">
            <w:pPr>
              <w:pStyle w:val="style0"/>
              <w:rPr>
                <w:rFonts w:ascii="Times New Roman" w:cs="Times New Roman" w:hAnsi="Times New Roman"/>
                <w:szCs w:val="24"/>
              </w:rPr>
            </w:pPr>
          </w:p>
          <w:p w14:paraId="1D34DFE5">
            <w:pPr>
              <w:pStyle w:val="style0"/>
              <w:rPr>
                <w:rFonts w:ascii="Times New Roman" w:cs="Times New Roman" w:hAnsi="Times New Roman"/>
                <w:szCs w:val="24"/>
              </w:rPr>
            </w:pPr>
            <w:r>
              <w:rPr>
                <w:rFonts w:ascii="Times New Roman" w:cs="Times New Roman" w:hAnsi="Times New Roman"/>
                <w:szCs w:val="24"/>
              </w:rPr>
              <w:t>Secondary data and thematic analysis tool</w:t>
            </w:r>
          </w:p>
        </w:tc>
        <w:tc>
          <w:tcPr>
            <w:tcW w:w="3955" w:type="dxa"/>
            <w:gridSpan w:val="2"/>
            <w:tcBorders/>
          </w:tcPr>
          <w:p w14:paraId="107E0B44">
            <w:pPr>
              <w:pStyle w:val="style0"/>
              <w:rPr>
                <w:rFonts w:ascii="Times New Roman" w:cs="Times New Roman" w:hAnsi="Times New Roman"/>
                <w:szCs w:val="24"/>
              </w:rPr>
            </w:pPr>
            <w:r>
              <w:rPr>
                <w:rFonts w:ascii="Times New Roman" w:cs="Times New Roman" w:hAnsi="Times New Roman"/>
                <w:szCs w:val="24"/>
              </w:rPr>
              <w:t>There needs to be more allocation towards education asides from the fact that the Tertiary Education tax, is unable to cover for all activities within Nigeria’s higher education’s sphere.</w:t>
            </w:r>
          </w:p>
          <w:p w14:paraId="4E82F696">
            <w:pPr>
              <w:pStyle w:val="style0"/>
              <w:rPr>
                <w:rFonts w:ascii="Times New Roman" w:cs="Times New Roman" w:hAnsi="Times New Roman"/>
                <w:szCs w:val="24"/>
              </w:rPr>
            </w:pPr>
            <w:r>
              <w:rPr>
                <w:rFonts w:ascii="Times New Roman" w:cs="Times New Roman" w:hAnsi="Times New Roman"/>
                <w:szCs w:val="24"/>
              </w:rPr>
              <w:t>TETFUND is the primary and almost exclusive driver of research funding in Nigerian public universities.</w:t>
            </w:r>
          </w:p>
        </w:tc>
      </w:tr>
      <w:tr w14:paraId="710508FE">
        <w:tblPrEx/>
        <w:trPr/>
        <w:tc>
          <w:tcPr>
            <w:tcW w:w="710" w:type="dxa"/>
            <w:gridSpan w:val="2"/>
            <w:tcBorders/>
          </w:tcPr>
          <w:p w14:paraId="12E103AD">
            <w:pPr>
              <w:pStyle w:val="style0"/>
              <w:rPr>
                <w:rFonts w:ascii="Times New Roman" w:cs="Times New Roman" w:hAnsi="Times New Roman"/>
                <w:szCs w:val="24"/>
              </w:rPr>
            </w:pPr>
            <w:r>
              <w:rPr>
                <w:rFonts w:ascii="Times New Roman" w:cs="Times New Roman" w:hAnsi="Times New Roman"/>
                <w:szCs w:val="24"/>
              </w:rPr>
              <w:t>19.</w:t>
            </w:r>
          </w:p>
        </w:tc>
        <w:tc>
          <w:tcPr>
            <w:tcW w:w="1535" w:type="dxa"/>
            <w:gridSpan w:val="2"/>
            <w:tcBorders/>
          </w:tcPr>
          <w:p w14:paraId="5D56C003">
            <w:pPr>
              <w:pStyle w:val="style0"/>
              <w:rPr>
                <w:rFonts w:ascii="Times New Roman" w:cs="Times New Roman" w:hAnsi="Times New Roman"/>
                <w:szCs w:val="24"/>
              </w:rPr>
            </w:pPr>
            <w:r>
              <w:rPr>
                <w:rFonts w:ascii="Times New Roman" w:cs="Times New Roman" w:hAnsi="Times New Roman"/>
                <w:szCs w:val="24"/>
              </w:rPr>
              <w:t>Orako</w:t>
            </w:r>
            <w:r>
              <w:rPr>
                <w:rFonts w:ascii="Times New Roman" w:cs="Times New Roman" w:hAnsi="Times New Roman"/>
                <w:szCs w:val="24"/>
              </w:rPr>
              <w:t xml:space="preserve"> </w:t>
            </w:r>
            <w:r>
              <w:rPr>
                <w:rFonts w:ascii="Times New Roman" w:cs="Times New Roman" w:hAnsi="Times New Roman"/>
                <w:i/>
                <w:szCs w:val="24"/>
              </w:rPr>
              <w:t>et al</w:t>
            </w:r>
            <w:r>
              <w:rPr>
                <w:rFonts w:ascii="Times New Roman" w:cs="Times New Roman" w:hAnsi="Times New Roman"/>
                <w:szCs w:val="24"/>
              </w:rPr>
              <w:t xml:space="preserve"> (2017)</w:t>
            </w:r>
          </w:p>
          <w:p w14:paraId="64112DD2">
            <w:pPr>
              <w:pStyle w:val="style0"/>
              <w:rPr>
                <w:rFonts w:ascii="Times New Roman" w:cs="Times New Roman" w:hAnsi="Times New Roman"/>
                <w:szCs w:val="24"/>
              </w:rPr>
            </w:pPr>
          </w:p>
        </w:tc>
        <w:tc>
          <w:tcPr>
            <w:tcW w:w="2790" w:type="dxa"/>
            <w:gridSpan w:val="2"/>
            <w:tcBorders/>
          </w:tcPr>
          <w:p w14:paraId="0217BF5D">
            <w:pPr>
              <w:pStyle w:val="style0"/>
              <w:rPr>
                <w:rFonts w:ascii="Times New Roman" w:cs="Times New Roman" w:hAnsi="Times New Roman"/>
                <w:szCs w:val="24"/>
              </w:rPr>
            </w:pPr>
            <w:r>
              <w:rPr>
                <w:rFonts w:ascii="Times New Roman" w:cs="Times New Roman" w:hAnsi="Times New Roman"/>
                <w:szCs w:val="24"/>
              </w:rPr>
              <w:t>Effect of tertiary education tax fund (TETFUND) in management of Nigerian tertiary institutions.</w:t>
            </w:r>
          </w:p>
        </w:tc>
        <w:tc>
          <w:tcPr>
            <w:tcW w:w="2340" w:type="dxa"/>
            <w:gridSpan w:val="2"/>
            <w:tcBorders/>
          </w:tcPr>
          <w:p w14:paraId="6414FFBE">
            <w:pPr>
              <w:pStyle w:val="style0"/>
              <w:rPr>
                <w:rFonts w:ascii="Times New Roman" w:cs="Times New Roman" w:hAnsi="Times New Roman"/>
                <w:szCs w:val="24"/>
              </w:rPr>
            </w:pPr>
            <w:r>
              <w:rPr>
                <w:rFonts w:ascii="Times New Roman" w:cs="Times New Roman" w:hAnsi="Times New Roman"/>
                <w:szCs w:val="24"/>
              </w:rPr>
              <w:t>Survey &amp; Time Series (Regression via SPSS)</w:t>
            </w:r>
          </w:p>
        </w:tc>
        <w:tc>
          <w:tcPr>
            <w:tcW w:w="3955" w:type="dxa"/>
            <w:gridSpan w:val="2"/>
            <w:tcBorders/>
          </w:tcPr>
          <w:p w14:paraId="14A3F545">
            <w:pPr>
              <w:pStyle w:val="style0"/>
              <w:rPr>
                <w:rFonts w:ascii="Times New Roman" w:cs="Times New Roman" w:hAnsi="Times New Roman"/>
                <w:szCs w:val="24"/>
              </w:rPr>
            </w:pPr>
            <w:r>
              <w:rPr>
                <w:rFonts w:ascii="Times New Roman" w:cs="Times New Roman" w:hAnsi="Times New Roman"/>
                <w:szCs w:val="24"/>
              </w:rPr>
              <w:t>TETFUND allocations have no correlation with the student enrolment ratio.</w:t>
            </w:r>
          </w:p>
        </w:tc>
      </w:tr>
      <w:tr w14:paraId="44EDADD4">
        <w:tblPrEx/>
        <w:trPr>
          <w:trHeight w:val="1080" w:hRule="atLeast"/>
        </w:trPr>
        <w:tc>
          <w:tcPr>
            <w:tcW w:w="710" w:type="dxa"/>
            <w:gridSpan w:val="2"/>
            <w:tcBorders/>
          </w:tcPr>
          <w:p w14:paraId="6936E990">
            <w:pPr>
              <w:pStyle w:val="style0"/>
              <w:rPr>
                <w:rFonts w:ascii="Times New Roman" w:cs="Times New Roman" w:hAnsi="Times New Roman"/>
                <w:szCs w:val="24"/>
              </w:rPr>
            </w:pPr>
            <w:r>
              <w:rPr>
                <w:rFonts w:ascii="Times New Roman" w:cs="Times New Roman" w:hAnsi="Times New Roman"/>
                <w:szCs w:val="24"/>
              </w:rPr>
              <w:t>20.</w:t>
            </w:r>
          </w:p>
        </w:tc>
        <w:tc>
          <w:tcPr>
            <w:tcW w:w="1535" w:type="dxa"/>
            <w:gridSpan w:val="2"/>
            <w:tcBorders/>
          </w:tcPr>
          <w:p w14:paraId="7AAB2BBA">
            <w:pPr>
              <w:pStyle w:val="style0"/>
              <w:rPr>
                <w:rFonts w:ascii="Times New Roman" w:cs="Times New Roman" w:hAnsi="Times New Roman"/>
                <w:szCs w:val="24"/>
              </w:rPr>
            </w:pPr>
            <w:r>
              <w:rPr>
                <w:rFonts w:ascii="Times New Roman" w:cs="Times New Roman" w:hAnsi="Times New Roman"/>
                <w:szCs w:val="24"/>
              </w:rPr>
              <w:t>Adavbiele</w:t>
            </w:r>
            <w:r>
              <w:rPr>
                <w:rFonts w:ascii="Times New Roman" w:cs="Times New Roman" w:hAnsi="Times New Roman"/>
                <w:szCs w:val="24"/>
              </w:rPr>
              <w:t xml:space="preserve"> (2016)</w:t>
            </w:r>
          </w:p>
        </w:tc>
        <w:tc>
          <w:tcPr>
            <w:tcW w:w="2790" w:type="dxa"/>
            <w:gridSpan w:val="2"/>
            <w:tcBorders/>
          </w:tcPr>
          <w:p w14:paraId="13B9666D">
            <w:pPr>
              <w:pStyle w:val="style0"/>
              <w:rPr>
                <w:rFonts w:ascii="Times New Roman" w:cs="Times New Roman" w:hAnsi="Times New Roman"/>
                <w:szCs w:val="24"/>
              </w:rPr>
            </w:pPr>
            <w:r>
              <w:rPr>
                <w:rFonts w:ascii="Times New Roman" w:cs="Times New Roman" w:hAnsi="Times New Roman"/>
                <w:szCs w:val="24"/>
              </w:rPr>
              <w:t>Impact of Education Trust Fund (ETF) on Tertiary Institutions in Nigeria, Using College of Education, as Case Study</w:t>
            </w:r>
          </w:p>
          <w:p w14:paraId="4A9B0DC8">
            <w:pPr>
              <w:pStyle w:val="style0"/>
              <w:rPr>
                <w:rFonts w:ascii="Times New Roman" w:cs="Times New Roman" w:hAnsi="Times New Roman"/>
                <w:szCs w:val="24"/>
              </w:rPr>
            </w:pPr>
          </w:p>
        </w:tc>
        <w:tc>
          <w:tcPr>
            <w:tcW w:w="2340" w:type="dxa"/>
            <w:gridSpan w:val="2"/>
            <w:tcBorders/>
          </w:tcPr>
          <w:p w14:paraId="396C959C">
            <w:pPr>
              <w:pStyle w:val="style0"/>
              <w:rPr>
                <w:rFonts w:ascii="Times New Roman" w:cs="Times New Roman" w:hAnsi="Times New Roman"/>
                <w:szCs w:val="24"/>
              </w:rPr>
            </w:pPr>
            <w:r>
              <w:rPr>
                <w:rFonts w:ascii="Times New Roman" w:cs="Times New Roman" w:hAnsi="Times New Roman"/>
                <w:szCs w:val="24"/>
              </w:rPr>
              <w:t>Case Study/Descriptive</w:t>
            </w:r>
          </w:p>
        </w:tc>
        <w:tc>
          <w:tcPr>
            <w:tcW w:w="3955" w:type="dxa"/>
            <w:gridSpan w:val="2"/>
            <w:tcBorders/>
          </w:tcPr>
          <w:p w14:paraId="15B4675A">
            <w:pPr>
              <w:pStyle w:val="style0"/>
              <w:rPr>
                <w:rFonts w:ascii="Times New Roman" w:cs="Times New Roman" w:hAnsi="Times New Roman"/>
                <w:szCs w:val="24"/>
              </w:rPr>
            </w:pPr>
            <w:r>
              <w:rPr>
                <w:rFonts w:ascii="Times New Roman" w:cs="Times New Roman" w:hAnsi="Times New Roman"/>
                <w:szCs w:val="24"/>
              </w:rPr>
              <w:t>ETF has a positive development impact, but the system of internal control is poor and thus it has resulted in a lot of ailments which are more likely to lead to wastage and misappropriation.</w:t>
            </w:r>
          </w:p>
        </w:tc>
      </w:tr>
      <w:tr w14:paraId="625E3063">
        <w:tblPrEx/>
        <w:trPr/>
        <w:tc>
          <w:tcPr>
            <w:tcW w:w="710" w:type="dxa"/>
            <w:gridSpan w:val="2"/>
            <w:tcBorders/>
          </w:tcPr>
          <w:p w14:paraId="6D327874">
            <w:pPr>
              <w:pStyle w:val="style0"/>
              <w:rPr>
                <w:rFonts w:ascii="Times New Roman" w:cs="Times New Roman" w:hAnsi="Times New Roman"/>
                <w:szCs w:val="24"/>
              </w:rPr>
            </w:pPr>
            <w:r>
              <w:rPr>
                <w:rFonts w:ascii="Times New Roman" w:cs="Times New Roman" w:hAnsi="Times New Roman"/>
                <w:szCs w:val="24"/>
              </w:rPr>
              <w:t>21.</w:t>
            </w:r>
          </w:p>
        </w:tc>
        <w:tc>
          <w:tcPr>
            <w:tcW w:w="1535" w:type="dxa"/>
            <w:gridSpan w:val="2"/>
            <w:tcBorders/>
          </w:tcPr>
          <w:p w14:paraId="4443DD32">
            <w:pPr>
              <w:pStyle w:val="style0"/>
              <w:rPr>
                <w:rFonts w:ascii="Times New Roman" w:cs="Times New Roman" w:hAnsi="Times New Roman"/>
                <w:szCs w:val="24"/>
              </w:rPr>
            </w:pPr>
            <w:r>
              <w:rPr>
                <w:rFonts w:ascii="Times New Roman" w:cs="Times New Roman" w:hAnsi="Times New Roman"/>
                <w:szCs w:val="24"/>
              </w:rPr>
              <w:t>Adeyemi</w:t>
            </w:r>
            <w:r>
              <w:rPr>
                <w:rFonts w:ascii="Times New Roman" w:cs="Times New Roman" w:hAnsi="Times New Roman"/>
                <w:szCs w:val="24"/>
              </w:rPr>
              <w:t xml:space="preserve"> and </w:t>
            </w:r>
            <w:r>
              <w:rPr>
                <w:rFonts w:ascii="Times New Roman" w:cs="Times New Roman" w:hAnsi="Times New Roman"/>
                <w:szCs w:val="24"/>
              </w:rPr>
              <w:t>Ogunsola</w:t>
            </w:r>
            <w:r>
              <w:rPr>
                <w:rFonts w:ascii="Times New Roman" w:cs="Times New Roman" w:hAnsi="Times New Roman"/>
                <w:szCs w:val="24"/>
              </w:rPr>
              <w:t xml:space="preserve"> (2016)</w:t>
            </w:r>
          </w:p>
          <w:p w14:paraId="7A89A618">
            <w:pPr>
              <w:pStyle w:val="style0"/>
              <w:rPr>
                <w:rFonts w:ascii="Times New Roman" w:cs="Times New Roman" w:hAnsi="Times New Roman"/>
                <w:szCs w:val="24"/>
              </w:rPr>
            </w:pPr>
          </w:p>
        </w:tc>
        <w:tc>
          <w:tcPr>
            <w:tcW w:w="2790" w:type="dxa"/>
            <w:gridSpan w:val="2"/>
            <w:tcBorders/>
          </w:tcPr>
          <w:p w14:paraId="0DB5EC3F">
            <w:pPr>
              <w:pStyle w:val="style0"/>
              <w:rPr>
                <w:rFonts w:ascii="Times New Roman" w:cs="Times New Roman" w:hAnsi="Times New Roman"/>
                <w:szCs w:val="24"/>
              </w:rPr>
            </w:pPr>
            <w:r>
              <w:rPr>
                <w:rFonts w:ascii="Times New Roman" w:cs="Times New Roman" w:hAnsi="Times New Roman"/>
                <w:szCs w:val="24"/>
              </w:rPr>
              <w:t>Public education spending and national income: An ARDL approach</w:t>
            </w:r>
          </w:p>
        </w:tc>
        <w:tc>
          <w:tcPr>
            <w:tcW w:w="2340" w:type="dxa"/>
            <w:gridSpan w:val="2"/>
            <w:tcBorders/>
          </w:tcPr>
          <w:p w14:paraId="1734D460">
            <w:pPr>
              <w:pStyle w:val="style0"/>
              <w:rPr>
                <w:rFonts w:ascii="Times New Roman" w:cs="Times New Roman" w:hAnsi="Times New Roman"/>
                <w:szCs w:val="24"/>
              </w:rPr>
            </w:pPr>
            <w:r>
              <w:rPr>
                <w:rFonts w:ascii="Times New Roman" w:cs="Times New Roman" w:hAnsi="Times New Roman"/>
                <w:szCs w:val="24"/>
              </w:rPr>
              <w:t>Time series data (1980-2013)</w:t>
            </w:r>
          </w:p>
        </w:tc>
        <w:tc>
          <w:tcPr>
            <w:tcW w:w="3955" w:type="dxa"/>
            <w:gridSpan w:val="2"/>
            <w:tcBorders/>
          </w:tcPr>
          <w:p w14:paraId="60C43626">
            <w:pPr>
              <w:pStyle w:val="style0"/>
              <w:rPr>
                <w:rFonts w:ascii="Times New Roman" w:cs="Times New Roman" w:hAnsi="Times New Roman"/>
                <w:szCs w:val="24"/>
              </w:rPr>
            </w:pPr>
            <w:r>
              <w:rPr>
                <w:rFonts w:ascii="Times New Roman" w:cs="Times New Roman" w:hAnsi="Times New Roman"/>
                <w:szCs w:val="24"/>
              </w:rPr>
              <w:t xml:space="preserve">A positive and statistically insignificant long-run relation holds between life expectancy rate, public expenditure on education, gross capital formation, gross fixed capital formation and secondary </w:t>
            </w:r>
            <w:r>
              <w:rPr>
                <w:rFonts w:ascii="Times New Roman" w:cs="Times New Roman" w:hAnsi="Times New Roman"/>
                <w:szCs w:val="24"/>
              </w:rPr>
              <w:t>school enrolment, gross domestic investment, and gross capital formation.</w:t>
            </w:r>
          </w:p>
        </w:tc>
      </w:tr>
      <w:tr w14:paraId="1D864E06">
        <w:tblPrEx/>
        <w:trPr>
          <w:gridAfter w:val="1"/>
          <w:wAfter w:w="80" w:type="dxa"/>
        </w:trPr>
        <w:tc>
          <w:tcPr>
            <w:tcW w:w="630" w:type="dxa"/>
            <w:tcBorders/>
          </w:tcPr>
          <w:p w14:paraId="527324F9">
            <w:pPr>
              <w:pStyle w:val="style0"/>
              <w:rPr>
                <w:rFonts w:ascii="Times New Roman" w:cs="Times New Roman" w:hAnsi="Times New Roman"/>
                <w:szCs w:val="24"/>
              </w:rPr>
            </w:pPr>
            <w:r>
              <w:rPr>
                <w:rFonts w:ascii="Times New Roman" w:cs="Times New Roman" w:hAnsi="Times New Roman"/>
                <w:szCs w:val="24"/>
              </w:rPr>
              <w:t>22.</w:t>
            </w:r>
          </w:p>
        </w:tc>
        <w:tc>
          <w:tcPr>
            <w:tcW w:w="1535" w:type="dxa"/>
            <w:gridSpan w:val="2"/>
            <w:tcBorders/>
          </w:tcPr>
          <w:p w14:paraId="265E4A96">
            <w:pPr>
              <w:pStyle w:val="style0"/>
              <w:rPr>
                <w:rFonts w:ascii="Times New Roman" w:cs="Times New Roman" w:hAnsi="Times New Roman"/>
                <w:szCs w:val="24"/>
              </w:rPr>
            </w:pPr>
            <w:r>
              <w:rPr>
                <w:rFonts w:ascii="Times New Roman" w:cs="Times New Roman" w:hAnsi="Times New Roman"/>
                <w:szCs w:val="24"/>
              </w:rPr>
              <w:t>Inyiama</w:t>
            </w:r>
            <w:r>
              <w:rPr>
                <w:rFonts w:ascii="Times New Roman" w:cs="Times New Roman" w:hAnsi="Times New Roman"/>
                <w:szCs w:val="24"/>
              </w:rPr>
              <w:t xml:space="preserve"> and </w:t>
            </w:r>
            <w:r>
              <w:rPr>
                <w:rFonts w:ascii="Times New Roman" w:cs="Times New Roman" w:hAnsi="Times New Roman"/>
                <w:szCs w:val="24"/>
              </w:rPr>
              <w:t>Nwankwo</w:t>
            </w:r>
            <w:r>
              <w:rPr>
                <w:rFonts w:ascii="Times New Roman" w:cs="Times New Roman" w:hAnsi="Times New Roman"/>
                <w:szCs w:val="24"/>
              </w:rPr>
              <w:t xml:space="preserve"> (2016)</w:t>
            </w:r>
          </w:p>
        </w:tc>
        <w:tc>
          <w:tcPr>
            <w:tcW w:w="2790" w:type="dxa"/>
            <w:gridSpan w:val="2"/>
            <w:tcBorders/>
          </w:tcPr>
          <w:p w14:paraId="0A602613">
            <w:pPr>
              <w:pStyle w:val="style0"/>
              <w:rPr>
                <w:rFonts w:ascii="Times New Roman" w:cs="Times New Roman" w:hAnsi="Times New Roman"/>
                <w:szCs w:val="24"/>
              </w:rPr>
            </w:pPr>
            <w:r>
              <w:rPr>
                <w:rFonts w:ascii="Times New Roman" w:cs="Times New Roman" w:hAnsi="Times New Roman"/>
                <w:szCs w:val="24"/>
              </w:rPr>
              <w:t>Effect of Corporate and Tertiary Education Tax on Nigeria Economic Growth</w:t>
            </w:r>
          </w:p>
        </w:tc>
        <w:tc>
          <w:tcPr>
            <w:tcW w:w="2340" w:type="dxa"/>
            <w:gridSpan w:val="2"/>
            <w:tcBorders/>
          </w:tcPr>
          <w:p w14:paraId="25A1689E">
            <w:pPr>
              <w:pStyle w:val="style0"/>
              <w:rPr>
                <w:rFonts w:ascii="Times New Roman" w:cs="Times New Roman" w:hAnsi="Times New Roman"/>
                <w:szCs w:val="24"/>
              </w:rPr>
            </w:pPr>
            <w:r>
              <w:rPr>
                <w:rFonts w:ascii="Times New Roman" w:cs="Times New Roman" w:hAnsi="Times New Roman"/>
                <w:szCs w:val="24"/>
              </w:rPr>
              <w:t>Simple regression technique using time series data from CBN statistical bulletin, NSE and FIRS</w:t>
            </w:r>
          </w:p>
        </w:tc>
        <w:tc>
          <w:tcPr>
            <w:tcW w:w="3955" w:type="dxa"/>
            <w:gridSpan w:val="2"/>
            <w:tcBorders/>
          </w:tcPr>
          <w:p w14:paraId="3C373457">
            <w:pPr>
              <w:pStyle w:val="style0"/>
              <w:rPr>
                <w:rFonts w:ascii="Times New Roman" w:cs="Times New Roman" w:hAnsi="Times New Roman"/>
                <w:szCs w:val="24"/>
              </w:rPr>
            </w:pPr>
            <w:r>
              <w:rPr>
                <w:rFonts w:ascii="Times New Roman" w:cs="Times New Roman" w:hAnsi="Times New Roman"/>
                <w:szCs w:val="24"/>
              </w:rPr>
              <w:t>Tax rates on tertiary education and on corporations both impact very significantly on real GDP positively.</w:t>
            </w:r>
          </w:p>
          <w:p w14:paraId="2CDFB743">
            <w:pPr>
              <w:pStyle w:val="style0"/>
              <w:rPr>
                <w:rFonts w:ascii="Times New Roman" w:cs="Times New Roman" w:hAnsi="Times New Roman"/>
                <w:szCs w:val="24"/>
              </w:rPr>
            </w:pPr>
          </w:p>
        </w:tc>
      </w:tr>
      <w:tr w14:paraId="109BCF12">
        <w:tblPrEx/>
        <w:trPr/>
        <w:tc>
          <w:tcPr>
            <w:tcW w:w="710" w:type="dxa"/>
            <w:gridSpan w:val="2"/>
            <w:tcBorders/>
          </w:tcPr>
          <w:p w14:paraId="446BF700">
            <w:pPr>
              <w:pStyle w:val="style0"/>
              <w:rPr>
                <w:rFonts w:ascii="Times New Roman" w:cs="Times New Roman" w:hAnsi="Times New Roman"/>
                <w:szCs w:val="24"/>
              </w:rPr>
            </w:pPr>
            <w:r>
              <w:rPr>
                <w:rFonts w:ascii="Times New Roman" w:cs="Times New Roman" w:hAnsi="Times New Roman"/>
                <w:szCs w:val="24"/>
              </w:rPr>
              <w:t>23.</w:t>
            </w:r>
          </w:p>
        </w:tc>
        <w:tc>
          <w:tcPr>
            <w:tcW w:w="1535" w:type="dxa"/>
            <w:gridSpan w:val="2"/>
            <w:tcBorders/>
          </w:tcPr>
          <w:p w14:paraId="7CEF8507">
            <w:pPr>
              <w:pStyle w:val="style0"/>
              <w:rPr>
                <w:rFonts w:ascii="Times New Roman" w:cs="Times New Roman" w:hAnsi="Times New Roman"/>
                <w:szCs w:val="24"/>
              </w:rPr>
            </w:pPr>
            <w:r>
              <w:rPr>
                <w:rFonts w:ascii="Times New Roman" w:cs="Times New Roman" w:hAnsi="Times New Roman"/>
                <w:szCs w:val="24"/>
              </w:rPr>
              <w:t>Onwuchekwa</w:t>
            </w:r>
            <w:r>
              <w:rPr>
                <w:rFonts w:ascii="Times New Roman" w:cs="Times New Roman" w:hAnsi="Times New Roman"/>
                <w:szCs w:val="24"/>
              </w:rPr>
              <w:t xml:space="preserve"> (2016)</w:t>
            </w:r>
          </w:p>
          <w:p w14:paraId="0BCF4912">
            <w:pPr>
              <w:pStyle w:val="style0"/>
              <w:rPr>
                <w:rFonts w:ascii="Times New Roman" w:cs="Times New Roman" w:hAnsi="Times New Roman"/>
                <w:szCs w:val="24"/>
              </w:rPr>
            </w:pPr>
          </w:p>
        </w:tc>
        <w:tc>
          <w:tcPr>
            <w:tcW w:w="2790" w:type="dxa"/>
            <w:gridSpan w:val="2"/>
            <w:tcBorders/>
          </w:tcPr>
          <w:p w14:paraId="2A32DDD4">
            <w:pPr>
              <w:pStyle w:val="style0"/>
              <w:rPr>
                <w:rFonts w:ascii="Times New Roman" w:cs="Times New Roman" w:hAnsi="Times New Roman"/>
                <w:szCs w:val="24"/>
              </w:rPr>
            </w:pPr>
            <w:r>
              <w:rPr>
                <w:rFonts w:ascii="Times New Roman" w:cs="Times New Roman" w:hAnsi="Times New Roman"/>
                <w:szCs w:val="24"/>
              </w:rPr>
              <w:t>Influence of TETFUND on Educational Research in Nigeria Universities</w:t>
            </w:r>
          </w:p>
        </w:tc>
        <w:tc>
          <w:tcPr>
            <w:tcW w:w="2340" w:type="dxa"/>
            <w:gridSpan w:val="2"/>
            <w:tcBorders/>
          </w:tcPr>
          <w:p w14:paraId="7C74E0E2">
            <w:pPr>
              <w:pStyle w:val="style0"/>
              <w:rPr>
                <w:rFonts w:ascii="Times New Roman" w:cs="Times New Roman" w:hAnsi="Times New Roman"/>
                <w:szCs w:val="24"/>
              </w:rPr>
            </w:pPr>
            <w:r>
              <w:rPr>
                <w:rFonts w:ascii="Times New Roman" w:cs="Times New Roman" w:hAnsi="Times New Roman"/>
                <w:szCs w:val="24"/>
              </w:rPr>
              <w:t>Descriptive Survey (ANOVA &amp; Minitab)</w:t>
            </w:r>
          </w:p>
        </w:tc>
        <w:tc>
          <w:tcPr>
            <w:tcW w:w="3955" w:type="dxa"/>
            <w:gridSpan w:val="2"/>
            <w:tcBorders/>
          </w:tcPr>
          <w:p w14:paraId="2AE43A42">
            <w:pPr>
              <w:pStyle w:val="style0"/>
              <w:rPr>
                <w:rFonts w:ascii="Times New Roman" w:cs="Times New Roman" w:hAnsi="Times New Roman"/>
                <w:szCs w:val="24"/>
              </w:rPr>
            </w:pPr>
            <w:r>
              <w:rPr>
                <w:rFonts w:ascii="Times New Roman" w:cs="Times New Roman" w:hAnsi="Times New Roman"/>
                <w:szCs w:val="24"/>
              </w:rPr>
              <w:t>In Southeast, TETFUND intervention doesn't strongly affects education research.</w:t>
            </w:r>
          </w:p>
        </w:tc>
      </w:tr>
      <w:tr w14:paraId="3EBCF752">
        <w:tblPrEx/>
        <w:trPr>
          <w:trHeight w:val="567" w:hRule="atLeast"/>
        </w:trPr>
        <w:tc>
          <w:tcPr>
            <w:tcW w:w="710" w:type="dxa"/>
            <w:gridSpan w:val="2"/>
            <w:tcBorders/>
          </w:tcPr>
          <w:p w14:paraId="446397E4">
            <w:pPr>
              <w:pStyle w:val="style0"/>
              <w:rPr>
                <w:rFonts w:ascii="Times New Roman" w:cs="Times New Roman" w:hAnsi="Times New Roman"/>
                <w:szCs w:val="24"/>
              </w:rPr>
            </w:pPr>
            <w:r>
              <w:rPr>
                <w:rFonts w:ascii="Times New Roman" w:cs="Times New Roman" w:hAnsi="Times New Roman"/>
                <w:szCs w:val="24"/>
              </w:rPr>
              <w:t>24.</w:t>
            </w:r>
          </w:p>
        </w:tc>
        <w:tc>
          <w:tcPr>
            <w:tcW w:w="1535" w:type="dxa"/>
            <w:gridSpan w:val="2"/>
            <w:tcBorders/>
          </w:tcPr>
          <w:p w14:paraId="3BC6E211">
            <w:pPr>
              <w:pStyle w:val="style0"/>
              <w:rPr>
                <w:rFonts w:ascii="Times New Roman" w:cs="Times New Roman" w:hAnsi="Times New Roman"/>
                <w:szCs w:val="24"/>
              </w:rPr>
            </w:pPr>
            <w:r>
              <w:rPr>
                <w:rFonts w:ascii="Times New Roman" w:cs="Times New Roman" w:hAnsi="Times New Roman"/>
                <w:szCs w:val="24"/>
              </w:rPr>
              <w:t>Onyeizugbe</w:t>
            </w:r>
            <w:r>
              <w:rPr>
                <w:rFonts w:ascii="Times New Roman" w:cs="Times New Roman" w:hAnsi="Times New Roman"/>
                <w:szCs w:val="24"/>
              </w:rPr>
              <w:t xml:space="preserve"> and </w:t>
            </w:r>
            <w:r>
              <w:rPr>
                <w:rFonts w:ascii="Times New Roman" w:cs="Times New Roman" w:hAnsi="Times New Roman"/>
                <w:szCs w:val="24"/>
              </w:rPr>
              <w:t>Orogbu</w:t>
            </w:r>
            <w:r>
              <w:rPr>
                <w:rFonts w:ascii="Times New Roman" w:cs="Times New Roman" w:hAnsi="Times New Roman"/>
                <w:szCs w:val="24"/>
              </w:rPr>
              <w:t xml:space="preserve"> (2016)</w:t>
            </w:r>
          </w:p>
          <w:p w14:paraId="57DB70A7">
            <w:pPr>
              <w:pStyle w:val="style0"/>
              <w:rPr>
                <w:rFonts w:ascii="Times New Roman" w:cs="Times New Roman" w:hAnsi="Times New Roman"/>
                <w:szCs w:val="24"/>
              </w:rPr>
            </w:pPr>
          </w:p>
        </w:tc>
        <w:tc>
          <w:tcPr>
            <w:tcW w:w="2790" w:type="dxa"/>
            <w:gridSpan w:val="2"/>
            <w:tcBorders/>
          </w:tcPr>
          <w:p w14:paraId="187DA5A4">
            <w:pPr>
              <w:pStyle w:val="style0"/>
              <w:rPr>
                <w:rFonts w:ascii="Times New Roman" w:cs="Times New Roman" w:hAnsi="Times New Roman"/>
                <w:szCs w:val="24"/>
              </w:rPr>
            </w:pPr>
            <w:r>
              <w:rPr>
                <w:rFonts w:ascii="Times New Roman" w:cs="Times New Roman" w:hAnsi="Times New Roman"/>
                <w:szCs w:val="24"/>
              </w:rPr>
              <w:t>TETFUND International Programs and Academic Staff Development of Selected Universities in Southeast Nigeria</w:t>
            </w:r>
          </w:p>
        </w:tc>
        <w:tc>
          <w:tcPr>
            <w:tcW w:w="2340" w:type="dxa"/>
            <w:gridSpan w:val="2"/>
            <w:tcBorders/>
          </w:tcPr>
          <w:p w14:paraId="2748386E">
            <w:pPr>
              <w:pStyle w:val="style0"/>
              <w:rPr>
                <w:rFonts w:ascii="Times New Roman" w:cs="Times New Roman" w:hAnsi="Times New Roman"/>
                <w:szCs w:val="24"/>
              </w:rPr>
            </w:pPr>
            <w:r>
              <w:rPr>
                <w:rFonts w:ascii="Times New Roman" w:cs="Times New Roman" w:hAnsi="Times New Roman"/>
                <w:szCs w:val="24"/>
              </w:rPr>
              <w:t>Survey research design was adopted. Primary data was used and analyzed with correlation coefficient.</w:t>
            </w:r>
          </w:p>
        </w:tc>
        <w:tc>
          <w:tcPr>
            <w:tcW w:w="3955" w:type="dxa"/>
            <w:gridSpan w:val="2"/>
            <w:tcBorders/>
          </w:tcPr>
          <w:p w14:paraId="18A9A21D">
            <w:pPr>
              <w:pStyle w:val="style0"/>
              <w:rPr>
                <w:rFonts w:ascii="Times New Roman" w:cs="Times New Roman" w:hAnsi="Times New Roman"/>
                <w:szCs w:val="24"/>
              </w:rPr>
            </w:pPr>
            <w:r>
              <w:rPr>
                <w:rFonts w:ascii="Times New Roman" w:cs="Times New Roman" w:hAnsi="Times New Roman"/>
                <w:szCs w:val="24"/>
              </w:rPr>
              <w:t xml:space="preserve">There is positive and significant relationship between </w:t>
            </w:r>
            <w:r>
              <w:rPr>
                <w:rFonts w:ascii="Times New Roman" w:cs="Times New Roman" w:hAnsi="Times New Roman"/>
                <w:szCs w:val="24"/>
              </w:rPr>
              <w:t>TETFund’s</w:t>
            </w:r>
            <w:r>
              <w:rPr>
                <w:rFonts w:ascii="Times New Roman" w:cs="Times New Roman" w:hAnsi="Times New Roman"/>
                <w:szCs w:val="24"/>
              </w:rPr>
              <w:t xml:space="preserve"> international training </w:t>
            </w:r>
            <w:r>
              <w:rPr>
                <w:rFonts w:ascii="Times New Roman" w:cs="Times New Roman" w:hAnsi="Times New Roman"/>
                <w:szCs w:val="24"/>
              </w:rPr>
              <w:t>programmes</w:t>
            </w:r>
            <w:r>
              <w:rPr>
                <w:rFonts w:ascii="Times New Roman" w:cs="Times New Roman" w:hAnsi="Times New Roman"/>
                <w:szCs w:val="24"/>
              </w:rPr>
              <w:t xml:space="preserve"> and the development of academic staff of the Universities in Southeast Nigeria.</w:t>
            </w:r>
          </w:p>
        </w:tc>
      </w:tr>
      <w:tr w14:paraId="3A705238">
        <w:tblPrEx/>
        <w:trPr/>
        <w:tc>
          <w:tcPr>
            <w:tcW w:w="710" w:type="dxa"/>
            <w:gridSpan w:val="2"/>
            <w:tcBorders/>
          </w:tcPr>
          <w:p w14:paraId="7268D4E2">
            <w:pPr>
              <w:pStyle w:val="style0"/>
              <w:rPr>
                <w:rFonts w:ascii="Times New Roman" w:cs="Times New Roman" w:hAnsi="Times New Roman"/>
                <w:szCs w:val="24"/>
              </w:rPr>
            </w:pPr>
            <w:r>
              <w:rPr>
                <w:rFonts w:ascii="Times New Roman" w:cs="Times New Roman" w:hAnsi="Times New Roman"/>
                <w:szCs w:val="24"/>
              </w:rPr>
              <w:t>25.</w:t>
            </w:r>
          </w:p>
        </w:tc>
        <w:tc>
          <w:tcPr>
            <w:tcW w:w="1535" w:type="dxa"/>
            <w:gridSpan w:val="2"/>
            <w:tcBorders/>
          </w:tcPr>
          <w:p w14:paraId="3ABBE8F9">
            <w:pPr>
              <w:pStyle w:val="style0"/>
              <w:rPr>
                <w:rFonts w:ascii="Times New Roman" w:cs="Times New Roman" w:hAnsi="Times New Roman"/>
                <w:szCs w:val="24"/>
              </w:rPr>
            </w:pPr>
            <w:r>
              <w:rPr>
                <w:rFonts w:ascii="Times New Roman" w:cs="Times New Roman" w:hAnsi="Times New Roman"/>
                <w:szCs w:val="24"/>
              </w:rPr>
              <w:t>Onyeike</w:t>
            </w:r>
            <w:r>
              <w:rPr>
                <w:rFonts w:ascii="Times New Roman" w:cs="Times New Roman" w:hAnsi="Times New Roman"/>
                <w:szCs w:val="24"/>
              </w:rPr>
              <w:t xml:space="preserve"> and </w:t>
            </w:r>
            <w:r>
              <w:rPr>
                <w:rFonts w:ascii="Times New Roman" w:cs="Times New Roman" w:hAnsi="Times New Roman"/>
                <w:szCs w:val="24"/>
              </w:rPr>
              <w:t>Eseyin</w:t>
            </w:r>
            <w:r>
              <w:rPr>
                <w:rFonts w:ascii="Times New Roman" w:cs="Times New Roman" w:hAnsi="Times New Roman"/>
                <w:szCs w:val="24"/>
              </w:rPr>
              <w:t xml:space="preserve"> (2014)</w:t>
            </w:r>
          </w:p>
        </w:tc>
        <w:tc>
          <w:tcPr>
            <w:tcW w:w="2790" w:type="dxa"/>
            <w:gridSpan w:val="2"/>
            <w:tcBorders/>
          </w:tcPr>
          <w:p w14:paraId="55E5707F">
            <w:pPr>
              <w:pStyle w:val="style0"/>
              <w:rPr>
                <w:rFonts w:ascii="Times New Roman" w:cs="Times New Roman" w:hAnsi="Times New Roman"/>
                <w:szCs w:val="24"/>
              </w:rPr>
            </w:pPr>
            <w:r>
              <w:rPr>
                <w:rFonts w:ascii="Times New Roman" w:cs="Times New Roman" w:hAnsi="Times New Roman"/>
                <w:szCs w:val="24"/>
              </w:rPr>
              <w:t>TETFUND and the management of university education in Nigeria</w:t>
            </w:r>
          </w:p>
        </w:tc>
        <w:tc>
          <w:tcPr>
            <w:tcW w:w="2340" w:type="dxa"/>
            <w:gridSpan w:val="2"/>
            <w:tcBorders/>
          </w:tcPr>
          <w:p w14:paraId="5E19A262">
            <w:pPr>
              <w:pStyle w:val="style0"/>
              <w:rPr>
                <w:rFonts w:ascii="Times New Roman" w:cs="Times New Roman" w:hAnsi="Times New Roman"/>
                <w:szCs w:val="24"/>
              </w:rPr>
            </w:pPr>
            <w:r>
              <w:rPr>
                <w:rFonts w:ascii="Times New Roman" w:cs="Times New Roman" w:hAnsi="Times New Roman"/>
                <w:szCs w:val="24"/>
              </w:rPr>
              <w:t>Theoretical/Qualitative (Management by Objectives theory)</w:t>
            </w:r>
          </w:p>
        </w:tc>
        <w:tc>
          <w:tcPr>
            <w:tcW w:w="3955" w:type="dxa"/>
            <w:gridSpan w:val="2"/>
            <w:tcBorders/>
          </w:tcPr>
          <w:p w14:paraId="1877792C">
            <w:pPr>
              <w:pStyle w:val="style0"/>
              <w:rPr>
                <w:rFonts w:ascii="Times New Roman" w:cs="Times New Roman" w:hAnsi="Times New Roman"/>
                <w:szCs w:val="24"/>
              </w:rPr>
            </w:pPr>
            <w:r>
              <w:rPr>
                <w:rFonts w:ascii="Times New Roman" w:cs="Times New Roman" w:hAnsi="Times New Roman"/>
                <w:szCs w:val="24"/>
              </w:rPr>
              <w:t xml:space="preserve">TETFUND, if properly </w:t>
            </w:r>
            <w:r>
              <w:rPr>
                <w:rFonts w:ascii="Times New Roman" w:cs="Times New Roman" w:hAnsi="Times New Roman"/>
                <w:szCs w:val="24"/>
              </w:rPr>
              <w:t>co-ordinated</w:t>
            </w:r>
            <w:r>
              <w:rPr>
                <w:rFonts w:ascii="Times New Roman" w:cs="Times New Roman" w:hAnsi="Times New Roman"/>
                <w:szCs w:val="24"/>
              </w:rPr>
              <w:t xml:space="preserve"> can help improve the quality structure of the university education in Nigeria.</w:t>
            </w:r>
          </w:p>
        </w:tc>
      </w:tr>
      <w:tr w14:paraId="757CB6C8">
        <w:tblPrEx/>
        <w:trPr/>
        <w:tc>
          <w:tcPr>
            <w:tcW w:w="710" w:type="dxa"/>
            <w:gridSpan w:val="2"/>
            <w:tcBorders/>
          </w:tcPr>
          <w:p w14:paraId="020F01E5">
            <w:pPr>
              <w:pStyle w:val="style0"/>
              <w:rPr>
                <w:rFonts w:ascii="Times New Roman" w:cs="Times New Roman" w:hAnsi="Times New Roman"/>
                <w:szCs w:val="24"/>
              </w:rPr>
            </w:pPr>
            <w:r>
              <w:rPr>
                <w:rFonts w:ascii="Times New Roman" w:cs="Times New Roman" w:hAnsi="Times New Roman"/>
                <w:szCs w:val="24"/>
              </w:rPr>
              <w:t>26.</w:t>
            </w:r>
          </w:p>
        </w:tc>
        <w:tc>
          <w:tcPr>
            <w:tcW w:w="1535" w:type="dxa"/>
            <w:gridSpan w:val="2"/>
            <w:tcBorders/>
          </w:tcPr>
          <w:p w14:paraId="14C84F9D">
            <w:pPr>
              <w:pStyle w:val="style0"/>
              <w:rPr>
                <w:rFonts w:ascii="Times New Roman" w:cs="Times New Roman" w:hAnsi="Times New Roman"/>
                <w:szCs w:val="24"/>
              </w:rPr>
            </w:pPr>
            <w:r>
              <w:rPr>
                <w:rFonts w:ascii="Times New Roman" w:cs="Times New Roman" w:hAnsi="Times New Roman"/>
                <w:szCs w:val="24"/>
              </w:rPr>
              <w:t>Oriakhi</w:t>
            </w:r>
            <w:r>
              <w:rPr>
                <w:rFonts w:ascii="Times New Roman" w:cs="Times New Roman" w:hAnsi="Times New Roman"/>
                <w:szCs w:val="24"/>
              </w:rPr>
              <w:t xml:space="preserve"> and </w:t>
            </w:r>
            <w:r>
              <w:rPr>
                <w:rFonts w:ascii="Times New Roman" w:cs="Times New Roman" w:hAnsi="Times New Roman"/>
                <w:szCs w:val="24"/>
              </w:rPr>
              <w:t>Ameh</w:t>
            </w:r>
            <w:r>
              <w:rPr>
                <w:rFonts w:ascii="Times New Roman" w:cs="Times New Roman" w:hAnsi="Times New Roman"/>
                <w:szCs w:val="24"/>
              </w:rPr>
              <w:t xml:space="preserve"> (2014)</w:t>
            </w:r>
          </w:p>
        </w:tc>
        <w:tc>
          <w:tcPr>
            <w:tcW w:w="2790" w:type="dxa"/>
            <w:gridSpan w:val="2"/>
            <w:tcBorders/>
          </w:tcPr>
          <w:p w14:paraId="63A2EDF6">
            <w:pPr>
              <w:pStyle w:val="style0"/>
              <w:rPr>
                <w:rFonts w:ascii="Times New Roman" w:cs="Times New Roman" w:hAnsi="Times New Roman"/>
                <w:szCs w:val="24"/>
              </w:rPr>
            </w:pPr>
            <w:r>
              <w:rPr>
                <w:rFonts w:ascii="Times New Roman" w:cs="Times New Roman" w:hAnsi="Times New Roman"/>
                <w:szCs w:val="24"/>
              </w:rPr>
              <w:t>Government expenditure and the development of the education sector in Nigeria: An evaluation</w:t>
            </w:r>
          </w:p>
          <w:p w14:paraId="7C8FE27C">
            <w:pPr>
              <w:pStyle w:val="style0"/>
              <w:rPr>
                <w:rFonts w:ascii="Times New Roman" w:cs="Times New Roman" w:hAnsi="Times New Roman"/>
                <w:szCs w:val="24"/>
              </w:rPr>
            </w:pPr>
          </w:p>
        </w:tc>
        <w:tc>
          <w:tcPr>
            <w:tcW w:w="2340" w:type="dxa"/>
            <w:gridSpan w:val="2"/>
            <w:tcBorders/>
          </w:tcPr>
          <w:p w14:paraId="36F0B35F">
            <w:pPr>
              <w:pStyle w:val="style0"/>
              <w:rPr>
                <w:rFonts w:ascii="Times New Roman" w:cs="Times New Roman" w:hAnsi="Times New Roman"/>
                <w:szCs w:val="24"/>
              </w:rPr>
            </w:pPr>
            <w:r>
              <w:rPr>
                <w:rFonts w:ascii="Times New Roman" w:cs="Times New Roman" w:hAnsi="Times New Roman"/>
                <w:szCs w:val="24"/>
              </w:rPr>
              <w:t>Time series Linear forecasting model</w:t>
            </w:r>
          </w:p>
          <w:p w14:paraId="4B1E14F5">
            <w:pPr>
              <w:pStyle w:val="style0"/>
              <w:rPr>
                <w:rFonts w:ascii="Times New Roman" w:cs="Times New Roman" w:hAnsi="Times New Roman"/>
                <w:szCs w:val="24"/>
              </w:rPr>
            </w:pPr>
          </w:p>
        </w:tc>
        <w:tc>
          <w:tcPr>
            <w:tcW w:w="3955" w:type="dxa"/>
            <w:gridSpan w:val="2"/>
            <w:tcBorders/>
          </w:tcPr>
          <w:p w14:paraId="5C16E5DA">
            <w:pPr>
              <w:pStyle w:val="style0"/>
              <w:rPr>
                <w:rFonts w:ascii="Times New Roman" w:cs="Times New Roman" w:hAnsi="Times New Roman"/>
                <w:szCs w:val="24"/>
              </w:rPr>
            </w:pPr>
            <w:r>
              <w:rPr>
                <w:rFonts w:ascii="Times New Roman" w:cs="Times New Roman" w:hAnsi="Times New Roman"/>
                <w:szCs w:val="24"/>
              </w:rPr>
              <w:t>Upon successful implementation of policy measure of improved funding, teacher’s motivational ability and improved teachers ‘strategic planning, the sector would improve appreciably.</w:t>
            </w:r>
          </w:p>
        </w:tc>
      </w:tr>
      <w:tr w14:paraId="62F17473">
        <w:tblPrEx/>
        <w:trPr/>
        <w:tc>
          <w:tcPr>
            <w:tcW w:w="710" w:type="dxa"/>
            <w:gridSpan w:val="2"/>
            <w:tcBorders/>
          </w:tcPr>
          <w:p w14:paraId="4C7D07A6">
            <w:pPr>
              <w:pStyle w:val="style0"/>
              <w:rPr>
                <w:rFonts w:ascii="Times New Roman" w:cs="Times New Roman" w:hAnsi="Times New Roman"/>
                <w:szCs w:val="24"/>
              </w:rPr>
            </w:pPr>
            <w:r>
              <w:rPr>
                <w:rFonts w:ascii="Times New Roman" w:cs="Times New Roman" w:hAnsi="Times New Roman"/>
                <w:szCs w:val="24"/>
              </w:rPr>
              <w:t>27.</w:t>
            </w:r>
          </w:p>
        </w:tc>
        <w:tc>
          <w:tcPr>
            <w:tcW w:w="1535" w:type="dxa"/>
            <w:gridSpan w:val="2"/>
            <w:tcBorders/>
          </w:tcPr>
          <w:p w14:paraId="739B41D8">
            <w:pPr>
              <w:pStyle w:val="style0"/>
              <w:rPr>
                <w:rFonts w:ascii="Times New Roman" w:cs="Times New Roman" w:hAnsi="Times New Roman"/>
                <w:szCs w:val="24"/>
              </w:rPr>
            </w:pPr>
            <w:r>
              <w:rPr>
                <w:rFonts w:ascii="Times New Roman" w:cs="Times New Roman" w:hAnsi="Times New Roman"/>
                <w:szCs w:val="24"/>
              </w:rPr>
              <w:t>Udu</w:t>
            </w:r>
            <w:r>
              <w:rPr>
                <w:rFonts w:ascii="Times New Roman" w:cs="Times New Roman" w:hAnsi="Times New Roman"/>
                <w:szCs w:val="24"/>
              </w:rPr>
              <w:t xml:space="preserve"> and </w:t>
            </w:r>
            <w:r>
              <w:rPr>
                <w:rFonts w:ascii="Times New Roman" w:cs="Times New Roman" w:hAnsi="Times New Roman"/>
                <w:szCs w:val="24"/>
              </w:rPr>
              <w:t>Nkwede</w:t>
            </w:r>
            <w:r>
              <w:rPr>
                <w:rFonts w:ascii="Times New Roman" w:cs="Times New Roman" w:hAnsi="Times New Roman"/>
                <w:szCs w:val="24"/>
              </w:rPr>
              <w:t xml:space="preserve"> (2014)</w:t>
            </w:r>
          </w:p>
        </w:tc>
        <w:tc>
          <w:tcPr>
            <w:tcW w:w="2790" w:type="dxa"/>
            <w:gridSpan w:val="2"/>
            <w:tcBorders/>
          </w:tcPr>
          <w:p w14:paraId="2639F3CE">
            <w:pPr>
              <w:pStyle w:val="style0"/>
              <w:rPr>
                <w:rFonts w:ascii="Times New Roman" w:cs="Times New Roman" w:hAnsi="Times New Roman"/>
                <w:szCs w:val="24"/>
              </w:rPr>
            </w:pPr>
            <w:r>
              <w:rPr>
                <w:rFonts w:ascii="Times New Roman" w:cs="Times New Roman" w:hAnsi="Times New Roman"/>
                <w:szCs w:val="24"/>
              </w:rPr>
              <w:t xml:space="preserve">Tertiary education trust fund interventions and sustainable development in Nigerian universities: Evidence from EBSU </w:t>
            </w:r>
            <w:r>
              <w:rPr>
                <w:rFonts w:ascii="Times New Roman" w:cs="Times New Roman" w:hAnsi="Times New Roman"/>
                <w:szCs w:val="24"/>
              </w:rPr>
              <w:t>Abakaliki</w:t>
            </w:r>
          </w:p>
        </w:tc>
        <w:tc>
          <w:tcPr>
            <w:tcW w:w="2340" w:type="dxa"/>
            <w:gridSpan w:val="2"/>
            <w:tcBorders/>
          </w:tcPr>
          <w:p w14:paraId="184AF4E3">
            <w:pPr>
              <w:pStyle w:val="style0"/>
              <w:rPr>
                <w:rFonts w:ascii="Times New Roman" w:cs="Times New Roman" w:hAnsi="Times New Roman"/>
                <w:szCs w:val="24"/>
              </w:rPr>
            </w:pPr>
            <w:r>
              <w:rPr>
                <w:rFonts w:ascii="Times New Roman" w:cs="Times New Roman" w:hAnsi="Times New Roman"/>
                <w:szCs w:val="24"/>
              </w:rPr>
              <w:t>Content analytical approach and public goods theory</w:t>
            </w:r>
          </w:p>
        </w:tc>
        <w:tc>
          <w:tcPr>
            <w:tcW w:w="3955" w:type="dxa"/>
            <w:gridSpan w:val="2"/>
            <w:tcBorders/>
          </w:tcPr>
          <w:p w14:paraId="0EA17425">
            <w:pPr>
              <w:pStyle w:val="style0"/>
              <w:rPr>
                <w:rFonts w:ascii="Times New Roman" w:cs="Times New Roman" w:hAnsi="Times New Roman"/>
                <w:szCs w:val="24"/>
              </w:rPr>
            </w:pPr>
            <w:r>
              <w:rPr>
                <w:rFonts w:ascii="Times New Roman" w:cs="Times New Roman" w:hAnsi="Times New Roman"/>
                <w:szCs w:val="24"/>
              </w:rPr>
              <w:t>In Nigerian Universities and precisely in EBSU the impact of TETFUND interventions has enhanced both its infrastructure as well as the human resource development of the institution.</w:t>
            </w:r>
          </w:p>
        </w:tc>
      </w:tr>
      <w:tr w14:paraId="5ABBD194">
        <w:tblPrEx/>
        <w:trPr/>
        <w:tc>
          <w:tcPr>
            <w:tcW w:w="710" w:type="dxa"/>
            <w:gridSpan w:val="2"/>
            <w:tcBorders/>
          </w:tcPr>
          <w:p w14:paraId="640D44C7">
            <w:pPr>
              <w:pStyle w:val="style0"/>
              <w:rPr>
                <w:rFonts w:ascii="Times New Roman" w:cs="Times New Roman" w:hAnsi="Times New Roman"/>
                <w:szCs w:val="24"/>
              </w:rPr>
            </w:pPr>
            <w:r>
              <w:rPr>
                <w:rFonts w:ascii="Times New Roman" w:cs="Times New Roman" w:hAnsi="Times New Roman"/>
                <w:szCs w:val="24"/>
              </w:rPr>
              <w:t>28.</w:t>
            </w:r>
          </w:p>
        </w:tc>
        <w:tc>
          <w:tcPr>
            <w:tcW w:w="1535" w:type="dxa"/>
            <w:gridSpan w:val="2"/>
            <w:tcBorders/>
          </w:tcPr>
          <w:p w14:paraId="6C1480CC">
            <w:pPr>
              <w:pStyle w:val="style0"/>
              <w:rPr>
                <w:rFonts w:ascii="Times New Roman" w:cs="Times New Roman" w:hAnsi="Times New Roman"/>
                <w:szCs w:val="24"/>
              </w:rPr>
            </w:pPr>
            <w:r>
              <w:rPr>
                <w:rFonts w:ascii="Times New Roman" w:cs="Times New Roman" w:hAnsi="Times New Roman"/>
                <w:szCs w:val="24"/>
              </w:rPr>
              <w:t>Ugwuanyi</w:t>
            </w:r>
            <w:r>
              <w:rPr>
                <w:rFonts w:ascii="Times New Roman" w:cs="Times New Roman" w:hAnsi="Times New Roman"/>
                <w:szCs w:val="24"/>
              </w:rPr>
              <w:t xml:space="preserve"> (2014)</w:t>
            </w:r>
          </w:p>
          <w:p w14:paraId="699E11A3">
            <w:pPr>
              <w:pStyle w:val="style0"/>
              <w:rPr>
                <w:rFonts w:ascii="Times New Roman" w:cs="Times New Roman" w:hAnsi="Times New Roman"/>
                <w:szCs w:val="24"/>
              </w:rPr>
            </w:pPr>
          </w:p>
        </w:tc>
        <w:tc>
          <w:tcPr>
            <w:tcW w:w="2790" w:type="dxa"/>
            <w:gridSpan w:val="2"/>
            <w:tcBorders/>
          </w:tcPr>
          <w:p w14:paraId="70177A0C">
            <w:pPr>
              <w:pStyle w:val="style0"/>
              <w:rPr>
                <w:rFonts w:ascii="Times New Roman" w:cs="Times New Roman" w:hAnsi="Times New Roman"/>
                <w:szCs w:val="24"/>
              </w:rPr>
            </w:pPr>
            <w:r>
              <w:rPr>
                <w:rFonts w:ascii="Times New Roman" w:cs="Times New Roman" w:hAnsi="Times New Roman"/>
                <w:szCs w:val="24"/>
              </w:rPr>
              <w:t>Taxation and Tertiary Education Enhancement in Nigeria: (An Evaluation of ETF Between 1999-2010)</w:t>
            </w:r>
          </w:p>
          <w:p w14:paraId="4FB20469">
            <w:pPr>
              <w:pStyle w:val="style0"/>
              <w:rPr>
                <w:rFonts w:ascii="Times New Roman" w:cs="Times New Roman" w:hAnsi="Times New Roman"/>
                <w:szCs w:val="24"/>
              </w:rPr>
            </w:pPr>
          </w:p>
        </w:tc>
        <w:tc>
          <w:tcPr>
            <w:tcW w:w="2340" w:type="dxa"/>
            <w:gridSpan w:val="2"/>
            <w:tcBorders/>
          </w:tcPr>
          <w:p w14:paraId="7B601944">
            <w:pPr>
              <w:pStyle w:val="style0"/>
              <w:rPr>
                <w:rFonts w:ascii="Times New Roman" w:cs="Times New Roman" w:hAnsi="Times New Roman"/>
                <w:szCs w:val="24"/>
              </w:rPr>
            </w:pPr>
            <w:r>
              <w:rPr>
                <w:rFonts w:ascii="Times New Roman" w:cs="Times New Roman" w:hAnsi="Times New Roman"/>
                <w:szCs w:val="24"/>
              </w:rPr>
              <w:t>Appraisal of ETF operational publications</w:t>
            </w:r>
          </w:p>
        </w:tc>
        <w:tc>
          <w:tcPr>
            <w:tcW w:w="3955" w:type="dxa"/>
            <w:gridSpan w:val="2"/>
            <w:tcBorders/>
          </w:tcPr>
          <w:p w14:paraId="30B63FD6">
            <w:pPr>
              <w:pStyle w:val="style0"/>
              <w:rPr>
                <w:rFonts w:ascii="Times New Roman" w:cs="Times New Roman" w:hAnsi="Times New Roman"/>
                <w:szCs w:val="24"/>
              </w:rPr>
            </w:pPr>
            <w:r>
              <w:rPr>
                <w:rFonts w:ascii="Times New Roman" w:cs="Times New Roman" w:hAnsi="Times New Roman"/>
                <w:szCs w:val="24"/>
              </w:rPr>
              <w:t>ETF profoundly impacted and enhanced the quality of education in Nigeria through construction of intervention projects and as well created improved condition in teaching and learning environment for both lecturers and students.</w:t>
            </w:r>
          </w:p>
        </w:tc>
      </w:tr>
      <w:tr w14:paraId="6ECD6A51">
        <w:tblPrEx/>
        <w:trPr/>
        <w:tc>
          <w:tcPr>
            <w:tcW w:w="710" w:type="dxa"/>
            <w:gridSpan w:val="2"/>
            <w:tcBorders/>
          </w:tcPr>
          <w:p w14:paraId="7263F6A0">
            <w:pPr>
              <w:pStyle w:val="style0"/>
              <w:rPr>
                <w:rFonts w:ascii="Times New Roman" w:cs="Times New Roman" w:hAnsi="Times New Roman"/>
                <w:szCs w:val="24"/>
              </w:rPr>
            </w:pPr>
            <w:r>
              <w:rPr>
                <w:rFonts w:ascii="Times New Roman" w:cs="Times New Roman" w:hAnsi="Times New Roman"/>
                <w:szCs w:val="24"/>
              </w:rPr>
              <w:t>29.</w:t>
            </w:r>
          </w:p>
        </w:tc>
        <w:tc>
          <w:tcPr>
            <w:tcW w:w="1535" w:type="dxa"/>
            <w:gridSpan w:val="2"/>
            <w:tcBorders/>
          </w:tcPr>
          <w:p w14:paraId="7FF94C7C">
            <w:pPr>
              <w:pStyle w:val="style0"/>
              <w:rPr>
                <w:rFonts w:ascii="Times New Roman" w:cs="Times New Roman" w:hAnsi="Times New Roman"/>
                <w:szCs w:val="24"/>
              </w:rPr>
            </w:pPr>
            <w:r>
              <w:rPr>
                <w:rFonts w:ascii="Times New Roman" w:cs="Times New Roman" w:hAnsi="Times New Roman"/>
                <w:szCs w:val="24"/>
              </w:rPr>
              <w:t>Urhie</w:t>
            </w:r>
            <w:r>
              <w:rPr>
                <w:rFonts w:ascii="Times New Roman" w:cs="Times New Roman" w:hAnsi="Times New Roman"/>
                <w:szCs w:val="24"/>
              </w:rPr>
              <w:t xml:space="preserve"> (2014)</w:t>
            </w:r>
          </w:p>
        </w:tc>
        <w:tc>
          <w:tcPr>
            <w:tcW w:w="2790" w:type="dxa"/>
            <w:gridSpan w:val="2"/>
            <w:tcBorders/>
          </w:tcPr>
          <w:p w14:paraId="19F834B3">
            <w:pPr>
              <w:pStyle w:val="style0"/>
              <w:rPr>
                <w:rFonts w:ascii="Times New Roman" w:cs="Times New Roman" w:hAnsi="Times New Roman"/>
                <w:szCs w:val="24"/>
              </w:rPr>
            </w:pPr>
            <w:r>
              <w:rPr>
                <w:rFonts w:ascii="Times New Roman" w:cs="Times New Roman" w:hAnsi="Times New Roman"/>
                <w:szCs w:val="24"/>
              </w:rPr>
              <w:t>Public Education Expenditure and Economic Growth in Nigeria: A Disaggregated Approach.</w:t>
            </w:r>
          </w:p>
          <w:p w14:paraId="620A700C">
            <w:pPr>
              <w:pStyle w:val="style0"/>
              <w:rPr>
                <w:rFonts w:ascii="Times New Roman" w:cs="Times New Roman" w:hAnsi="Times New Roman"/>
                <w:szCs w:val="24"/>
              </w:rPr>
            </w:pPr>
          </w:p>
        </w:tc>
        <w:tc>
          <w:tcPr>
            <w:tcW w:w="2340" w:type="dxa"/>
            <w:gridSpan w:val="2"/>
            <w:tcBorders/>
          </w:tcPr>
          <w:p w14:paraId="45795EF7">
            <w:pPr>
              <w:pStyle w:val="style0"/>
              <w:rPr>
                <w:rFonts w:ascii="Times New Roman" w:cs="Times New Roman" w:hAnsi="Times New Roman"/>
                <w:szCs w:val="24"/>
              </w:rPr>
            </w:pPr>
            <w:r>
              <w:rPr>
                <w:rFonts w:ascii="Times New Roman" w:cs="Times New Roman" w:hAnsi="Times New Roman"/>
                <w:szCs w:val="24"/>
              </w:rPr>
              <w:t>The Instrumental Variable Two Stage Least Squares estimation technique</w:t>
            </w:r>
          </w:p>
          <w:p w14:paraId="5C3D0511">
            <w:pPr>
              <w:pStyle w:val="style0"/>
              <w:rPr>
                <w:rFonts w:ascii="Times New Roman" w:cs="Times New Roman" w:hAnsi="Times New Roman"/>
                <w:szCs w:val="24"/>
              </w:rPr>
            </w:pPr>
          </w:p>
        </w:tc>
        <w:tc>
          <w:tcPr>
            <w:tcW w:w="3955" w:type="dxa"/>
            <w:gridSpan w:val="2"/>
            <w:tcBorders/>
          </w:tcPr>
          <w:p w14:paraId="2BF84720">
            <w:pPr>
              <w:pStyle w:val="style0"/>
              <w:rPr>
                <w:rFonts w:ascii="Times New Roman" w:cs="Times New Roman" w:hAnsi="Times New Roman"/>
                <w:szCs w:val="24"/>
              </w:rPr>
            </w:pPr>
            <w:r>
              <w:rPr>
                <w:rFonts w:ascii="Times New Roman" w:cs="Times New Roman" w:hAnsi="Times New Roman"/>
                <w:szCs w:val="24"/>
              </w:rPr>
              <w:t>Public expenditure on education contributes indirectly and directly to economic growth, of which the indirect channel, plays a crucial role for the economic growth of the Nigerian country.</w:t>
            </w:r>
          </w:p>
        </w:tc>
      </w:tr>
      <w:tr w14:paraId="15F9BC7A">
        <w:tblPrEx/>
        <w:trPr>
          <w:trHeight w:val="1080" w:hRule="atLeast"/>
        </w:trPr>
        <w:tc>
          <w:tcPr>
            <w:tcW w:w="710" w:type="dxa"/>
            <w:gridSpan w:val="2"/>
            <w:tcBorders/>
          </w:tcPr>
          <w:p w14:paraId="5974A181">
            <w:pPr>
              <w:pStyle w:val="style0"/>
              <w:rPr>
                <w:rFonts w:ascii="Times New Roman" w:cs="Times New Roman" w:hAnsi="Times New Roman"/>
                <w:szCs w:val="24"/>
              </w:rPr>
            </w:pPr>
            <w:r>
              <w:rPr>
                <w:rFonts w:ascii="Times New Roman" w:cs="Times New Roman" w:hAnsi="Times New Roman"/>
                <w:szCs w:val="24"/>
              </w:rPr>
              <w:t>30.</w:t>
            </w:r>
          </w:p>
        </w:tc>
        <w:tc>
          <w:tcPr>
            <w:tcW w:w="1535" w:type="dxa"/>
            <w:gridSpan w:val="2"/>
            <w:tcBorders/>
          </w:tcPr>
          <w:p w14:paraId="6A64CA45">
            <w:pPr>
              <w:pStyle w:val="style0"/>
              <w:rPr>
                <w:rFonts w:ascii="Times New Roman" w:cs="Times New Roman" w:hAnsi="Times New Roman"/>
                <w:szCs w:val="24"/>
              </w:rPr>
            </w:pPr>
            <w:r>
              <w:rPr>
                <w:rFonts w:ascii="Times New Roman" w:cs="Times New Roman" w:hAnsi="Times New Roman"/>
                <w:szCs w:val="24"/>
              </w:rPr>
              <w:t>Maitra</w:t>
            </w:r>
            <w:r>
              <w:rPr>
                <w:rFonts w:ascii="Times New Roman" w:cs="Times New Roman" w:hAnsi="Times New Roman"/>
                <w:szCs w:val="24"/>
              </w:rPr>
              <w:t xml:space="preserve"> and </w:t>
            </w:r>
            <w:r>
              <w:rPr>
                <w:rFonts w:ascii="Times New Roman" w:cs="Times New Roman" w:hAnsi="Times New Roman"/>
                <w:szCs w:val="24"/>
              </w:rPr>
              <w:t>Mukhopadhyay</w:t>
            </w:r>
            <w:r>
              <w:rPr>
                <w:rFonts w:ascii="Times New Roman" w:cs="Times New Roman" w:hAnsi="Times New Roman"/>
                <w:szCs w:val="24"/>
              </w:rPr>
              <w:t xml:space="preserve"> (2012)</w:t>
            </w:r>
          </w:p>
          <w:p w14:paraId="37B0B54C">
            <w:pPr>
              <w:pStyle w:val="style0"/>
              <w:rPr>
                <w:rFonts w:ascii="Times New Roman" w:cs="Times New Roman" w:hAnsi="Times New Roman"/>
                <w:szCs w:val="24"/>
              </w:rPr>
            </w:pPr>
          </w:p>
        </w:tc>
        <w:tc>
          <w:tcPr>
            <w:tcW w:w="2790" w:type="dxa"/>
            <w:gridSpan w:val="2"/>
            <w:tcBorders/>
          </w:tcPr>
          <w:p w14:paraId="11280498">
            <w:pPr>
              <w:pStyle w:val="style0"/>
              <w:rPr>
                <w:rFonts w:ascii="Times New Roman" w:cs="Times New Roman" w:hAnsi="Times New Roman"/>
                <w:szCs w:val="24"/>
              </w:rPr>
            </w:pPr>
            <w:r>
              <w:rPr>
                <w:rFonts w:ascii="Times New Roman" w:cs="Times New Roman" w:hAnsi="Times New Roman"/>
                <w:szCs w:val="24"/>
              </w:rPr>
              <w:t>Public spending on Education, Health care and Economic Growth in Selected Countries of Asia and the Pacific</w:t>
            </w:r>
          </w:p>
        </w:tc>
        <w:tc>
          <w:tcPr>
            <w:tcW w:w="2340" w:type="dxa"/>
            <w:gridSpan w:val="2"/>
            <w:tcBorders/>
          </w:tcPr>
          <w:p w14:paraId="474508D8">
            <w:pPr>
              <w:pStyle w:val="style0"/>
              <w:rPr>
                <w:rFonts w:ascii="Times New Roman" w:cs="Times New Roman" w:hAnsi="Times New Roman"/>
                <w:szCs w:val="24"/>
              </w:rPr>
            </w:pPr>
            <w:r>
              <w:rPr>
                <w:rFonts w:ascii="Times New Roman" w:cs="Times New Roman" w:hAnsi="Times New Roman"/>
                <w:szCs w:val="24"/>
              </w:rPr>
              <w:t>Johansen Co-integration &amp; Causal Testing</w:t>
            </w:r>
          </w:p>
        </w:tc>
        <w:tc>
          <w:tcPr>
            <w:tcW w:w="3955" w:type="dxa"/>
            <w:gridSpan w:val="2"/>
            <w:tcBorders/>
          </w:tcPr>
          <w:p w14:paraId="3E712734">
            <w:pPr>
              <w:pStyle w:val="style0"/>
              <w:rPr>
                <w:rFonts w:ascii="Times New Roman" w:cs="Times New Roman" w:hAnsi="Times New Roman"/>
                <w:szCs w:val="24"/>
              </w:rPr>
            </w:pPr>
            <w:r>
              <w:rPr>
                <w:rFonts w:ascii="Times New Roman" w:cs="Times New Roman" w:hAnsi="Times New Roman"/>
                <w:szCs w:val="24"/>
              </w:rPr>
              <w:t>Government education expenditure stimulated output in many developing countries like Bangladesh and Singapore while the impact was negative in the Philippines.</w:t>
            </w:r>
          </w:p>
        </w:tc>
      </w:tr>
    </w:tbl>
    <w:p w14:paraId="28C04BD8">
      <w:pPr>
        <w:pStyle w:val="style0"/>
        <w:rPr>
          <w:rFonts w:ascii="Times New Roman" w:cs="Times New Roman" w:hAnsi="Times New Roman"/>
          <w:sz w:val="24"/>
          <w:szCs w:val="24"/>
        </w:rPr>
      </w:pPr>
    </w:p>
    <w:p w14:paraId="72C462E1">
      <w:pPr>
        <w:pStyle w:val="style0"/>
        <w:rPr>
          <w:rFonts w:ascii="Times New Roman" w:cs="Times New Roman" w:hAnsi="Times New Roman"/>
          <w:sz w:val="24"/>
          <w:szCs w:val="24"/>
        </w:rPr>
      </w:pPr>
    </w:p>
    <w:p w14:paraId="73123B02">
      <w:pPr>
        <w:pStyle w:val="style0"/>
        <w:rPr>
          <w:rFonts w:ascii="Times New Roman" w:cs="Times New Roman" w:hAnsi="Times New Roman"/>
          <w:sz w:val="24"/>
          <w:szCs w:val="24"/>
        </w:rPr>
      </w:pPr>
    </w:p>
    <w:p w14:paraId="1D6EC3E0">
      <w:pPr>
        <w:pStyle w:val="style0"/>
        <w:rPr>
          <w:rFonts w:ascii="Times New Roman" w:cs="Times New Roman" w:hAnsi="Times New Roman"/>
          <w:sz w:val="24"/>
          <w:szCs w:val="24"/>
        </w:rPr>
      </w:pPr>
    </w:p>
    <w:p w14:paraId="3D5D1D80">
      <w:pPr>
        <w:pStyle w:val="style0"/>
        <w:rPr>
          <w:rFonts w:ascii="Times New Roman" w:cs="Times New Roman" w:hAnsi="Times New Roman"/>
          <w:sz w:val="24"/>
          <w:szCs w:val="24"/>
        </w:rPr>
      </w:pPr>
    </w:p>
    <w:p w14:paraId="742A67CB">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2.4 Summary and Gap in Literature</w:t>
      </w:r>
    </w:p>
    <w:p w14:paraId="19DCDE2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There are numerous works on effects of education tax on economic growth of Nigeria according to the reviewed literature. The gap identified here is the lack of sufficient research that considers the latest change in education tax rate from 2.5% to 3% for the Nigerian economy in 2023. Additionally, most existing studies focus on only RGDP as a measure of economic growth. Thus far, no research has simultaneously examined the effect of education tax on the three economic growth indicators: RGDP, GNI, and HCD. Consequently, this research aims to present a recent analysis of the consequences of these recent fiscal adjustments on the Nigerian economy.</w:t>
      </w:r>
    </w:p>
    <w:p w14:paraId="4942ED9C">
      <w:pPr>
        <w:pStyle w:val="style0"/>
        <w:spacing w:after="0" w:lineRule="auto" w:line="480"/>
        <w:jc w:val="both"/>
        <w:rPr>
          <w:rFonts w:ascii="Times New Roman" w:cs="Times New Roman" w:hAnsi="Times New Roman"/>
          <w:b/>
          <w:bCs/>
          <w:sz w:val="24"/>
          <w:szCs w:val="24"/>
        </w:rPr>
      </w:pPr>
    </w:p>
    <w:p w14:paraId="27A24E0B">
      <w:pPr>
        <w:pStyle w:val="style0"/>
        <w:spacing w:after="0" w:lineRule="auto" w:line="480"/>
        <w:jc w:val="both"/>
        <w:rPr>
          <w:rFonts w:ascii="Times New Roman" w:cs="Times New Roman" w:hAnsi="Times New Roman"/>
          <w:b/>
          <w:bCs/>
          <w:sz w:val="24"/>
          <w:szCs w:val="24"/>
        </w:rPr>
      </w:pPr>
    </w:p>
    <w:p w14:paraId="1898C3B5">
      <w:pPr>
        <w:pStyle w:val="style0"/>
        <w:spacing w:after="0" w:lineRule="auto" w:line="480"/>
        <w:jc w:val="both"/>
        <w:rPr>
          <w:rFonts w:ascii="Times New Roman" w:cs="Times New Roman" w:hAnsi="Times New Roman"/>
          <w:b/>
          <w:bCs/>
          <w:sz w:val="24"/>
          <w:szCs w:val="24"/>
        </w:rPr>
      </w:pPr>
    </w:p>
    <w:p w14:paraId="3798A3B6">
      <w:pPr>
        <w:pStyle w:val="style0"/>
        <w:spacing w:after="0" w:lineRule="auto" w:line="480"/>
        <w:jc w:val="both"/>
        <w:rPr>
          <w:rFonts w:ascii="Times New Roman" w:cs="Times New Roman" w:hAnsi="Times New Roman"/>
          <w:b/>
          <w:bCs/>
          <w:sz w:val="24"/>
          <w:szCs w:val="24"/>
        </w:rPr>
      </w:pPr>
    </w:p>
    <w:p w14:paraId="75CD565B">
      <w:pPr>
        <w:pStyle w:val="style0"/>
        <w:spacing w:after="0" w:lineRule="auto" w:line="480"/>
        <w:jc w:val="both"/>
        <w:rPr>
          <w:rFonts w:ascii="Times New Roman" w:cs="Times New Roman" w:hAnsi="Times New Roman"/>
          <w:b/>
          <w:bCs/>
          <w:sz w:val="24"/>
          <w:szCs w:val="24"/>
        </w:rPr>
      </w:pPr>
    </w:p>
    <w:p w14:paraId="6176C7B5">
      <w:pPr>
        <w:pStyle w:val="style0"/>
        <w:spacing w:after="0" w:lineRule="auto" w:line="480"/>
        <w:jc w:val="both"/>
        <w:rPr>
          <w:rFonts w:ascii="Times New Roman" w:cs="Times New Roman" w:hAnsi="Times New Roman"/>
          <w:b/>
          <w:bCs/>
          <w:sz w:val="24"/>
          <w:szCs w:val="24"/>
        </w:rPr>
      </w:pPr>
    </w:p>
    <w:p w14:paraId="24D86543">
      <w:pPr>
        <w:pStyle w:val="style0"/>
        <w:spacing w:after="0" w:lineRule="auto" w:line="480"/>
        <w:jc w:val="both"/>
        <w:rPr>
          <w:rFonts w:ascii="Times New Roman" w:cs="Times New Roman" w:hAnsi="Times New Roman"/>
          <w:b/>
          <w:bCs/>
          <w:sz w:val="24"/>
          <w:szCs w:val="24"/>
        </w:rPr>
      </w:pPr>
    </w:p>
    <w:p w14:paraId="38418906">
      <w:pPr>
        <w:pStyle w:val="style0"/>
        <w:spacing w:after="0" w:lineRule="auto" w:line="480"/>
        <w:jc w:val="both"/>
        <w:rPr>
          <w:rFonts w:ascii="Times New Roman" w:cs="Times New Roman" w:hAnsi="Times New Roman"/>
          <w:b/>
          <w:bCs/>
          <w:sz w:val="24"/>
          <w:szCs w:val="24"/>
        </w:rPr>
      </w:pPr>
    </w:p>
    <w:p w14:paraId="453276A2">
      <w:pPr>
        <w:pStyle w:val="style0"/>
        <w:spacing w:after="0" w:lineRule="auto" w:line="480"/>
        <w:jc w:val="both"/>
        <w:rPr>
          <w:rFonts w:ascii="Times New Roman" w:cs="Times New Roman" w:hAnsi="Times New Roman"/>
          <w:b/>
          <w:bCs/>
          <w:sz w:val="24"/>
          <w:szCs w:val="24"/>
        </w:rPr>
      </w:pPr>
    </w:p>
    <w:p w14:paraId="3BFDFB52">
      <w:pPr>
        <w:pStyle w:val="style0"/>
        <w:spacing w:after="0" w:lineRule="auto" w:line="480"/>
        <w:jc w:val="both"/>
        <w:rPr>
          <w:rFonts w:ascii="Times New Roman" w:cs="Times New Roman" w:hAnsi="Times New Roman"/>
          <w:b/>
          <w:bCs/>
          <w:sz w:val="24"/>
          <w:szCs w:val="24"/>
        </w:rPr>
      </w:pPr>
    </w:p>
    <w:p w14:paraId="199F43CC">
      <w:pPr>
        <w:pStyle w:val="style0"/>
        <w:spacing w:after="0" w:lineRule="auto" w:line="480"/>
        <w:jc w:val="both"/>
        <w:rPr>
          <w:rFonts w:ascii="Times New Roman" w:cs="Times New Roman" w:hAnsi="Times New Roman"/>
          <w:b/>
          <w:bCs/>
          <w:sz w:val="24"/>
          <w:szCs w:val="24"/>
        </w:rPr>
      </w:pPr>
    </w:p>
    <w:p w14:paraId="0DF895C5">
      <w:pPr>
        <w:pStyle w:val="style0"/>
        <w:spacing w:after="0" w:lineRule="auto" w:line="480"/>
        <w:jc w:val="both"/>
        <w:rPr>
          <w:rFonts w:ascii="Times New Roman" w:cs="Times New Roman" w:hAnsi="Times New Roman"/>
          <w:b/>
          <w:bCs/>
          <w:sz w:val="24"/>
          <w:szCs w:val="24"/>
        </w:rPr>
      </w:pPr>
    </w:p>
    <w:p w14:paraId="149663F0">
      <w:pPr>
        <w:pStyle w:val="style0"/>
        <w:spacing w:after="0" w:lineRule="auto" w:line="480"/>
        <w:jc w:val="both"/>
        <w:rPr>
          <w:rFonts w:ascii="Times New Roman" w:cs="Times New Roman" w:hAnsi="Times New Roman"/>
          <w:b/>
          <w:bCs/>
          <w:sz w:val="24"/>
          <w:szCs w:val="24"/>
        </w:rPr>
      </w:pPr>
    </w:p>
    <w:p w14:paraId="68849898">
      <w:pPr>
        <w:pStyle w:val="style0"/>
        <w:spacing w:after="0" w:lineRule="auto" w:line="480"/>
        <w:jc w:val="both"/>
        <w:rPr>
          <w:rFonts w:ascii="Times New Roman" w:cs="Times New Roman" w:hAnsi="Times New Roman"/>
          <w:b/>
          <w:bCs/>
          <w:sz w:val="24"/>
          <w:szCs w:val="24"/>
        </w:rPr>
      </w:pPr>
    </w:p>
    <w:p w14:paraId="41DEF814">
      <w:pPr>
        <w:pStyle w:val="style0"/>
        <w:spacing w:after="0" w:lineRule="auto" w:line="480"/>
        <w:jc w:val="both"/>
        <w:rPr>
          <w:rFonts w:ascii="Times New Roman" w:cs="Times New Roman" w:hAnsi="Times New Roman"/>
          <w:b/>
          <w:bCs/>
          <w:sz w:val="24"/>
          <w:szCs w:val="24"/>
        </w:rPr>
      </w:pPr>
    </w:p>
    <w:p w14:paraId="1CB19482">
      <w:pPr>
        <w:pStyle w:val="style0"/>
        <w:spacing w:after="0" w:lineRule="auto" w:line="480"/>
        <w:jc w:val="both"/>
        <w:rPr>
          <w:rFonts w:ascii="Times New Roman" w:cs="Times New Roman" w:hAnsi="Times New Roman"/>
          <w:b/>
          <w:bCs/>
          <w:sz w:val="24"/>
          <w:szCs w:val="24"/>
        </w:rPr>
      </w:pPr>
    </w:p>
    <w:p w14:paraId="639AF88B">
      <w:pPr>
        <w:pStyle w:val="style0"/>
        <w:spacing w:after="0" w:lineRule="auto" w:line="480"/>
        <w:jc w:val="center"/>
        <w:rPr>
          <w:rFonts w:ascii="Times New Roman" w:cs="Times New Roman" w:hAnsi="Times New Roman"/>
          <w:sz w:val="24"/>
          <w:szCs w:val="24"/>
        </w:rPr>
      </w:pPr>
      <w:r>
        <w:rPr>
          <w:rFonts w:ascii="Times New Roman" w:cs="Times New Roman" w:hAnsi="Times New Roman"/>
          <w:b/>
          <w:bCs/>
          <w:sz w:val="24"/>
          <w:szCs w:val="24"/>
        </w:rPr>
        <w:t>CHAPTER THREE</w:t>
      </w:r>
    </w:p>
    <w:p w14:paraId="4B3DEAFA">
      <w:pPr>
        <w:pStyle w:val="style0"/>
        <w:spacing w:after="0" w:lineRule="auto" w:line="480"/>
        <w:jc w:val="center"/>
        <w:rPr>
          <w:rFonts w:ascii="Times New Roman" w:cs="Times New Roman" w:hAnsi="Times New Roman"/>
          <w:b/>
          <w:bCs/>
          <w:sz w:val="24"/>
          <w:szCs w:val="24"/>
        </w:rPr>
      </w:pPr>
      <w:r>
        <w:rPr>
          <w:rFonts w:ascii="Times New Roman" w:cs="Times New Roman" w:hAnsi="Times New Roman"/>
          <w:b/>
          <w:bCs/>
          <w:sz w:val="24"/>
          <w:szCs w:val="24"/>
        </w:rPr>
        <w:t>METHODOLOGY</w:t>
      </w:r>
    </w:p>
    <w:p w14:paraId="216C43AD">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3.1 Research Design</w:t>
      </w:r>
    </w:p>
    <w:p w14:paraId="516D08E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ex post facto research design was adopted for the study because time series data was needed to answer the research questions. The data was gathered from various annual and statistical releases of CBN, Tertiary Education Tax Fund annual report, and data set sourced from the World Bank Development Indicators (WDI), UNDP Human Development Report, and National Bureau of Statistics (NBS). </w:t>
      </w:r>
    </w:p>
    <w:p w14:paraId="5EFC7E6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Because education tax laws and economic data for Nigeria from 2014 to 2023 have already been established and documented, making it impossible to change these variables, this design is especially appropriate for this study</w:t>
      </w:r>
    </w:p>
    <w:p w14:paraId="178B385A">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3.2 Area of Study</w:t>
      </w:r>
    </w:p>
    <w:p w14:paraId="52FD87D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area of study is Nigeria. This study examined national level fiscal and economic indicators, and specifically the implication of education tax as has been implemented across the federation by the Nigeria Revenue Service (NRS) and administered by Tertiary education tax fund (TETFUND) for the period of 2014 to 2023 which involves policy regime shifts where in 2021 education tax rates was raised to 2.5% from 2% and was again raised to 3% in the year 2023</w:t>
      </w:r>
    </w:p>
    <w:p w14:paraId="6352522C">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3.3 Sources of Data </w:t>
      </w:r>
    </w:p>
    <w:p w14:paraId="68274BDB">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Secondary data was utilized for the study and were collected from several sources namely, the Nigeria Revenue Service, National Bureau of Statistics (Annual publications), the Central Bank of Nigeria Statistical Bulletin, World Bank Development Indicators and UNDP Human Development Report. The period of the study ranges </w:t>
      </w:r>
      <w:r>
        <w:rPr>
          <w:rFonts w:ascii="Times New Roman" w:cs="Times New Roman" w:hAnsi="Times New Roman"/>
          <w:sz w:val="24"/>
          <w:szCs w:val="24"/>
        </w:rPr>
        <w:t>between 2014 – 2023</w:t>
      </w:r>
      <w:r>
        <w:rPr>
          <w:rFonts w:ascii="Times New Roman" w:cs="Times New Roman" w:hAnsi="Times New Roman"/>
          <w:sz w:val="24"/>
          <w:szCs w:val="24"/>
        </w:rPr>
        <w:t>.</w:t>
      </w:r>
    </w:p>
    <w:p w14:paraId="469603A6">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3.4 Method of Data Analysis</w:t>
      </w:r>
      <w:r>
        <w:rPr>
          <w:rFonts w:ascii="Times New Roman" w:cs="Times New Roman" w:hAnsi="Times New Roman"/>
          <w:sz w:val="24"/>
          <w:szCs w:val="24"/>
        </w:rPr>
        <w:t xml:space="preserve"> </w:t>
      </w:r>
    </w:p>
    <w:p w14:paraId="21DFF095">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For the analysis of data, both descriptive and inferential statistical tools were employed. These techniques were chosen considering the nature of the data (time series), the study’s objectives, </w:t>
      </w:r>
      <w:r>
        <w:rPr>
          <w:rFonts w:ascii="Times New Roman" w:cs="Times New Roman" w:hAnsi="Times New Roman"/>
          <w:sz w:val="24"/>
          <w:szCs w:val="24"/>
        </w:rPr>
        <w:t>and the purpose of exploring causal links between education tax and economic growth metrics. E-Views 12.0 was used to perform regression analysis. All hypotheses were tested at a 5% significance level.</w:t>
      </w:r>
    </w:p>
    <w:p w14:paraId="0416D126">
      <w:pPr>
        <w:pStyle w:val="style0"/>
        <w:spacing w:after="0" w:lineRule="auto" w:line="480"/>
        <w:jc w:val="both"/>
        <w:rPr>
          <w:rFonts w:ascii="Times New Roman" w:cs="Times New Roman" w:hAnsi="Times New Roman"/>
          <w:sz w:val="24"/>
          <w:szCs w:val="24"/>
        </w:rPr>
      </w:pPr>
      <w:r>
        <w:rPr>
          <w:rFonts w:ascii="Times New Roman" w:cs="Times New Roman" w:hAnsi="Times New Roman"/>
          <w:b/>
          <w:bCs/>
          <w:sz w:val="24"/>
          <w:szCs w:val="24"/>
        </w:rPr>
        <w:t>Decision Rule</w:t>
      </w:r>
      <w:r>
        <w:rPr>
          <w:rFonts w:ascii="Times New Roman" w:cs="Times New Roman" w:hAnsi="Times New Roman"/>
          <w:sz w:val="24"/>
          <w:szCs w:val="24"/>
        </w:rPr>
        <w:t xml:space="preserve"> </w:t>
      </w:r>
    </w:p>
    <w:p w14:paraId="7A624A1C">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alternative hypothesis (Ha) will be accepted if the probability of the calculated (p-value) is smaller than the level of significance (0.05) and the t-critical value is greater than 2.306; otherwise, we shall accept the null hypothesis (H</w:t>
      </w:r>
      <w:r>
        <w:rPr>
          <w:rFonts w:ascii="Times New Roman" w:cs="Times New Roman" w:hAnsi="Times New Roman"/>
          <w:sz w:val="24"/>
          <w:szCs w:val="24"/>
          <w:vertAlign w:val="subscript"/>
        </w:rPr>
        <w:t>0</w:t>
      </w:r>
      <w:r>
        <w:rPr>
          <w:rFonts w:ascii="Times New Roman" w:cs="Times New Roman" w:hAnsi="Times New Roman"/>
          <w:sz w:val="24"/>
          <w:szCs w:val="24"/>
        </w:rPr>
        <w:t>).</w:t>
      </w:r>
    </w:p>
    <w:p w14:paraId="27C213ED">
      <w:pPr>
        <w:pStyle w:val="style179"/>
        <w:numPr>
          <w:ilvl w:val="0"/>
          <w:numId w:val="2"/>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Accept the null hypothesis (H</w:t>
      </w:r>
      <w:r>
        <w:rPr>
          <w:rFonts w:ascii="Times New Roman" w:cs="Times New Roman" w:hAnsi="Times New Roman"/>
          <w:sz w:val="24"/>
          <w:szCs w:val="24"/>
          <w:vertAlign w:val="subscript"/>
        </w:rPr>
        <w:t>0</w:t>
      </w:r>
      <w:r>
        <w:rPr>
          <w:rFonts w:ascii="Times New Roman" w:cs="Times New Roman" w:hAnsi="Times New Roman"/>
          <w:sz w:val="24"/>
          <w:szCs w:val="24"/>
        </w:rPr>
        <w:t>) if the p-value is &gt; 0.05, else,</w:t>
      </w:r>
    </w:p>
    <w:p w14:paraId="5B833965">
      <w:pPr>
        <w:pStyle w:val="style179"/>
        <w:numPr>
          <w:ilvl w:val="0"/>
          <w:numId w:val="2"/>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Reject the null hypothesis (H</w:t>
      </w:r>
      <w:r>
        <w:rPr>
          <w:rFonts w:ascii="Times New Roman" w:cs="Times New Roman" w:hAnsi="Times New Roman"/>
          <w:sz w:val="24"/>
          <w:szCs w:val="24"/>
          <w:vertAlign w:val="subscript"/>
        </w:rPr>
        <w:t>0</w:t>
      </w:r>
      <w:r>
        <w:rPr>
          <w:rFonts w:ascii="Times New Roman" w:cs="Times New Roman" w:hAnsi="Times New Roman"/>
          <w:sz w:val="24"/>
          <w:szCs w:val="24"/>
        </w:rPr>
        <w:t>) if the p-value &lt; 0.05.</w:t>
      </w:r>
    </w:p>
    <w:p w14:paraId="543DD0C6">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3.5 Model Specification</w:t>
      </w:r>
    </w:p>
    <w:p w14:paraId="627F2A2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To assess the effect of education tax on economic growth in Nigeria the following econometric models are specified:</w:t>
      </w:r>
    </w:p>
    <w:p w14:paraId="4380D510">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Model 1: Effect of Education Tax on GDP</w:t>
      </w:r>
    </w:p>
    <w:p w14:paraId="407A97CF">
      <w:pPr>
        <w:pStyle w:val="style0"/>
        <w:spacing w:after="0" w:lineRule="auto" w:line="480"/>
        <w:jc w:val="both"/>
        <w:rPr>
          <w:rFonts w:ascii="Times New Roman" w:cs="Times New Roman" w:hAnsi="Times New Roman"/>
          <w:sz w:val="24"/>
          <w:szCs w:val="24"/>
          <w:vertAlign w:val="subscript"/>
        </w:rPr>
      </w:pPr>
      <w:r>
        <w:rPr>
          <w:rFonts w:ascii="Times New Roman" w:cs="Times New Roman" w:hAnsi="Times New Roman"/>
          <w:sz w:val="24"/>
          <w:szCs w:val="24"/>
        </w:rPr>
        <w:t>RGDP</w:t>
      </w:r>
      <w:r>
        <w:rPr>
          <w:rFonts w:ascii="Times New Roman" w:cs="Times New Roman" w:hAnsi="Times New Roman"/>
          <w:sz w:val="24"/>
          <w:szCs w:val="24"/>
          <w:vertAlign w:val="subscript"/>
        </w:rPr>
        <w:t>t</w:t>
      </w:r>
      <w:r>
        <w:rPr>
          <w:rFonts w:ascii="Times New Roman" w:cs="Times New Roman" w:hAnsi="Times New Roman"/>
          <w:sz w:val="24"/>
          <w:szCs w:val="24"/>
        </w:rPr>
        <w:t xml:space="preserve"> = β</w:t>
      </w:r>
      <w:r>
        <w:rPr>
          <w:rFonts w:ascii="Times New Roman" w:cs="Times New Roman" w:hAnsi="Times New Roman"/>
          <w:sz w:val="24"/>
          <w:szCs w:val="24"/>
          <w:vertAlign w:val="subscript"/>
        </w:rPr>
        <w:t>0</w:t>
      </w:r>
      <w:r>
        <w:rPr>
          <w:rFonts w:ascii="Times New Roman" w:cs="Times New Roman" w:hAnsi="Times New Roman"/>
          <w:sz w:val="24"/>
          <w:szCs w:val="24"/>
        </w:rPr>
        <w:t xml:space="preserve"> + β</w:t>
      </w:r>
      <w:r>
        <w:rPr>
          <w:rFonts w:ascii="Times New Roman" w:cs="Times New Roman" w:hAnsi="Times New Roman"/>
          <w:sz w:val="24"/>
          <w:szCs w:val="24"/>
          <w:vertAlign w:val="subscript"/>
        </w:rPr>
        <w:t>1</w:t>
      </w:r>
      <w:r>
        <w:rPr>
          <w:rFonts w:ascii="Times New Roman" w:cs="Times New Roman" w:hAnsi="Times New Roman"/>
          <w:sz w:val="24"/>
          <w:szCs w:val="24"/>
        </w:rPr>
        <w:t>EDTAX</w:t>
      </w:r>
      <w:r>
        <w:rPr>
          <w:rFonts w:ascii="Times New Roman" w:cs="Times New Roman" w:hAnsi="Times New Roman"/>
          <w:sz w:val="24"/>
          <w:szCs w:val="24"/>
          <w:vertAlign w:val="subscript"/>
        </w:rPr>
        <w:t>t</w:t>
      </w:r>
      <w:r>
        <w:rPr>
          <w:rFonts w:ascii="Times New Roman" w:cs="Times New Roman" w:hAnsi="Times New Roman"/>
          <w:sz w:val="24"/>
          <w:szCs w:val="24"/>
        </w:rPr>
        <w:t xml:space="preserve"> + </w:t>
      </w:r>
      <w:r>
        <w:rPr>
          <w:rFonts w:ascii="Times New Roman" w:cs="Times New Roman" w:hAnsi="Times New Roman"/>
          <w:sz w:val="24"/>
          <w:szCs w:val="24"/>
        </w:rPr>
        <w:t>ε</w:t>
      </w:r>
      <w:r>
        <w:rPr>
          <w:rFonts w:ascii="Times New Roman" w:cs="Times New Roman" w:hAnsi="Times New Roman"/>
          <w:sz w:val="24"/>
          <w:szCs w:val="24"/>
          <w:vertAlign w:val="subscript"/>
        </w:rPr>
        <w:t>t</w:t>
      </w:r>
    </w:p>
    <w:p w14:paraId="3A1EC79A">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Model 2: Effect of Education Tax on GNI</w:t>
      </w:r>
    </w:p>
    <w:p w14:paraId="49DC2BE5">
      <w:pPr>
        <w:pStyle w:val="style0"/>
        <w:spacing w:after="0" w:lineRule="auto" w:line="480"/>
        <w:jc w:val="both"/>
        <w:rPr>
          <w:rFonts w:ascii="Times New Roman" w:cs="Times New Roman" w:hAnsi="Times New Roman"/>
          <w:sz w:val="24"/>
          <w:szCs w:val="24"/>
          <w:vertAlign w:val="subscript"/>
        </w:rPr>
      </w:pPr>
      <w:r>
        <w:rPr>
          <w:rFonts w:ascii="Times New Roman" w:cs="Times New Roman" w:hAnsi="Times New Roman"/>
          <w:sz w:val="24"/>
          <w:szCs w:val="24"/>
        </w:rPr>
        <w:t>GNI</w:t>
      </w:r>
      <w:r>
        <w:rPr>
          <w:rFonts w:ascii="Times New Roman" w:cs="Times New Roman" w:hAnsi="Times New Roman"/>
          <w:sz w:val="24"/>
          <w:szCs w:val="24"/>
          <w:vertAlign w:val="subscript"/>
        </w:rPr>
        <w:t>t</w:t>
      </w:r>
      <w:r>
        <w:rPr>
          <w:rFonts w:ascii="Times New Roman" w:cs="Times New Roman" w:hAnsi="Times New Roman"/>
          <w:sz w:val="24"/>
          <w:szCs w:val="24"/>
        </w:rPr>
        <w:t xml:space="preserve"> = β</w:t>
      </w:r>
      <w:r>
        <w:rPr>
          <w:rFonts w:ascii="Times New Roman" w:cs="Times New Roman" w:hAnsi="Times New Roman"/>
          <w:sz w:val="24"/>
          <w:szCs w:val="24"/>
          <w:vertAlign w:val="subscript"/>
        </w:rPr>
        <w:t>0</w:t>
      </w:r>
      <w:r>
        <w:rPr>
          <w:rFonts w:ascii="Times New Roman" w:cs="Times New Roman" w:hAnsi="Times New Roman"/>
          <w:sz w:val="24"/>
          <w:szCs w:val="24"/>
        </w:rPr>
        <w:t xml:space="preserve"> + β</w:t>
      </w:r>
      <w:r>
        <w:rPr>
          <w:rFonts w:ascii="Times New Roman" w:cs="Times New Roman" w:hAnsi="Times New Roman"/>
          <w:sz w:val="24"/>
          <w:szCs w:val="24"/>
          <w:vertAlign w:val="subscript"/>
        </w:rPr>
        <w:t>1</w:t>
      </w:r>
      <w:r>
        <w:rPr>
          <w:rFonts w:ascii="Times New Roman" w:cs="Times New Roman" w:hAnsi="Times New Roman"/>
          <w:sz w:val="24"/>
          <w:szCs w:val="24"/>
        </w:rPr>
        <w:t>EDTAX</w:t>
      </w:r>
      <w:r>
        <w:rPr>
          <w:rFonts w:ascii="Times New Roman" w:cs="Times New Roman" w:hAnsi="Times New Roman"/>
          <w:sz w:val="24"/>
          <w:szCs w:val="24"/>
          <w:vertAlign w:val="subscript"/>
        </w:rPr>
        <w:t>t</w:t>
      </w:r>
      <w:r>
        <w:rPr>
          <w:rFonts w:ascii="Times New Roman" w:cs="Times New Roman" w:hAnsi="Times New Roman"/>
          <w:sz w:val="24"/>
          <w:szCs w:val="24"/>
        </w:rPr>
        <w:t xml:space="preserve"> + </w:t>
      </w:r>
      <w:r>
        <w:rPr>
          <w:rFonts w:ascii="Times New Roman" w:cs="Times New Roman" w:hAnsi="Times New Roman"/>
          <w:sz w:val="24"/>
          <w:szCs w:val="24"/>
        </w:rPr>
        <w:t>ε</w:t>
      </w:r>
      <w:r>
        <w:rPr>
          <w:rFonts w:ascii="Times New Roman" w:cs="Times New Roman" w:hAnsi="Times New Roman"/>
          <w:sz w:val="24"/>
          <w:szCs w:val="24"/>
          <w:vertAlign w:val="subscript"/>
        </w:rPr>
        <w:t>t</w:t>
      </w:r>
    </w:p>
    <w:p w14:paraId="1E8CDEF0">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Model 3: Effect of Education Tax on Human Capital Development</w:t>
      </w:r>
    </w:p>
    <w:p w14:paraId="1D516280">
      <w:pPr>
        <w:pStyle w:val="style0"/>
        <w:spacing w:after="0" w:lineRule="auto" w:line="480"/>
        <w:jc w:val="both"/>
        <w:rPr>
          <w:rFonts w:ascii="Times New Roman" w:cs="Times New Roman" w:hAnsi="Times New Roman"/>
          <w:sz w:val="24"/>
          <w:szCs w:val="24"/>
          <w:vertAlign w:val="subscript"/>
        </w:rPr>
      </w:pPr>
      <w:r>
        <w:rPr>
          <w:rFonts w:ascii="Times New Roman" w:cs="Times New Roman" w:hAnsi="Times New Roman"/>
          <w:sz w:val="24"/>
          <w:szCs w:val="24"/>
        </w:rPr>
        <w:t>HCD</w:t>
      </w:r>
      <w:r>
        <w:rPr>
          <w:rFonts w:ascii="Times New Roman" w:cs="Times New Roman" w:hAnsi="Times New Roman"/>
          <w:sz w:val="24"/>
          <w:szCs w:val="24"/>
          <w:vertAlign w:val="subscript"/>
        </w:rPr>
        <w:t>t</w:t>
      </w:r>
      <w:r>
        <w:rPr>
          <w:rFonts w:ascii="Times New Roman" w:cs="Times New Roman" w:hAnsi="Times New Roman"/>
          <w:sz w:val="24"/>
          <w:szCs w:val="24"/>
        </w:rPr>
        <w:t xml:space="preserve"> = β</w:t>
      </w:r>
      <w:r>
        <w:rPr>
          <w:rFonts w:ascii="Times New Roman" w:cs="Times New Roman" w:hAnsi="Times New Roman"/>
          <w:sz w:val="24"/>
          <w:szCs w:val="24"/>
          <w:vertAlign w:val="subscript"/>
        </w:rPr>
        <w:t>0</w:t>
      </w:r>
      <w:r>
        <w:rPr>
          <w:rFonts w:ascii="Times New Roman" w:cs="Times New Roman" w:hAnsi="Times New Roman"/>
          <w:sz w:val="24"/>
          <w:szCs w:val="24"/>
        </w:rPr>
        <w:t xml:space="preserve"> + β</w:t>
      </w:r>
      <w:r>
        <w:rPr>
          <w:rFonts w:ascii="Times New Roman" w:cs="Times New Roman" w:hAnsi="Times New Roman"/>
          <w:sz w:val="24"/>
          <w:szCs w:val="24"/>
          <w:vertAlign w:val="subscript"/>
        </w:rPr>
        <w:t>1</w:t>
      </w:r>
      <w:r>
        <w:rPr>
          <w:rFonts w:ascii="Times New Roman" w:cs="Times New Roman" w:hAnsi="Times New Roman"/>
          <w:sz w:val="24"/>
          <w:szCs w:val="24"/>
        </w:rPr>
        <w:t>EDTAX</w:t>
      </w:r>
      <w:r>
        <w:rPr>
          <w:rFonts w:ascii="Times New Roman" w:cs="Times New Roman" w:hAnsi="Times New Roman"/>
          <w:sz w:val="24"/>
          <w:szCs w:val="24"/>
          <w:vertAlign w:val="subscript"/>
        </w:rPr>
        <w:t>t</w:t>
      </w:r>
      <w:r>
        <w:rPr>
          <w:rFonts w:ascii="Times New Roman" w:cs="Times New Roman" w:hAnsi="Times New Roman"/>
          <w:sz w:val="24"/>
          <w:szCs w:val="24"/>
        </w:rPr>
        <w:t xml:space="preserve"> + </w:t>
      </w:r>
      <w:r>
        <w:rPr>
          <w:rFonts w:ascii="Times New Roman" w:cs="Times New Roman" w:hAnsi="Times New Roman"/>
          <w:sz w:val="24"/>
          <w:szCs w:val="24"/>
        </w:rPr>
        <w:t>ε</w:t>
      </w:r>
      <w:r>
        <w:rPr>
          <w:rFonts w:ascii="Times New Roman" w:cs="Times New Roman" w:hAnsi="Times New Roman"/>
          <w:sz w:val="24"/>
          <w:szCs w:val="24"/>
          <w:vertAlign w:val="subscript"/>
        </w:rPr>
        <w:t>t</w:t>
      </w:r>
    </w:p>
    <w:p w14:paraId="563C7CA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Where:</w:t>
      </w:r>
    </w:p>
    <w:p w14:paraId="6986D65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RGDP</w:t>
      </w:r>
      <w:r>
        <w:rPr>
          <w:rFonts w:ascii="Times New Roman" w:cs="Times New Roman" w:hAnsi="Times New Roman"/>
          <w:sz w:val="24"/>
          <w:szCs w:val="24"/>
          <w:vertAlign w:val="subscript"/>
        </w:rPr>
        <w:t>t</w:t>
      </w:r>
      <w:r>
        <w:rPr>
          <w:rFonts w:ascii="Times New Roman" w:cs="Times New Roman" w:hAnsi="Times New Roman"/>
          <w:sz w:val="24"/>
          <w:szCs w:val="24"/>
        </w:rPr>
        <w:t xml:space="preserve"> =Real Gross Domestic Product at time</w:t>
      </w:r>
      <w:r>
        <w:rPr>
          <w:rFonts w:ascii="Times New Roman" w:cs="Times New Roman" w:hAnsi="Times New Roman"/>
          <w:i/>
          <w:iCs/>
          <w:sz w:val="24"/>
          <w:szCs w:val="24"/>
        </w:rPr>
        <w:t xml:space="preserve"> t </w:t>
      </w:r>
      <w:r>
        <w:rPr>
          <w:rFonts w:ascii="Times New Roman" w:cs="Times New Roman" w:hAnsi="Times New Roman"/>
          <w:sz w:val="24"/>
          <w:szCs w:val="24"/>
        </w:rPr>
        <w:t>(dependent variable)</w:t>
      </w:r>
    </w:p>
    <w:p w14:paraId="74D92F2D">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GNI</w:t>
      </w:r>
      <w:r>
        <w:rPr>
          <w:rFonts w:ascii="Times New Roman" w:cs="Times New Roman" w:hAnsi="Times New Roman"/>
          <w:sz w:val="24"/>
          <w:szCs w:val="24"/>
          <w:vertAlign w:val="subscript"/>
        </w:rPr>
        <w:t>t</w:t>
      </w:r>
      <w:r>
        <w:rPr>
          <w:rFonts w:ascii="Times New Roman" w:cs="Times New Roman" w:hAnsi="Times New Roman"/>
          <w:sz w:val="24"/>
          <w:szCs w:val="24"/>
        </w:rPr>
        <w:t xml:space="preserve"> = Gross National Income at time </w:t>
      </w:r>
      <w:r>
        <w:rPr>
          <w:rFonts w:ascii="Times New Roman" w:cs="Times New Roman" w:hAnsi="Times New Roman"/>
          <w:i/>
          <w:iCs/>
          <w:sz w:val="24"/>
          <w:szCs w:val="24"/>
        </w:rPr>
        <w:t xml:space="preserve">t </w:t>
      </w:r>
      <w:r>
        <w:rPr>
          <w:rFonts w:ascii="Times New Roman" w:cs="Times New Roman" w:hAnsi="Times New Roman"/>
          <w:sz w:val="24"/>
          <w:szCs w:val="24"/>
        </w:rPr>
        <w:t>(dependent variable)</w:t>
      </w:r>
    </w:p>
    <w:p w14:paraId="4AF3C94F">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HCD</w:t>
      </w:r>
      <w:r>
        <w:rPr>
          <w:rFonts w:ascii="Times New Roman" w:cs="Times New Roman" w:hAnsi="Times New Roman"/>
          <w:sz w:val="24"/>
          <w:szCs w:val="24"/>
          <w:vertAlign w:val="subscript"/>
        </w:rPr>
        <w:t>t</w:t>
      </w:r>
      <w:r>
        <w:rPr>
          <w:rFonts w:ascii="Times New Roman" w:cs="Times New Roman" w:hAnsi="Times New Roman"/>
          <w:sz w:val="24"/>
          <w:szCs w:val="24"/>
        </w:rPr>
        <w:t xml:space="preserve"> = Human Capital Development </w:t>
      </w:r>
      <w:r>
        <w:rPr>
          <w:rFonts w:ascii="Times New Roman" w:cs="Times New Roman" w:hAnsi="Times New Roman"/>
          <w:sz w:val="24"/>
          <w:szCs w:val="24"/>
        </w:rPr>
        <w:t>proxied</w:t>
      </w:r>
      <w:r>
        <w:rPr>
          <w:rFonts w:ascii="Times New Roman" w:cs="Times New Roman" w:hAnsi="Times New Roman"/>
          <w:sz w:val="24"/>
          <w:szCs w:val="24"/>
        </w:rPr>
        <w:t xml:space="preserve"> by Human Development Index (dependent variable)</w:t>
      </w:r>
    </w:p>
    <w:p w14:paraId="057EAE3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EDTAX</w:t>
      </w:r>
      <w:r>
        <w:rPr>
          <w:rFonts w:ascii="Times New Roman" w:cs="Times New Roman" w:hAnsi="Times New Roman"/>
          <w:sz w:val="24"/>
          <w:szCs w:val="24"/>
          <w:vertAlign w:val="subscript"/>
        </w:rPr>
        <w:t>t</w:t>
      </w:r>
      <w:r>
        <w:rPr>
          <w:rFonts w:ascii="Times New Roman" w:cs="Times New Roman" w:hAnsi="Times New Roman"/>
          <w:sz w:val="24"/>
          <w:szCs w:val="24"/>
        </w:rPr>
        <w:t xml:space="preserve"> = Education Tax Revenue at time </w:t>
      </w:r>
      <w:r>
        <w:rPr>
          <w:rFonts w:ascii="Times New Roman" w:cs="Times New Roman" w:hAnsi="Times New Roman"/>
          <w:i/>
          <w:iCs/>
          <w:sz w:val="24"/>
          <w:szCs w:val="24"/>
        </w:rPr>
        <w:t>t</w:t>
      </w:r>
      <w:r>
        <w:rPr>
          <w:rFonts w:ascii="Times New Roman" w:cs="Times New Roman" w:hAnsi="Times New Roman"/>
          <w:sz w:val="24"/>
          <w:szCs w:val="24"/>
        </w:rPr>
        <w:t xml:space="preserve"> (independent variable)</w:t>
      </w:r>
    </w:p>
    <w:p w14:paraId="67ED8D7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Β</w:t>
      </w:r>
      <w:r>
        <w:rPr>
          <w:rFonts w:ascii="Times New Roman" w:cs="Times New Roman" w:hAnsi="Times New Roman"/>
          <w:sz w:val="24"/>
          <w:szCs w:val="24"/>
          <w:vertAlign w:val="subscript"/>
        </w:rPr>
        <w:t>0</w:t>
      </w:r>
      <w:r>
        <w:rPr>
          <w:rFonts w:ascii="Times New Roman" w:cs="Times New Roman" w:hAnsi="Times New Roman"/>
          <w:sz w:val="24"/>
          <w:szCs w:val="24"/>
        </w:rPr>
        <w:t>= Intercept (constant term)</w:t>
      </w:r>
    </w:p>
    <w:p w14:paraId="1F596EF1">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Β</w:t>
      </w:r>
      <w:r>
        <w:rPr>
          <w:rFonts w:ascii="Times New Roman" w:cs="Times New Roman" w:hAnsi="Times New Roman"/>
          <w:sz w:val="24"/>
          <w:szCs w:val="24"/>
          <w:vertAlign w:val="subscript"/>
        </w:rPr>
        <w:t>1</w:t>
      </w:r>
      <w:r>
        <w:rPr>
          <w:rFonts w:ascii="Times New Roman" w:cs="Times New Roman" w:hAnsi="Times New Roman"/>
          <w:sz w:val="24"/>
          <w:szCs w:val="24"/>
        </w:rPr>
        <w:t xml:space="preserve"> = Regression coefficient (slope)</w:t>
      </w:r>
    </w:p>
    <w:p w14:paraId="4501E36D">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ε</w:t>
      </w:r>
      <w:r>
        <w:rPr>
          <w:rFonts w:ascii="Times New Roman" w:cs="Times New Roman" w:hAnsi="Times New Roman"/>
          <w:sz w:val="24"/>
          <w:szCs w:val="24"/>
          <w:vertAlign w:val="subscript"/>
        </w:rPr>
        <w:t>t</w:t>
      </w:r>
      <w:r>
        <w:rPr>
          <w:rFonts w:ascii="Times New Roman" w:cs="Times New Roman" w:hAnsi="Times New Roman"/>
          <w:sz w:val="24"/>
          <w:szCs w:val="24"/>
        </w:rPr>
        <w:t xml:space="preserve"> = Error term (captures unexplained variations)</w:t>
      </w:r>
    </w:p>
    <w:p w14:paraId="747E983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 = Time period (2014-2023)</w:t>
      </w:r>
    </w:p>
    <w:p w14:paraId="37A1C0EF">
      <w:pPr>
        <w:pStyle w:val="style0"/>
        <w:spacing w:after="0" w:lineRule="auto" w:line="480"/>
        <w:jc w:val="both"/>
        <w:rPr>
          <w:rFonts w:ascii="Times New Roman" w:cs="Times New Roman" w:hAnsi="Times New Roman"/>
          <w:sz w:val="24"/>
          <w:szCs w:val="24"/>
        </w:rPr>
      </w:pPr>
    </w:p>
    <w:p w14:paraId="53735396">
      <w:pPr>
        <w:pStyle w:val="style0"/>
        <w:spacing w:after="0" w:lineRule="auto" w:line="480"/>
        <w:jc w:val="both"/>
        <w:rPr>
          <w:rFonts w:ascii="Times New Roman" w:cs="Times New Roman" w:hAnsi="Times New Roman"/>
          <w:sz w:val="24"/>
          <w:szCs w:val="24"/>
        </w:rPr>
      </w:pPr>
    </w:p>
    <w:p w14:paraId="0A5A7544">
      <w:pPr>
        <w:pStyle w:val="style0"/>
        <w:spacing w:after="0" w:lineRule="auto" w:line="480"/>
        <w:jc w:val="both"/>
        <w:rPr>
          <w:rFonts w:ascii="Times New Roman" w:cs="Times New Roman" w:hAnsi="Times New Roman"/>
          <w:sz w:val="24"/>
          <w:szCs w:val="24"/>
        </w:rPr>
      </w:pPr>
    </w:p>
    <w:p w14:paraId="4B516807">
      <w:pPr>
        <w:pStyle w:val="style0"/>
        <w:spacing w:after="0" w:lineRule="auto" w:line="480"/>
        <w:jc w:val="both"/>
        <w:rPr>
          <w:rFonts w:ascii="Times New Roman" w:cs="Times New Roman" w:hAnsi="Times New Roman"/>
          <w:sz w:val="24"/>
          <w:szCs w:val="24"/>
        </w:rPr>
      </w:pPr>
    </w:p>
    <w:p w14:paraId="0D10A279">
      <w:pPr>
        <w:pStyle w:val="style0"/>
        <w:spacing w:after="0" w:lineRule="auto" w:line="480"/>
        <w:jc w:val="both"/>
        <w:rPr>
          <w:rFonts w:ascii="Times New Roman" w:cs="Times New Roman" w:hAnsi="Times New Roman"/>
          <w:sz w:val="24"/>
          <w:szCs w:val="24"/>
        </w:rPr>
      </w:pPr>
    </w:p>
    <w:p w14:paraId="5235ABD6">
      <w:pPr>
        <w:pStyle w:val="style0"/>
        <w:spacing w:after="0" w:lineRule="auto" w:line="480"/>
        <w:jc w:val="both"/>
        <w:rPr>
          <w:rFonts w:ascii="Times New Roman" w:cs="Times New Roman" w:hAnsi="Times New Roman"/>
          <w:sz w:val="24"/>
          <w:szCs w:val="24"/>
        </w:rPr>
      </w:pPr>
    </w:p>
    <w:p w14:paraId="700E0D33">
      <w:pPr>
        <w:pStyle w:val="style0"/>
        <w:spacing w:after="0" w:lineRule="auto" w:line="480"/>
        <w:jc w:val="both"/>
        <w:rPr>
          <w:rFonts w:ascii="Times New Roman" w:cs="Times New Roman" w:hAnsi="Times New Roman"/>
          <w:sz w:val="24"/>
          <w:szCs w:val="24"/>
        </w:rPr>
      </w:pPr>
    </w:p>
    <w:p w14:paraId="661D6346">
      <w:pPr>
        <w:pStyle w:val="style0"/>
        <w:spacing w:after="0" w:lineRule="auto" w:line="480"/>
        <w:jc w:val="both"/>
        <w:rPr>
          <w:rFonts w:ascii="Times New Roman" w:cs="Times New Roman" w:hAnsi="Times New Roman"/>
          <w:sz w:val="24"/>
          <w:szCs w:val="24"/>
        </w:rPr>
      </w:pPr>
    </w:p>
    <w:p w14:paraId="1076571D">
      <w:pPr>
        <w:pStyle w:val="style0"/>
        <w:spacing w:after="0" w:lineRule="auto" w:line="480"/>
        <w:jc w:val="both"/>
        <w:rPr>
          <w:rFonts w:ascii="Times New Roman" w:cs="Times New Roman" w:hAnsi="Times New Roman"/>
          <w:sz w:val="24"/>
          <w:szCs w:val="24"/>
        </w:rPr>
      </w:pPr>
    </w:p>
    <w:p w14:paraId="26F8AF7B">
      <w:pPr>
        <w:pStyle w:val="style0"/>
        <w:spacing w:after="0" w:lineRule="auto" w:line="480"/>
        <w:jc w:val="both"/>
        <w:rPr>
          <w:rFonts w:ascii="Times New Roman" w:cs="Times New Roman" w:hAnsi="Times New Roman"/>
          <w:sz w:val="24"/>
          <w:szCs w:val="24"/>
        </w:rPr>
      </w:pPr>
    </w:p>
    <w:p w14:paraId="2D70C126">
      <w:pPr>
        <w:pStyle w:val="style0"/>
        <w:spacing w:after="0" w:lineRule="auto" w:line="480"/>
        <w:jc w:val="both"/>
        <w:rPr>
          <w:rFonts w:ascii="Times New Roman" w:cs="Times New Roman" w:hAnsi="Times New Roman"/>
          <w:sz w:val="24"/>
          <w:szCs w:val="24"/>
        </w:rPr>
      </w:pPr>
    </w:p>
    <w:p w14:paraId="59AEA2DF">
      <w:pPr>
        <w:pStyle w:val="style0"/>
        <w:spacing w:after="0" w:lineRule="auto" w:line="480"/>
        <w:jc w:val="both"/>
        <w:rPr>
          <w:rFonts w:ascii="Times New Roman" w:cs="Times New Roman" w:hAnsi="Times New Roman"/>
          <w:sz w:val="24"/>
          <w:szCs w:val="24"/>
        </w:rPr>
      </w:pPr>
    </w:p>
    <w:p w14:paraId="1BAB3D93">
      <w:pPr>
        <w:pStyle w:val="style0"/>
        <w:spacing w:after="0" w:lineRule="auto" w:line="480"/>
        <w:jc w:val="both"/>
        <w:rPr>
          <w:rFonts w:ascii="Times New Roman" w:cs="Times New Roman" w:hAnsi="Times New Roman"/>
          <w:sz w:val="24"/>
          <w:szCs w:val="24"/>
        </w:rPr>
      </w:pPr>
    </w:p>
    <w:p w14:paraId="1365EDD9">
      <w:pPr>
        <w:pStyle w:val="style0"/>
        <w:spacing w:after="0" w:lineRule="auto" w:line="480"/>
        <w:jc w:val="both"/>
        <w:rPr>
          <w:rFonts w:ascii="Times New Roman" w:cs="Times New Roman" w:hAnsi="Times New Roman"/>
          <w:sz w:val="24"/>
          <w:szCs w:val="24"/>
        </w:rPr>
      </w:pPr>
    </w:p>
    <w:p w14:paraId="5A14D7B5">
      <w:pPr>
        <w:pStyle w:val="style0"/>
        <w:spacing w:after="0" w:lineRule="auto" w:line="480"/>
        <w:jc w:val="both"/>
        <w:rPr>
          <w:rFonts w:ascii="Times New Roman" w:cs="Times New Roman" w:hAnsi="Times New Roman"/>
          <w:sz w:val="24"/>
          <w:szCs w:val="24"/>
        </w:rPr>
      </w:pPr>
    </w:p>
    <w:p w14:paraId="6CA41F28">
      <w:pPr>
        <w:pStyle w:val="style0"/>
        <w:spacing w:after="0" w:lineRule="auto" w:line="480"/>
        <w:jc w:val="both"/>
        <w:rPr>
          <w:rFonts w:ascii="Times New Roman" w:cs="Times New Roman" w:hAnsi="Times New Roman"/>
          <w:sz w:val="24"/>
          <w:szCs w:val="24"/>
        </w:rPr>
      </w:pPr>
    </w:p>
    <w:p w14:paraId="6F4C2AA7">
      <w:pPr>
        <w:pStyle w:val="style0"/>
        <w:spacing w:after="0" w:lineRule="auto" w:line="480"/>
        <w:jc w:val="both"/>
        <w:rPr>
          <w:rFonts w:ascii="Times New Roman" w:cs="Times New Roman" w:hAnsi="Times New Roman"/>
          <w:sz w:val="24"/>
          <w:szCs w:val="24"/>
        </w:rPr>
      </w:pPr>
    </w:p>
    <w:p w14:paraId="580D42E0">
      <w:pPr>
        <w:pStyle w:val="style0"/>
        <w:spacing w:after="0" w:lineRule="auto" w:line="480"/>
        <w:jc w:val="both"/>
        <w:rPr>
          <w:rFonts w:ascii="Times New Roman" w:cs="Times New Roman" w:hAnsi="Times New Roman"/>
          <w:sz w:val="24"/>
          <w:szCs w:val="24"/>
        </w:rPr>
      </w:pPr>
    </w:p>
    <w:p w14:paraId="0FCB6F1C">
      <w:pPr>
        <w:pStyle w:val="style0"/>
        <w:spacing w:after="0" w:lineRule="auto" w:line="480"/>
        <w:jc w:val="both"/>
        <w:rPr>
          <w:rFonts w:ascii="Times New Roman" w:cs="Times New Roman" w:hAnsi="Times New Roman"/>
          <w:sz w:val="24"/>
          <w:szCs w:val="24"/>
        </w:rPr>
      </w:pPr>
    </w:p>
    <w:p w14:paraId="0A722F96">
      <w:pPr>
        <w:pStyle w:val="style0"/>
        <w:spacing w:after="0" w:lineRule="auto" w:line="480"/>
        <w:jc w:val="both"/>
        <w:rPr>
          <w:rFonts w:ascii="Times New Roman" w:cs="Times New Roman" w:hAnsi="Times New Roman"/>
          <w:sz w:val="24"/>
          <w:szCs w:val="24"/>
        </w:rPr>
      </w:pPr>
    </w:p>
    <w:p w14:paraId="599839A0">
      <w:pPr>
        <w:pStyle w:val="style0"/>
        <w:spacing w:after="0" w:lineRule="auto" w:line="480"/>
        <w:jc w:val="both"/>
        <w:rPr>
          <w:rFonts w:ascii="Times New Roman" w:cs="Times New Roman" w:hAnsi="Times New Roman"/>
          <w:sz w:val="24"/>
          <w:szCs w:val="24"/>
        </w:rPr>
      </w:pPr>
    </w:p>
    <w:p w14:paraId="3FE78871">
      <w:pPr>
        <w:pStyle w:val="style0"/>
        <w:spacing w:after="0" w:lineRule="auto" w:line="480"/>
        <w:jc w:val="both"/>
        <w:rPr>
          <w:rFonts w:ascii="Times New Roman" w:cs="Times New Roman" w:hAnsi="Times New Roman"/>
          <w:sz w:val="24"/>
          <w:szCs w:val="24"/>
        </w:rPr>
      </w:pPr>
    </w:p>
    <w:p w14:paraId="48624F36">
      <w:pPr>
        <w:pStyle w:val="style0"/>
        <w:spacing w:after="0" w:lineRule="auto" w:line="480"/>
        <w:jc w:val="center"/>
        <w:rPr>
          <w:rFonts w:ascii="Times New Roman" w:cs="Times New Roman" w:hAnsi="Times New Roman"/>
          <w:b/>
          <w:bCs/>
          <w:sz w:val="24"/>
          <w:szCs w:val="24"/>
        </w:rPr>
      </w:pPr>
      <w:r>
        <w:rPr>
          <w:rFonts w:ascii="Times New Roman" w:cs="Times New Roman" w:hAnsi="Times New Roman"/>
          <w:b/>
          <w:bCs/>
          <w:sz w:val="24"/>
          <w:szCs w:val="24"/>
        </w:rPr>
        <w:t>CHAPTER FOUR</w:t>
      </w:r>
    </w:p>
    <w:p w14:paraId="7E8598FD">
      <w:pPr>
        <w:pStyle w:val="style0"/>
        <w:spacing w:after="0" w:lineRule="auto" w:line="480"/>
        <w:jc w:val="center"/>
        <w:rPr>
          <w:rFonts w:ascii="Times New Roman" w:cs="Times New Roman" w:hAnsi="Times New Roman"/>
          <w:b/>
          <w:bCs/>
          <w:sz w:val="24"/>
          <w:szCs w:val="24"/>
        </w:rPr>
      </w:pPr>
      <w:r>
        <w:rPr>
          <w:rFonts w:ascii="Times New Roman" w:cs="Times New Roman" w:hAnsi="Times New Roman"/>
          <w:b/>
          <w:bCs/>
          <w:sz w:val="24"/>
          <w:szCs w:val="24"/>
        </w:rPr>
        <w:t>PRESENTATION AND ANALYSIS OF DATA</w:t>
      </w:r>
    </w:p>
    <w:p w14:paraId="664B21F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analysis on the secondary data obtained for testing the effect of education tax on economic growth in Nigeria during the period 2014-2023 was presented using some econometric tests. Statistical and economic tests. Based on these empirical results therefore, the under-mentioned hypotheses as postulated earlier in this work were tested and discussed accordingly.</w:t>
      </w:r>
    </w:p>
    <w:p w14:paraId="6B62C48A">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4.1 Data Presentation</w:t>
      </w:r>
    </w:p>
    <w:p w14:paraId="471ACABC">
      <w:pPr>
        <w:pStyle w:val="style0"/>
        <w:spacing w:after="0" w:lineRule="auto" w:line="480"/>
        <w:jc w:val="both"/>
        <w:rPr>
          <w:rFonts w:ascii="Times New Roman" w:cs="Times New Roman" w:hAnsi="Times New Roman"/>
          <w:sz w:val="24"/>
          <w:szCs w:val="24"/>
        </w:rPr>
      </w:pPr>
      <w:r>
        <w:rPr>
          <w:rFonts w:ascii="Times New Roman" w:cs="Times New Roman" w:hAnsi="Times New Roman"/>
          <w:b/>
          <w:sz w:val="24"/>
          <w:szCs w:val="24"/>
        </w:rPr>
        <w:t>Table 2:</w:t>
      </w:r>
      <w:r>
        <w:rPr>
          <w:rFonts w:ascii="Times New Roman" w:cs="Times New Roman" w:hAnsi="Times New Roman"/>
          <w:sz w:val="24"/>
          <w:szCs w:val="24"/>
        </w:rPr>
        <w:t xml:space="preserve"> Time series data on RGDP, EDTAX, GNI and HDI ranging from 2014 to 2023.</w:t>
      </w:r>
    </w:p>
    <w:tbl>
      <w:tblPr>
        <w:tblStyle w:val="style154"/>
        <w:tblW w:w="884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2324"/>
        <w:gridCol w:w="2256"/>
        <w:gridCol w:w="2008"/>
        <w:gridCol w:w="1173"/>
      </w:tblGrid>
      <w:tr w14:paraId="76319CB5">
        <w:trPr>
          <w:trHeight w:val="251" w:hRule="atLeast"/>
        </w:trPr>
        <w:tc>
          <w:tcPr>
            <w:tcW w:w="1083" w:type="dxa"/>
            <w:tcBorders>
              <w:top w:val="single" w:sz="4" w:space="0" w:color="auto"/>
              <w:bottom w:val="single" w:sz="4" w:space="0" w:color="auto"/>
            </w:tcBorders>
            <w:noWrap/>
            <w:hideMark/>
          </w:tcPr>
          <w:p w14:paraId="69E057A6">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w:t>
            </w:r>
          </w:p>
          <w:p w14:paraId="5E8F74D6">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YEAR</w:t>
            </w:r>
          </w:p>
        </w:tc>
        <w:tc>
          <w:tcPr>
            <w:tcW w:w="2324" w:type="dxa"/>
            <w:tcBorders>
              <w:top w:val="single" w:sz="4" w:space="0" w:color="auto"/>
              <w:bottom w:val="single" w:sz="4" w:space="0" w:color="auto"/>
            </w:tcBorders>
            <w:noWrap/>
            <w:hideMark/>
          </w:tcPr>
          <w:p w14:paraId="40822769">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RGDP </w:t>
            </w:r>
          </w:p>
          <w:p w14:paraId="5C2EAFAC">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(₦'BILLION)</w:t>
            </w:r>
          </w:p>
        </w:tc>
        <w:tc>
          <w:tcPr>
            <w:tcW w:w="2256" w:type="dxa"/>
            <w:tcBorders>
              <w:top w:val="single" w:sz="4" w:space="0" w:color="auto"/>
              <w:bottom w:val="single" w:sz="4" w:space="0" w:color="auto"/>
            </w:tcBorders>
            <w:noWrap/>
            <w:hideMark/>
          </w:tcPr>
          <w:p w14:paraId="06165319">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EDTAX</w:t>
            </w:r>
          </w:p>
          <w:p w14:paraId="217E91FE">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(₦'BILLION)</w:t>
            </w:r>
          </w:p>
        </w:tc>
        <w:tc>
          <w:tcPr>
            <w:tcW w:w="2008" w:type="dxa"/>
            <w:tcBorders>
              <w:top w:val="single" w:sz="4" w:space="0" w:color="auto"/>
              <w:bottom w:val="single" w:sz="4" w:space="0" w:color="auto"/>
            </w:tcBorders>
            <w:noWrap/>
            <w:hideMark/>
          </w:tcPr>
          <w:p w14:paraId="0FB381B0">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GNI</w:t>
            </w:r>
          </w:p>
          <w:p w14:paraId="7482EA31">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(₦'BILLION)</w:t>
            </w:r>
          </w:p>
        </w:tc>
        <w:tc>
          <w:tcPr>
            <w:tcW w:w="1173" w:type="dxa"/>
            <w:tcBorders>
              <w:top w:val="single" w:sz="4" w:space="0" w:color="auto"/>
              <w:bottom w:val="single" w:sz="4" w:space="0" w:color="auto"/>
            </w:tcBorders>
            <w:noWrap/>
            <w:hideMark/>
          </w:tcPr>
          <w:p w14:paraId="5D5F4EEA">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HDI </w:t>
            </w:r>
          </w:p>
          <w:p w14:paraId="2C633D40">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(Index)</w:t>
            </w:r>
          </w:p>
        </w:tc>
      </w:tr>
      <w:tr w14:paraId="404AC123">
        <w:tblPrEx/>
        <w:trPr>
          <w:trHeight w:val="240" w:hRule="atLeast"/>
        </w:trPr>
        <w:tc>
          <w:tcPr>
            <w:tcW w:w="1083" w:type="dxa"/>
            <w:tcBorders>
              <w:top w:val="single" w:sz="4" w:space="0" w:color="auto"/>
            </w:tcBorders>
            <w:noWrap/>
            <w:hideMark/>
          </w:tcPr>
          <w:p w14:paraId="6855D180">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2014</w:t>
            </w:r>
          </w:p>
        </w:tc>
        <w:tc>
          <w:tcPr>
            <w:tcW w:w="2324" w:type="dxa"/>
            <w:tcBorders>
              <w:top w:val="single" w:sz="4" w:space="0" w:color="auto"/>
            </w:tcBorders>
            <w:noWrap/>
            <w:hideMark/>
          </w:tcPr>
          <w:p w14:paraId="3F52FE2E">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67,152.79</w:t>
            </w:r>
          </w:p>
        </w:tc>
        <w:tc>
          <w:tcPr>
            <w:tcW w:w="2256" w:type="dxa"/>
            <w:tcBorders>
              <w:top w:val="single" w:sz="4" w:space="0" w:color="auto"/>
            </w:tcBorders>
            <w:noWrap/>
            <w:hideMark/>
          </w:tcPr>
          <w:p w14:paraId="6DEE0D04">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189.61</w:t>
            </w:r>
          </w:p>
        </w:tc>
        <w:tc>
          <w:tcPr>
            <w:tcW w:w="2008" w:type="dxa"/>
            <w:tcBorders>
              <w:top w:val="single" w:sz="4" w:space="0" w:color="auto"/>
            </w:tcBorders>
            <w:noWrap/>
            <w:hideMark/>
          </w:tcPr>
          <w:p w14:paraId="60763847">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87,128.87</w:t>
            </w:r>
          </w:p>
        </w:tc>
        <w:tc>
          <w:tcPr>
            <w:tcW w:w="1173" w:type="dxa"/>
            <w:tcBorders>
              <w:top w:val="single" w:sz="4" w:space="0" w:color="auto"/>
            </w:tcBorders>
            <w:noWrap/>
            <w:hideMark/>
          </w:tcPr>
          <w:p w14:paraId="3259F64D">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0.524</w:t>
            </w:r>
          </w:p>
        </w:tc>
      </w:tr>
      <w:tr w14:paraId="4DEE342B">
        <w:tblPrEx/>
        <w:trPr>
          <w:trHeight w:val="240" w:hRule="atLeast"/>
        </w:trPr>
        <w:tc>
          <w:tcPr>
            <w:tcW w:w="1083" w:type="dxa"/>
            <w:tcBorders/>
            <w:noWrap/>
            <w:hideMark/>
          </w:tcPr>
          <w:p w14:paraId="0EE03B67">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2015</w:t>
            </w:r>
          </w:p>
        </w:tc>
        <w:tc>
          <w:tcPr>
            <w:tcW w:w="2324" w:type="dxa"/>
            <w:tcBorders/>
            <w:noWrap/>
            <w:hideMark/>
          </w:tcPr>
          <w:p w14:paraId="4B53902C">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69,023.93</w:t>
            </w:r>
          </w:p>
        </w:tc>
        <w:tc>
          <w:tcPr>
            <w:tcW w:w="2256" w:type="dxa"/>
            <w:tcBorders/>
            <w:noWrap/>
            <w:hideMark/>
          </w:tcPr>
          <w:p w14:paraId="5FCEB2D6">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207.43</w:t>
            </w:r>
          </w:p>
        </w:tc>
        <w:tc>
          <w:tcPr>
            <w:tcW w:w="2008" w:type="dxa"/>
            <w:tcBorders/>
            <w:noWrap/>
            <w:hideMark/>
          </w:tcPr>
          <w:p w14:paraId="17AFA731">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92,724.53</w:t>
            </w:r>
          </w:p>
        </w:tc>
        <w:tc>
          <w:tcPr>
            <w:tcW w:w="1173" w:type="dxa"/>
            <w:tcBorders/>
            <w:noWrap/>
            <w:hideMark/>
          </w:tcPr>
          <w:p w14:paraId="48ADC869">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0.53</w:t>
            </w:r>
          </w:p>
        </w:tc>
      </w:tr>
      <w:tr w14:paraId="62C1819F">
        <w:tblPrEx/>
        <w:trPr>
          <w:trHeight w:val="240" w:hRule="atLeast"/>
        </w:trPr>
        <w:tc>
          <w:tcPr>
            <w:tcW w:w="1083" w:type="dxa"/>
            <w:tcBorders/>
            <w:noWrap/>
            <w:hideMark/>
          </w:tcPr>
          <w:p w14:paraId="46542F29">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2016</w:t>
            </w:r>
          </w:p>
        </w:tc>
        <w:tc>
          <w:tcPr>
            <w:tcW w:w="2324" w:type="dxa"/>
            <w:tcBorders/>
            <w:noWrap/>
            <w:hideMark/>
          </w:tcPr>
          <w:p w14:paraId="26A2140F">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67,984.20</w:t>
            </w:r>
          </w:p>
        </w:tc>
        <w:tc>
          <w:tcPr>
            <w:tcW w:w="2256" w:type="dxa"/>
            <w:tcBorders/>
            <w:noWrap/>
            <w:hideMark/>
          </w:tcPr>
          <w:p w14:paraId="32E846F6">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130.12</w:t>
            </w:r>
          </w:p>
        </w:tc>
        <w:tc>
          <w:tcPr>
            <w:tcW w:w="2008" w:type="dxa"/>
            <w:tcBorders/>
            <w:noWrap/>
            <w:hideMark/>
          </w:tcPr>
          <w:p w14:paraId="13F71819">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100,988.24</w:t>
            </w:r>
          </w:p>
        </w:tc>
        <w:tc>
          <w:tcPr>
            <w:tcW w:w="1173" w:type="dxa"/>
            <w:tcBorders/>
            <w:noWrap/>
            <w:hideMark/>
          </w:tcPr>
          <w:p w14:paraId="09642A90">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0.532</w:t>
            </w:r>
          </w:p>
        </w:tc>
      </w:tr>
      <w:tr w14:paraId="36C9CC23">
        <w:tblPrEx/>
        <w:trPr>
          <w:trHeight w:val="240" w:hRule="atLeast"/>
        </w:trPr>
        <w:tc>
          <w:tcPr>
            <w:tcW w:w="1083" w:type="dxa"/>
            <w:tcBorders/>
            <w:noWrap/>
            <w:hideMark/>
          </w:tcPr>
          <w:p w14:paraId="34968A27">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2017</w:t>
            </w:r>
          </w:p>
        </w:tc>
        <w:tc>
          <w:tcPr>
            <w:tcW w:w="2324" w:type="dxa"/>
            <w:tcBorders/>
            <w:noWrap/>
            <w:hideMark/>
          </w:tcPr>
          <w:p w14:paraId="0E3EC865">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68,490.98</w:t>
            </w:r>
          </w:p>
        </w:tc>
        <w:tc>
          <w:tcPr>
            <w:tcW w:w="2256" w:type="dxa"/>
            <w:tcBorders/>
            <w:noWrap/>
            <w:hideMark/>
          </w:tcPr>
          <w:p w14:paraId="199A9672">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154.96</w:t>
            </w:r>
          </w:p>
        </w:tc>
        <w:tc>
          <w:tcPr>
            <w:tcW w:w="2008" w:type="dxa"/>
            <w:tcBorders/>
            <w:noWrap/>
            <w:hideMark/>
          </w:tcPr>
          <w:p w14:paraId="5A8A5F64">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112,347.23</w:t>
            </w:r>
          </w:p>
        </w:tc>
        <w:tc>
          <w:tcPr>
            <w:tcW w:w="1173" w:type="dxa"/>
            <w:tcBorders/>
            <w:noWrap/>
            <w:hideMark/>
          </w:tcPr>
          <w:p w14:paraId="097A6037">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0.534</w:t>
            </w:r>
          </w:p>
        </w:tc>
      </w:tr>
      <w:tr w14:paraId="7157E21C">
        <w:tblPrEx/>
        <w:trPr>
          <w:trHeight w:val="240" w:hRule="atLeast"/>
        </w:trPr>
        <w:tc>
          <w:tcPr>
            <w:tcW w:w="1083" w:type="dxa"/>
            <w:tcBorders/>
            <w:noWrap/>
            <w:hideMark/>
          </w:tcPr>
          <w:p w14:paraId="76A9305B">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2018</w:t>
            </w:r>
          </w:p>
        </w:tc>
        <w:tc>
          <w:tcPr>
            <w:tcW w:w="2324" w:type="dxa"/>
            <w:tcBorders/>
            <w:noWrap/>
            <w:hideMark/>
          </w:tcPr>
          <w:p w14:paraId="53B10480">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69,810.02</w:t>
            </w:r>
          </w:p>
        </w:tc>
        <w:tc>
          <w:tcPr>
            <w:tcW w:w="2256" w:type="dxa"/>
            <w:tcBorders/>
            <w:noWrap/>
            <w:hideMark/>
          </w:tcPr>
          <w:p w14:paraId="49067CA3">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203.28</w:t>
            </w:r>
          </w:p>
        </w:tc>
        <w:tc>
          <w:tcPr>
            <w:tcW w:w="2008" w:type="dxa"/>
            <w:tcBorders/>
            <w:noWrap/>
            <w:hideMark/>
          </w:tcPr>
          <w:p w14:paraId="18E866C3">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125,642.75</w:t>
            </w:r>
          </w:p>
        </w:tc>
        <w:tc>
          <w:tcPr>
            <w:tcW w:w="1173" w:type="dxa"/>
            <w:tcBorders/>
            <w:noWrap/>
            <w:hideMark/>
          </w:tcPr>
          <w:p w14:paraId="26BB0FBF">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0.537</w:t>
            </w:r>
          </w:p>
        </w:tc>
      </w:tr>
      <w:tr w14:paraId="1AB97015">
        <w:tblPrEx/>
        <w:trPr>
          <w:trHeight w:val="240" w:hRule="atLeast"/>
        </w:trPr>
        <w:tc>
          <w:tcPr>
            <w:tcW w:w="1083" w:type="dxa"/>
            <w:tcBorders/>
            <w:noWrap/>
            <w:hideMark/>
          </w:tcPr>
          <w:p w14:paraId="538A3033">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2019</w:t>
            </w:r>
          </w:p>
        </w:tc>
        <w:tc>
          <w:tcPr>
            <w:tcW w:w="2324" w:type="dxa"/>
            <w:tcBorders/>
            <w:noWrap/>
            <w:hideMark/>
          </w:tcPr>
          <w:p w14:paraId="7768013F">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71,387.83</w:t>
            </w:r>
          </w:p>
        </w:tc>
        <w:tc>
          <w:tcPr>
            <w:tcW w:w="2256" w:type="dxa"/>
            <w:tcBorders/>
            <w:noWrap/>
            <w:hideMark/>
          </w:tcPr>
          <w:p w14:paraId="6C04BD3A">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221.3</w:t>
            </w:r>
          </w:p>
        </w:tc>
        <w:tc>
          <w:tcPr>
            <w:tcW w:w="2008" w:type="dxa"/>
            <w:tcBorders/>
            <w:noWrap/>
            <w:hideMark/>
          </w:tcPr>
          <w:p w14:paraId="0CDC5747">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202,278.70</w:t>
            </w:r>
          </w:p>
        </w:tc>
        <w:tc>
          <w:tcPr>
            <w:tcW w:w="1173" w:type="dxa"/>
            <w:tcBorders/>
            <w:noWrap/>
            <w:hideMark/>
          </w:tcPr>
          <w:p w14:paraId="7C0D0659">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0.544</w:t>
            </w:r>
          </w:p>
        </w:tc>
      </w:tr>
      <w:tr w14:paraId="5A78E545">
        <w:tblPrEx/>
        <w:trPr>
          <w:trHeight w:val="240" w:hRule="atLeast"/>
        </w:trPr>
        <w:tc>
          <w:tcPr>
            <w:tcW w:w="1083" w:type="dxa"/>
            <w:tcBorders/>
            <w:noWrap/>
            <w:hideMark/>
          </w:tcPr>
          <w:p w14:paraId="570D90E5">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2020</w:t>
            </w:r>
          </w:p>
        </w:tc>
        <w:tc>
          <w:tcPr>
            <w:tcW w:w="2324" w:type="dxa"/>
            <w:tcBorders/>
            <w:noWrap/>
            <w:hideMark/>
          </w:tcPr>
          <w:p w14:paraId="3E7C9508">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70,014.37</w:t>
            </w:r>
          </w:p>
        </w:tc>
        <w:tc>
          <w:tcPr>
            <w:tcW w:w="2256" w:type="dxa"/>
            <w:tcBorders/>
            <w:noWrap/>
            <w:hideMark/>
          </w:tcPr>
          <w:p w14:paraId="4C6E26B4">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257.01</w:t>
            </w:r>
          </w:p>
        </w:tc>
        <w:tc>
          <w:tcPr>
            <w:tcW w:w="2008" w:type="dxa"/>
            <w:tcBorders/>
            <w:noWrap/>
            <w:hideMark/>
          </w:tcPr>
          <w:p w14:paraId="38CF9637">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211,935.03</w:t>
            </w:r>
          </w:p>
        </w:tc>
        <w:tc>
          <w:tcPr>
            <w:tcW w:w="1173" w:type="dxa"/>
            <w:tcBorders/>
            <w:noWrap/>
            <w:hideMark/>
          </w:tcPr>
          <w:p w14:paraId="0EC2991F">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0.547</w:t>
            </w:r>
          </w:p>
        </w:tc>
      </w:tr>
      <w:tr w14:paraId="0DD9BDFE">
        <w:tblPrEx/>
        <w:trPr>
          <w:trHeight w:val="240" w:hRule="atLeast"/>
        </w:trPr>
        <w:tc>
          <w:tcPr>
            <w:tcW w:w="1083" w:type="dxa"/>
            <w:tcBorders/>
            <w:noWrap/>
            <w:hideMark/>
          </w:tcPr>
          <w:p w14:paraId="6B006BF2">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2021</w:t>
            </w:r>
          </w:p>
        </w:tc>
        <w:tc>
          <w:tcPr>
            <w:tcW w:w="2324" w:type="dxa"/>
            <w:tcBorders/>
            <w:noWrap/>
            <w:hideMark/>
          </w:tcPr>
          <w:p w14:paraId="0A3A01A1">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72,393.67</w:t>
            </w:r>
          </w:p>
        </w:tc>
        <w:tc>
          <w:tcPr>
            <w:tcW w:w="2256" w:type="dxa"/>
            <w:tcBorders/>
            <w:noWrap/>
            <w:hideMark/>
          </w:tcPr>
          <w:p w14:paraId="6E5D2160">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189.54</w:t>
            </w:r>
          </w:p>
        </w:tc>
        <w:tc>
          <w:tcPr>
            <w:tcW w:w="2008" w:type="dxa"/>
            <w:tcBorders/>
            <w:noWrap/>
            <w:hideMark/>
          </w:tcPr>
          <w:p w14:paraId="05D6604E">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239,874.48</w:t>
            </w:r>
          </w:p>
        </w:tc>
        <w:tc>
          <w:tcPr>
            <w:tcW w:w="1173" w:type="dxa"/>
            <w:tcBorders/>
            <w:noWrap/>
            <w:hideMark/>
          </w:tcPr>
          <w:p w14:paraId="0C3950B4">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0.554</w:t>
            </w:r>
          </w:p>
        </w:tc>
      </w:tr>
      <w:tr w14:paraId="2D1DDBFC">
        <w:tblPrEx/>
        <w:trPr>
          <w:trHeight w:val="240" w:hRule="atLeast"/>
        </w:trPr>
        <w:tc>
          <w:tcPr>
            <w:tcW w:w="1083" w:type="dxa"/>
            <w:tcBorders/>
            <w:noWrap/>
            <w:hideMark/>
          </w:tcPr>
          <w:p w14:paraId="755A8061">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2022</w:t>
            </w:r>
          </w:p>
        </w:tc>
        <w:tc>
          <w:tcPr>
            <w:tcW w:w="2324" w:type="dxa"/>
            <w:tcBorders/>
            <w:noWrap/>
            <w:hideMark/>
          </w:tcPr>
          <w:p w14:paraId="2BFBF18A">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74,639.47</w:t>
            </w:r>
          </w:p>
        </w:tc>
        <w:tc>
          <w:tcPr>
            <w:tcW w:w="2256" w:type="dxa"/>
            <w:tcBorders/>
            <w:noWrap/>
            <w:hideMark/>
          </w:tcPr>
          <w:p w14:paraId="7B6E0EF9">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328.74</w:t>
            </w:r>
          </w:p>
        </w:tc>
        <w:tc>
          <w:tcPr>
            <w:tcW w:w="2008" w:type="dxa"/>
            <w:tcBorders/>
            <w:noWrap/>
            <w:hideMark/>
          </w:tcPr>
          <w:p w14:paraId="4841707A">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268,777.20</w:t>
            </w:r>
          </w:p>
        </w:tc>
        <w:tc>
          <w:tcPr>
            <w:tcW w:w="1173" w:type="dxa"/>
            <w:tcBorders/>
            <w:noWrap/>
            <w:hideMark/>
          </w:tcPr>
          <w:p w14:paraId="1184C247">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0.547</w:t>
            </w:r>
          </w:p>
        </w:tc>
      </w:tr>
      <w:tr w14:paraId="4334DE25">
        <w:tblPrEx/>
        <w:trPr>
          <w:trHeight w:val="240" w:hRule="atLeast"/>
        </w:trPr>
        <w:tc>
          <w:tcPr>
            <w:tcW w:w="1083" w:type="dxa"/>
            <w:tcBorders/>
            <w:noWrap/>
            <w:hideMark/>
          </w:tcPr>
          <w:p w14:paraId="6D8D233E">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2023</w:t>
            </w:r>
          </w:p>
        </w:tc>
        <w:tc>
          <w:tcPr>
            <w:tcW w:w="2324" w:type="dxa"/>
            <w:tcBorders/>
            <w:noWrap/>
            <w:hideMark/>
          </w:tcPr>
          <w:p w14:paraId="5A8DF36A">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76,684.94</w:t>
            </w:r>
          </w:p>
        </w:tc>
        <w:tc>
          <w:tcPr>
            <w:tcW w:w="2256" w:type="dxa"/>
            <w:tcBorders/>
            <w:noWrap/>
            <w:hideMark/>
          </w:tcPr>
          <w:p w14:paraId="12C006F2">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725.75</w:t>
            </w:r>
          </w:p>
        </w:tc>
        <w:tc>
          <w:tcPr>
            <w:tcW w:w="2008" w:type="dxa"/>
            <w:tcBorders/>
            <w:noWrap/>
            <w:hideMark/>
          </w:tcPr>
          <w:p w14:paraId="6BD738CB">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306,974.80</w:t>
            </w:r>
          </w:p>
        </w:tc>
        <w:tc>
          <w:tcPr>
            <w:tcW w:w="1173" w:type="dxa"/>
            <w:tcBorders/>
            <w:noWrap/>
            <w:hideMark/>
          </w:tcPr>
          <w:p w14:paraId="3AAABD81">
            <w:pPr>
              <w:pStyle w:val="styl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0.56</w:t>
            </w:r>
          </w:p>
        </w:tc>
      </w:tr>
    </w:tbl>
    <w:p w14:paraId="5E3B1AF0">
      <w:pPr>
        <w:pStyle w:val="style0"/>
        <w:spacing w:after="0" w:lineRule="auto" w:line="240"/>
        <w:jc w:val="both"/>
        <w:rPr>
          <w:rFonts w:ascii="Times New Roman" w:cs="Times New Roman" w:hAnsi="Times New Roman"/>
          <w:bCs/>
          <w:iCs/>
          <w:sz w:val="24"/>
          <w:szCs w:val="24"/>
        </w:rPr>
      </w:pPr>
      <w:r>
        <w:rPr>
          <w:rFonts w:ascii="Times New Roman" w:cs="Times New Roman" w:hAnsi="Times New Roman"/>
          <w:b/>
          <w:bCs/>
          <w:iCs/>
          <w:sz w:val="24"/>
          <w:szCs w:val="24"/>
        </w:rPr>
        <w:t>Source:</w:t>
      </w:r>
      <w:r>
        <w:rPr>
          <w:rFonts w:ascii="Times New Roman" w:cs="Times New Roman" w:hAnsi="Times New Roman"/>
          <w:b/>
          <w:bCs/>
          <w:i/>
          <w:iCs/>
          <w:sz w:val="24"/>
          <w:szCs w:val="24"/>
        </w:rPr>
        <w:t xml:space="preserve"> </w:t>
      </w:r>
      <w:r>
        <w:rPr>
          <w:rFonts w:ascii="Times New Roman" w:cs="Times New Roman" w:hAnsi="Times New Roman"/>
          <w:bCs/>
          <w:iCs/>
          <w:sz w:val="24"/>
          <w:szCs w:val="24"/>
        </w:rPr>
        <w:t>NBS Quarterly GDP Reports (various years), CBN Statistical Bulletin (various years) TETFUND Annual Report (2024), World Bank World Development Indicators (2025), UNDP Human Development Report Office (2024)</w:t>
      </w:r>
    </w:p>
    <w:p w14:paraId="1C855FCD">
      <w:pPr>
        <w:pStyle w:val="style0"/>
        <w:spacing w:after="0" w:lineRule="auto" w:line="480"/>
        <w:jc w:val="both"/>
        <w:rPr>
          <w:rFonts w:ascii="Times New Roman" w:cs="Times New Roman" w:hAnsi="Times New Roman"/>
          <w:b/>
          <w:bCs/>
          <w:sz w:val="24"/>
          <w:szCs w:val="24"/>
        </w:rPr>
      </w:pPr>
    </w:p>
    <w:p w14:paraId="43B9038E">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4.2 Descriptive Statistics </w:t>
      </w:r>
    </w:p>
    <w:p w14:paraId="2BCA2E63">
      <w:pPr>
        <w:pStyle w:val="style0"/>
        <w:rPr>
          <w:rFonts w:ascii="Times New Roman" w:cs="Times New Roman" w:hAnsi="Times New Roman"/>
          <w:sz w:val="24"/>
          <w:szCs w:val="24"/>
        </w:rPr>
      </w:pPr>
      <w:r>
        <w:rPr>
          <w:rFonts w:ascii="Times New Roman" w:cs="Times New Roman" w:hAnsi="Times New Roman"/>
          <w:sz w:val="24"/>
          <w:szCs w:val="24"/>
        </w:rPr>
        <w:t>Table 3 illustrates the descriptive stats of every factor utilized in the analyses for 2014 to 2023, presenting the average and spread for every series.</w:t>
      </w:r>
    </w:p>
    <w:p w14:paraId="0662509A">
      <w:pPr>
        <w:pStyle w:val="style0"/>
        <w:spacing w:after="0" w:lineRule="auto" w:line="240"/>
        <w:jc w:val="both"/>
        <w:rPr>
          <w:rFonts w:ascii="Times New Roman" w:cs="Times New Roman" w:hAnsi="Times New Roman"/>
          <w:sz w:val="24"/>
          <w:szCs w:val="24"/>
        </w:rPr>
      </w:pPr>
      <w:r>
        <w:rPr>
          <w:rFonts w:ascii="Times New Roman" w:cs="Times New Roman" w:eastAsia="Times New Roman" w:hAnsi="Times New Roman"/>
          <w:b/>
          <w:color w:val="000000"/>
          <w:sz w:val="24"/>
          <w:szCs w:val="24"/>
        </w:rPr>
        <w:t xml:space="preserve">Table 3: </w:t>
      </w:r>
      <w:r>
        <w:rPr>
          <w:rFonts w:ascii="Times New Roman" w:cs="Times New Roman" w:eastAsia="Times New Roman" w:hAnsi="Times New Roman"/>
          <w:color w:val="000000"/>
          <w:sz w:val="24"/>
          <w:szCs w:val="24"/>
        </w:rPr>
        <w:t xml:space="preserve">Descriptive Statistics </w:t>
      </w:r>
    </w:p>
    <w:tbl>
      <w:tblPr>
        <w:tblW w:w="9445" w:type="dxa"/>
        <w:tblBorders>
          <w:top w:val="single" w:sz="4" w:space="0" w:color="auto"/>
          <w:bottom w:val="single" w:sz="4" w:space="0" w:color="auto"/>
        </w:tblBorders>
        <w:tblLook w:val="04A0" w:firstRow="1" w:lastRow="0" w:firstColumn="1" w:lastColumn="0" w:noHBand="0" w:noVBand="1"/>
      </w:tblPr>
      <w:tblGrid>
        <w:gridCol w:w="1880"/>
        <w:gridCol w:w="1154"/>
        <w:gridCol w:w="1573"/>
        <w:gridCol w:w="1446"/>
        <w:gridCol w:w="1640"/>
        <w:gridCol w:w="1752"/>
      </w:tblGrid>
      <w:tr w14:paraId="2818F012">
        <w:trPr>
          <w:trHeight w:val="257" w:hRule="atLeast"/>
        </w:trPr>
        <w:tc>
          <w:tcPr>
            <w:tcW w:w="1880" w:type="dxa"/>
            <w:tcBorders>
              <w:top w:val="single" w:sz="4" w:space="0" w:color="auto"/>
              <w:bottom w:val="single" w:sz="4" w:space="0" w:color="auto"/>
            </w:tcBorders>
            <w:noWrap/>
            <w:vAlign w:val="bottom"/>
            <w:hideMark/>
          </w:tcPr>
          <w:p w14:paraId="04BAE61C">
            <w:pPr>
              <w:pStyle w:val="style0"/>
              <w:spacing w:after="0" w:lineRule="auto" w:line="240"/>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Variables</w:t>
            </w:r>
          </w:p>
        </w:tc>
        <w:tc>
          <w:tcPr>
            <w:tcW w:w="1154" w:type="dxa"/>
            <w:tcBorders>
              <w:top w:val="single" w:sz="4" w:space="0" w:color="auto"/>
              <w:bottom w:val="single" w:sz="4" w:space="0" w:color="auto"/>
            </w:tcBorders>
            <w:noWrap/>
            <w:vAlign w:val="bottom"/>
            <w:hideMark/>
          </w:tcPr>
          <w:p w14:paraId="111A8290">
            <w:pPr>
              <w:pStyle w:val="style0"/>
              <w:spacing w:after="0" w:lineRule="auto" w:line="240"/>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Obs.</w:t>
            </w:r>
          </w:p>
        </w:tc>
        <w:tc>
          <w:tcPr>
            <w:tcW w:w="1573" w:type="dxa"/>
            <w:tcBorders>
              <w:top w:val="single" w:sz="4" w:space="0" w:color="auto"/>
              <w:bottom w:val="single" w:sz="4" w:space="0" w:color="auto"/>
            </w:tcBorders>
            <w:noWrap/>
            <w:vAlign w:val="bottom"/>
            <w:hideMark/>
          </w:tcPr>
          <w:p w14:paraId="410F7F3E">
            <w:pPr>
              <w:pStyle w:val="style0"/>
              <w:spacing w:after="0" w:lineRule="auto" w:line="240"/>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Mean</w:t>
            </w:r>
          </w:p>
        </w:tc>
        <w:tc>
          <w:tcPr>
            <w:tcW w:w="1446" w:type="dxa"/>
            <w:tcBorders>
              <w:top w:val="single" w:sz="4" w:space="0" w:color="auto"/>
              <w:bottom w:val="single" w:sz="4" w:space="0" w:color="auto"/>
            </w:tcBorders>
            <w:noWrap/>
            <w:vAlign w:val="bottom"/>
            <w:hideMark/>
          </w:tcPr>
          <w:p w14:paraId="0A913875">
            <w:pPr>
              <w:pStyle w:val="style0"/>
              <w:spacing w:after="0" w:lineRule="auto" w:line="240"/>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Std. Dev.</w:t>
            </w:r>
          </w:p>
        </w:tc>
        <w:tc>
          <w:tcPr>
            <w:tcW w:w="1640" w:type="dxa"/>
            <w:tcBorders>
              <w:top w:val="single" w:sz="4" w:space="0" w:color="auto"/>
              <w:bottom w:val="single" w:sz="4" w:space="0" w:color="auto"/>
            </w:tcBorders>
            <w:noWrap/>
            <w:vAlign w:val="bottom"/>
            <w:hideMark/>
          </w:tcPr>
          <w:p w14:paraId="002F8632">
            <w:pPr>
              <w:pStyle w:val="style0"/>
              <w:spacing w:after="0" w:lineRule="auto" w:line="240"/>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Minimum</w:t>
            </w:r>
          </w:p>
        </w:tc>
        <w:tc>
          <w:tcPr>
            <w:tcW w:w="1752" w:type="dxa"/>
            <w:tcBorders>
              <w:top w:val="single" w:sz="4" w:space="0" w:color="auto"/>
              <w:bottom w:val="single" w:sz="4" w:space="0" w:color="auto"/>
            </w:tcBorders>
            <w:noWrap/>
            <w:vAlign w:val="bottom"/>
            <w:hideMark/>
          </w:tcPr>
          <w:p w14:paraId="3A3BEDA7">
            <w:pPr>
              <w:pStyle w:val="style0"/>
              <w:spacing w:after="0" w:lineRule="auto" w:line="240"/>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Maximum</w:t>
            </w:r>
          </w:p>
        </w:tc>
      </w:tr>
      <w:tr w14:paraId="381B2E4E">
        <w:tblPrEx/>
        <w:trPr>
          <w:trHeight w:val="257" w:hRule="atLeast"/>
        </w:trPr>
        <w:tc>
          <w:tcPr>
            <w:tcW w:w="1880" w:type="dxa"/>
            <w:tcBorders>
              <w:top w:val="single" w:sz="4" w:space="0" w:color="auto"/>
            </w:tcBorders>
            <w:noWrap/>
            <w:vAlign w:val="bottom"/>
            <w:hideMark/>
          </w:tcPr>
          <w:p w14:paraId="5FBEA094">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RDGP</w:t>
            </w:r>
          </w:p>
        </w:tc>
        <w:tc>
          <w:tcPr>
            <w:tcW w:w="1154" w:type="dxa"/>
            <w:tcBorders>
              <w:top w:val="single" w:sz="4" w:space="0" w:color="auto"/>
            </w:tcBorders>
            <w:noWrap/>
            <w:vAlign w:val="bottom"/>
            <w:hideMark/>
          </w:tcPr>
          <w:p w14:paraId="2F2336E4">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10</w:t>
            </w:r>
          </w:p>
        </w:tc>
        <w:tc>
          <w:tcPr>
            <w:tcW w:w="1573" w:type="dxa"/>
            <w:tcBorders>
              <w:top w:val="single" w:sz="4" w:space="0" w:color="auto"/>
            </w:tcBorders>
            <w:noWrap/>
            <w:vAlign w:val="bottom"/>
            <w:hideMark/>
          </w:tcPr>
          <w:p w14:paraId="74FD9C98">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70758.22</w:t>
            </w:r>
          </w:p>
        </w:tc>
        <w:tc>
          <w:tcPr>
            <w:tcW w:w="1446" w:type="dxa"/>
            <w:tcBorders>
              <w:top w:val="single" w:sz="4" w:space="0" w:color="auto"/>
            </w:tcBorders>
            <w:noWrap/>
            <w:vAlign w:val="bottom"/>
            <w:hideMark/>
          </w:tcPr>
          <w:p w14:paraId="406D7645">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3046.97</w:t>
            </w:r>
          </w:p>
        </w:tc>
        <w:tc>
          <w:tcPr>
            <w:tcW w:w="1640" w:type="dxa"/>
            <w:tcBorders>
              <w:top w:val="single" w:sz="4" w:space="0" w:color="auto"/>
            </w:tcBorders>
            <w:noWrap/>
            <w:vAlign w:val="bottom"/>
            <w:hideMark/>
          </w:tcPr>
          <w:p w14:paraId="425F0311">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67152.79</w:t>
            </w:r>
          </w:p>
        </w:tc>
        <w:tc>
          <w:tcPr>
            <w:tcW w:w="1752" w:type="dxa"/>
            <w:tcBorders>
              <w:top w:val="single" w:sz="4" w:space="0" w:color="auto"/>
            </w:tcBorders>
            <w:noWrap/>
            <w:vAlign w:val="bottom"/>
            <w:hideMark/>
          </w:tcPr>
          <w:p w14:paraId="52058063">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76684.94</w:t>
            </w:r>
          </w:p>
        </w:tc>
      </w:tr>
      <w:tr w14:paraId="4DF892BB">
        <w:tblPrEx/>
        <w:trPr>
          <w:trHeight w:val="257" w:hRule="atLeast"/>
        </w:trPr>
        <w:tc>
          <w:tcPr>
            <w:tcW w:w="1880" w:type="dxa"/>
            <w:tcBorders/>
            <w:noWrap/>
            <w:vAlign w:val="bottom"/>
            <w:hideMark/>
          </w:tcPr>
          <w:p w14:paraId="05CC4619">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EDTAX</w:t>
            </w:r>
          </w:p>
        </w:tc>
        <w:tc>
          <w:tcPr>
            <w:tcW w:w="1154" w:type="dxa"/>
            <w:tcBorders/>
            <w:noWrap/>
            <w:vAlign w:val="bottom"/>
            <w:hideMark/>
          </w:tcPr>
          <w:p w14:paraId="08A9E5CE">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10</w:t>
            </w:r>
          </w:p>
        </w:tc>
        <w:tc>
          <w:tcPr>
            <w:tcW w:w="1573" w:type="dxa"/>
            <w:tcBorders/>
            <w:noWrap/>
            <w:vAlign w:val="bottom"/>
            <w:hideMark/>
          </w:tcPr>
          <w:p w14:paraId="78E1D691">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260.77</w:t>
            </w:r>
          </w:p>
        </w:tc>
        <w:tc>
          <w:tcPr>
            <w:tcW w:w="1446" w:type="dxa"/>
            <w:tcBorders/>
            <w:noWrap/>
            <w:vAlign w:val="bottom"/>
            <w:hideMark/>
          </w:tcPr>
          <w:p w14:paraId="0AF16480">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172.22</w:t>
            </w:r>
          </w:p>
        </w:tc>
        <w:tc>
          <w:tcPr>
            <w:tcW w:w="1640" w:type="dxa"/>
            <w:tcBorders/>
            <w:noWrap/>
            <w:vAlign w:val="bottom"/>
            <w:hideMark/>
          </w:tcPr>
          <w:p w14:paraId="69A944A9">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130.12</w:t>
            </w:r>
          </w:p>
        </w:tc>
        <w:tc>
          <w:tcPr>
            <w:tcW w:w="1752" w:type="dxa"/>
            <w:tcBorders/>
            <w:noWrap/>
            <w:vAlign w:val="bottom"/>
            <w:hideMark/>
          </w:tcPr>
          <w:p w14:paraId="1DBBF026">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725.75</w:t>
            </w:r>
          </w:p>
        </w:tc>
      </w:tr>
      <w:tr w14:paraId="2950ACEE">
        <w:tblPrEx/>
        <w:trPr>
          <w:trHeight w:val="257" w:hRule="atLeast"/>
        </w:trPr>
        <w:tc>
          <w:tcPr>
            <w:tcW w:w="1880" w:type="dxa"/>
            <w:tcBorders/>
            <w:noWrap/>
            <w:vAlign w:val="bottom"/>
            <w:hideMark/>
          </w:tcPr>
          <w:p w14:paraId="54220139">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GNI</w:t>
            </w:r>
          </w:p>
        </w:tc>
        <w:tc>
          <w:tcPr>
            <w:tcW w:w="1154" w:type="dxa"/>
            <w:tcBorders/>
            <w:noWrap/>
            <w:vAlign w:val="bottom"/>
            <w:hideMark/>
          </w:tcPr>
          <w:p w14:paraId="3795DA20">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10</w:t>
            </w:r>
          </w:p>
        </w:tc>
        <w:tc>
          <w:tcPr>
            <w:tcW w:w="1573" w:type="dxa"/>
            <w:tcBorders/>
            <w:noWrap/>
            <w:vAlign w:val="bottom"/>
            <w:hideMark/>
          </w:tcPr>
          <w:p w14:paraId="0ADDBF1E">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174867.18</w:t>
            </w:r>
          </w:p>
        </w:tc>
        <w:tc>
          <w:tcPr>
            <w:tcW w:w="1446" w:type="dxa"/>
            <w:tcBorders/>
            <w:noWrap/>
            <w:vAlign w:val="bottom"/>
            <w:hideMark/>
          </w:tcPr>
          <w:p w14:paraId="77F98BEE">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80869.03</w:t>
            </w:r>
          </w:p>
        </w:tc>
        <w:tc>
          <w:tcPr>
            <w:tcW w:w="1640" w:type="dxa"/>
            <w:tcBorders/>
            <w:noWrap/>
            <w:vAlign w:val="bottom"/>
            <w:hideMark/>
          </w:tcPr>
          <w:p w14:paraId="3B7A25D8">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87128.87</w:t>
            </w:r>
          </w:p>
        </w:tc>
        <w:tc>
          <w:tcPr>
            <w:tcW w:w="1752" w:type="dxa"/>
            <w:tcBorders/>
            <w:noWrap/>
            <w:vAlign w:val="bottom"/>
            <w:hideMark/>
          </w:tcPr>
          <w:p w14:paraId="580A9706">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306974.8</w:t>
            </w:r>
          </w:p>
        </w:tc>
      </w:tr>
      <w:tr w14:paraId="03D230A5">
        <w:tblPrEx/>
        <w:trPr>
          <w:trHeight w:val="257" w:hRule="atLeast"/>
        </w:trPr>
        <w:tc>
          <w:tcPr>
            <w:tcW w:w="1880" w:type="dxa"/>
            <w:tcBorders/>
            <w:noWrap/>
            <w:vAlign w:val="bottom"/>
            <w:hideMark/>
          </w:tcPr>
          <w:p w14:paraId="1706E195">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HDI</w:t>
            </w:r>
          </w:p>
        </w:tc>
        <w:tc>
          <w:tcPr>
            <w:tcW w:w="1154" w:type="dxa"/>
            <w:tcBorders/>
            <w:noWrap/>
            <w:vAlign w:val="bottom"/>
            <w:hideMark/>
          </w:tcPr>
          <w:p w14:paraId="7E08D0AA">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10</w:t>
            </w:r>
          </w:p>
        </w:tc>
        <w:tc>
          <w:tcPr>
            <w:tcW w:w="1573" w:type="dxa"/>
            <w:tcBorders/>
            <w:noWrap/>
            <w:vAlign w:val="bottom"/>
            <w:hideMark/>
          </w:tcPr>
          <w:p w14:paraId="333A0B29">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0.54</w:t>
            </w:r>
          </w:p>
        </w:tc>
        <w:tc>
          <w:tcPr>
            <w:tcW w:w="1446" w:type="dxa"/>
            <w:tcBorders/>
            <w:noWrap/>
            <w:vAlign w:val="bottom"/>
            <w:hideMark/>
          </w:tcPr>
          <w:p w14:paraId="54CAF20B">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0.01</w:t>
            </w:r>
          </w:p>
        </w:tc>
        <w:tc>
          <w:tcPr>
            <w:tcW w:w="1640" w:type="dxa"/>
            <w:tcBorders/>
            <w:noWrap/>
            <w:vAlign w:val="bottom"/>
            <w:hideMark/>
          </w:tcPr>
          <w:p w14:paraId="08B47B26">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0.54</w:t>
            </w:r>
          </w:p>
        </w:tc>
        <w:tc>
          <w:tcPr>
            <w:tcW w:w="1752" w:type="dxa"/>
            <w:tcBorders/>
            <w:noWrap/>
            <w:vAlign w:val="bottom"/>
            <w:hideMark/>
          </w:tcPr>
          <w:p w14:paraId="0EE50A8B">
            <w:pPr>
              <w:pStyle w:val="style0"/>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0.56</w:t>
            </w:r>
          </w:p>
        </w:tc>
      </w:tr>
    </w:tbl>
    <w:p w14:paraId="31A0DB9F">
      <w:pPr>
        <w:pStyle w:val="style0"/>
        <w:spacing w:after="0" w:lineRule="auto" w:line="480"/>
        <w:jc w:val="both"/>
        <w:rPr>
          <w:rFonts w:ascii="Times New Roman" w:cs="Times New Roman" w:hAnsi="Times New Roman"/>
          <w:bCs/>
          <w:iCs/>
          <w:sz w:val="24"/>
          <w:szCs w:val="24"/>
        </w:rPr>
      </w:pPr>
      <w:r>
        <w:rPr>
          <w:rFonts w:ascii="Times New Roman" w:cs="Times New Roman" w:hAnsi="Times New Roman"/>
          <w:b/>
          <w:bCs/>
          <w:iCs/>
          <w:sz w:val="24"/>
          <w:szCs w:val="24"/>
        </w:rPr>
        <w:t>Source:</w:t>
      </w:r>
      <w:r>
        <w:rPr>
          <w:rFonts w:ascii="Times New Roman" w:cs="Times New Roman" w:hAnsi="Times New Roman"/>
          <w:bCs/>
          <w:iCs/>
          <w:sz w:val="24"/>
          <w:szCs w:val="24"/>
        </w:rPr>
        <w:t xml:space="preserve"> Author’s computation, 2026</w:t>
      </w:r>
    </w:p>
    <w:p w14:paraId="031626A7">
      <w:pPr>
        <w:pStyle w:val="style0"/>
        <w:spacing w:after="0" w:lineRule="auto" w:line="480"/>
        <w:jc w:val="both"/>
        <w:rPr>
          <w:rFonts w:ascii="Times New Roman" w:cs="Times New Roman" w:eastAsia="Times New Roman" w:hAnsi="Times New Roman"/>
          <w:sz w:val="24"/>
          <w:szCs w:val="24"/>
        </w:rPr>
      </w:pPr>
      <w:r>
        <w:rPr>
          <w:rFonts w:ascii="Times New Roman" w:cs="Times New Roman" w:hAnsi="Times New Roman"/>
          <w:sz w:val="24"/>
          <w:szCs w:val="24"/>
        </w:rPr>
        <w:t xml:space="preserve">From table 3, </w:t>
      </w:r>
      <w:r>
        <w:rPr>
          <w:rFonts w:ascii="Times New Roman" w:cs="Times New Roman" w:eastAsia="Times New Roman" w:hAnsi="Times New Roman"/>
          <w:sz w:val="24"/>
          <w:szCs w:val="24"/>
        </w:rPr>
        <w:t xml:space="preserve">Education Tax revenue (EDTAX) recorded a mean of ₦260.77 billion over the period of the study, with a standard deviation of ₦172.22 billion. The relatively high standard </w:t>
      </w:r>
      <w:r>
        <w:rPr>
          <w:rFonts w:ascii="Times New Roman" w:cs="Times New Roman" w:eastAsia="Times New Roman" w:hAnsi="Times New Roman"/>
          <w:sz w:val="24"/>
          <w:szCs w:val="24"/>
        </w:rPr>
        <w:t>deviation indicates significant year-to-year variability in EDTAX collections, driven by changes in the education tax rate, macroeconomic shocks, and fluctuations in corporate profitability. The minimum EDTAX value of ₦130.12 billion was recorded in 2016 at the peak of the economic recession, while the maximum of ₦725.75 billion was recorded in 2023.</w:t>
      </w:r>
      <w:r>
        <w:rPr>
          <w:rFonts w:ascii="Times New Roman" w:cs="Times New Roman" w:hAnsi="Times New Roman"/>
          <w:sz w:val="24"/>
          <w:szCs w:val="24"/>
        </w:rPr>
        <w:t xml:space="preserve"> </w:t>
      </w:r>
      <w:r>
        <w:rPr>
          <w:rFonts w:ascii="Times New Roman" w:cs="Times New Roman" w:eastAsia="Times New Roman" w:hAnsi="Times New Roman"/>
          <w:sz w:val="24"/>
          <w:szCs w:val="24"/>
        </w:rPr>
        <w:t>Real GDP (RGDP) averaged ₦70758.22 billion over the period of the study, with a standard deviation of ₦3046.97 billion, indicating moderate variability consistent with Nigeria's generally positive but occasionally interrupted real growth trajectory. GNI recorded an average of ₦174867.18 billion, with a high standard deviation of ₦80869.03 billion, reflecting the strong nominal growth in national income driven largely by inflation particularly from 2019 onwards. The HDI recorded a mean of 0.5419, with a very low standard deviation of 0.0124, confirming the gradual and consistent nature of Nigeria's human development improvements over the study period.</w:t>
      </w:r>
    </w:p>
    <w:p w14:paraId="03D57783">
      <w:pPr>
        <w:pStyle w:val="style0"/>
        <w:spacing w:after="0" w:lineRule="auto" w:line="480"/>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4.3 Analysis of Data</w:t>
      </w:r>
    </w:p>
    <w:p w14:paraId="2F56A1D4">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The study used simple linear regression techniques for data analysis with the aid of Econometric Views 12.0 statistical software package. </w:t>
      </w:r>
    </w:p>
    <w:p w14:paraId="298B0631">
      <w:pPr>
        <w:pStyle w:val="style0"/>
        <w:spacing w:after="0" w:lineRule="auto" w:line="480"/>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4.3.1 Regression Model 1 </w:t>
      </w:r>
    </w:p>
    <w:p w14:paraId="55795BA1">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In this regression model, the dependent factor utilized was real gross national products (RGDP) and the independent variable was education tax (EDTAX)</w:t>
      </w:r>
    </w:p>
    <w:p w14:paraId="306A1E4F">
      <w:pPr>
        <w:pStyle w:val="style0"/>
        <w:spacing w:after="0" w:lineRule="auto" w:line="480"/>
        <w:jc w:val="both"/>
        <w:rPr>
          <w:rFonts w:ascii="Times New Roman" w:cs="Times New Roman" w:hAnsi="Times New Roman"/>
          <w:sz w:val="24"/>
          <w:szCs w:val="24"/>
        </w:rPr>
      </w:pPr>
    </w:p>
    <w:p w14:paraId="72198C92">
      <w:pPr>
        <w:pStyle w:val="style0"/>
        <w:spacing w:after="0" w:lineRule="auto" w:line="480"/>
        <w:jc w:val="both"/>
        <w:rPr>
          <w:rFonts w:ascii="Times New Roman" w:cs="Times New Roman" w:hAnsi="Times New Roman"/>
          <w:sz w:val="24"/>
          <w:szCs w:val="24"/>
        </w:rPr>
      </w:pPr>
    </w:p>
    <w:p w14:paraId="5932AF01">
      <w:pPr>
        <w:pStyle w:val="style0"/>
        <w:spacing w:after="0" w:lineRule="auto" w:line="480"/>
        <w:jc w:val="both"/>
        <w:rPr>
          <w:rFonts w:ascii="Times New Roman" w:cs="Times New Roman" w:hAnsi="Times New Roman"/>
          <w:sz w:val="24"/>
          <w:szCs w:val="24"/>
        </w:rPr>
      </w:pPr>
    </w:p>
    <w:p w14:paraId="08709DD9">
      <w:pPr>
        <w:pStyle w:val="style0"/>
        <w:spacing w:after="0" w:lineRule="auto" w:line="480"/>
        <w:jc w:val="both"/>
        <w:rPr>
          <w:rFonts w:ascii="Times New Roman" w:cs="Times New Roman" w:hAnsi="Times New Roman"/>
          <w:sz w:val="24"/>
          <w:szCs w:val="24"/>
        </w:rPr>
      </w:pPr>
    </w:p>
    <w:p w14:paraId="63643132">
      <w:pPr>
        <w:pStyle w:val="style0"/>
        <w:spacing w:after="0" w:lineRule="auto" w:line="480"/>
        <w:jc w:val="both"/>
        <w:rPr>
          <w:rFonts w:ascii="Times New Roman" w:cs="Times New Roman" w:hAnsi="Times New Roman"/>
          <w:sz w:val="24"/>
          <w:szCs w:val="24"/>
        </w:rPr>
      </w:pPr>
    </w:p>
    <w:p w14:paraId="15C0412E">
      <w:pPr>
        <w:pStyle w:val="style0"/>
        <w:spacing w:after="0" w:lineRule="auto" w:line="480"/>
        <w:jc w:val="both"/>
        <w:rPr>
          <w:rFonts w:ascii="Times New Roman" w:cs="Times New Roman" w:hAnsi="Times New Roman"/>
          <w:sz w:val="24"/>
          <w:szCs w:val="24"/>
        </w:rPr>
      </w:pPr>
    </w:p>
    <w:p w14:paraId="0B91386A">
      <w:pPr>
        <w:pStyle w:val="style0"/>
        <w:spacing w:after="0" w:lineRule="auto" w:line="480"/>
        <w:jc w:val="both"/>
        <w:rPr>
          <w:rFonts w:ascii="Times New Roman" w:cs="Times New Roman" w:hAnsi="Times New Roman"/>
          <w:sz w:val="24"/>
          <w:szCs w:val="24"/>
        </w:rPr>
      </w:pPr>
    </w:p>
    <w:p w14:paraId="2BBD1F2C">
      <w:pPr>
        <w:pStyle w:val="style0"/>
        <w:spacing w:after="0" w:lineRule="auto" w:line="240"/>
        <w:jc w:val="both"/>
        <w:rPr>
          <w:rFonts w:ascii="Times New Roman" w:cs="Times New Roman" w:hAnsi="Times New Roman"/>
          <w:bCs/>
          <w:sz w:val="24"/>
          <w:szCs w:val="24"/>
        </w:rPr>
      </w:pPr>
      <w:r>
        <w:rPr>
          <w:rFonts w:ascii="Times New Roman" w:cs="Times New Roman" w:eastAsia="Times New Roman" w:hAnsi="Times New Roman"/>
          <w:b/>
          <w:bCs/>
          <w:sz w:val="24"/>
          <w:szCs w:val="24"/>
        </w:rPr>
        <w:t xml:space="preserve">Table 4: </w:t>
      </w:r>
      <w:r>
        <w:rPr>
          <w:rFonts w:ascii="Times New Roman" w:cs="Times New Roman" w:eastAsia="Times New Roman" w:hAnsi="Times New Roman"/>
          <w:bCs/>
          <w:sz w:val="24"/>
          <w:szCs w:val="24"/>
        </w:rPr>
        <w:t xml:space="preserve">Regression Result for Model 1 </w:t>
      </w:r>
    </w:p>
    <w:p w14:paraId="11619788">
      <w:pPr>
        <w:pStyle w:val="style0"/>
        <w:spacing w:after="0" w:lineRule="auto" w:line="240"/>
        <w:jc w:val="both"/>
        <w:rPr>
          <w:rFonts w:ascii="Times New Roman" w:cs="Times New Roman" w:hAnsi="Times New Roman"/>
          <w:b/>
          <w:bCs/>
          <w:sz w:val="24"/>
          <w:szCs w:val="24"/>
        </w:rPr>
      </w:pPr>
      <w:r>
        <w:rPr>
          <w:rFonts w:ascii="Times New Roman" w:cs="Times New Roman" w:hAnsi="Times New Roman"/>
          <w:noProof/>
          <w:sz w:val="24"/>
          <w:szCs w:val="24"/>
        </w:rPr>
        <w:drawing>
          <wp:inline distL="0" distT="0" distB="0" distR="0">
            <wp:extent cx="3930852" cy="2648086"/>
            <wp:effectExtent l="0" t="0" r="0" b="0"/>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 cstate="print"/>
                    <a:srcRect l="0" t="0" r="0" b="0"/>
                    <a:stretch/>
                  </pic:blipFill>
                  <pic:spPr>
                    <a:xfrm rot="0">
                      <a:off x="0" y="0"/>
                      <a:ext cx="3930852" cy="2648086"/>
                    </a:xfrm>
                    <a:prstGeom prst="rect"/>
                  </pic:spPr>
                </pic:pic>
              </a:graphicData>
            </a:graphic>
          </wp:inline>
        </w:drawing>
      </w:r>
    </w:p>
    <w:p w14:paraId="67FEE6E3">
      <w:pPr>
        <w:pStyle w:val="style0"/>
        <w:spacing w:after="0" w:lineRule="auto" w:line="240"/>
        <w:jc w:val="both"/>
        <w:rPr>
          <w:rFonts w:ascii="Times New Roman" w:cs="Times New Roman" w:hAnsi="Times New Roman"/>
          <w:b/>
          <w:bCs/>
          <w:sz w:val="24"/>
          <w:szCs w:val="24"/>
        </w:rPr>
      </w:pPr>
      <w:r>
        <w:rPr>
          <w:rFonts w:ascii="Times New Roman" w:cs="Times New Roman" w:hAnsi="Times New Roman"/>
          <w:b/>
          <w:bCs/>
          <w:iCs/>
          <w:sz w:val="24"/>
          <w:szCs w:val="24"/>
        </w:rPr>
        <w:t xml:space="preserve">Source: </w:t>
      </w:r>
      <w:r>
        <w:rPr>
          <w:rFonts w:ascii="Times New Roman" w:cs="Times New Roman" w:hAnsi="Times New Roman"/>
          <w:bCs/>
          <w:iCs/>
          <w:sz w:val="24"/>
          <w:szCs w:val="24"/>
        </w:rPr>
        <w:t xml:space="preserve">Researcher’s computation using </w:t>
      </w:r>
      <w:r>
        <w:rPr>
          <w:rFonts w:ascii="Times New Roman" w:cs="Times New Roman" w:hAnsi="Times New Roman"/>
          <w:bCs/>
          <w:iCs/>
          <w:sz w:val="24"/>
          <w:szCs w:val="24"/>
        </w:rPr>
        <w:t>Eviews</w:t>
      </w:r>
      <w:r>
        <w:rPr>
          <w:rFonts w:ascii="Times New Roman" w:cs="Times New Roman" w:hAnsi="Times New Roman"/>
          <w:bCs/>
          <w:iCs/>
          <w:sz w:val="24"/>
          <w:szCs w:val="24"/>
        </w:rPr>
        <w:t xml:space="preserve"> 12.0, 2026</w:t>
      </w:r>
    </w:p>
    <w:p w14:paraId="2CB24660">
      <w:pPr>
        <w:pStyle w:val="style0"/>
        <w:spacing w:after="0" w:lineRule="auto" w:line="480"/>
        <w:jc w:val="both"/>
        <w:rPr>
          <w:rFonts w:ascii="Times New Roman" w:cs="Times New Roman" w:hAnsi="Times New Roman"/>
          <w:b/>
          <w:bCs/>
          <w:sz w:val="24"/>
          <w:szCs w:val="24"/>
        </w:rPr>
      </w:pPr>
    </w:p>
    <w:p w14:paraId="38EC924B">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Equation: RGDP= 66961.19 + 14.56061 (EDTAX)</w:t>
      </w:r>
    </w:p>
    <w:p w14:paraId="66B51C70">
      <w:pPr>
        <w:pStyle w:val="style0"/>
        <w:spacing w:after="0" w:lineRule="auto" w:line="480"/>
        <w:jc w:val="both"/>
        <w:rPr>
          <w:rFonts w:ascii="Times New Roman" w:cs="Times New Roman" w:eastAsia="Times New Roman" w:hAnsi="Times New Roman"/>
          <w:sz w:val="24"/>
          <w:szCs w:val="24"/>
        </w:rPr>
      </w:pPr>
      <w:r>
        <w:rPr>
          <w:rFonts w:ascii="Times New Roman" w:cs="Times New Roman" w:hAnsi="Times New Roman"/>
          <w:sz w:val="24"/>
          <w:szCs w:val="24"/>
        </w:rPr>
        <w:t xml:space="preserve">Table 4 indicates </w:t>
      </w:r>
      <w:r>
        <w:rPr>
          <w:rFonts w:ascii="Times New Roman" w:cs="Times New Roman" w:eastAsia="Times New Roman" w:hAnsi="Times New Roman"/>
          <w:sz w:val="24"/>
          <w:szCs w:val="24"/>
        </w:rPr>
        <w:t>that the constant term (β</w:t>
      </w:r>
      <w:r>
        <w:rPr>
          <w:rFonts w:ascii="Cambria Math" w:cs="Cambria Math" w:eastAsia="Times New Roman" w:hAnsi="Cambria Math"/>
          <w:sz w:val="24"/>
          <w:szCs w:val="24"/>
        </w:rPr>
        <w:t>₀</w:t>
      </w:r>
      <w:r>
        <w:rPr>
          <w:rFonts w:ascii="Times New Roman" w:cs="Times New Roman" w:eastAsia="Times New Roman" w:hAnsi="Times New Roman"/>
          <w:sz w:val="24"/>
          <w:szCs w:val="24"/>
        </w:rPr>
        <w:t xml:space="preserve"> = 66,961.19) showed that when education tax revenue is zero, real GDP would stand at ₦66,961.19 billion, representing the baseline level of real output independent of education tax contributions. The slope coefficient (β</w:t>
      </w:r>
      <w:r>
        <w:rPr>
          <w:rFonts w:ascii="Cambria Math" w:cs="Cambria Math" w:eastAsia="Times New Roman" w:hAnsi="Cambria Math"/>
          <w:sz w:val="24"/>
          <w:szCs w:val="24"/>
        </w:rPr>
        <w:t>₁</w:t>
      </w:r>
      <w:r>
        <w:rPr>
          <w:rFonts w:ascii="Times New Roman" w:cs="Times New Roman" w:eastAsia="Times New Roman" w:hAnsi="Times New Roman"/>
          <w:sz w:val="24"/>
          <w:szCs w:val="24"/>
        </w:rPr>
        <w:t xml:space="preserve"> = 14.5606) is positive, indicating that for every ₦1 billion increase in education tax revenue, real GDP increases by ₦14.56 billion, all other factors held constant. This positive relationship is consistent with the </w:t>
      </w:r>
      <w:r>
        <w:rPr>
          <w:rFonts w:ascii="Times New Roman" w:cs="Times New Roman" w:eastAsia="Times New Roman" w:hAnsi="Times New Roman"/>
          <w:sz w:val="24"/>
          <w:szCs w:val="24"/>
        </w:rPr>
        <w:t>apriori</w:t>
      </w:r>
      <w:r>
        <w:rPr>
          <w:rFonts w:ascii="Times New Roman" w:cs="Times New Roman" w:eastAsia="Times New Roman" w:hAnsi="Times New Roman"/>
          <w:sz w:val="24"/>
          <w:szCs w:val="24"/>
        </w:rPr>
        <w:t xml:space="preserve"> expectation derived from the Endogenous Growth Theory (</w:t>
      </w:r>
      <w:r>
        <w:rPr>
          <w:rFonts w:ascii="Times New Roman" w:cs="Times New Roman" w:eastAsia="Times New Roman" w:hAnsi="Times New Roman"/>
          <w:sz w:val="24"/>
          <w:szCs w:val="24"/>
        </w:rPr>
        <w:t>Romer</w:t>
      </w:r>
      <w:r>
        <w:rPr>
          <w:rFonts w:ascii="Times New Roman" w:cs="Times New Roman" w:eastAsia="Times New Roman" w:hAnsi="Times New Roman"/>
          <w:sz w:val="24"/>
          <w:szCs w:val="24"/>
        </w:rPr>
        <w:t>, 1990), which predicts that government investment in education raises human capital productivity and thereby expands aggregate output.</w:t>
      </w:r>
      <w:r>
        <w:rPr>
          <w:rFonts w:ascii="Times New Roman" w:cs="Times New Roman" w:hAnsi="Times New Roman"/>
          <w:sz w:val="24"/>
          <w:szCs w:val="24"/>
        </w:rPr>
        <w:t xml:space="preserve"> </w:t>
      </w:r>
      <w:r>
        <w:rPr>
          <w:rFonts w:ascii="Times New Roman" w:cs="Times New Roman" w:eastAsia="Times New Roman" w:hAnsi="Times New Roman"/>
          <w:sz w:val="24"/>
          <w:szCs w:val="24"/>
        </w:rPr>
        <w:t xml:space="preserve">The t-statistic for EDTAX is 4.0981, which exceeds the t-critical value of 2.306 at the 5% level of significance with 8 degrees of freedom. Furthermore, the probability value of 0.0034 is less than the 0.05 significance threshold. Both criteria confirm that the effect of EDTAX on RGDP is statistically significant. The coefficient of determination R² = 0.6774 indicates that approximately 67.7% of the variation in real GDP is explained by changes in education tax revenue over the period of the study. </w:t>
      </w:r>
    </w:p>
    <w:p w14:paraId="4E429F19">
      <w:pPr>
        <w:pStyle w:val="style0"/>
        <w:spacing w:after="0" w:lineRule="auto" w:line="480"/>
        <w:jc w:val="both"/>
        <w:rPr>
          <w:rFonts w:ascii="Times New Roman" w:cs="Times New Roman" w:eastAsia="Times New Roman" w:hAnsi="Times New Roman"/>
          <w:sz w:val="24"/>
          <w:szCs w:val="24"/>
        </w:rPr>
      </w:pPr>
    </w:p>
    <w:p w14:paraId="6CDE7432">
      <w:pPr>
        <w:pStyle w:val="style0"/>
        <w:spacing w:after="0" w:lineRule="auto" w:line="480"/>
        <w:jc w:val="both"/>
        <w:rPr>
          <w:rFonts w:ascii="Times New Roman" w:cs="Times New Roman" w:hAnsi="Times New Roman"/>
          <w:sz w:val="24"/>
          <w:szCs w:val="24"/>
        </w:rPr>
      </w:pPr>
    </w:p>
    <w:p w14:paraId="4D10E2AF">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4.3.2 Regression Model 2 </w:t>
      </w:r>
    </w:p>
    <w:p w14:paraId="1BD51FE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In this regression model, the dependent factor utilized was gross national income (GNI) and the independent variable was education tax (EDTAX)</w:t>
      </w:r>
    </w:p>
    <w:p w14:paraId="5A36A475">
      <w:pPr>
        <w:pStyle w:val="style0"/>
        <w:spacing w:after="0" w:lineRule="auto" w:line="240"/>
        <w:jc w:val="both"/>
        <w:rPr>
          <w:rFonts w:ascii="Times New Roman" w:cs="Times New Roman" w:hAnsi="Times New Roman"/>
          <w:bCs/>
          <w:sz w:val="24"/>
          <w:szCs w:val="24"/>
        </w:rPr>
      </w:pPr>
      <w:r>
        <w:rPr>
          <w:rFonts w:ascii="Times New Roman" w:cs="Times New Roman" w:hAnsi="Times New Roman"/>
          <w:b/>
          <w:bCs/>
          <w:sz w:val="24"/>
          <w:szCs w:val="24"/>
        </w:rPr>
        <w:t xml:space="preserve">Table 5: </w:t>
      </w:r>
      <w:r>
        <w:rPr>
          <w:rFonts w:ascii="Times New Roman" w:cs="Times New Roman" w:hAnsi="Times New Roman"/>
          <w:bCs/>
          <w:sz w:val="24"/>
          <w:szCs w:val="24"/>
        </w:rPr>
        <w:t>Regression Result for Model 2</w:t>
      </w:r>
    </w:p>
    <w:p w14:paraId="7D5002C7">
      <w:pPr>
        <w:pStyle w:val="style0"/>
        <w:spacing w:after="0" w:lineRule="auto" w:line="240"/>
        <w:jc w:val="both"/>
        <w:rPr>
          <w:rFonts w:ascii="Times New Roman" w:cs="Times New Roman" w:hAnsi="Times New Roman"/>
          <w:sz w:val="24"/>
          <w:szCs w:val="24"/>
        </w:rPr>
      </w:pPr>
      <w:r>
        <w:rPr>
          <w:rFonts w:ascii="Times New Roman" w:cs="Times New Roman" w:hAnsi="Times New Roman"/>
          <w:noProof/>
          <w:sz w:val="24"/>
          <w:szCs w:val="24"/>
        </w:rPr>
        <w:drawing>
          <wp:inline distL="0" distT="0" distB="0" distR="0">
            <wp:extent cx="4038807" cy="2730640"/>
            <wp:effectExtent l="0" t="0" r="0" b="0"/>
            <wp:docPr id="1027"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srcRect l="0" t="0" r="0" b="0"/>
                    <a:stretch/>
                  </pic:blipFill>
                  <pic:spPr>
                    <a:xfrm rot="0">
                      <a:off x="0" y="0"/>
                      <a:ext cx="4038807" cy="2730640"/>
                    </a:xfrm>
                    <a:prstGeom prst="rect"/>
                  </pic:spPr>
                </pic:pic>
              </a:graphicData>
            </a:graphic>
          </wp:inline>
        </w:drawing>
      </w:r>
    </w:p>
    <w:p w14:paraId="01878A2D">
      <w:pPr>
        <w:pStyle w:val="style0"/>
        <w:spacing w:after="0" w:lineRule="auto" w:line="240"/>
        <w:jc w:val="both"/>
        <w:rPr>
          <w:rFonts w:ascii="Times New Roman" w:cs="Times New Roman" w:hAnsi="Times New Roman"/>
          <w:bCs/>
          <w:iCs/>
          <w:sz w:val="24"/>
          <w:szCs w:val="24"/>
        </w:rPr>
      </w:pPr>
      <w:r>
        <w:rPr>
          <w:rFonts w:ascii="Times New Roman" w:cs="Times New Roman" w:hAnsi="Times New Roman"/>
          <w:b/>
          <w:bCs/>
          <w:iCs/>
          <w:sz w:val="24"/>
          <w:szCs w:val="24"/>
        </w:rPr>
        <w:t xml:space="preserve">Source: </w:t>
      </w:r>
      <w:r>
        <w:rPr>
          <w:rFonts w:ascii="Times New Roman" w:cs="Times New Roman" w:hAnsi="Times New Roman"/>
          <w:bCs/>
          <w:iCs/>
          <w:sz w:val="24"/>
          <w:szCs w:val="24"/>
        </w:rPr>
        <w:t xml:space="preserve">Researcher’s computation using </w:t>
      </w:r>
      <w:r>
        <w:rPr>
          <w:rFonts w:ascii="Times New Roman" w:cs="Times New Roman" w:hAnsi="Times New Roman"/>
          <w:bCs/>
          <w:iCs/>
          <w:sz w:val="24"/>
          <w:szCs w:val="24"/>
        </w:rPr>
        <w:t>Eviews</w:t>
      </w:r>
      <w:r>
        <w:rPr>
          <w:rFonts w:ascii="Times New Roman" w:cs="Times New Roman" w:hAnsi="Times New Roman"/>
          <w:bCs/>
          <w:iCs/>
          <w:sz w:val="24"/>
          <w:szCs w:val="24"/>
        </w:rPr>
        <w:t xml:space="preserve"> 12.0, 2026</w:t>
      </w:r>
    </w:p>
    <w:p w14:paraId="2E74A8A6">
      <w:pPr>
        <w:pStyle w:val="style0"/>
        <w:spacing w:after="0" w:lineRule="auto" w:line="240"/>
        <w:jc w:val="both"/>
        <w:rPr>
          <w:rFonts w:ascii="Times New Roman" w:cs="Times New Roman" w:hAnsi="Times New Roman"/>
          <w:bCs/>
          <w:iCs/>
          <w:sz w:val="24"/>
          <w:szCs w:val="24"/>
        </w:rPr>
      </w:pPr>
    </w:p>
    <w:p w14:paraId="4C76B5B5">
      <w:pPr>
        <w:pStyle w:val="style0"/>
        <w:spacing w:after="0" w:lineRule="auto" w:line="240"/>
        <w:jc w:val="both"/>
        <w:rPr>
          <w:rFonts w:ascii="Times New Roman" w:cs="Times New Roman" w:hAnsi="Times New Roman"/>
          <w:sz w:val="24"/>
          <w:szCs w:val="24"/>
        </w:rPr>
      </w:pPr>
    </w:p>
    <w:p w14:paraId="47CC99D1">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Equation: GNI= 85307.61 + 343.4375 (EDTAX)</w:t>
      </w:r>
    </w:p>
    <w:p w14:paraId="0F35CCFC">
      <w:pPr>
        <w:pStyle w:val="style0"/>
        <w:spacing w:after="0" w:lineRule="auto" w:line="480"/>
        <w:jc w:val="both"/>
        <w:rPr>
          <w:rFonts w:ascii="Times New Roman" w:cs="Times New Roman" w:eastAsia="Times New Roman" w:hAnsi="Times New Roman"/>
          <w:sz w:val="24"/>
          <w:szCs w:val="24"/>
        </w:rPr>
      </w:pPr>
      <w:r>
        <w:rPr>
          <w:rFonts w:ascii="Times New Roman" w:cs="Times New Roman" w:hAnsi="Times New Roman"/>
          <w:sz w:val="24"/>
          <w:szCs w:val="24"/>
        </w:rPr>
        <w:t>Table 5 indicates that the</w:t>
      </w:r>
      <w:r>
        <w:rPr>
          <w:rFonts w:ascii="Times New Roman" w:cs="Times New Roman" w:eastAsia="Times New Roman" w:hAnsi="Times New Roman"/>
          <w:sz w:val="24"/>
          <w:szCs w:val="24"/>
        </w:rPr>
        <w:t xml:space="preserve"> constant term (β</w:t>
      </w:r>
      <w:r>
        <w:rPr>
          <w:rFonts w:ascii="Cambria Math" w:cs="Cambria Math" w:eastAsia="Times New Roman" w:hAnsi="Cambria Math"/>
          <w:sz w:val="24"/>
          <w:szCs w:val="24"/>
        </w:rPr>
        <w:t>₀</w:t>
      </w:r>
      <w:r>
        <w:rPr>
          <w:rFonts w:ascii="Times New Roman" w:cs="Times New Roman" w:eastAsia="Times New Roman" w:hAnsi="Times New Roman"/>
          <w:sz w:val="24"/>
          <w:szCs w:val="24"/>
        </w:rPr>
        <w:t xml:space="preserve"> = 85,307.61) </w:t>
      </w:r>
      <w:r>
        <w:rPr>
          <w:rFonts w:ascii="Times New Roman" w:cs="Times New Roman" w:hAnsi="Times New Roman"/>
          <w:sz w:val="24"/>
          <w:szCs w:val="24"/>
        </w:rPr>
        <w:t xml:space="preserve">represented the estimated level of GNI in the absence of education tax revenue, standing at ₦85,307.61 billion. </w:t>
      </w:r>
      <w:r>
        <w:rPr>
          <w:rFonts w:ascii="Times New Roman" w:cs="Times New Roman" w:eastAsia="Times New Roman" w:hAnsi="Times New Roman"/>
          <w:sz w:val="24"/>
          <w:szCs w:val="24"/>
        </w:rPr>
        <w:t>The slope coefficient (β</w:t>
      </w:r>
      <w:r>
        <w:rPr>
          <w:rFonts w:ascii="Cambria Math" w:cs="Cambria Math" w:eastAsia="Times New Roman" w:hAnsi="Cambria Math"/>
          <w:sz w:val="24"/>
          <w:szCs w:val="24"/>
        </w:rPr>
        <w:t>₁</w:t>
      </w:r>
      <w:r>
        <w:rPr>
          <w:rFonts w:ascii="Times New Roman" w:cs="Times New Roman" w:eastAsia="Times New Roman" w:hAnsi="Times New Roman"/>
          <w:sz w:val="24"/>
          <w:szCs w:val="24"/>
        </w:rPr>
        <w:t xml:space="preserve"> = 343.4375) is positive, indicating that for every ₦1 billion increases in education tax revenue, gross national income increases by approximately ₦343.44 billion. The large magnitude of this coefficient relative to Model 1 reflects the broader income multiplier effects of education investment on the total income of Nigerian residents, consistent with human capital theory of Lucas (1988), which predicts that a rising stock of human capital raises the income-generating capital of the entire resident workforce. The t-statistic for EDTAX is 3.0336, which exceeds the t-critical value of 2.306 at the 5% level of significance with 8 degrees of freedom. The probability value of 0.0162 is less than the 0.05 threshold. Both the t-test and p-value criteria confirm that the effect of EDTAX on GNI is statistically significant. </w:t>
      </w:r>
      <w:r>
        <w:rPr>
          <w:rFonts w:ascii="Times New Roman" w:cs="Times New Roman" w:eastAsia="Times New Roman" w:hAnsi="Times New Roman"/>
          <w:sz w:val="24"/>
          <w:szCs w:val="24"/>
        </w:rPr>
        <w:t>The R² of 0.5350 shows that approximately 53.5% of the variation in GNI is explained by Education Tax revenue.</w:t>
      </w:r>
    </w:p>
    <w:p w14:paraId="1E058743">
      <w:pPr>
        <w:pStyle w:val="style0"/>
        <w:spacing w:after="0" w:lineRule="auto" w:line="480"/>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4.3.3 Regression Model 3</w:t>
      </w:r>
    </w:p>
    <w:p w14:paraId="5522D328">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In this regression model, the dependent factor utilized was human development index (HDI) and the independent variable was education tax (EDTAX)</w:t>
      </w:r>
    </w:p>
    <w:p w14:paraId="340B79C0">
      <w:pPr>
        <w:pStyle w:val="style0"/>
        <w:spacing w:after="0" w:lineRule="auto" w:line="276"/>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Table 6: </w:t>
      </w:r>
      <w:r>
        <w:rPr>
          <w:rFonts w:ascii="Times New Roman" w:cs="Times New Roman" w:eastAsia="Times New Roman" w:hAnsi="Times New Roman"/>
          <w:bCs/>
          <w:sz w:val="24"/>
          <w:szCs w:val="24"/>
        </w:rPr>
        <w:t>Regression Result for Model 3</w:t>
      </w:r>
    </w:p>
    <w:p w14:paraId="374A9AE2">
      <w:pPr>
        <w:pStyle w:val="style0"/>
        <w:spacing w:after="0" w:lineRule="auto" w:line="276"/>
        <w:jc w:val="both"/>
        <w:rPr>
          <w:rFonts w:ascii="Times New Roman" w:cs="Times New Roman" w:hAnsi="Times New Roman"/>
          <w:b/>
          <w:bCs/>
          <w:sz w:val="24"/>
          <w:szCs w:val="24"/>
        </w:rPr>
      </w:pPr>
      <w:r>
        <w:rPr>
          <w:rFonts w:ascii="Times New Roman" w:cs="Times New Roman" w:hAnsi="Times New Roman"/>
          <w:noProof/>
          <w:sz w:val="24"/>
          <w:szCs w:val="24"/>
        </w:rPr>
        <w:drawing>
          <wp:inline distL="0" distT="0" distB="0" distR="0">
            <wp:extent cx="4083260" cy="2730640"/>
            <wp:effectExtent l="0" t="0" r="0" b="0"/>
            <wp:docPr id="1028"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5" cstate="print"/>
                    <a:srcRect l="0" t="0" r="0" b="0"/>
                    <a:stretch/>
                  </pic:blipFill>
                  <pic:spPr>
                    <a:xfrm rot="0">
                      <a:off x="0" y="0"/>
                      <a:ext cx="4083260" cy="2730640"/>
                    </a:xfrm>
                    <a:prstGeom prst="rect"/>
                  </pic:spPr>
                </pic:pic>
              </a:graphicData>
            </a:graphic>
          </wp:inline>
        </w:drawing>
      </w:r>
    </w:p>
    <w:p w14:paraId="4424ABAA">
      <w:pPr>
        <w:pStyle w:val="style0"/>
        <w:spacing w:after="0" w:lineRule="auto" w:line="276"/>
        <w:jc w:val="both"/>
        <w:rPr>
          <w:rFonts w:ascii="Times New Roman" w:cs="Times New Roman" w:hAnsi="Times New Roman"/>
          <w:bCs/>
          <w:iCs/>
          <w:sz w:val="24"/>
          <w:szCs w:val="24"/>
        </w:rPr>
      </w:pPr>
      <w:r>
        <w:rPr>
          <w:rFonts w:ascii="Times New Roman" w:cs="Times New Roman" w:hAnsi="Times New Roman"/>
          <w:b/>
          <w:bCs/>
          <w:iCs/>
          <w:sz w:val="24"/>
          <w:szCs w:val="24"/>
        </w:rPr>
        <w:t>Source:</w:t>
      </w:r>
      <w:r>
        <w:rPr>
          <w:rFonts w:ascii="Times New Roman" w:cs="Times New Roman" w:hAnsi="Times New Roman"/>
          <w:b/>
          <w:bCs/>
          <w:i/>
          <w:iCs/>
          <w:sz w:val="24"/>
          <w:szCs w:val="24"/>
        </w:rPr>
        <w:t xml:space="preserve"> </w:t>
      </w:r>
      <w:r>
        <w:rPr>
          <w:rFonts w:ascii="Times New Roman" w:cs="Times New Roman" w:hAnsi="Times New Roman"/>
          <w:bCs/>
          <w:iCs/>
          <w:sz w:val="24"/>
          <w:szCs w:val="24"/>
        </w:rPr>
        <w:t xml:space="preserve">Researcher’s computation using </w:t>
      </w:r>
      <w:r>
        <w:rPr>
          <w:rFonts w:ascii="Times New Roman" w:cs="Times New Roman" w:hAnsi="Times New Roman"/>
          <w:bCs/>
          <w:iCs/>
          <w:sz w:val="24"/>
          <w:szCs w:val="24"/>
        </w:rPr>
        <w:t>Eviews</w:t>
      </w:r>
      <w:r>
        <w:rPr>
          <w:rFonts w:ascii="Times New Roman" w:cs="Times New Roman" w:hAnsi="Times New Roman"/>
          <w:bCs/>
          <w:iCs/>
          <w:sz w:val="24"/>
          <w:szCs w:val="24"/>
        </w:rPr>
        <w:t xml:space="preserve"> 12.0, 2026</w:t>
      </w:r>
    </w:p>
    <w:p w14:paraId="4770B6FA">
      <w:pPr>
        <w:pStyle w:val="style0"/>
        <w:spacing w:after="0" w:lineRule="auto" w:line="276"/>
        <w:jc w:val="both"/>
        <w:rPr>
          <w:rFonts w:ascii="Times New Roman" w:cs="Times New Roman" w:hAnsi="Times New Roman"/>
          <w:bCs/>
          <w:iCs/>
          <w:sz w:val="24"/>
          <w:szCs w:val="24"/>
        </w:rPr>
      </w:pPr>
    </w:p>
    <w:p w14:paraId="4A28625F">
      <w:pPr>
        <w:pStyle w:val="style0"/>
        <w:spacing w:after="0" w:lineRule="auto" w:line="276"/>
        <w:jc w:val="both"/>
        <w:rPr>
          <w:rFonts w:ascii="Times New Roman" w:cs="Times New Roman" w:hAnsi="Times New Roman"/>
          <w:bCs/>
          <w:iCs/>
          <w:sz w:val="24"/>
          <w:szCs w:val="24"/>
        </w:rPr>
      </w:pPr>
    </w:p>
    <w:p w14:paraId="4DDA713F">
      <w:pPr>
        <w:pStyle w:val="style0"/>
        <w:spacing w:after="0" w:lineRule="auto" w:line="480"/>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Equation: HDI = 0529062 + 4.54E-05</w:t>
      </w:r>
    </w:p>
    <w:p w14:paraId="50376B95">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Table 6 indicates that the constant term (β</w:t>
      </w:r>
      <w:r>
        <w:rPr>
          <w:rFonts w:ascii="Cambria Math" w:cs="Cambria Math" w:eastAsia="Times New Roman" w:hAnsi="Cambria Math"/>
          <w:sz w:val="24"/>
          <w:szCs w:val="24"/>
        </w:rPr>
        <w:t>₀</w:t>
      </w:r>
      <w:r>
        <w:rPr>
          <w:rFonts w:ascii="Times New Roman" w:cs="Times New Roman" w:eastAsia="Times New Roman" w:hAnsi="Times New Roman"/>
          <w:sz w:val="24"/>
          <w:szCs w:val="24"/>
        </w:rPr>
        <w:t xml:space="preserve"> = 0.529062) showed the baseline HDI value of 0.529 when education tax revenue is zero, which is consistent with Nigeria's HDI value at the beginning of the study period. The slope coefficient (β</w:t>
      </w:r>
      <w:r>
        <w:rPr>
          <w:rFonts w:ascii="Cambria Math" w:cs="Cambria Math" w:eastAsia="Times New Roman" w:hAnsi="Cambria Math"/>
          <w:sz w:val="24"/>
          <w:szCs w:val="24"/>
        </w:rPr>
        <w:t>₁</w:t>
      </w:r>
      <w:r>
        <w:rPr>
          <w:rFonts w:ascii="Times New Roman" w:cs="Times New Roman" w:eastAsia="Times New Roman" w:hAnsi="Times New Roman"/>
          <w:sz w:val="24"/>
          <w:szCs w:val="24"/>
        </w:rPr>
        <w:t xml:space="preserve"> = 4.54E-05 or 0.0000454) is positive, indicating that for every ₦1 billion increase in education tax revenue, the Human Development Index improves by 0.0000454 units. While this coefficient appears numerically small, this is expected given that HDI is a composite index bounded between 0 and 1, and even marginal improvements at the national level represent meaningful progress across millions of people in the dimensions of health, education, and living standards. The t-statistic for EDTAX is 2.6712, which exceeds the t-critical value of 2.306 at the 5% level of significance with 8 degrees of </w:t>
      </w:r>
      <w:r>
        <w:rPr>
          <w:rFonts w:ascii="Times New Roman" w:cs="Times New Roman" w:eastAsia="Times New Roman" w:hAnsi="Times New Roman"/>
          <w:sz w:val="24"/>
          <w:szCs w:val="24"/>
        </w:rPr>
        <w:t>freedom. The probability value of 0.0283 is less than 0.05. Both the t-test and p-value criteria confirm that the effect of EDTAX on HDI is statistically significant. The R² of 0.4714 indicates that approximately 47.1% of the variation in HDI is explained by changes in education tax revenue over the study period. The remaining variation is attributable to other determinants of human development not captured in the bivariate model, such as healthcare expenditure, social protection spending, and governance quality.</w:t>
      </w:r>
    </w:p>
    <w:p w14:paraId="792709F8">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4.4 Testing of the Research Hypothesis</w:t>
      </w:r>
    </w:p>
    <w:p w14:paraId="69B65CF0">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H</w:t>
      </w:r>
      <w:r>
        <w:rPr>
          <w:rFonts w:ascii="Times New Roman" w:cs="Times New Roman" w:hAnsi="Times New Roman"/>
          <w:b/>
          <w:bCs/>
          <w:sz w:val="24"/>
          <w:szCs w:val="24"/>
          <w:vertAlign w:val="subscript"/>
        </w:rPr>
        <w:t>01</w:t>
      </w:r>
      <w:r>
        <w:rPr>
          <w:rFonts w:ascii="Times New Roman" w:cs="Times New Roman" w:hAnsi="Times New Roman"/>
          <w:b/>
          <w:bCs/>
          <w:sz w:val="24"/>
          <w:szCs w:val="24"/>
        </w:rPr>
        <w:t>: Education tax has no significant effect on Gross Domestic Product</w:t>
      </w:r>
    </w:p>
    <w:p w14:paraId="1418481E">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Based on the result in Table 4, computed t-statistics (4.0981 for EDTAX) is larger than the critical value of 2.306 at the 5% level significance with 8 degrees of freedom. According to the decision rule, therefore the null hypothesis (H</w:t>
      </w:r>
      <w:r>
        <w:rPr>
          <w:rFonts w:ascii="Times New Roman" w:cs="Times New Roman" w:hAnsi="Times New Roman"/>
          <w:sz w:val="24"/>
          <w:szCs w:val="24"/>
          <w:vertAlign w:val="subscript"/>
        </w:rPr>
        <w:t>01</w:t>
      </w:r>
      <w:r>
        <w:rPr>
          <w:rFonts w:ascii="Times New Roman" w:cs="Times New Roman" w:hAnsi="Times New Roman"/>
          <w:sz w:val="24"/>
          <w:szCs w:val="24"/>
        </w:rPr>
        <w:t>) in RGDP should be rejected because the p-value (0.0034&lt;0.05) indicated no significant effect. The alternative hypothesis (H</w:t>
      </w:r>
      <w:r>
        <w:rPr>
          <w:rFonts w:ascii="Times New Roman" w:cs="Times New Roman" w:hAnsi="Times New Roman"/>
          <w:sz w:val="24"/>
          <w:szCs w:val="24"/>
          <w:vertAlign w:val="subscript"/>
        </w:rPr>
        <w:t>a1</w:t>
      </w:r>
      <w:r>
        <w:rPr>
          <w:rFonts w:ascii="Times New Roman" w:cs="Times New Roman" w:hAnsi="Times New Roman"/>
          <w:sz w:val="24"/>
          <w:szCs w:val="24"/>
        </w:rPr>
        <w:t>) should be accepted which states the positive effect on real gross domestic product, since both tests satisfy the rejection condition. Therefore, the Education tax had a significant positive effect on real gross domestic product of Nigeria.</w:t>
      </w:r>
    </w:p>
    <w:p w14:paraId="02937414">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H</w:t>
      </w:r>
      <w:r>
        <w:rPr>
          <w:rFonts w:ascii="Times New Roman" w:cs="Times New Roman" w:hAnsi="Times New Roman"/>
          <w:b/>
          <w:bCs/>
          <w:sz w:val="24"/>
          <w:szCs w:val="24"/>
          <w:vertAlign w:val="subscript"/>
        </w:rPr>
        <w:t>02</w:t>
      </w:r>
      <w:r>
        <w:rPr>
          <w:rFonts w:ascii="Times New Roman" w:cs="Times New Roman" w:hAnsi="Times New Roman"/>
          <w:b/>
          <w:bCs/>
          <w:sz w:val="24"/>
          <w:szCs w:val="24"/>
        </w:rPr>
        <w:t>: Education tax has no significant effect on Gross National Income.</w:t>
      </w:r>
    </w:p>
    <w:p w14:paraId="6DD8DA30">
      <w:pPr>
        <w:pStyle w:val="style0"/>
        <w:spacing w:after="0" w:lineRule="auto" w:line="480"/>
        <w:jc w:val="both"/>
        <w:rPr>
          <w:rFonts w:ascii="Times New Roman" w:cs="Times New Roman" w:hAnsi="Times New Roman"/>
          <w:b/>
          <w:bCs/>
          <w:sz w:val="24"/>
          <w:szCs w:val="24"/>
        </w:rPr>
      </w:pPr>
      <w:r>
        <w:rPr>
          <w:rFonts w:ascii="Times New Roman" w:cs="Times New Roman" w:hAnsi="Times New Roman"/>
          <w:sz w:val="24"/>
          <w:szCs w:val="24"/>
        </w:rPr>
        <w:t>Based on the result in Table 5, the computed t-statistics (3.0336 for EDTAX) are greater than the critical value of 2.306 at the 5% level of significance with 8 degrees of freedom. According to the decision rule the null hypothesis (H</w:t>
      </w:r>
      <w:r>
        <w:rPr>
          <w:rFonts w:ascii="Times New Roman" w:cs="Times New Roman" w:hAnsi="Times New Roman"/>
          <w:sz w:val="24"/>
          <w:szCs w:val="24"/>
          <w:vertAlign w:val="subscript"/>
        </w:rPr>
        <w:t>02</w:t>
      </w:r>
      <w:r>
        <w:rPr>
          <w:rFonts w:ascii="Times New Roman" w:cs="Times New Roman" w:hAnsi="Times New Roman"/>
          <w:sz w:val="24"/>
          <w:szCs w:val="24"/>
        </w:rPr>
        <w:t>) on GNI should be rejected, because the p-value (0.0162&lt;0.05), suggests no significant relationship between education tax and gross national income. Therefore, alternative hypothesis (H</w:t>
      </w:r>
      <w:r>
        <w:rPr>
          <w:rFonts w:ascii="Times New Roman" w:cs="Times New Roman" w:hAnsi="Times New Roman"/>
          <w:sz w:val="24"/>
          <w:szCs w:val="24"/>
          <w:vertAlign w:val="subscript"/>
        </w:rPr>
        <w:t>a2</w:t>
      </w:r>
      <w:r>
        <w:rPr>
          <w:rFonts w:ascii="Times New Roman" w:cs="Times New Roman" w:hAnsi="Times New Roman"/>
          <w:sz w:val="24"/>
          <w:szCs w:val="24"/>
        </w:rPr>
        <w:t>) is accepted; Education tax had a positive significant on GNI of Nigeria.</w:t>
      </w:r>
    </w:p>
    <w:p w14:paraId="333742C0">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H</w:t>
      </w:r>
      <w:r>
        <w:rPr>
          <w:rFonts w:ascii="Times New Roman" w:cs="Times New Roman" w:hAnsi="Times New Roman"/>
          <w:b/>
          <w:bCs/>
          <w:sz w:val="24"/>
          <w:szCs w:val="24"/>
          <w:vertAlign w:val="subscript"/>
        </w:rPr>
        <w:t>03</w:t>
      </w:r>
      <w:r>
        <w:rPr>
          <w:rFonts w:ascii="Times New Roman" w:cs="Times New Roman" w:hAnsi="Times New Roman"/>
          <w:b/>
          <w:bCs/>
          <w:sz w:val="24"/>
          <w:szCs w:val="24"/>
        </w:rPr>
        <w:t xml:space="preserve">: Education tax has no significant effect on Human Capital Development. </w:t>
      </w:r>
    </w:p>
    <w:p w14:paraId="6A088C1A">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Based on the result in Table 6, the computed t-statistic for EDTAX (2.6712) is higher than the critical value of 2.306 at the 5% level of significance with 8 degrees of freedom. Based on the </w:t>
      </w:r>
      <w:r>
        <w:rPr>
          <w:rFonts w:ascii="Times New Roman" w:cs="Times New Roman" w:hAnsi="Times New Roman"/>
          <w:sz w:val="24"/>
          <w:szCs w:val="24"/>
        </w:rPr>
        <w:t>decision rule, the null hypothesis (H03) is rejected since the p-value (0.0283&lt;0.05); which implies that education tax has positive significant effect. Therefore, the alternative hypothesis (H</w:t>
      </w:r>
      <w:r>
        <w:rPr>
          <w:rFonts w:ascii="Times New Roman" w:cs="Times New Roman" w:hAnsi="Times New Roman"/>
          <w:sz w:val="24"/>
          <w:szCs w:val="24"/>
          <w:vertAlign w:val="subscript"/>
        </w:rPr>
        <w:t>a3</w:t>
      </w:r>
      <w:r>
        <w:rPr>
          <w:rFonts w:ascii="Times New Roman" w:cs="Times New Roman" w:hAnsi="Times New Roman"/>
          <w:sz w:val="24"/>
          <w:szCs w:val="24"/>
        </w:rPr>
        <w:t>) should be accepted; that education tax has a positive impact on human capital development of Nigerian is accepted.</w:t>
      </w:r>
    </w:p>
    <w:p w14:paraId="64F39ECE">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4.5 Discussion of Findings</w:t>
      </w:r>
    </w:p>
    <w:p w14:paraId="71202B1C">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4.5.1 Effect of Education tax on Gross Domestic Product</w:t>
      </w:r>
    </w:p>
    <w:p w14:paraId="7A22CF0C">
      <w:pPr>
        <w:pStyle w:val="style0"/>
        <w:spacing w:after="0" w:lineRule="auto" w:line="480"/>
        <w:jc w:val="both"/>
        <w:rPr>
          <w:rFonts w:ascii="Times New Roman" w:cs="Times New Roman" w:hAnsi="Times New Roman"/>
          <w:b/>
          <w:bCs/>
          <w:sz w:val="24"/>
          <w:szCs w:val="24"/>
        </w:rPr>
      </w:pPr>
      <w:r>
        <w:rPr>
          <w:rFonts w:ascii="Times New Roman" w:cs="Times New Roman" w:hAnsi="Times New Roman"/>
          <w:sz w:val="24"/>
          <w:szCs w:val="24"/>
        </w:rPr>
        <w:t>The study reveals a positive and significant relationship between EDTAX and RGDP (β</w:t>
      </w:r>
      <w:r>
        <w:rPr>
          <w:rFonts w:ascii="Cambria Math" w:cs="Cambria Math" w:hAnsi="Cambria Math"/>
          <w:sz w:val="24"/>
          <w:szCs w:val="24"/>
        </w:rPr>
        <w:t>₁</w:t>
      </w:r>
      <w:r>
        <w:rPr>
          <w:rFonts w:ascii="Times New Roman" w:cs="Times New Roman" w:hAnsi="Times New Roman"/>
          <w:sz w:val="24"/>
          <w:szCs w:val="24"/>
        </w:rPr>
        <w:t xml:space="preserve"> = 14.5606, t = 4.0981, p = 0.0034, R² = 0.6774). This confirms the prediction of the Endogenous Growth Theory (</w:t>
      </w:r>
      <w:r>
        <w:rPr>
          <w:rFonts w:ascii="Times New Roman" w:cs="Times New Roman" w:hAnsi="Times New Roman"/>
          <w:sz w:val="24"/>
          <w:szCs w:val="24"/>
        </w:rPr>
        <w:t>Romer</w:t>
      </w:r>
      <w:r>
        <w:rPr>
          <w:rFonts w:ascii="Times New Roman" w:cs="Times New Roman" w:hAnsi="Times New Roman"/>
          <w:sz w:val="24"/>
          <w:szCs w:val="24"/>
        </w:rPr>
        <w:t>,</w:t>
      </w:r>
      <w:r>
        <w:rPr>
          <w:rFonts w:ascii="Times New Roman" w:cs="Times New Roman" w:eastAsia="Times New Roman" w:hAnsi="Times New Roman"/>
          <w:sz w:val="24"/>
          <w:szCs w:val="24"/>
        </w:rPr>
        <w:t xml:space="preserve"> </w:t>
      </w:r>
      <w:r>
        <w:rPr>
          <w:rFonts w:ascii="Times New Roman" w:cs="Times New Roman" w:hAnsi="Times New Roman"/>
          <w:sz w:val="24"/>
          <w:szCs w:val="24"/>
        </w:rPr>
        <w:t xml:space="preserve">1990), which holds that public investment in education generates knowledge spillovers, increases human capital productivity, and thereby increases aggregate output. The result is consistent with the empirical findings of </w:t>
      </w:r>
      <w:r>
        <w:rPr>
          <w:rFonts w:ascii="Times New Roman" w:cs="Times New Roman" w:hAnsi="Times New Roman"/>
          <w:sz w:val="24"/>
          <w:szCs w:val="24"/>
        </w:rPr>
        <w:t>Inyiama</w:t>
      </w:r>
      <w:r>
        <w:rPr>
          <w:rFonts w:ascii="Times New Roman" w:cs="Times New Roman" w:hAnsi="Times New Roman"/>
          <w:sz w:val="24"/>
          <w:szCs w:val="24"/>
        </w:rPr>
        <w:t xml:space="preserve"> and </w:t>
      </w:r>
      <w:r>
        <w:rPr>
          <w:rFonts w:ascii="Times New Roman" w:cs="Times New Roman" w:hAnsi="Times New Roman"/>
          <w:sz w:val="24"/>
          <w:szCs w:val="24"/>
        </w:rPr>
        <w:t>Nwankwo</w:t>
      </w:r>
      <w:r>
        <w:rPr>
          <w:rFonts w:ascii="Times New Roman" w:cs="Times New Roman" w:hAnsi="Times New Roman"/>
          <w:sz w:val="24"/>
          <w:szCs w:val="24"/>
        </w:rPr>
        <w:t xml:space="preserve"> (2016) and </w:t>
      </w:r>
      <w:r>
        <w:rPr>
          <w:rFonts w:ascii="Times New Roman" w:cs="Times New Roman" w:hAnsi="Times New Roman"/>
          <w:sz w:val="24"/>
          <w:szCs w:val="24"/>
        </w:rPr>
        <w:t>Urhie</w:t>
      </w:r>
      <w:r>
        <w:rPr>
          <w:rFonts w:ascii="Times New Roman" w:cs="Times New Roman" w:hAnsi="Times New Roman"/>
          <w:sz w:val="24"/>
          <w:szCs w:val="24"/>
        </w:rPr>
        <w:t xml:space="preserve"> (2014), both of whom documented positive significant relationships between education tax and GDP in Nigeria. Similarly, it aligns with </w:t>
      </w:r>
      <w:r>
        <w:rPr>
          <w:rFonts w:ascii="Times New Roman" w:cs="Times New Roman" w:hAnsi="Times New Roman"/>
          <w:sz w:val="24"/>
          <w:szCs w:val="24"/>
        </w:rPr>
        <w:t>Aminu</w:t>
      </w:r>
      <w:r>
        <w:rPr>
          <w:rFonts w:ascii="Times New Roman" w:cs="Times New Roman" w:hAnsi="Times New Roman"/>
          <w:sz w:val="24"/>
          <w:szCs w:val="24"/>
        </w:rPr>
        <w:t xml:space="preserve"> (2020), who established that education tax exerts a positive long-run effect on economic growth using Nigerian data.</w:t>
      </w:r>
    </w:p>
    <w:p w14:paraId="246E058F">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4.5.2 Effect of Education tax on Gross National Income</w:t>
      </w:r>
    </w:p>
    <w:p w14:paraId="2BD7FEB7">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effect of EDTAX on GNI was also found to be positive and significant (β</w:t>
      </w:r>
      <w:r>
        <w:rPr>
          <w:rFonts w:ascii="Cambria Math" w:cs="Cambria Math" w:hAnsi="Cambria Math"/>
          <w:sz w:val="24"/>
          <w:szCs w:val="24"/>
        </w:rPr>
        <w:t>₁</w:t>
      </w:r>
      <w:r>
        <w:rPr>
          <w:rFonts w:ascii="Times New Roman" w:cs="Times New Roman" w:hAnsi="Times New Roman"/>
          <w:sz w:val="24"/>
          <w:szCs w:val="24"/>
        </w:rPr>
        <w:t xml:space="preserve"> = 343.4375, t = 3.0336, p = 0.0162, R² = 0.5350). This finding is consistent with the Human Capital Theory of Lucas (1988), which assumes that rising human capital stock increases the income-generating capacity of the resident workforce, thereby raising national income. The relatively lower R² of 53.5% compared to model 1 (67.7%) suggests that GNI is affected by additional factors beyond education tax specifically the net factor income flows associated with multinational corporations and the remittance </w:t>
      </w:r>
      <w:r>
        <w:rPr>
          <w:rFonts w:ascii="Times New Roman" w:cs="Times New Roman" w:hAnsi="Times New Roman"/>
          <w:sz w:val="24"/>
          <w:szCs w:val="24"/>
        </w:rPr>
        <w:t>behaviour</w:t>
      </w:r>
      <w:r>
        <w:rPr>
          <w:rFonts w:ascii="Times New Roman" w:cs="Times New Roman" w:hAnsi="Times New Roman"/>
          <w:sz w:val="24"/>
          <w:szCs w:val="24"/>
        </w:rPr>
        <w:t xml:space="preserve"> of the Nigerian diaspora which are not captured in the bivariate specification. This finding aligns with </w:t>
      </w:r>
      <w:r>
        <w:rPr>
          <w:rFonts w:ascii="Times New Roman" w:cs="Times New Roman" w:hAnsi="Times New Roman"/>
          <w:sz w:val="24"/>
          <w:szCs w:val="24"/>
        </w:rPr>
        <w:t>Oyedokun</w:t>
      </w:r>
      <w:r>
        <w:rPr>
          <w:rFonts w:ascii="Times New Roman" w:cs="Times New Roman" w:hAnsi="Times New Roman"/>
          <w:sz w:val="24"/>
          <w:szCs w:val="24"/>
        </w:rPr>
        <w:t xml:space="preserve"> and </w:t>
      </w:r>
      <w:r>
        <w:rPr>
          <w:rFonts w:ascii="Times New Roman" w:cs="Times New Roman" w:hAnsi="Times New Roman"/>
          <w:sz w:val="24"/>
          <w:szCs w:val="24"/>
        </w:rPr>
        <w:t>Adeyemi</w:t>
      </w:r>
      <w:r>
        <w:rPr>
          <w:rFonts w:ascii="Times New Roman" w:cs="Times New Roman" w:hAnsi="Times New Roman"/>
          <w:sz w:val="24"/>
          <w:szCs w:val="24"/>
        </w:rPr>
        <w:t xml:space="preserve"> (2018), who found a positive significant effect of education tax on national income in Nigeria.</w:t>
      </w:r>
    </w:p>
    <w:p w14:paraId="0A52B048">
      <w:pPr>
        <w:pStyle w:val="style0"/>
        <w:spacing w:after="0" w:lineRule="auto" w:line="480"/>
        <w:jc w:val="both"/>
        <w:rPr>
          <w:rFonts w:ascii="Times New Roman" w:cs="Times New Roman" w:hAnsi="Times New Roman"/>
          <w:sz w:val="24"/>
          <w:szCs w:val="24"/>
        </w:rPr>
      </w:pPr>
    </w:p>
    <w:p w14:paraId="18537C10">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4.5.3 Effect of Education tax on Human Capital Development </w:t>
      </w:r>
    </w:p>
    <w:p w14:paraId="55CB3386">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The study equally reveals that there was a positive and significant effect of EDTAX and HCD (β</w:t>
      </w:r>
      <w:r>
        <w:rPr>
          <w:rFonts w:ascii="Cambria Math" w:cs="Cambria Math" w:hAnsi="Cambria Math"/>
          <w:sz w:val="24"/>
          <w:szCs w:val="24"/>
        </w:rPr>
        <w:t>₁</w:t>
      </w:r>
      <w:r>
        <w:rPr>
          <w:rFonts w:ascii="Times New Roman" w:cs="Times New Roman" w:hAnsi="Times New Roman"/>
          <w:sz w:val="24"/>
          <w:szCs w:val="24"/>
        </w:rPr>
        <w:t xml:space="preserve"> = 4.54E-05, t = 2.6712, p = 0.0283, R² = 0.4714). Nigeria's HDI moved from 0.524 in 2014 to 0.560 in 2023, and the regression result confirms that a meaningful portion of this movement is associated with the rising education tax revenue </w:t>
      </w:r>
      <w:r>
        <w:rPr>
          <w:rFonts w:ascii="Times New Roman" w:cs="Times New Roman" w:hAnsi="Times New Roman"/>
          <w:sz w:val="24"/>
          <w:szCs w:val="24"/>
        </w:rPr>
        <w:t>channelled</w:t>
      </w:r>
      <w:r>
        <w:rPr>
          <w:rFonts w:ascii="Times New Roman" w:cs="Times New Roman" w:hAnsi="Times New Roman"/>
          <w:sz w:val="24"/>
          <w:szCs w:val="24"/>
        </w:rPr>
        <w:t xml:space="preserve"> through </w:t>
      </w:r>
      <w:r>
        <w:rPr>
          <w:rFonts w:ascii="Times New Roman" w:cs="Times New Roman" w:hAnsi="Times New Roman"/>
          <w:sz w:val="24"/>
          <w:szCs w:val="24"/>
        </w:rPr>
        <w:t>TETFund</w:t>
      </w:r>
      <w:r>
        <w:rPr>
          <w:rFonts w:ascii="Times New Roman" w:cs="Times New Roman" w:hAnsi="Times New Roman"/>
          <w:sz w:val="24"/>
          <w:szCs w:val="24"/>
        </w:rPr>
        <w:t xml:space="preserve">. This is consistent with the Lucas (1988) human capital accumulation framework and aligns with the findings of </w:t>
      </w:r>
      <w:r>
        <w:rPr>
          <w:rFonts w:ascii="Times New Roman" w:cs="Times New Roman" w:hAnsi="Times New Roman"/>
          <w:sz w:val="24"/>
          <w:szCs w:val="24"/>
        </w:rPr>
        <w:t>Adejare</w:t>
      </w:r>
      <w:r>
        <w:rPr>
          <w:rFonts w:ascii="Times New Roman" w:cs="Times New Roman" w:hAnsi="Times New Roman"/>
          <w:sz w:val="24"/>
          <w:szCs w:val="24"/>
        </w:rPr>
        <w:t xml:space="preserve"> (2017), who established a significant positive impact of education tax on human capital in Nigeria. The R² of 47.1% the lowest among the three models is expected, as HDI is shaped by a broader range of factors including healthcare expenditure, nutrition, social protection, and governance quality that lie outside the scope of the bivariate model</w:t>
      </w:r>
    </w:p>
    <w:p w14:paraId="6F8480FB">
      <w:pPr>
        <w:pStyle w:val="style0"/>
        <w:spacing w:after="0" w:lineRule="auto" w:line="480"/>
        <w:jc w:val="both"/>
        <w:rPr>
          <w:rFonts w:ascii="Times New Roman" w:cs="Times New Roman" w:hAnsi="Times New Roman"/>
          <w:b/>
          <w:bCs/>
          <w:sz w:val="24"/>
          <w:szCs w:val="24"/>
        </w:rPr>
      </w:pPr>
    </w:p>
    <w:p w14:paraId="49550D33">
      <w:pPr>
        <w:pStyle w:val="style0"/>
        <w:spacing w:after="0" w:lineRule="auto" w:line="480"/>
        <w:jc w:val="both"/>
        <w:rPr>
          <w:rFonts w:ascii="Times New Roman" w:cs="Times New Roman" w:hAnsi="Times New Roman"/>
          <w:b/>
          <w:bCs/>
          <w:sz w:val="24"/>
          <w:szCs w:val="24"/>
        </w:rPr>
      </w:pPr>
    </w:p>
    <w:p w14:paraId="5EE84CA5">
      <w:pPr>
        <w:pStyle w:val="style0"/>
        <w:spacing w:after="0" w:lineRule="auto" w:line="480"/>
        <w:jc w:val="both"/>
        <w:rPr>
          <w:rFonts w:ascii="Times New Roman" w:cs="Times New Roman" w:hAnsi="Times New Roman"/>
          <w:b/>
          <w:bCs/>
          <w:sz w:val="24"/>
          <w:szCs w:val="24"/>
        </w:rPr>
      </w:pPr>
    </w:p>
    <w:p w14:paraId="10D13E18">
      <w:pPr>
        <w:pStyle w:val="style0"/>
        <w:spacing w:after="0" w:lineRule="auto" w:line="480"/>
        <w:jc w:val="both"/>
        <w:rPr>
          <w:rFonts w:ascii="Times New Roman" w:cs="Times New Roman" w:hAnsi="Times New Roman"/>
          <w:b/>
          <w:bCs/>
          <w:sz w:val="24"/>
          <w:szCs w:val="24"/>
        </w:rPr>
      </w:pPr>
    </w:p>
    <w:p w14:paraId="4647E4A0">
      <w:pPr>
        <w:pStyle w:val="style0"/>
        <w:spacing w:after="0" w:lineRule="auto" w:line="480"/>
        <w:jc w:val="both"/>
        <w:rPr>
          <w:rFonts w:ascii="Times New Roman" w:cs="Times New Roman" w:hAnsi="Times New Roman"/>
          <w:b/>
          <w:bCs/>
          <w:sz w:val="24"/>
          <w:szCs w:val="24"/>
        </w:rPr>
      </w:pPr>
    </w:p>
    <w:p w14:paraId="4F1ABA05">
      <w:pPr>
        <w:pStyle w:val="style0"/>
        <w:spacing w:after="0" w:lineRule="auto" w:line="480"/>
        <w:jc w:val="both"/>
        <w:rPr>
          <w:rFonts w:ascii="Times New Roman" w:cs="Times New Roman" w:hAnsi="Times New Roman"/>
          <w:b/>
          <w:bCs/>
          <w:sz w:val="24"/>
          <w:szCs w:val="24"/>
        </w:rPr>
      </w:pPr>
    </w:p>
    <w:p w14:paraId="4F5F413C">
      <w:pPr>
        <w:pStyle w:val="style0"/>
        <w:spacing w:after="0" w:lineRule="auto" w:line="480"/>
        <w:jc w:val="both"/>
        <w:rPr>
          <w:rFonts w:ascii="Times New Roman" w:cs="Times New Roman" w:hAnsi="Times New Roman"/>
          <w:b/>
          <w:bCs/>
          <w:sz w:val="24"/>
          <w:szCs w:val="24"/>
        </w:rPr>
      </w:pPr>
    </w:p>
    <w:p w14:paraId="14567876">
      <w:pPr>
        <w:pStyle w:val="style0"/>
        <w:spacing w:after="0" w:lineRule="auto" w:line="480"/>
        <w:jc w:val="both"/>
        <w:rPr>
          <w:rFonts w:ascii="Times New Roman" w:cs="Times New Roman" w:hAnsi="Times New Roman"/>
          <w:b/>
          <w:bCs/>
          <w:sz w:val="24"/>
          <w:szCs w:val="24"/>
        </w:rPr>
      </w:pPr>
    </w:p>
    <w:p w14:paraId="5457FC4A">
      <w:pPr>
        <w:pStyle w:val="style0"/>
        <w:spacing w:after="0" w:lineRule="auto" w:line="480"/>
        <w:jc w:val="both"/>
        <w:rPr>
          <w:rFonts w:ascii="Times New Roman" w:cs="Times New Roman" w:hAnsi="Times New Roman"/>
          <w:b/>
          <w:bCs/>
          <w:sz w:val="24"/>
          <w:szCs w:val="24"/>
        </w:rPr>
      </w:pPr>
    </w:p>
    <w:p w14:paraId="4E769047">
      <w:pPr>
        <w:pStyle w:val="style0"/>
        <w:spacing w:after="0" w:lineRule="auto" w:line="480"/>
        <w:jc w:val="both"/>
        <w:rPr>
          <w:rFonts w:ascii="Times New Roman" w:cs="Times New Roman" w:hAnsi="Times New Roman"/>
          <w:b/>
          <w:bCs/>
          <w:sz w:val="24"/>
          <w:szCs w:val="24"/>
        </w:rPr>
      </w:pPr>
    </w:p>
    <w:p w14:paraId="3589D520">
      <w:pPr>
        <w:pStyle w:val="style0"/>
        <w:spacing w:after="0" w:lineRule="auto" w:line="480"/>
        <w:jc w:val="both"/>
        <w:rPr>
          <w:rFonts w:ascii="Times New Roman" w:cs="Times New Roman" w:hAnsi="Times New Roman"/>
          <w:b/>
          <w:bCs/>
          <w:sz w:val="24"/>
          <w:szCs w:val="24"/>
        </w:rPr>
      </w:pPr>
    </w:p>
    <w:p w14:paraId="03C20498">
      <w:pPr>
        <w:pStyle w:val="style0"/>
        <w:spacing w:after="0" w:lineRule="auto" w:line="480"/>
        <w:jc w:val="both"/>
        <w:rPr>
          <w:rFonts w:ascii="Times New Roman" w:cs="Times New Roman" w:hAnsi="Times New Roman"/>
          <w:b/>
          <w:bCs/>
          <w:sz w:val="24"/>
          <w:szCs w:val="24"/>
        </w:rPr>
      </w:pPr>
    </w:p>
    <w:p w14:paraId="4536F823">
      <w:pPr>
        <w:pStyle w:val="style0"/>
        <w:spacing w:after="0" w:lineRule="auto" w:line="480"/>
        <w:jc w:val="both"/>
        <w:rPr>
          <w:rFonts w:ascii="Times New Roman" w:cs="Times New Roman" w:hAnsi="Times New Roman"/>
          <w:b/>
          <w:bCs/>
          <w:sz w:val="24"/>
          <w:szCs w:val="24"/>
        </w:rPr>
      </w:pPr>
    </w:p>
    <w:p w14:paraId="21415E80">
      <w:pPr>
        <w:pStyle w:val="style0"/>
        <w:spacing w:after="0" w:lineRule="auto" w:line="480"/>
        <w:jc w:val="both"/>
        <w:rPr>
          <w:rFonts w:ascii="Times New Roman" w:cs="Times New Roman" w:hAnsi="Times New Roman"/>
          <w:b/>
          <w:bCs/>
          <w:sz w:val="24"/>
          <w:szCs w:val="24"/>
        </w:rPr>
      </w:pPr>
    </w:p>
    <w:p w14:paraId="63D30BA5">
      <w:pPr>
        <w:pStyle w:val="style0"/>
        <w:spacing w:after="0" w:lineRule="auto" w:line="480"/>
        <w:jc w:val="both"/>
        <w:rPr>
          <w:rFonts w:ascii="Times New Roman" w:cs="Times New Roman" w:hAnsi="Times New Roman"/>
          <w:b/>
          <w:bCs/>
          <w:sz w:val="24"/>
          <w:szCs w:val="24"/>
        </w:rPr>
      </w:pPr>
    </w:p>
    <w:p w14:paraId="68DA240A">
      <w:pPr>
        <w:pStyle w:val="style0"/>
        <w:spacing w:after="0" w:lineRule="auto" w:line="480"/>
        <w:jc w:val="center"/>
        <w:rPr>
          <w:rFonts w:ascii="Times New Roman" w:cs="Times New Roman" w:hAnsi="Times New Roman"/>
          <w:b/>
          <w:bCs/>
          <w:sz w:val="24"/>
          <w:szCs w:val="24"/>
        </w:rPr>
      </w:pPr>
      <w:r>
        <w:rPr>
          <w:rFonts w:ascii="Times New Roman" w:cs="Times New Roman" w:hAnsi="Times New Roman"/>
          <w:b/>
          <w:bCs/>
          <w:sz w:val="24"/>
          <w:szCs w:val="24"/>
        </w:rPr>
        <w:t>CHAPTER FIVE</w:t>
      </w:r>
    </w:p>
    <w:p w14:paraId="13A57EDC">
      <w:pPr>
        <w:pStyle w:val="style0"/>
        <w:spacing w:after="0" w:lineRule="auto" w:line="480"/>
        <w:jc w:val="center"/>
        <w:rPr>
          <w:rFonts w:ascii="Times New Roman" w:cs="Times New Roman" w:hAnsi="Times New Roman"/>
          <w:b/>
          <w:bCs/>
          <w:sz w:val="24"/>
          <w:szCs w:val="24"/>
        </w:rPr>
      </w:pPr>
      <w:r>
        <w:rPr>
          <w:rFonts w:ascii="Times New Roman" w:cs="Times New Roman" w:hAnsi="Times New Roman"/>
          <w:b/>
          <w:bCs/>
          <w:sz w:val="24"/>
          <w:szCs w:val="24"/>
        </w:rPr>
        <w:t>SUMMARY OF FINDINGS, CONCLUSION AND RECOMMENDATIONS</w:t>
      </w:r>
    </w:p>
    <w:p w14:paraId="4F006EA0">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5.1 Summary of Findings</w:t>
      </w:r>
    </w:p>
    <w:p w14:paraId="5EA0CC8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Based on the analysis, the following findings were made, that: </w:t>
      </w:r>
    </w:p>
    <w:p w14:paraId="59D29601">
      <w:pPr>
        <w:pStyle w:val="style179"/>
        <w:numPr>
          <w:ilvl w:val="0"/>
          <w:numId w:val="3"/>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The computed t-statistic for EDTAX is 4.0981 which is greater than the t-critical value of 2.306 at 5% level of significance. Again, the p-value is less than 0.05 (p-value of 0.0034&lt;0.05).</w:t>
      </w:r>
    </w:p>
    <w:p w14:paraId="7ED18B16">
      <w:pPr>
        <w:pStyle w:val="style179"/>
        <w:numPr>
          <w:ilvl w:val="0"/>
          <w:numId w:val="3"/>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The computed t-statistic for EDTAX is 3.0336 which is greater than the t-critical value of 2.306 at 5% level of significance. Again, the p-value is less than 0.05 (p-value of 0.0162&lt;0.05).</w:t>
      </w:r>
    </w:p>
    <w:p w14:paraId="47D1CC51">
      <w:pPr>
        <w:pStyle w:val="style179"/>
        <w:numPr>
          <w:ilvl w:val="0"/>
          <w:numId w:val="3"/>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The computed t-statistic for EDTAX is 2.6712 which is greater than the t-critical value of 2.306 at 5% level of significance. Again, the p-value is less than 0.05 (p-value of 0.0283&lt;0.05).</w:t>
      </w:r>
    </w:p>
    <w:p w14:paraId="56982D0B">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5.2 Implications of Findings</w:t>
      </w:r>
    </w:p>
    <w:p w14:paraId="2704F53C">
      <w:pPr>
        <w:pStyle w:val="style179"/>
        <w:numPr>
          <w:ilvl w:val="0"/>
          <w:numId w:val="5"/>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findings implies that the education tax is not just an administrative levy on the private sector but a productive fiscal instrument that generates measurable returns in the form </w:t>
      </w:r>
      <w:r>
        <w:rPr>
          <w:rFonts w:ascii="Times New Roman" w:cs="Times New Roman" w:hAnsi="Times New Roman"/>
          <w:sz w:val="24"/>
          <w:szCs w:val="24"/>
        </w:rPr>
        <w:t>f</w:t>
      </w:r>
      <w:r>
        <w:rPr>
          <w:rFonts w:ascii="Times New Roman" w:cs="Times New Roman" w:hAnsi="Times New Roman"/>
          <w:sz w:val="24"/>
          <w:szCs w:val="24"/>
        </w:rPr>
        <w:t xml:space="preserve"> higher national output. Therefore, any policy reversal such as downward revisions of the education tax rate, weakening of NRS’s assessments and collection capacity would risk undermining a proven driver of economic growth.</w:t>
      </w:r>
    </w:p>
    <w:p w14:paraId="0440CA67">
      <w:pPr>
        <w:pStyle w:val="style179"/>
        <w:numPr>
          <w:ilvl w:val="0"/>
          <w:numId w:val="5"/>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The findings implies that in the administration of fund by TETFUND, it must only secure adequate revenue but must equally ensure that disbursements translate into genuine improvements in educational quality including curriculum relevance, laboratory modernization, academic staff development and graduate employability. Tertiary institutions must as well demonstrate transparency, efficiency, and accountability in the </w:t>
      </w:r>
      <w:r>
        <w:rPr>
          <w:rFonts w:ascii="Times New Roman" w:cs="Times New Roman" w:hAnsi="Times New Roman"/>
          <w:sz w:val="24"/>
          <w:szCs w:val="24"/>
        </w:rPr>
        <w:t>utilisation</w:t>
      </w:r>
      <w:r>
        <w:rPr>
          <w:rFonts w:ascii="Times New Roman" w:cs="Times New Roman" w:hAnsi="Times New Roman"/>
          <w:sz w:val="24"/>
          <w:szCs w:val="24"/>
        </w:rPr>
        <w:t xml:space="preserve"> of TETFUND resources, ensuring that approved </w:t>
      </w:r>
      <w:r>
        <w:rPr>
          <w:rFonts w:ascii="Times New Roman" w:cs="Times New Roman" w:hAnsi="Times New Roman"/>
          <w:sz w:val="24"/>
          <w:szCs w:val="24"/>
        </w:rPr>
        <w:t>projects are carried out to standard and tat funds are not lost to bureaucratic bottlenecks or misappropriation.</w:t>
      </w:r>
    </w:p>
    <w:p w14:paraId="44A18F75">
      <w:pPr>
        <w:pStyle w:val="style179"/>
        <w:numPr>
          <w:ilvl w:val="0"/>
          <w:numId w:val="5"/>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The findings implies that the contribution of the private sector to the education tax ultimately generate returns that benefit corporate operations through a more productive and educated workforce. Therefore, the private sector should not view the education tax solely as a cost burden but as a strategic investment in the human capital base that sustains long-run business productivity and national competitiveness. Corporate </w:t>
      </w:r>
      <w:r>
        <w:rPr>
          <w:rFonts w:ascii="Times New Roman" w:cs="Times New Roman" w:hAnsi="Times New Roman"/>
          <w:sz w:val="24"/>
          <w:szCs w:val="24"/>
        </w:rPr>
        <w:t>organisations</w:t>
      </w:r>
      <w:r>
        <w:rPr>
          <w:rFonts w:ascii="Times New Roman" w:cs="Times New Roman" w:hAnsi="Times New Roman"/>
          <w:sz w:val="24"/>
          <w:szCs w:val="24"/>
        </w:rPr>
        <w:t xml:space="preserve"> should hence engage constructively with TETFUND through industry aligned curriculum development, student internship and industrial attachment </w:t>
      </w:r>
      <w:r>
        <w:rPr>
          <w:rFonts w:ascii="Times New Roman" w:cs="Times New Roman" w:hAnsi="Times New Roman"/>
          <w:sz w:val="24"/>
          <w:szCs w:val="24"/>
        </w:rPr>
        <w:t>programmes</w:t>
      </w:r>
      <w:r>
        <w:rPr>
          <w:rFonts w:ascii="Times New Roman" w:cs="Times New Roman" w:hAnsi="Times New Roman"/>
          <w:sz w:val="24"/>
          <w:szCs w:val="24"/>
        </w:rPr>
        <w:t>, to ensure that the human capital produced by TETFUND supported institutions is directly relevant to private sector needs.</w:t>
      </w:r>
    </w:p>
    <w:p w14:paraId="050964A2">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5.3 Conclusion</w:t>
      </w:r>
    </w:p>
    <w:p w14:paraId="54664842">
      <w:pPr>
        <w:pStyle w:val="style179"/>
        <w:numPr>
          <w:ilvl w:val="0"/>
          <w:numId w:val="4"/>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In view of the findings, we now conclude that education tax has positive and significant effect on real gross domestic product of Nigeria. That is, education tax is a significant variable to determine the economic growth of Nigeria within the period under study.</w:t>
      </w:r>
    </w:p>
    <w:p w14:paraId="72EEE8A9">
      <w:pPr>
        <w:pStyle w:val="style179"/>
        <w:numPr>
          <w:ilvl w:val="0"/>
          <w:numId w:val="4"/>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Education tax has positive and significant effect on gross national income of Nigeria. This implies that education tax is a significant variable to determine the gross national income within the period under study.</w:t>
      </w:r>
    </w:p>
    <w:p w14:paraId="52608FAF">
      <w:pPr>
        <w:pStyle w:val="style179"/>
        <w:numPr>
          <w:ilvl w:val="0"/>
          <w:numId w:val="4"/>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Education tax has a positive and significant effect on human capital development </w:t>
      </w:r>
      <w:r>
        <w:rPr>
          <w:rFonts w:ascii="Times New Roman" w:cs="Times New Roman" w:hAnsi="Times New Roman"/>
          <w:sz w:val="24"/>
          <w:szCs w:val="24"/>
        </w:rPr>
        <w:t>proxied</w:t>
      </w:r>
      <w:r>
        <w:rPr>
          <w:rFonts w:ascii="Times New Roman" w:cs="Times New Roman" w:hAnsi="Times New Roman"/>
          <w:sz w:val="24"/>
          <w:szCs w:val="24"/>
        </w:rPr>
        <w:t xml:space="preserve"> by human development index. This implies that education tax is a significant variable to determine the human capital development of Nigeria. </w:t>
      </w:r>
    </w:p>
    <w:p w14:paraId="3272AD28">
      <w:pPr>
        <w:pStyle w:val="style0"/>
        <w:spacing w:after="0" w:lineRule="auto" w:line="480"/>
        <w:jc w:val="both"/>
        <w:rPr>
          <w:rFonts w:ascii="Times New Roman" w:cs="Times New Roman" w:hAnsi="Times New Roman"/>
          <w:sz w:val="24"/>
          <w:szCs w:val="24"/>
        </w:rPr>
      </w:pPr>
    </w:p>
    <w:p w14:paraId="1202645B">
      <w:pPr>
        <w:pStyle w:val="style0"/>
        <w:spacing w:after="0" w:lineRule="auto" w:line="480"/>
        <w:jc w:val="both"/>
        <w:rPr>
          <w:rFonts w:ascii="Times New Roman" w:cs="Times New Roman" w:hAnsi="Times New Roman"/>
          <w:sz w:val="24"/>
          <w:szCs w:val="24"/>
        </w:rPr>
      </w:pPr>
    </w:p>
    <w:p w14:paraId="00D0A31F">
      <w:pPr>
        <w:pStyle w:val="style0"/>
        <w:spacing w:after="0" w:lineRule="auto" w:line="480"/>
        <w:jc w:val="both"/>
        <w:rPr>
          <w:rFonts w:ascii="Times New Roman" w:cs="Times New Roman" w:hAnsi="Times New Roman"/>
          <w:sz w:val="24"/>
          <w:szCs w:val="24"/>
        </w:rPr>
      </w:pPr>
    </w:p>
    <w:p w14:paraId="5D7502D1">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5.4 Recommendations</w:t>
      </w:r>
    </w:p>
    <w:p w14:paraId="6CF9E86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In view of these findings, the following recommendations are suggested:</w:t>
      </w:r>
    </w:p>
    <w:p w14:paraId="4A54FD59">
      <w:pPr>
        <w:pStyle w:val="style179"/>
        <w:numPr>
          <w:ilvl w:val="0"/>
          <w:numId w:val="6"/>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Federal Government of Nigeria, through the NRS, should strengthen the assessment, and collection processes for education tax to ensure maximum compliance among taxable companies. The significant positive effect of EDTAX on RGDP demonstrated by this study implies that every additional naira of education tax collected and properly deployed through TETFUND has the capability to generate measurable real output growth in the economy. </w:t>
      </w:r>
    </w:p>
    <w:p w14:paraId="39882203">
      <w:pPr>
        <w:pStyle w:val="style179"/>
        <w:numPr>
          <w:ilvl w:val="0"/>
          <w:numId w:val="6"/>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The Federal Government should develop and implement a comprehensive human capital retention strategy. This should include payment of competitive and regular remuneration for academics and public sector professional, the establishment of funded postdoctoral and research fellowship programs, the improvement foe security and living conditions, and the creation of an enabling entrepreneurial ecosystem that provides rewarding career opportunities for graduates within Nigeria.</w:t>
      </w:r>
    </w:p>
    <w:p w14:paraId="368DAF66">
      <w:pPr>
        <w:pStyle w:val="style179"/>
        <w:numPr>
          <w:ilvl w:val="0"/>
          <w:numId w:val="6"/>
        </w:numPr>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TETFUND should prioritize project interventions that directly translate into measurable human development outcomes such as modernization of laboratories and libraries, the expansion of academic staff training and development programs, industry-aligned curriculum reform, and the strengthening of university research partnerships. </w:t>
      </w:r>
    </w:p>
    <w:p w14:paraId="748E9B84">
      <w:pPr>
        <w:pStyle w:val="style0"/>
        <w:spacing w:after="0" w:lineRule="auto" w:line="480"/>
        <w:jc w:val="both"/>
        <w:rPr>
          <w:rFonts w:ascii="Times New Roman" w:cs="Times New Roman" w:hAnsi="Times New Roman"/>
          <w:b/>
          <w:bCs/>
          <w:sz w:val="24"/>
          <w:szCs w:val="24"/>
        </w:rPr>
      </w:pPr>
      <w:r>
        <w:rPr>
          <w:rFonts w:ascii="Times New Roman" w:cs="Times New Roman" w:hAnsi="Times New Roman"/>
          <w:b/>
          <w:bCs/>
          <w:sz w:val="24"/>
          <w:szCs w:val="24"/>
        </w:rPr>
        <w:t>5.5 Suggestion for Further Studies</w:t>
      </w:r>
    </w:p>
    <w:p w14:paraId="1DF11163">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The researcher suggests that future studies are encouraged to adopt a more advanced time series techniques such as Autoregressive Distributed Lag (ADRL) model to allow a formal distinction between the short </w:t>
      </w:r>
      <w:r>
        <w:rPr>
          <w:rFonts w:ascii="Times New Roman" w:cs="Times New Roman" w:hAnsi="Times New Roman"/>
          <w:sz w:val="24"/>
          <w:szCs w:val="24"/>
        </w:rPr>
        <w:t>tun</w:t>
      </w:r>
      <w:r>
        <w:rPr>
          <w:rFonts w:ascii="Times New Roman" w:cs="Times New Roman" w:hAnsi="Times New Roman"/>
          <w:sz w:val="24"/>
          <w:szCs w:val="24"/>
        </w:rPr>
        <w:t xml:space="preserve"> and long run effects on economic growth of Nigeria. </w:t>
      </w:r>
    </w:p>
    <w:p w14:paraId="4434D550">
      <w:pPr>
        <w:pStyle w:val="style0"/>
        <w:spacing w:after="0" w:lineRule="auto" w:line="480"/>
        <w:jc w:val="both"/>
        <w:rPr>
          <w:rFonts w:ascii="Times New Roman" w:cs="Times New Roman" w:hAnsi="Times New Roman"/>
          <w:sz w:val="24"/>
          <w:szCs w:val="24"/>
        </w:rPr>
      </w:pPr>
    </w:p>
    <w:p w14:paraId="39E82971">
      <w:pPr>
        <w:pStyle w:val="style0"/>
        <w:rPr>
          <w:rFonts w:ascii="Times New Roman" w:cs="Times New Roman" w:hAnsi="Times New Roman"/>
          <w:sz w:val="24"/>
          <w:szCs w:val="24"/>
        </w:rPr>
      </w:pPr>
    </w:p>
    <w:p w14:paraId="1A8AA38D">
      <w:pPr>
        <w:pStyle w:val="style0"/>
        <w:spacing w:lineRule="auto" w:line="276"/>
        <w:jc w:val="center"/>
        <w:rPr>
          <w:rFonts w:ascii="Times New Roman" w:cs="Times New Roman" w:hAnsi="Times New Roman"/>
          <w:b/>
          <w:bCs/>
          <w:sz w:val="24"/>
          <w:szCs w:val="24"/>
        </w:rPr>
      </w:pPr>
    </w:p>
    <w:p w14:paraId="53B12759">
      <w:pPr>
        <w:pStyle w:val="style0"/>
        <w:spacing w:lineRule="auto" w:line="276"/>
        <w:jc w:val="center"/>
        <w:rPr>
          <w:rFonts w:ascii="Times New Roman" w:cs="Times New Roman" w:hAnsi="Times New Roman"/>
          <w:b/>
          <w:bCs/>
          <w:sz w:val="24"/>
          <w:szCs w:val="24"/>
        </w:rPr>
      </w:pPr>
    </w:p>
    <w:p w14:paraId="134EE8EC">
      <w:pPr>
        <w:pStyle w:val="style0"/>
        <w:spacing w:lineRule="auto" w:line="276"/>
        <w:jc w:val="center"/>
        <w:rPr>
          <w:rFonts w:ascii="Times New Roman" w:cs="Times New Roman" w:hAnsi="Times New Roman"/>
          <w:b/>
          <w:bCs/>
          <w:sz w:val="24"/>
          <w:szCs w:val="24"/>
        </w:rPr>
      </w:pPr>
      <w:r>
        <w:rPr>
          <w:rFonts w:ascii="Times New Roman" w:cs="Times New Roman" w:hAnsi="Times New Roman"/>
          <w:b/>
          <w:bCs/>
          <w:sz w:val="24"/>
          <w:szCs w:val="24"/>
        </w:rPr>
        <w:t>REFERENCES</w:t>
      </w:r>
    </w:p>
    <w:p w14:paraId="554A5011">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Abubakarr</w:t>
      </w:r>
      <w:r>
        <w:rPr>
          <w:rFonts w:ascii="Times New Roman" w:cs="Times New Roman" w:hAnsi="Times New Roman"/>
          <w:sz w:val="24"/>
          <w:szCs w:val="24"/>
        </w:rPr>
        <w:t xml:space="preserve">, S. (2023). The relationship between education and economic growth: A cross-country analysis. </w:t>
      </w:r>
      <w:r>
        <w:rPr>
          <w:rFonts w:ascii="Times New Roman" w:cs="Times New Roman" w:hAnsi="Times New Roman"/>
          <w:i/>
          <w:sz w:val="24"/>
          <w:szCs w:val="24"/>
        </w:rPr>
        <w:t>World Development Perspectives, 29</w:t>
      </w:r>
      <w:r>
        <w:rPr>
          <w:rFonts w:ascii="Times New Roman" w:cs="Times New Roman" w:hAnsi="Times New Roman"/>
          <w:sz w:val="24"/>
          <w:szCs w:val="24"/>
        </w:rPr>
        <w:t xml:space="preserve">, 100482. </w:t>
      </w:r>
    </w:p>
    <w:p w14:paraId="1EEE8E12">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Adavbiele</w:t>
      </w:r>
      <w:r>
        <w:rPr>
          <w:rFonts w:ascii="Times New Roman" w:cs="Times New Roman" w:hAnsi="Times New Roman"/>
          <w:sz w:val="24"/>
          <w:szCs w:val="24"/>
        </w:rPr>
        <w:t xml:space="preserve">, J. A. (2016). Impact of Education Trust Fund (ETF) on tertiary institutions in Nigeria, using College of Education as case study. </w:t>
      </w:r>
      <w:r>
        <w:rPr>
          <w:rFonts w:ascii="Times New Roman" w:cs="Times New Roman" w:hAnsi="Times New Roman"/>
          <w:i/>
          <w:sz w:val="24"/>
          <w:szCs w:val="24"/>
        </w:rPr>
        <w:t>Journal of Education and Practice, 7</w:t>
      </w:r>
      <w:r>
        <w:rPr>
          <w:rFonts w:ascii="Times New Roman" w:cs="Times New Roman" w:hAnsi="Times New Roman"/>
          <w:sz w:val="24"/>
          <w:szCs w:val="24"/>
        </w:rPr>
        <w:t>(6), 47–53.</w:t>
      </w:r>
    </w:p>
    <w:p w14:paraId="40CCFF9D">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Adejare</w:t>
      </w:r>
      <w:r>
        <w:rPr>
          <w:rFonts w:ascii="Times New Roman" w:cs="Times New Roman" w:hAnsi="Times New Roman"/>
          <w:sz w:val="24"/>
          <w:szCs w:val="24"/>
        </w:rPr>
        <w:t xml:space="preserve">, A. T. (2017). Empirical analysis of the effect of education tax on human capital development in Nigeria. </w:t>
      </w:r>
      <w:r>
        <w:rPr>
          <w:rFonts w:ascii="Times New Roman" w:cs="Times New Roman" w:hAnsi="Times New Roman"/>
          <w:i/>
          <w:sz w:val="24"/>
          <w:szCs w:val="24"/>
        </w:rPr>
        <w:t xml:space="preserve">Fountain University </w:t>
      </w:r>
      <w:r>
        <w:rPr>
          <w:rFonts w:ascii="Times New Roman" w:cs="Times New Roman" w:hAnsi="Times New Roman"/>
          <w:i/>
          <w:sz w:val="24"/>
          <w:szCs w:val="24"/>
        </w:rPr>
        <w:t>Osogbo</w:t>
      </w:r>
      <w:r>
        <w:rPr>
          <w:rFonts w:ascii="Times New Roman" w:cs="Times New Roman" w:hAnsi="Times New Roman"/>
          <w:i/>
          <w:sz w:val="24"/>
          <w:szCs w:val="24"/>
        </w:rPr>
        <w:t xml:space="preserve"> Journal of Management, 2</w:t>
      </w:r>
      <w:r>
        <w:rPr>
          <w:rFonts w:ascii="Times New Roman" w:cs="Times New Roman" w:hAnsi="Times New Roman"/>
          <w:sz w:val="24"/>
          <w:szCs w:val="24"/>
        </w:rPr>
        <w:t>(1), 1–14.</w:t>
      </w:r>
    </w:p>
    <w:p w14:paraId="1376F0EC">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Adeyemi</w:t>
      </w:r>
      <w:r>
        <w:rPr>
          <w:rFonts w:ascii="Times New Roman" w:cs="Times New Roman" w:hAnsi="Times New Roman"/>
          <w:sz w:val="24"/>
          <w:szCs w:val="24"/>
        </w:rPr>
        <w:t xml:space="preserve">, S. L., &amp; </w:t>
      </w:r>
      <w:r>
        <w:rPr>
          <w:rFonts w:ascii="Times New Roman" w:cs="Times New Roman" w:hAnsi="Times New Roman"/>
          <w:sz w:val="24"/>
          <w:szCs w:val="24"/>
        </w:rPr>
        <w:t>Ogunsola</w:t>
      </w:r>
      <w:r>
        <w:rPr>
          <w:rFonts w:ascii="Times New Roman" w:cs="Times New Roman" w:hAnsi="Times New Roman"/>
          <w:sz w:val="24"/>
          <w:szCs w:val="24"/>
        </w:rPr>
        <w:t xml:space="preserve">, A. J. (2016). Public education spending and national income: An ARDL approach. </w:t>
      </w:r>
      <w:r>
        <w:rPr>
          <w:rFonts w:ascii="Times New Roman" w:cs="Times New Roman" w:hAnsi="Times New Roman"/>
          <w:i/>
          <w:sz w:val="24"/>
          <w:szCs w:val="24"/>
        </w:rPr>
        <w:t>Journal of Finance, Banking and Investment, 4</w:t>
      </w:r>
      <w:r>
        <w:rPr>
          <w:rFonts w:ascii="Times New Roman" w:cs="Times New Roman" w:hAnsi="Times New Roman"/>
          <w:sz w:val="24"/>
          <w:szCs w:val="24"/>
        </w:rPr>
        <w:t>(1), 35–52.</w:t>
      </w:r>
    </w:p>
    <w:p w14:paraId="55053AC4">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Aminu</w:t>
      </w:r>
      <w:r>
        <w:rPr>
          <w:rFonts w:ascii="Times New Roman" w:cs="Times New Roman" w:hAnsi="Times New Roman"/>
          <w:sz w:val="24"/>
          <w:szCs w:val="24"/>
        </w:rPr>
        <w:t xml:space="preserve">, A. (2020). The impact of education tax and investment in human capital on economic growth in Nigeria. </w:t>
      </w:r>
      <w:r>
        <w:rPr>
          <w:rFonts w:ascii="Times New Roman" w:cs="Times New Roman" w:hAnsi="Times New Roman"/>
          <w:i/>
          <w:sz w:val="24"/>
          <w:szCs w:val="24"/>
        </w:rPr>
        <w:t>Kashere</w:t>
      </w:r>
      <w:r>
        <w:rPr>
          <w:rFonts w:ascii="Times New Roman" w:cs="Times New Roman" w:hAnsi="Times New Roman"/>
          <w:i/>
          <w:sz w:val="24"/>
          <w:szCs w:val="24"/>
        </w:rPr>
        <w:t xml:space="preserve"> Journal of Politics and International Relations, 8</w:t>
      </w:r>
      <w:r>
        <w:rPr>
          <w:rFonts w:ascii="Times New Roman" w:cs="Times New Roman" w:hAnsi="Times New Roman"/>
          <w:sz w:val="24"/>
          <w:szCs w:val="24"/>
        </w:rPr>
        <w:t>(2), 185–199.</w:t>
      </w:r>
    </w:p>
    <w:p w14:paraId="44AC5169">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Aminu</w:t>
      </w:r>
      <w:r>
        <w:rPr>
          <w:rFonts w:ascii="Times New Roman" w:cs="Times New Roman" w:hAnsi="Times New Roman"/>
          <w:sz w:val="24"/>
          <w:szCs w:val="24"/>
        </w:rPr>
        <w:t xml:space="preserve">, U., &amp; </w:t>
      </w:r>
      <w:r>
        <w:rPr>
          <w:rFonts w:ascii="Times New Roman" w:cs="Times New Roman" w:hAnsi="Times New Roman"/>
          <w:sz w:val="24"/>
          <w:szCs w:val="24"/>
        </w:rPr>
        <w:t>Aminu</w:t>
      </w:r>
      <w:r>
        <w:rPr>
          <w:rFonts w:ascii="Times New Roman" w:cs="Times New Roman" w:hAnsi="Times New Roman"/>
          <w:sz w:val="24"/>
          <w:szCs w:val="24"/>
        </w:rPr>
        <w:t xml:space="preserve">, A. (2018). Effect of Tertiary Education Trust Fund (TETFUND) intervention on the performance of academic staff of Ramat Polytechnic Maiduguri, </w:t>
      </w:r>
      <w:r>
        <w:rPr>
          <w:rFonts w:ascii="Times New Roman" w:cs="Times New Roman" w:hAnsi="Times New Roman"/>
          <w:sz w:val="24"/>
          <w:szCs w:val="24"/>
        </w:rPr>
        <w:t>Borno</w:t>
      </w:r>
      <w:r>
        <w:rPr>
          <w:rFonts w:ascii="Times New Roman" w:cs="Times New Roman" w:hAnsi="Times New Roman"/>
          <w:sz w:val="24"/>
          <w:szCs w:val="24"/>
        </w:rPr>
        <w:t xml:space="preserve"> State, Nigeria. </w:t>
      </w:r>
      <w:r>
        <w:rPr>
          <w:rFonts w:ascii="Times New Roman" w:cs="Times New Roman" w:hAnsi="Times New Roman"/>
          <w:i/>
          <w:sz w:val="24"/>
          <w:szCs w:val="24"/>
        </w:rPr>
        <w:t>International Journal of Advanced Academic Research (Arts, Humanities &amp; Education), 4</w:t>
      </w:r>
      <w:r>
        <w:rPr>
          <w:rFonts w:ascii="Times New Roman" w:cs="Times New Roman" w:hAnsi="Times New Roman"/>
          <w:sz w:val="24"/>
          <w:szCs w:val="24"/>
        </w:rPr>
        <w:t>(11), 1–15.</w:t>
      </w:r>
    </w:p>
    <w:p w14:paraId="21BC0BAD">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Ani</w:t>
      </w:r>
      <w:r>
        <w:rPr>
          <w:rFonts w:ascii="Times New Roman" w:cs="Times New Roman" w:hAnsi="Times New Roman"/>
          <w:sz w:val="24"/>
          <w:szCs w:val="24"/>
        </w:rPr>
        <w:t xml:space="preserve">, W. U., &amp; </w:t>
      </w:r>
      <w:r>
        <w:rPr>
          <w:rFonts w:ascii="Times New Roman" w:cs="Times New Roman" w:hAnsi="Times New Roman"/>
          <w:sz w:val="24"/>
          <w:szCs w:val="24"/>
        </w:rPr>
        <w:t>Mbah</w:t>
      </w:r>
      <w:r>
        <w:rPr>
          <w:rFonts w:ascii="Times New Roman" w:cs="Times New Roman" w:hAnsi="Times New Roman"/>
          <w:sz w:val="24"/>
          <w:szCs w:val="24"/>
        </w:rPr>
        <w:t xml:space="preserve">, S. O. (2021). Education tax effect on firms’ value of production industries in Nigeria. </w:t>
      </w:r>
      <w:r>
        <w:rPr>
          <w:rFonts w:ascii="Times New Roman" w:cs="Times New Roman" w:hAnsi="Times New Roman"/>
          <w:i/>
          <w:sz w:val="24"/>
          <w:szCs w:val="24"/>
        </w:rPr>
        <w:t>Research Journal of Finance and Accounting, 12</w:t>
      </w:r>
      <w:r>
        <w:rPr>
          <w:rFonts w:ascii="Times New Roman" w:cs="Times New Roman" w:hAnsi="Times New Roman"/>
          <w:sz w:val="24"/>
          <w:szCs w:val="24"/>
        </w:rPr>
        <w:t xml:space="preserve">(6), 47–55. </w:t>
      </w:r>
    </w:p>
    <w:p w14:paraId="4618C038">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 xml:space="preserve">Basset, R. M. (2013). </w:t>
      </w:r>
      <w:r>
        <w:rPr>
          <w:rFonts w:ascii="Times New Roman" w:cs="Times New Roman" w:hAnsi="Times New Roman"/>
          <w:i/>
          <w:sz w:val="24"/>
          <w:szCs w:val="24"/>
        </w:rPr>
        <w:t>Financing higher education in sub-Saharan Africa</w:t>
      </w:r>
      <w:r>
        <w:rPr>
          <w:rFonts w:ascii="Times New Roman" w:cs="Times New Roman" w:hAnsi="Times New Roman"/>
          <w:sz w:val="24"/>
          <w:szCs w:val="24"/>
        </w:rPr>
        <w:t>. World Bank.</w:t>
      </w:r>
    </w:p>
    <w:p w14:paraId="3E92EC0D">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 xml:space="preserve">Becker, G. S. (1964). </w:t>
      </w:r>
      <w:r>
        <w:rPr>
          <w:rFonts w:ascii="Times New Roman" w:cs="Times New Roman" w:hAnsi="Times New Roman"/>
          <w:i/>
          <w:sz w:val="24"/>
          <w:szCs w:val="24"/>
        </w:rPr>
        <w:t>Human capital: A theoretical and empirical analysis, with special reference to education</w:t>
      </w:r>
      <w:r>
        <w:rPr>
          <w:rFonts w:ascii="Times New Roman" w:cs="Times New Roman" w:hAnsi="Times New Roman"/>
          <w:sz w:val="24"/>
          <w:szCs w:val="24"/>
        </w:rPr>
        <w:t>. National Bureau of Economic Research.</w:t>
      </w:r>
    </w:p>
    <w:p w14:paraId="2576820B">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Conto</w:t>
      </w:r>
      <w:r>
        <w:rPr>
          <w:rFonts w:ascii="Times New Roman" w:cs="Times New Roman" w:hAnsi="Times New Roman"/>
          <w:sz w:val="24"/>
          <w:szCs w:val="24"/>
        </w:rPr>
        <w:t xml:space="preserve">, C. A., </w:t>
      </w:r>
      <w:r>
        <w:rPr>
          <w:rFonts w:ascii="Times New Roman" w:cs="Times New Roman" w:hAnsi="Times New Roman"/>
          <w:sz w:val="24"/>
          <w:szCs w:val="24"/>
        </w:rPr>
        <w:t>Jalvo</w:t>
      </w:r>
      <w:r>
        <w:rPr>
          <w:rFonts w:ascii="Times New Roman" w:cs="Times New Roman" w:hAnsi="Times New Roman"/>
          <w:sz w:val="24"/>
          <w:szCs w:val="24"/>
        </w:rPr>
        <w:t xml:space="preserve">, B., </w:t>
      </w:r>
      <w:r>
        <w:rPr>
          <w:rFonts w:ascii="Times New Roman" w:cs="Times New Roman" w:hAnsi="Times New Roman"/>
          <w:sz w:val="24"/>
          <w:szCs w:val="24"/>
        </w:rPr>
        <w:t>Krishnaratne</w:t>
      </w:r>
      <w:r>
        <w:rPr>
          <w:rFonts w:ascii="Times New Roman" w:cs="Times New Roman" w:hAnsi="Times New Roman"/>
          <w:sz w:val="24"/>
          <w:szCs w:val="24"/>
        </w:rPr>
        <w:t xml:space="preserve">, S., &amp; Richer, E. (2021). Potential effects of COVID-19 school closures on foundational skills and country responses for mitigating learning loss. </w:t>
      </w:r>
      <w:r>
        <w:rPr>
          <w:rFonts w:ascii="Times New Roman" w:cs="Times New Roman" w:hAnsi="Times New Roman"/>
          <w:i/>
          <w:sz w:val="24"/>
          <w:szCs w:val="24"/>
        </w:rPr>
        <w:t>International Journal of Educational Development, 87</w:t>
      </w:r>
      <w:r>
        <w:rPr>
          <w:rFonts w:ascii="Times New Roman" w:cs="Times New Roman" w:hAnsi="Times New Roman"/>
          <w:sz w:val="24"/>
          <w:szCs w:val="24"/>
        </w:rPr>
        <w:t xml:space="preserve">, 102499. </w:t>
      </w:r>
    </w:p>
    <w:p w14:paraId="4E67B93C">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Dwivedi</w:t>
      </w:r>
      <w:r>
        <w:rPr>
          <w:rFonts w:ascii="Times New Roman" w:cs="Times New Roman" w:hAnsi="Times New Roman"/>
          <w:sz w:val="24"/>
          <w:szCs w:val="24"/>
        </w:rPr>
        <w:t xml:space="preserve">, D. N. (2004). </w:t>
      </w:r>
      <w:r>
        <w:rPr>
          <w:rFonts w:ascii="Times New Roman" w:cs="Times New Roman" w:hAnsi="Times New Roman"/>
          <w:i/>
          <w:sz w:val="24"/>
          <w:szCs w:val="24"/>
        </w:rPr>
        <w:t>Macroeconomics: Theory and policy</w:t>
      </w:r>
      <w:r>
        <w:rPr>
          <w:rFonts w:ascii="Times New Roman" w:cs="Times New Roman" w:hAnsi="Times New Roman"/>
          <w:sz w:val="24"/>
          <w:szCs w:val="24"/>
        </w:rPr>
        <w:t xml:space="preserve"> (2nd </w:t>
      </w:r>
      <w:r>
        <w:rPr>
          <w:rFonts w:ascii="Times New Roman" w:cs="Times New Roman" w:hAnsi="Times New Roman"/>
          <w:sz w:val="24"/>
          <w:szCs w:val="24"/>
        </w:rPr>
        <w:t>ed</w:t>
      </w:r>
      <w:r>
        <w:rPr>
          <w:rFonts w:ascii="Times New Roman" w:cs="Times New Roman" w:hAnsi="Times New Roman"/>
          <w:sz w:val="24"/>
          <w:szCs w:val="24"/>
        </w:rPr>
        <w:t>.). Tata McGraw-Hill.</w:t>
      </w:r>
    </w:p>
    <w:p w14:paraId="7C3A1972">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Eze</w:t>
      </w:r>
      <w:r>
        <w:rPr>
          <w:rFonts w:ascii="Times New Roman" w:cs="Times New Roman" w:hAnsi="Times New Roman"/>
          <w:sz w:val="24"/>
          <w:szCs w:val="24"/>
        </w:rPr>
        <w:t xml:space="preserve">, T. C. (2011). Education tax fund (ETF) and the development of tertiary institutions in Nigeria. </w:t>
      </w:r>
      <w:r>
        <w:rPr>
          <w:rFonts w:ascii="Times New Roman" w:cs="Times New Roman" w:hAnsi="Times New Roman"/>
          <w:i/>
          <w:sz w:val="24"/>
          <w:szCs w:val="24"/>
        </w:rPr>
        <w:t>International Journal of Academic Research in Business and Social Sciences, 1</w:t>
      </w:r>
      <w:r>
        <w:rPr>
          <w:rFonts w:ascii="Times New Roman" w:cs="Times New Roman" w:hAnsi="Times New Roman"/>
          <w:sz w:val="24"/>
          <w:szCs w:val="24"/>
        </w:rPr>
        <w:t>(3), 154–163.</w:t>
      </w:r>
    </w:p>
    <w:p w14:paraId="5BEF24C5">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Flabbi</w:t>
      </w:r>
      <w:r>
        <w:rPr>
          <w:rFonts w:ascii="Times New Roman" w:cs="Times New Roman" w:hAnsi="Times New Roman"/>
          <w:sz w:val="24"/>
          <w:szCs w:val="24"/>
        </w:rPr>
        <w:t xml:space="preserve">, L., &amp; </w:t>
      </w:r>
      <w:r>
        <w:rPr>
          <w:rFonts w:ascii="Times New Roman" w:cs="Times New Roman" w:hAnsi="Times New Roman"/>
          <w:sz w:val="24"/>
          <w:szCs w:val="24"/>
        </w:rPr>
        <w:t>Gatti</w:t>
      </w:r>
      <w:r>
        <w:rPr>
          <w:rFonts w:ascii="Times New Roman" w:cs="Times New Roman" w:hAnsi="Times New Roman"/>
          <w:sz w:val="24"/>
          <w:szCs w:val="24"/>
        </w:rPr>
        <w:t xml:space="preserve">, R. (2018). </w:t>
      </w:r>
      <w:r>
        <w:rPr>
          <w:rFonts w:ascii="Times New Roman" w:cs="Times New Roman" w:hAnsi="Times New Roman"/>
          <w:i/>
          <w:sz w:val="24"/>
          <w:szCs w:val="24"/>
        </w:rPr>
        <w:t>A primer on human capital</w:t>
      </w:r>
      <w:r>
        <w:rPr>
          <w:rFonts w:ascii="Times New Roman" w:cs="Times New Roman" w:hAnsi="Times New Roman"/>
          <w:sz w:val="24"/>
          <w:szCs w:val="24"/>
        </w:rPr>
        <w:t xml:space="preserve"> (Policy Research Working Paper No. 8309). </w:t>
      </w:r>
    </w:p>
    <w:p w14:paraId="00628B3D">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Igbasan</w:t>
      </w:r>
      <w:r>
        <w:rPr>
          <w:rFonts w:ascii="Times New Roman" w:cs="Times New Roman" w:hAnsi="Times New Roman"/>
          <w:sz w:val="24"/>
          <w:szCs w:val="24"/>
        </w:rPr>
        <w:t xml:space="preserve">, P. A. (2017). Economic growth determinants in Nigeria: An empirical investigation. </w:t>
      </w:r>
      <w:r>
        <w:rPr>
          <w:rFonts w:ascii="Times New Roman" w:cs="Times New Roman" w:hAnsi="Times New Roman"/>
          <w:i/>
          <w:sz w:val="24"/>
          <w:szCs w:val="24"/>
        </w:rPr>
        <w:t>Journal of Economics and Sustainable Development, 8</w:t>
      </w:r>
      <w:r>
        <w:rPr>
          <w:rFonts w:ascii="Times New Roman" w:cs="Times New Roman" w:hAnsi="Times New Roman"/>
          <w:sz w:val="24"/>
          <w:szCs w:val="24"/>
        </w:rPr>
        <w:t>(4), 88–96.</w:t>
      </w:r>
    </w:p>
    <w:p w14:paraId="5F844553">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 xml:space="preserve">Ignatius, O. O., &amp; </w:t>
      </w:r>
      <w:r>
        <w:rPr>
          <w:rFonts w:ascii="Times New Roman" w:cs="Times New Roman" w:hAnsi="Times New Roman"/>
          <w:sz w:val="24"/>
          <w:szCs w:val="24"/>
        </w:rPr>
        <w:t>Umotong</w:t>
      </w:r>
      <w:r>
        <w:rPr>
          <w:rFonts w:ascii="Times New Roman" w:cs="Times New Roman" w:hAnsi="Times New Roman"/>
          <w:sz w:val="24"/>
          <w:szCs w:val="24"/>
        </w:rPr>
        <w:t xml:space="preserve">, I. D. (2022). Decay in the educational system: The Nigerian perspective. </w:t>
      </w:r>
      <w:r>
        <w:rPr>
          <w:rFonts w:ascii="Times New Roman" w:cs="Times New Roman" w:hAnsi="Times New Roman"/>
          <w:i/>
          <w:sz w:val="24"/>
          <w:szCs w:val="24"/>
        </w:rPr>
        <w:t>Mediterranean Journal of Social Sciences, 13</w:t>
      </w:r>
      <w:r>
        <w:rPr>
          <w:rFonts w:ascii="Times New Roman" w:cs="Times New Roman" w:hAnsi="Times New Roman"/>
          <w:sz w:val="24"/>
          <w:szCs w:val="24"/>
        </w:rPr>
        <w:t xml:space="preserve">(1), 77–88. </w:t>
      </w:r>
    </w:p>
    <w:p w14:paraId="70647AC3">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Inyiama</w:t>
      </w:r>
      <w:r>
        <w:rPr>
          <w:rFonts w:ascii="Times New Roman" w:cs="Times New Roman" w:hAnsi="Times New Roman"/>
          <w:sz w:val="24"/>
          <w:szCs w:val="24"/>
        </w:rPr>
        <w:t xml:space="preserve">, O. I., &amp; </w:t>
      </w:r>
      <w:r>
        <w:rPr>
          <w:rFonts w:ascii="Times New Roman" w:cs="Times New Roman" w:hAnsi="Times New Roman"/>
          <w:sz w:val="24"/>
          <w:szCs w:val="24"/>
        </w:rPr>
        <w:t>Nwankwo</w:t>
      </w:r>
      <w:r>
        <w:rPr>
          <w:rFonts w:ascii="Times New Roman" w:cs="Times New Roman" w:hAnsi="Times New Roman"/>
          <w:sz w:val="24"/>
          <w:szCs w:val="24"/>
        </w:rPr>
        <w:t xml:space="preserve">, N. G. (2016). Effect of corporate and tertiary education tax on Nigeria’s economic growth. </w:t>
      </w:r>
      <w:r>
        <w:rPr>
          <w:rFonts w:ascii="Times New Roman" w:cs="Times New Roman" w:hAnsi="Times New Roman"/>
          <w:i/>
          <w:sz w:val="24"/>
          <w:szCs w:val="24"/>
        </w:rPr>
        <w:t>European Journal of Accounting, Auditing and Finance Research, 4</w:t>
      </w:r>
      <w:r>
        <w:rPr>
          <w:rFonts w:ascii="Times New Roman" w:cs="Times New Roman" w:hAnsi="Times New Roman"/>
          <w:sz w:val="24"/>
          <w:szCs w:val="24"/>
        </w:rPr>
        <w:t>(9), 68–82.</w:t>
      </w:r>
    </w:p>
    <w:p w14:paraId="59C66B7F">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Isiaka</w:t>
      </w:r>
      <w:r>
        <w:rPr>
          <w:rFonts w:ascii="Times New Roman" w:cs="Times New Roman" w:hAnsi="Times New Roman"/>
          <w:sz w:val="24"/>
          <w:szCs w:val="24"/>
        </w:rPr>
        <w:t xml:space="preserve">, S. B., </w:t>
      </w:r>
      <w:r>
        <w:rPr>
          <w:rFonts w:ascii="Times New Roman" w:cs="Times New Roman" w:hAnsi="Times New Roman"/>
          <w:sz w:val="24"/>
          <w:szCs w:val="24"/>
        </w:rPr>
        <w:t>Ajayi</w:t>
      </w:r>
      <w:r>
        <w:rPr>
          <w:rFonts w:ascii="Times New Roman" w:cs="Times New Roman" w:hAnsi="Times New Roman"/>
          <w:sz w:val="24"/>
          <w:szCs w:val="24"/>
        </w:rPr>
        <w:t xml:space="preserve">, A. O., &amp; </w:t>
      </w:r>
      <w:r>
        <w:rPr>
          <w:rFonts w:ascii="Times New Roman" w:cs="Times New Roman" w:hAnsi="Times New Roman"/>
          <w:sz w:val="24"/>
          <w:szCs w:val="24"/>
        </w:rPr>
        <w:t>Aminu</w:t>
      </w:r>
      <w:r>
        <w:rPr>
          <w:rFonts w:ascii="Times New Roman" w:cs="Times New Roman" w:hAnsi="Times New Roman"/>
          <w:sz w:val="24"/>
          <w:szCs w:val="24"/>
        </w:rPr>
        <w:t xml:space="preserve">, S. A. (2020). Tertiary Education Trust Fund intervention on academic staff capacity building in Lagos State University, Nigeria. </w:t>
      </w:r>
      <w:r>
        <w:rPr>
          <w:rFonts w:ascii="Times New Roman" w:cs="Times New Roman" w:hAnsi="Times New Roman"/>
          <w:i/>
          <w:sz w:val="24"/>
          <w:szCs w:val="24"/>
        </w:rPr>
        <w:t>International Journal of Research in Education and Sustainable Development, 1</w:t>
      </w:r>
      <w:r>
        <w:rPr>
          <w:rFonts w:ascii="Times New Roman" w:cs="Times New Roman" w:hAnsi="Times New Roman"/>
          <w:sz w:val="24"/>
          <w:szCs w:val="24"/>
        </w:rPr>
        <w:t>(2), 1–10.</w:t>
      </w:r>
    </w:p>
    <w:p w14:paraId="2C16CD44">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 xml:space="preserve">Lucas, R. E., Jr. (1988). On the mechanics of economic development. </w:t>
      </w:r>
      <w:r>
        <w:rPr>
          <w:rFonts w:ascii="Times New Roman" w:cs="Times New Roman" w:hAnsi="Times New Roman"/>
          <w:i/>
          <w:sz w:val="24"/>
          <w:szCs w:val="24"/>
        </w:rPr>
        <w:t>Journal of Monetary Economics, 22</w:t>
      </w:r>
      <w:r>
        <w:rPr>
          <w:rFonts w:ascii="Times New Roman" w:cs="Times New Roman" w:hAnsi="Times New Roman"/>
          <w:sz w:val="24"/>
          <w:szCs w:val="24"/>
        </w:rPr>
        <w:t>(1), 3–42.</w:t>
      </w:r>
    </w:p>
    <w:p w14:paraId="01CD7349">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Maitra</w:t>
      </w:r>
      <w:r>
        <w:rPr>
          <w:rFonts w:ascii="Times New Roman" w:cs="Times New Roman" w:hAnsi="Times New Roman"/>
          <w:sz w:val="24"/>
          <w:szCs w:val="24"/>
        </w:rPr>
        <w:t xml:space="preserve">, B., &amp; </w:t>
      </w:r>
      <w:r>
        <w:rPr>
          <w:rFonts w:ascii="Times New Roman" w:cs="Times New Roman" w:hAnsi="Times New Roman"/>
          <w:sz w:val="24"/>
          <w:szCs w:val="24"/>
        </w:rPr>
        <w:t>Mukhopadhyay</w:t>
      </w:r>
      <w:r>
        <w:rPr>
          <w:rFonts w:ascii="Times New Roman" w:cs="Times New Roman" w:hAnsi="Times New Roman"/>
          <w:sz w:val="24"/>
          <w:szCs w:val="24"/>
        </w:rPr>
        <w:t xml:space="preserve">, C. K. (2012). Public spending on education, health care and economic growth in selected countries of Asia and the Pacific. </w:t>
      </w:r>
      <w:r>
        <w:rPr>
          <w:rFonts w:ascii="Times New Roman" w:cs="Times New Roman" w:hAnsi="Times New Roman"/>
          <w:i/>
          <w:sz w:val="24"/>
          <w:szCs w:val="24"/>
        </w:rPr>
        <w:t>Asia-Pacific Development Journal, 19</w:t>
      </w:r>
      <w:r>
        <w:rPr>
          <w:rFonts w:ascii="Times New Roman" w:cs="Times New Roman" w:hAnsi="Times New Roman"/>
          <w:sz w:val="24"/>
          <w:szCs w:val="24"/>
        </w:rPr>
        <w:t xml:space="preserve">(2), 19–48. </w:t>
      </w:r>
    </w:p>
    <w:p w14:paraId="41CC793B">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Nazukova</w:t>
      </w:r>
      <w:r>
        <w:rPr>
          <w:rFonts w:ascii="Times New Roman" w:cs="Times New Roman" w:hAnsi="Times New Roman"/>
          <w:sz w:val="24"/>
          <w:szCs w:val="24"/>
        </w:rPr>
        <w:t xml:space="preserve">, N. (2020). Public funding of education as a factor of economic growth. </w:t>
      </w:r>
      <w:r>
        <w:rPr>
          <w:rFonts w:ascii="Times New Roman" w:cs="Times New Roman" w:hAnsi="Times New Roman"/>
          <w:i/>
          <w:sz w:val="24"/>
          <w:szCs w:val="24"/>
        </w:rPr>
        <w:t>Economic Annals-XXI, 182</w:t>
      </w:r>
      <w:r>
        <w:rPr>
          <w:rFonts w:ascii="Times New Roman" w:cs="Times New Roman" w:hAnsi="Times New Roman"/>
          <w:sz w:val="24"/>
          <w:szCs w:val="24"/>
        </w:rPr>
        <w:t>(3–4), 30–42.</w:t>
      </w:r>
    </w:p>
    <w:p w14:paraId="5C53B1BD">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Nwosu</w:t>
      </w:r>
      <w:r>
        <w:rPr>
          <w:rFonts w:ascii="Times New Roman" w:cs="Times New Roman" w:hAnsi="Times New Roman"/>
          <w:sz w:val="24"/>
          <w:szCs w:val="24"/>
        </w:rPr>
        <w:t xml:space="preserve">, H. E., </w:t>
      </w:r>
      <w:r>
        <w:rPr>
          <w:rFonts w:ascii="Times New Roman" w:cs="Times New Roman" w:hAnsi="Times New Roman"/>
          <w:sz w:val="24"/>
          <w:szCs w:val="24"/>
        </w:rPr>
        <w:t>Obiezue</w:t>
      </w:r>
      <w:r>
        <w:rPr>
          <w:rFonts w:ascii="Times New Roman" w:cs="Times New Roman" w:hAnsi="Times New Roman"/>
          <w:sz w:val="24"/>
          <w:szCs w:val="24"/>
        </w:rPr>
        <w:t xml:space="preserve">, N. C., </w:t>
      </w:r>
      <w:r>
        <w:rPr>
          <w:rFonts w:ascii="Times New Roman" w:cs="Times New Roman" w:hAnsi="Times New Roman"/>
          <w:sz w:val="24"/>
          <w:szCs w:val="24"/>
        </w:rPr>
        <w:t>Ozoemena</w:t>
      </w:r>
      <w:r>
        <w:rPr>
          <w:rFonts w:ascii="Times New Roman" w:cs="Times New Roman" w:hAnsi="Times New Roman"/>
          <w:sz w:val="24"/>
          <w:szCs w:val="24"/>
        </w:rPr>
        <w:t xml:space="preserve">, N. C., &amp; </w:t>
      </w:r>
      <w:r>
        <w:rPr>
          <w:rFonts w:ascii="Times New Roman" w:cs="Times New Roman" w:hAnsi="Times New Roman"/>
          <w:sz w:val="24"/>
          <w:szCs w:val="24"/>
        </w:rPr>
        <w:t>Igwe</w:t>
      </w:r>
      <w:r>
        <w:rPr>
          <w:rFonts w:ascii="Times New Roman" w:cs="Times New Roman" w:hAnsi="Times New Roman"/>
          <w:sz w:val="24"/>
          <w:szCs w:val="24"/>
        </w:rPr>
        <w:t xml:space="preserve">, C. F. (2023). Effect of taxation on economic growth in Nigeria. </w:t>
      </w:r>
      <w:r>
        <w:rPr>
          <w:rFonts w:ascii="Times New Roman" w:cs="Times New Roman" w:hAnsi="Times New Roman"/>
          <w:i/>
          <w:sz w:val="24"/>
          <w:szCs w:val="24"/>
        </w:rPr>
        <w:t>International Journal of Economics and Finance, 15</w:t>
      </w:r>
      <w:r>
        <w:rPr>
          <w:rFonts w:ascii="Times New Roman" w:cs="Times New Roman" w:hAnsi="Times New Roman"/>
          <w:sz w:val="24"/>
          <w:szCs w:val="24"/>
        </w:rPr>
        <w:t xml:space="preserve">(3), 1–13. </w:t>
      </w:r>
    </w:p>
    <w:p w14:paraId="11D68052">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Okech</w:t>
      </w:r>
      <w:r>
        <w:rPr>
          <w:rFonts w:ascii="Times New Roman" w:cs="Times New Roman" w:hAnsi="Times New Roman"/>
          <w:sz w:val="24"/>
          <w:szCs w:val="24"/>
        </w:rPr>
        <w:t xml:space="preserve">, A. O., &amp; Rolleston, C. (2018). Equity in education in West Africa: Situating recent research. </w:t>
      </w:r>
      <w:r>
        <w:rPr>
          <w:rFonts w:ascii="Times New Roman" w:cs="Times New Roman" w:hAnsi="Times New Roman"/>
          <w:i/>
          <w:sz w:val="24"/>
          <w:szCs w:val="24"/>
        </w:rPr>
        <w:t>Oxford Review of Education, 44</w:t>
      </w:r>
      <w:r>
        <w:rPr>
          <w:rFonts w:ascii="Times New Roman" w:cs="Times New Roman" w:hAnsi="Times New Roman"/>
          <w:sz w:val="24"/>
          <w:szCs w:val="24"/>
        </w:rPr>
        <w:t xml:space="preserve">(5), 571–586. </w:t>
      </w:r>
    </w:p>
    <w:p w14:paraId="6D058967">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Ogunode</w:t>
      </w:r>
      <w:r>
        <w:rPr>
          <w:rFonts w:ascii="Times New Roman" w:cs="Times New Roman" w:hAnsi="Times New Roman"/>
          <w:sz w:val="24"/>
          <w:szCs w:val="24"/>
        </w:rPr>
        <w:t xml:space="preserve">, N. J. (2023). Impact of Tertiary Education Trust Fund (TETFUND) on tertiary education development in Nigeria. </w:t>
      </w:r>
      <w:r>
        <w:rPr>
          <w:rFonts w:ascii="Times New Roman" w:cs="Times New Roman" w:hAnsi="Times New Roman"/>
          <w:i/>
          <w:sz w:val="24"/>
          <w:szCs w:val="24"/>
        </w:rPr>
        <w:t>American Journal of Social Sciences and Humanities, 8</w:t>
      </w:r>
      <w:r>
        <w:rPr>
          <w:rFonts w:ascii="Times New Roman" w:cs="Times New Roman" w:hAnsi="Times New Roman"/>
          <w:sz w:val="24"/>
          <w:szCs w:val="24"/>
        </w:rPr>
        <w:t>(1), 1–13.</w:t>
      </w:r>
    </w:p>
    <w:p w14:paraId="0875166E">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Ogunjobi</w:t>
      </w:r>
      <w:r>
        <w:rPr>
          <w:rFonts w:ascii="Times New Roman" w:cs="Times New Roman" w:hAnsi="Times New Roman"/>
          <w:sz w:val="24"/>
          <w:szCs w:val="24"/>
        </w:rPr>
        <w:t xml:space="preserve">, O., </w:t>
      </w:r>
      <w:r>
        <w:rPr>
          <w:rFonts w:ascii="Times New Roman" w:cs="Times New Roman" w:hAnsi="Times New Roman"/>
          <w:sz w:val="24"/>
          <w:szCs w:val="24"/>
        </w:rPr>
        <w:t>Omojolabi</w:t>
      </w:r>
      <w:r>
        <w:rPr>
          <w:rFonts w:ascii="Times New Roman" w:cs="Times New Roman" w:hAnsi="Times New Roman"/>
          <w:sz w:val="24"/>
          <w:szCs w:val="24"/>
        </w:rPr>
        <w:t xml:space="preserve">, O., &amp; </w:t>
      </w:r>
      <w:r>
        <w:rPr>
          <w:rFonts w:ascii="Times New Roman" w:cs="Times New Roman" w:hAnsi="Times New Roman"/>
          <w:sz w:val="24"/>
          <w:szCs w:val="24"/>
        </w:rPr>
        <w:t>Adeleke</w:t>
      </w:r>
      <w:r>
        <w:rPr>
          <w:rFonts w:ascii="Times New Roman" w:cs="Times New Roman" w:hAnsi="Times New Roman"/>
          <w:sz w:val="24"/>
          <w:szCs w:val="24"/>
        </w:rPr>
        <w:t xml:space="preserve">, O. (2024). Public education recurrent expenditure and productivity in the manufacturing sector in Nigeria. </w:t>
      </w:r>
      <w:r>
        <w:rPr>
          <w:rFonts w:ascii="Times New Roman" w:cs="Times New Roman" w:hAnsi="Times New Roman"/>
          <w:i/>
          <w:sz w:val="24"/>
          <w:szCs w:val="24"/>
        </w:rPr>
        <w:t>Journal of Economics and Allied Research, 9</w:t>
      </w:r>
      <w:r>
        <w:rPr>
          <w:rFonts w:ascii="Times New Roman" w:cs="Times New Roman" w:hAnsi="Times New Roman"/>
          <w:sz w:val="24"/>
          <w:szCs w:val="24"/>
        </w:rPr>
        <w:t>(1), 40–56.</w:t>
      </w:r>
    </w:p>
    <w:p w14:paraId="0EEA1D8E">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Omodero</w:t>
      </w:r>
      <w:r>
        <w:rPr>
          <w:rFonts w:ascii="Times New Roman" w:cs="Times New Roman" w:hAnsi="Times New Roman"/>
          <w:sz w:val="24"/>
          <w:szCs w:val="24"/>
        </w:rPr>
        <w:t xml:space="preserve">, C. O., &amp; </w:t>
      </w:r>
      <w:r>
        <w:rPr>
          <w:rFonts w:ascii="Times New Roman" w:cs="Times New Roman" w:hAnsi="Times New Roman"/>
          <w:sz w:val="24"/>
          <w:szCs w:val="24"/>
        </w:rPr>
        <w:t>Adefolake</w:t>
      </w:r>
      <w:r>
        <w:rPr>
          <w:rFonts w:ascii="Times New Roman" w:cs="Times New Roman" w:hAnsi="Times New Roman"/>
          <w:sz w:val="24"/>
          <w:szCs w:val="24"/>
        </w:rPr>
        <w:t xml:space="preserve">, A. O. (2022). Tax revenue and economic growth in Nigeria. </w:t>
      </w:r>
      <w:r>
        <w:rPr>
          <w:rFonts w:ascii="Times New Roman" w:cs="Times New Roman" w:hAnsi="Times New Roman"/>
          <w:i/>
          <w:sz w:val="24"/>
          <w:szCs w:val="24"/>
        </w:rPr>
        <w:t>Cogent Economics &amp; Finance, 10</w:t>
      </w:r>
      <w:r>
        <w:rPr>
          <w:rFonts w:ascii="Times New Roman" w:cs="Times New Roman" w:hAnsi="Times New Roman"/>
          <w:sz w:val="24"/>
          <w:szCs w:val="24"/>
        </w:rPr>
        <w:t>(1), 2105564.</w:t>
      </w:r>
    </w:p>
    <w:p w14:paraId="467C8EC7">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Omodero</w:t>
      </w:r>
      <w:r>
        <w:rPr>
          <w:rFonts w:ascii="Times New Roman" w:cs="Times New Roman" w:hAnsi="Times New Roman"/>
          <w:sz w:val="24"/>
          <w:szCs w:val="24"/>
        </w:rPr>
        <w:t xml:space="preserve">, C. O., </w:t>
      </w:r>
      <w:r>
        <w:rPr>
          <w:rFonts w:ascii="Times New Roman" w:cs="Times New Roman" w:hAnsi="Times New Roman"/>
          <w:sz w:val="24"/>
          <w:szCs w:val="24"/>
        </w:rPr>
        <w:t>Ekwe</w:t>
      </w:r>
      <w:r>
        <w:rPr>
          <w:rFonts w:ascii="Times New Roman" w:cs="Times New Roman" w:hAnsi="Times New Roman"/>
          <w:sz w:val="24"/>
          <w:szCs w:val="24"/>
        </w:rPr>
        <w:t xml:space="preserve">, M. C., &amp; </w:t>
      </w:r>
      <w:r>
        <w:rPr>
          <w:rFonts w:ascii="Times New Roman" w:cs="Times New Roman" w:hAnsi="Times New Roman"/>
          <w:sz w:val="24"/>
          <w:szCs w:val="24"/>
        </w:rPr>
        <w:t>Ihendinihu</w:t>
      </w:r>
      <w:r>
        <w:rPr>
          <w:rFonts w:ascii="Times New Roman" w:cs="Times New Roman" w:hAnsi="Times New Roman"/>
          <w:sz w:val="24"/>
          <w:szCs w:val="24"/>
        </w:rPr>
        <w:t xml:space="preserve">, J. U. (2017). Tertiary education tax, information technology development levy and funding of educational system in Nigeria. </w:t>
      </w:r>
      <w:r>
        <w:rPr>
          <w:rFonts w:ascii="Times New Roman" w:cs="Times New Roman" w:hAnsi="Times New Roman"/>
          <w:i/>
          <w:sz w:val="24"/>
          <w:szCs w:val="24"/>
        </w:rPr>
        <w:t>International Journal of Higher Education, 6</w:t>
      </w:r>
      <w:r>
        <w:rPr>
          <w:rFonts w:ascii="Times New Roman" w:cs="Times New Roman" w:hAnsi="Times New Roman"/>
          <w:sz w:val="24"/>
          <w:szCs w:val="24"/>
        </w:rPr>
        <w:t xml:space="preserve">(3), 173–183. </w:t>
      </w:r>
    </w:p>
    <w:p w14:paraId="337E38FE">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Onwuchekwa</w:t>
      </w:r>
      <w:r>
        <w:rPr>
          <w:rFonts w:ascii="Times New Roman" w:cs="Times New Roman" w:hAnsi="Times New Roman"/>
          <w:sz w:val="24"/>
          <w:szCs w:val="24"/>
        </w:rPr>
        <w:t xml:space="preserve">, F. C. (2016). Influence of Tertiary Education Trust Fund (TETFUND) on educational research in Nigerian universities. </w:t>
      </w:r>
      <w:r>
        <w:rPr>
          <w:rFonts w:ascii="Times New Roman" w:cs="Times New Roman" w:hAnsi="Times New Roman"/>
          <w:i/>
          <w:sz w:val="24"/>
          <w:szCs w:val="24"/>
        </w:rPr>
        <w:t>European Journal of Education Studies, 2</w:t>
      </w:r>
      <w:r>
        <w:rPr>
          <w:rFonts w:ascii="Times New Roman" w:cs="Times New Roman" w:hAnsi="Times New Roman"/>
          <w:sz w:val="24"/>
          <w:szCs w:val="24"/>
        </w:rPr>
        <w:t>(7), 123–135.</w:t>
      </w:r>
    </w:p>
    <w:p w14:paraId="0C5D33CE">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Onwuchekwa</w:t>
      </w:r>
      <w:r>
        <w:rPr>
          <w:rFonts w:ascii="Times New Roman" w:cs="Times New Roman" w:hAnsi="Times New Roman"/>
          <w:sz w:val="24"/>
          <w:szCs w:val="24"/>
        </w:rPr>
        <w:t xml:space="preserve">, F. C., &amp; </w:t>
      </w:r>
      <w:r>
        <w:rPr>
          <w:rFonts w:ascii="Times New Roman" w:cs="Times New Roman" w:hAnsi="Times New Roman"/>
          <w:sz w:val="24"/>
          <w:szCs w:val="24"/>
        </w:rPr>
        <w:t>Aruwa</w:t>
      </w:r>
      <w:r>
        <w:rPr>
          <w:rFonts w:ascii="Times New Roman" w:cs="Times New Roman" w:hAnsi="Times New Roman"/>
          <w:sz w:val="24"/>
          <w:szCs w:val="24"/>
        </w:rPr>
        <w:t xml:space="preserve">, S. A. S. (2014). Education tax and education development in Nigeria. </w:t>
      </w:r>
      <w:r>
        <w:rPr>
          <w:rFonts w:ascii="Times New Roman" w:cs="Times New Roman" w:hAnsi="Times New Roman"/>
          <w:i/>
          <w:sz w:val="24"/>
          <w:szCs w:val="24"/>
        </w:rPr>
        <w:t>Research Journal of Finance and Accounting, 5</w:t>
      </w:r>
      <w:r>
        <w:rPr>
          <w:rFonts w:ascii="Times New Roman" w:cs="Times New Roman" w:hAnsi="Times New Roman"/>
          <w:sz w:val="24"/>
          <w:szCs w:val="24"/>
        </w:rPr>
        <w:t>(17), 62–69.</w:t>
      </w:r>
    </w:p>
    <w:p w14:paraId="6E991CE8">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Onyeike</w:t>
      </w:r>
      <w:r>
        <w:rPr>
          <w:rFonts w:ascii="Times New Roman" w:cs="Times New Roman" w:hAnsi="Times New Roman"/>
          <w:sz w:val="24"/>
          <w:szCs w:val="24"/>
        </w:rPr>
        <w:t xml:space="preserve">, V. C., &amp; </w:t>
      </w:r>
      <w:r>
        <w:rPr>
          <w:rFonts w:ascii="Times New Roman" w:cs="Times New Roman" w:hAnsi="Times New Roman"/>
          <w:sz w:val="24"/>
          <w:szCs w:val="24"/>
        </w:rPr>
        <w:t>Eseyin</w:t>
      </w:r>
      <w:r>
        <w:rPr>
          <w:rFonts w:ascii="Times New Roman" w:cs="Times New Roman" w:hAnsi="Times New Roman"/>
          <w:sz w:val="24"/>
          <w:szCs w:val="24"/>
        </w:rPr>
        <w:t xml:space="preserve">, A. E. (2014). TETFUND and the management of university education in Nigeria. </w:t>
      </w:r>
      <w:r>
        <w:rPr>
          <w:rFonts w:ascii="Times New Roman" w:cs="Times New Roman" w:hAnsi="Times New Roman"/>
          <w:i/>
          <w:sz w:val="24"/>
          <w:szCs w:val="24"/>
        </w:rPr>
        <w:t>Journal of Resourcefulness and Distinction, 8</w:t>
      </w:r>
      <w:r>
        <w:rPr>
          <w:rFonts w:ascii="Times New Roman" w:cs="Times New Roman" w:hAnsi="Times New Roman"/>
          <w:sz w:val="24"/>
          <w:szCs w:val="24"/>
        </w:rPr>
        <w:t>(1), 1–11.</w:t>
      </w:r>
    </w:p>
    <w:p w14:paraId="02F6DD88">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Onyeizugbe</w:t>
      </w:r>
      <w:r>
        <w:rPr>
          <w:rFonts w:ascii="Times New Roman" w:cs="Times New Roman" w:hAnsi="Times New Roman"/>
          <w:sz w:val="24"/>
          <w:szCs w:val="24"/>
        </w:rPr>
        <w:t xml:space="preserve">, C. U., &amp; </w:t>
      </w:r>
      <w:r>
        <w:rPr>
          <w:rFonts w:ascii="Times New Roman" w:cs="Times New Roman" w:hAnsi="Times New Roman"/>
          <w:sz w:val="24"/>
          <w:szCs w:val="24"/>
        </w:rPr>
        <w:t>Orogbu</w:t>
      </w:r>
      <w:r>
        <w:rPr>
          <w:rFonts w:ascii="Times New Roman" w:cs="Times New Roman" w:hAnsi="Times New Roman"/>
          <w:sz w:val="24"/>
          <w:szCs w:val="24"/>
        </w:rPr>
        <w:t xml:space="preserve">, O. L. (2016). </w:t>
      </w:r>
      <w:r>
        <w:rPr>
          <w:rFonts w:ascii="Times New Roman" w:cs="Times New Roman" w:hAnsi="Times New Roman"/>
          <w:sz w:val="24"/>
          <w:szCs w:val="24"/>
        </w:rPr>
        <w:t>TETFund</w:t>
      </w:r>
      <w:r>
        <w:rPr>
          <w:rFonts w:ascii="Times New Roman" w:cs="Times New Roman" w:hAnsi="Times New Roman"/>
          <w:sz w:val="24"/>
          <w:szCs w:val="24"/>
        </w:rPr>
        <w:t xml:space="preserve"> international </w:t>
      </w:r>
      <w:r>
        <w:rPr>
          <w:rFonts w:ascii="Times New Roman" w:cs="Times New Roman" w:hAnsi="Times New Roman"/>
          <w:sz w:val="24"/>
          <w:szCs w:val="24"/>
        </w:rPr>
        <w:t>programmes</w:t>
      </w:r>
      <w:r>
        <w:rPr>
          <w:rFonts w:ascii="Times New Roman" w:cs="Times New Roman" w:hAnsi="Times New Roman"/>
          <w:sz w:val="24"/>
          <w:szCs w:val="24"/>
        </w:rPr>
        <w:t xml:space="preserve"> and academic staff development of selected universities in Southeast Nigeria. </w:t>
      </w:r>
      <w:r>
        <w:rPr>
          <w:rFonts w:ascii="Times New Roman" w:cs="Times New Roman" w:hAnsi="Times New Roman"/>
          <w:i/>
          <w:sz w:val="24"/>
          <w:szCs w:val="24"/>
        </w:rPr>
        <w:t>International Journal of Managerial Studies and Research, 4</w:t>
      </w:r>
      <w:r>
        <w:rPr>
          <w:rFonts w:ascii="Times New Roman" w:cs="Times New Roman" w:hAnsi="Times New Roman"/>
          <w:sz w:val="24"/>
          <w:szCs w:val="24"/>
        </w:rPr>
        <w:t>(5), 38–48.</w:t>
      </w:r>
    </w:p>
    <w:p w14:paraId="539D5796">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Opuala</w:t>
      </w:r>
      <w:r>
        <w:rPr>
          <w:rFonts w:ascii="Times New Roman" w:cs="Times New Roman" w:hAnsi="Times New Roman"/>
          <w:sz w:val="24"/>
          <w:szCs w:val="24"/>
        </w:rPr>
        <w:t xml:space="preserve">, C. S., &amp; Orji, A. (2024). Educational sector financing and economic wellbeing in Nigeria. </w:t>
      </w:r>
      <w:r>
        <w:rPr>
          <w:rFonts w:ascii="Times New Roman" w:cs="Times New Roman" w:hAnsi="Times New Roman"/>
          <w:i/>
          <w:sz w:val="24"/>
          <w:szCs w:val="24"/>
        </w:rPr>
        <w:t>Journal of the Knowledge Economy, 15</w:t>
      </w:r>
      <w:r>
        <w:rPr>
          <w:rFonts w:ascii="Times New Roman" w:cs="Times New Roman" w:hAnsi="Times New Roman"/>
          <w:sz w:val="24"/>
          <w:szCs w:val="24"/>
        </w:rPr>
        <w:t xml:space="preserve">(2), 5420–5442. </w:t>
      </w:r>
    </w:p>
    <w:p w14:paraId="563603A3">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Orako</w:t>
      </w:r>
      <w:r>
        <w:rPr>
          <w:rFonts w:ascii="Times New Roman" w:cs="Times New Roman" w:hAnsi="Times New Roman"/>
          <w:sz w:val="24"/>
          <w:szCs w:val="24"/>
        </w:rPr>
        <w:t xml:space="preserve">, O. O., </w:t>
      </w:r>
      <w:r>
        <w:rPr>
          <w:rFonts w:ascii="Times New Roman" w:cs="Times New Roman" w:hAnsi="Times New Roman"/>
          <w:sz w:val="24"/>
          <w:szCs w:val="24"/>
        </w:rPr>
        <w:t>Asikhia</w:t>
      </w:r>
      <w:r>
        <w:rPr>
          <w:rFonts w:ascii="Times New Roman" w:cs="Times New Roman" w:hAnsi="Times New Roman"/>
          <w:sz w:val="24"/>
          <w:szCs w:val="24"/>
        </w:rPr>
        <w:t xml:space="preserve">, O. U., &amp; </w:t>
      </w:r>
      <w:r>
        <w:rPr>
          <w:rFonts w:ascii="Times New Roman" w:cs="Times New Roman" w:hAnsi="Times New Roman"/>
          <w:sz w:val="24"/>
          <w:szCs w:val="24"/>
        </w:rPr>
        <w:t>Nneji</w:t>
      </w:r>
      <w:r>
        <w:rPr>
          <w:rFonts w:ascii="Times New Roman" w:cs="Times New Roman" w:hAnsi="Times New Roman"/>
          <w:sz w:val="24"/>
          <w:szCs w:val="24"/>
        </w:rPr>
        <w:t xml:space="preserve">, N. C. (2017). Effect of Tertiary Education Tax Fund (TETFUND) in management of Nigerian tertiary institutions. </w:t>
      </w:r>
      <w:r>
        <w:rPr>
          <w:rFonts w:ascii="Times New Roman" w:cs="Times New Roman" w:hAnsi="Times New Roman"/>
          <w:i/>
          <w:sz w:val="24"/>
          <w:szCs w:val="24"/>
        </w:rPr>
        <w:t>Journal of Education and Practice, 8</w:t>
      </w:r>
      <w:r>
        <w:rPr>
          <w:rFonts w:ascii="Times New Roman" w:cs="Times New Roman" w:hAnsi="Times New Roman"/>
          <w:sz w:val="24"/>
          <w:szCs w:val="24"/>
        </w:rPr>
        <w:t>(5), 104–110.</w:t>
      </w:r>
    </w:p>
    <w:p w14:paraId="71367581">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Oriakhi</w:t>
      </w:r>
      <w:r>
        <w:rPr>
          <w:rFonts w:ascii="Times New Roman" w:cs="Times New Roman" w:hAnsi="Times New Roman"/>
          <w:sz w:val="24"/>
          <w:szCs w:val="24"/>
        </w:rPr>
        <w:t xml:space="preserve">, D. E., &amp; </w:t>
      </w:r>
      <w:r>
        <w:rPr>
          <w:rFonts w:ascii="Times New Roman" w:cs="Times New Roman" w:hAnsi="Times New Roman"/>
          <w:sz w:val="24"/>
          <w:szCs w:val="24"/>
        </w:rPr>
        <w:t>Ameh</w:t>
      </w:r>
      <w:r>
        <w:rPr>
          <w:rFonts w:ascii="Times New Roman" w:cs="Times New Roman" w:hAnsi="Times New Roman"/>
          <w:sz w:val="24"/>
          <w:szCs w:val="24"/>
        </w:rPr>
        <w:t xml:space="preserve">, A. O. (2014). Government expenditure and the development of the education sector in Nigeria: An evaluation. </w:t>
      </w:r>
      <w:r>
        <w:rPr>
          <w:rFonts w:ascii="Times New Roman" w:cs="Times New Roman" w:hAnsi="Times New Roman"/>
          <w:i/>
          <w:sz w:val="24"/>
          <w:szCs w:val="24"/>
        </w:rPr>
        <w:t>Review of Public Administration and Management, 3</w:t>
      </w:r>
      <w:r>
        <w:rPr>
          <w:rFonts w:ascii="Times New Roman" w:cs="Times New Roman" w:hAnsi="Times New Roman"/>
          <w:sz w:val="24"/>
          <w:szCs w:val="24"/>
        </w:rPr>
        <w:t>(5), 55–70.</w:t>
      </w:r>
    </w:p>
    <w:p w14:paraId="5146C847">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Osamor</w:t>
      </w:r>
      <w:r>
        <w:rPr>
          <w:rFonts w:ascii="Times New Roman" w:cs="Times New Roman" w:hAnsi="Times New Roman"/>
          <w:sz w:val="24"/>
          <w:szCs w:val="24"/>
        </w:rPr>
        <w:t xml:space="preserve">, I. P., </w:t>
      </w:r>
      <w:r>
        <w:rPr>
          <w:rFonts w:ascii="Times New Roman" w:cs="Times New Roman" w:hAnsi="Times New Roman"/>
          <w:sz w:val="24"/>
          <w:szCs w:val="24"/>
        </w:rPr>
        <w:t>Obiora</w:t>
      </w:r>
      <w:r>
        <w:rPr>
          <w:rFonts w:ascii="Times New Roman" w:cs="Times New Roman" w:hAnsi="Times New Roman"/>
          <w:sz w:val="24"/>
          <w:szCs w:val="24"/>
        </w:rPr>
        <w:t xml:space="preserve">, F. C., </w:t>
      </w:r>
      <w:r>
        <w:rPr>
          <w:rFonts w:ascii="Times New Roman" w:cs="Times New Roman" w:hAnsi="Times New Roman"/>
          <w:sz w:val="24"/>
          <w:szCs w:val="24"/>
        </w:rPr>
        <w:t>Osamor</w:t>
      </w:r>
      <w:r>
        <w:rPr>
          <w:rFonts w:ascii="Times New Roman" w:cs="Times New Roman" w:hAnsi="Times New Roman"/>
          <w:sz w:val="24"/>
          <w:szCs w:val="24"/>
        </w:rPr>
        <w:t xml:space="preserve">, V. C., &amp; </w:t>
      </w:r>
      <w:r>
        <w:rPr>
          <w:rFonts w:ascii="Times New Roman" w:cs="Times New Roman" w:hAnsi="Times New Roman"/>
          <w:sz w:val="24"/>
          <w:szCs w:val="24"/>
        </w:rPr>
        <w:t>Ogbuabor</w:t>
      </w:r>
      <w:r>
        <w:rPr>
          <w:rFonts w:ascii="Times New Roman" w:cs="Times New Roman" w:hAnsi="Times New Roman"/>
          <w:sz w:val="24"/>
          <w:szCs w:val="24"/>
        </w:rPr>
        <w:t xml:space="preserve">, J. E. (2023). Tax revenue and economic growth: Empirical evidence from Nigeria. </w:t>
      </w:r>
      <w:r>
        <w:rPr>
          <w:rFonts w:ascii="Times New Roman" w:cs="Times New Roman" w:hAnsi="Times New Roman"/>
          <w:i/>
          <w:sz w:val="24"/>
          <w:szCs w:val="24"/>
        </w:rPr>
        <w:t>Economies, 11</w:t>
      </w:r>
      <w:r>
        <w:rPr>
          <w:rFonts w:ascii="Times New Roman" w:cs="Times New Roman" w:hAnsi="Times New Roman"/>
          <w:sz w:val="24"/>
          <w:szCs w:val="24"/>
        </w:rPr>
        <w:t xml:space="preserve">(6), 160. </w:t>
      </w:r>
    </w:p>
    <w:p w14:paraId="237E33B8">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Oyedokun</w:t>
      </w:r>
      <w:r>
        <w:rPr>
          <w:rFonts w:ascii="Times New Roman" w:cs="Times New Roman" w:hAnsi="Times New Roman"/>
          <w:sz w:val="24"/>
          <w:szCs w:val="24"/>
        </w:rPr>
        <w:t xml:space="preserve">, G. E., &amp; </w:t>
      </w:r>
      <w:r>
        <w:rPr>
          <w:rFonts w:ascii="Times New Roman" w:cs="Times New Roman" w:hAnsi="Times New Roman"/>
          <w:sz w:val="24"/>
          <w:szCs w:val="24"/>
        </w:rPr>
        <w:t>Adeyemi</w:t>
      </w:r>
      <w:r>
        <w:rPr>
          <w:rFonts w:ascii="Times New Roman" w:cs="Times New Roman" w:hAnsi="Times New Roman"/>
          <w:sz w:val="24"/>
          <w:szCs w:val="24"/>
        </w:rPr>
        <w:t xml:space="preserve">, A. A. (2018). Human capital formation and economic growth in Nigeria. </w:t>
      </w:r>
      <w:r>
        <w:rPr>
          <w:rFonts w:ascii="Times New Roman" w:cs="Times New Roman" w:hAnsi="Times New Roman"/>
          <w:i/>
          <w:sz w:val="24"/>
          <w:szCs w:val="24"/>
        </w:rPr>
        <w:t>Journal of Business Administration and Management Sciences Research, 7</w:t>
      </w:r>
      <w:r>
        <w:rPr>
          <w:rFonts w:ascii="Times New Roman" w:cs="Times New Roman" w:hAnsi="Times New Roman"/>
          <w:sz w:val="24"/>
          <w:szCs w:val="24"/>
        </w:rPr>
        <w:t>(1), 1–15.</w:t>
      </w:r>
    </w:p>
    <w:p w14:paraId="3B92F136">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Romer</w:t>
      </w:r>
      <w:r>
        <w:rPr>
          <w:rFonts w:ascii="Times New Roman" w:cs="Times New Roman" w:hAnsi="Times New Roman"/>
          <w:sz w:val="24"/>
          <w:szCs w:val="24"/>
        </w:rPr>
        <w:t xml:space="preserve">, P. M. (1986). Increasing returns and long-run growth. </w:t>
      </w:r>
      <w:r>
        <w:rPr>
          <w:rFonts w:ascii="Times New Roman" w:cs="Times New Roman" w:hAnsi="Times New Roman"/>
          <w:i/>
          <w:sz w:val="24"/>
          <w:szCs w:val="24"/>
        </w:rPr>
        <w:t>Journal of Political Economy, 94</w:t>
      </w:r>
      <w:r>
        <w:rPr>
          <w:rFonts w:ascii="Times New Roman" w:cs="Times New Roman" w:hAnsi="Times New Roman"/>
          <w:sz w:val="24"/>
          <w:szCs w:val="24"/>
        </w:rPr>
        <w:t xml:space="preserve">(5), 1002–1037. </w:t>
      </w:r>
    </w:p>
    <w:p w14:paraId="0F3C7684">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Romer</w:t>
      </w:r>
      <w:r>
        <w:rPr>
          <w:rFonts w:ascii="Times New Roman" w:cs="Times New Roman" w:hAnsi="Times New Roman"/>
          <w:sz w:val="24"/>
          <w:szCs w:val="24"/>
        </w:rPr>
        <w:t xml:space="preserve">, P. M. (1990). Endogenous technological change. </w:t>
      </w:r>
      <w:r>
        <w:rPr>
          <w:rFonts w:ascii="Times New Roman" w:cs="Times New Roman" w:hAnsi="Times New Roman"/>
          <w:i/>
          <w:sz w:val="24"/>
          <w:szCs w:val="24"/>
        </w:rPr>
        <w:t>Journal of Political Economy, 98</w:t>
      </w:r>
      <w:r>
        <w:rPr>
          <w:rFonts w:ascii="Times New Roman" w:cs="Times New Roman" w:hAnsi="Times New Roman"/>
          <w:sz w:val="24"/>
          <w:szCs w:val="24"/>
        </w:rPr>
        <w:t xml:space="preserve">(5, Part 2), S71–S102. </w:t>
      </w:r>
    </w:p>
    <w:p w14:paraId="1D9B6DE3">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 xml:space="preserve">Schultz, T. W. (1961). Investment in human capital. </w:t>
      </w:r>
      <w:r>
        <w:rPr>
          <w:rFonts w:ascii="Times New Roman" w:cs="Times New Roman" w:hAnsi="Times New Roman"/>
          <w:i/>
          <w:sz w:val="24"/>
          <w:szCs w:val="24"/>
        </w:rPr>
        <w:t>The American Economic Review, 51</w:t>
      </w:r>
      <w:r>
        <w:rPr>
          <w:rFonts w:ascii="Times New Roman" w:cs="Times New Roman" w:hAnsi="Times New Roman"/>
          <w:sz w:val="24"/>
          <w:szCs w:val="24"/>
        </w:rPr>
        <w:t>(1), 1–17.</w:t>
      </w:r>
    </w:p>
    <w:p w14:paraId="6ED35F53">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Sebki</w:t>
      </w:r>
      <w:r>
        <w:rPr>
          <w:rFonts w:ascii="Times New Roman" w:cs="Times New Roman" w:hAnsi="Times New Roman"/>
          <w:sz w:val="24"/>
          <w:szCs w:val="24"/>
        </w:rPr>
        <w:t xml:space="preserve">, M. (2021). Education and economic growth in developing countries: Empirical evidence from GMM estimators for dynamic panel data. </w:t>
      </w:r>
      <w:r>
        <w:rPr>
          <w:rFonts w:ascii="Times New Roman" w:cs="Times New Roman" w:hAnsi="Times New Roman"/>
          <w:i/>
          <w:sz w:val="24"/>
          <w:szCs w:val="24"/>
        </w:rPr>
        <w:t xml:space="preserve">Revue des Sciences </w:t>
      </w:r>
      <w:r>
        <w:rPr>
          <w:rFonts w:ascii="Times New Roman" w:cs="Times New Roman" w:hAnsi="Times New Roman"/>
          <w:i/>
          <w:sz w:val="24"/>
          <w:szCs w:val="24"/>
        </w:rPr>
        <w:t>Humaines</w:t>
      </w:r>
      <w:r>
        <w:rPr>
          <w:rFonts w:ascii="Times New Roman" w:cs="Times New Roman" w:hAnsi="Times New Roman"/>
          <w:i/>
          <w:sz w:val="24"/>
          <w:szCs w:val="24"/>
        </w:rPr>
        <w:t>, 32</w:t>
      </w:r>
      <w:r>
        <w:rPr>
          <w:rFonts w:ascii="Times New Roman" w:cs="Times New Roman" w:hAnsi="Times New Roman"/>
          <w:sz w:val="24"/>
          <w:szCs w:val="24"/>
        </w:rPr>
        <w:t>(2), 223–238.</w:t>
      </w:r>
    </w:p>
    <w:p w14:paraId="3DFCE664">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Shuaib</w:t>
      </w:r>
      <w:r>
        <w:rPr>
          <w:rFonts w:ascii="Times New Roman" w:cs="Times New Roman" w:hAnsi="Times New Roman"/>
          <w:sz w:val="24"/>
          <w:szCs w:val="24"/>
        </w:rPr>
        <w:t xml:space="preserve">, I. M. (2017). Tertiary Education Trust Fund (TETFUND), research and development and Nigeria’s higher education. </w:t>
      </w:r>
      <w:r>
        <w:rPr>
          <w:rFonts w:ascii="Times New Roman" w:cs="Times New Roman" w:hAnsi="Times New Roman"/>
          <w:i/>
          <w:sz w:val="24"/>
          <w:szCs w:val="24"/>
        </w:rPr>
        <w:t>International Journal of Innovative Education Research, 5</w:t>
      </w:r>
      <w:r>
        <w:rPr>
          <w:rFonts w:ascii="Times New Roman" w:cs="Times New Roman" w:hAnsi="Times New Roman"/>
          <w:sz w:val="24"/>
          <w:szCs w:val="24"/>
        </w:rPr>
        <w:t>(2), 46–56.</w:t>
      </w:r>
    </w:p>
    <w:p w14:paraId="2A1F7241">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Udu</w:t>
      </w:r>
      <w:r>
        <w:rPr>
          <w:rFonts w:ascii="Times New Roman" w:cs="Times New Roman" w:hAnsi="Times New Roman"/>
          <w:sz w:val="24"/>
          <w:szCs w:val="24"/>
        </w:rPr>
        <w:t xml:space="preserve">, A. A., &amp; </w:t>
      </w:r>
      <w:r>
        <w:rPr>
          <w:rFonts w:ascii="Times New Roman" w:cs="Times New Roman" w:hAnsi="Times New Roman"/>
          <w:sz w:val="24"/>
          <w:szCs w:val="24"/>
        </w:rPr>
        <w:t>Nkwede</w:t>
      </w:r>
      <w:r>
        <w:rPr>
          <w:rFonts w:ascii="Times New Roman" w:cs="Times New Roman" w:hAnsi="Times New Roman"/>
          <w:sz w:val="24"/>
          <w:szCs w:val="24"/>
        </w:rPr>
        <w:t xml:space="preserve">, J. O. (2014). Tertiary Education Trust Fund interventions and sustainable development in Nigerian universities: Evidence from </w:t>
      </w:r>
      <w:r>
        <w:rPr>
          <w:rFonts w:ascii="Times New Roman" w:cs="Times New Roman" w:hAnsi="Times New Roman"/>
          <w:sz w:val="24"/>
          <w:szCs w:val="24"/>
        </w:rPr>
        <w:t>Ebonyi</w:t>
      </w:r>
      <w:r>
        <w:rPr>
          <w:rFonts w:ascii="Times New Roman" w:cs="Times New Roman" w:hAnsi="Times New Roman"/>
          <w:sz w:val="24"/>
          <w:szCs w:val="24"/>
        </w:rPr>
        <w:t xml:space="preserve"> State University, </w:t>
      </w:r>
      <w:r>
        <w:rPr>
          <w:rFonts w:ascii="Times New Roman" w:cs="Times New Roman" w:hAnsi="Times New Roman"/>
          <w:sz w:val="24"/>
          <w:szCs w:val="24"/>
        </w:rPr>
        <w:t>Abakaliki</w:t>
      </w:r>
      <w:r>
        <w:rPr>
          <w:rFonts w:ascii="Times New Roman" w:cs="Times New Roman" w:hAnsi="Times New Roman"/>
          <w:sz w:val="24"/>
          <w:szCs w:val="24"/>
        </w:rPr>
        <w:t xml:space="preserve">. </w:t>
      </w:r>
      <w:r>
        <w:rPr>
          <w:rFonts w:ascii="Times New Roman" w:cs="Times New Roman" w:hAnsi="Times New Roman"/>
          <w:i/>
          <w:sz w:val="24"/>
          <w:szCs w:val="24"/>
        </w:rPr>
        <w:t>Journal of Education and Practice, 5</w:t>
      </w:r>
      <w:r>
        <w:rPr>
          <w:rFonts w:ascii="Times New Roman" w:cs="Times New Roman" w:hAnsi="Times New Roman"/>
          <w:sz w:val="24"/>
          <w:szCs w:val="24"/>
        </w:rPr>
        <w:t>(2), 62–72.</w:t>
      </w:r>
    </w:p>
    <w:p w14:paraId="136EFEFC">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Ugwuanyi</w:t>
      </w:r>
      <w:r>
        <w:rPr>
          <w:rFonts w:ascii="Times New Roman" w:cs="Times New Roman" w:hAnsi="Times New Roman"/>
          <w:sz w:val="24"/>
          <w:szCs w:val="24"/>
        </w:rPr>
        <w:t xml:space="preserve">, C. F. (2014). Taxation and tertiary education enhancement in Nigeria: An evaluation of the Education Tax Fund (ETF) </w:t>
      </w:r>
      <w:r>
        <w:rPr>
          <w:rFonts w:ascii="Times New Roman" w:cs="Times New Roman" w:hAnsi="Times New Roman"/>
          <w:sz w:val="24"/>
          <w:szCs w:val="24"/>
        </w:rPr>
        <w:t>between 1999–2010</w:t>
      </w:r>
      <w:r>
        <w:rPr>
          <w:rFonts w:ascii="Times New Roman" w:cs="Times New Roman" w:hAnsi="Times New Roman"/>
          <w:sz w:val="24"/>
          <w:szCs w:val="24"/>
        </w:rPr>
        <w:t xml:space="preserve">. </w:t>
      </w:r>
      <w:r>
        <w:rPr>
          <w:rFonts w:ascii="Times New Roman" w:cs="Times New Roman" w:hAnsi="Times New Roman"/>
          <w:i/>
          <w:sz w:val="24"/>
          <w:szCs w:val="24"/>
        </w:rPr>
        <w:t>Research Journal of Finance and Accounting, 5</w:t>
      </w:r>
      <w:r>
        <w:rPr>
          <w:rFonts w:ascii="Times New Roman" w:cs="Times New Roman" w:hAnsi="Times New Roman"/>
          <w:sz w:val="24"/>
          <w:szCs w:val="24"/>
        </w:rPr>
        <w:t>(14), 76–88.</w:t>
      </w:r>
    </w:p>
    <w:p w14:paraId="2438B515">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 xml:space="preserve">United Nations Development </w:t>
      </w:r>
      <w:r>
        <w:rPr>
          <w:rFonts w:ascii="Times New Roman" w:cs="Times New Roman" w:hAnsi="Times New Roman"/>
          <w:sz w:val="24"/>
          <w:szCs w:val="24"/>
        </w:rPr>
        <w:t>Programme</w:t>
      </w:r>
      <w:r>
        <w:rPr>
          <w:rFonts w:ascii="Times New Roman" w:cs="Times New Roman" w:hAnsi="Times New Roman"/>
          <w:sz w:val="24"/>
          <w:szCs w:val="24"/>
        </w:rPr>
        <w:t xml:space="preserve">. (2024). </w:t>
      </w:r>
      <w:r>
        <w:rPr>
          <w:rFonts w:ascii="Times New Roman" w:cs="Times New Roman" w:hAnsi="Times New Roman"/>
          <w:i/>
          <w:sz w:val="24"/>
          <w:szCs w:val="24"/>
        </w:rPr>
        <w:t>Human development report 2024</w:t>
      </w:r>
      <w:r>
        <w:rPr>
          <w:rFonts w:ascii="Times New Roman" w:cs="Times New Roman" w:hAnsi="Times New Roman"/>
          <w:sz w:val="24"/>
          <w:szCs w:val="24"/>
        </w:rPr>
        <w:t>. UNDP. https://hdr.undp.org/content/human-development-report-2024</w:t>
      </w:r>
    </w:p>
    <w:p w14:paraId="2E87AE90">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Urhie</w:t>
      </w:r>
      <w:r>
        <w:rPr>
          <w:rFonts w:ascii="Times New Roman" w:cs="Times New Roman" w:hAnsi="Times New Roman"/>
          <w:sz w:val="24"/>
          <w:szCs w:val="24"/>
        </w:rPr>
        <w:t xml:space="preserve">, E. (2014). Public education expenditure and economic growth in Nigeria: A disaggregated approach. </w:t>
      </w:r>
      <w:r>
        <w:rPr>
          <w:rFonts w:ascii="Times New Roman" w:cs="Times New Roman" w:hAnsi="Times New Roman"/>
          <w:i/>
          <w:sz w:val="24"/>
          <w:szCs w:val="24"/>
        </w:rPr>
        <w:t>Journal of Social and Development Sciences, 5</w:t>
      </w:r>
      <w:r>
        <w:rPr>
          <w:rFonts w:ascii="Times New Roman" w:cs="Times New Roman" w:hAnsi="Times New Roman"/>
          <w:sz w:val="24"/>
          <w:szCs w:val="24"/>
        </w:rPr>
        <w:t>(4), 213–225.</w:t>
      </w:r>
    </w:p>
    <w:p w14:paraId="26408C2D">
      <w:pPr>
        <w:pStyle w:val="style0"/>
        <w:spacing w:lineRule="auto" w:line="276"/>
        <w:ind w:left="720" w:hanging="720"/>
        <w:jc w:val="both"/>
        <w:rPr>
          <w:rFonts w:ascii="Times New Roman" w:cs="Times New Roman" w:hAnsi="Times New Roman"/>
          <w:sz w:val="24"/>
          <w:szCs w:val="24"/>
        </w:rPr>
      </w:pPr>
      <w:r>
        <w:rPr>
          <w:rFonts w:ascii="Times New Roman" w:cs="Times New Roman" w:hAnsi="Times New Roman"/>
          <w:sz w:val="24"/>
          <w:szCs w:val="24"/>
        </w:rPr>
        <w:t xml:space="preserve">World Bank. (2025). </w:t>
      </w:r>
      <w:r>
        <w:rPr>
          <w:rFonts w:ascii="Times New Roman" w:cs="Times New Roman" w:hAnsi="Times New Roman"/>
          <w:i/>
          <w:sz w:val="24"/>
          <w:szCs w:val="24"/>
        </w:rPr>
        <w:t>World development indicators 2025</w:t>
      </w:r>
      <w:r>
        <w:rPr>
          <w:rFonts w:ascii="Times New Roman" w:cs="Times New Roman" w:hAnsi="Times New Roman"/>
          <w:sz w:val="24"/>
          <w:szCs w:val="24"/>
        </w:rPr>
        <w:t>. World Bank. https://databank.worldbank.org/source/world-development-indicators</w:t>
      </w:r>
    </w:p>
    <w:p w14:paraId="154E673A">
      <w:pPr>
        <w:pStyle w:val="style0"/>
        <w:rPr>
          <w:rFonts w:ascii="Times New Roman" w:cs="Times New Roman" w:hAnsi="Times New Roman"/>
          <w:sz w:val="24"/>
          <w:szCs w:val="24"/>
        </w:rPr>
      </w:pPr>
    </w:p>
    <w:p w14:paraId="7BDADD7B">
      <w:pPr>
        <w:pStyle w:val="style0"/>
        <w:spacing w:after="0" w:lineRule="auto" w:line="480"/>
        <w:jc w:val="both"/>
        <w:rPr>
          <w:rFonts w:ascii="Times New Roman" w:cs="Times New Roman" w:hAnsi="Times New Roman"/>
          <w:sz w:val="24"/>
          <w:szCs w:val="24"/>
        </w:rPr>
      </w:pPr>
    </w:p>
    <w:p w14:paraId="166FA77B">
      <w:pPr>
        <w:pStyle w:val="style0"/>
        <w:rPr>
          <w:rFonts w:ascii="Times New Roman" w:cs="Times New Roman" w:hAnsi="Times New Roman"/>
          <w:sz w:val="24"/>
          <w:szCs w:val="24"/>
        </w:rPr>
      </w:pPr>
    </w:p>
    <w:p w14:paraId="5478CD75">
      <w:pPr>
        <w:pStyle w:val="style0"/>
        <w:rPr>
          <w:rFonts w:ascii="Times New Roman" w:cs="Times New Roman" w:hAnsi="Times New Roman"/>
          <w:sz w:val="24"/>
          <w:szCs w:val="24"/>
        </w:rPr>
      </w:pPr>
    </w:p>
    <w:p w14:paraId="396EEF0D">
      <w:pPr>
        <w:pStyle w:val="style0"/>
        <w:spacing w:after="0" w:lineRule="auto" w:line="480"/>
        <w:jc w:val="center"/>
        <w:rPr>
          <w:rFonts w:ascii="Times New Roman" w:cs="Times New Roman" w:hAnsi="Times New Roman"/>
          <w:sz w:val="24"/>
          <w:szCs w:val="24"/>
        </w:rPr>
      </w:pPr>
    </w:p>
    <w:p w14:paraId="6FD58EA0">
      <w:pPr>
        <w:pStyle w:val="style0"/>
        <w:spacing w:after="0" w:lineRule="auto" w:line="480"/>
        <w:jc w:val="center"/>
        <w:rPr>
          <w:rFonts w:ascii="Times New Roman" w:cs="Times New Roman" w:hAnsi="Times New Roman"/>
          <w:b/>
          <w:bCs/>
          <w:sz w:val="24"/>
          <w:szCs w:val="24"/>
        </w:rPr>
      </w:pPr>
    </w:p>
    <w:p w14:paraId="614A7401">
      <w:pPr>
        <w:pStyle w:val="style0"/>
        <w:rPr>
          <w:rFonts w:ascii="Times New Roman" w:cs="Times New Roman" w:hAnsi="Times New Roman"/>
          <w:sz w:val="24"/>
          <w:szCs w:val="24"/>
        </w:rPr>
      </w:pPr>
    </w:p>
    <w:sectPr>
      <w:pgSz w:w="11906" w:h="16838" w:orient="portrait"/>
      <w:pgMar w:top="1440" w:right="1440" w:bottom="1440" w:left="144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AFF" w:usb1="C0007841" w:usb2="00000009" w:usb3="00000000" w:csb0="000001FF" w:csb1="00000000"/>
  </w:font>
  <w:font w:name="Symbol">
    <w:altName w:val="Symbol"/>
    <w:panose1 w:val="05050102010000020507"/>
    <w:charset w:val="02"/>
    <w:family w:val="roman"/>
    <w:pitch w:val="variable"/>
    <w:sig w:usb0="00000000" w:usb1="10000000" w:usb2="00000000" w:usb3="00000000" w:csb0="80000000" w:csb1="00000000"/>
  </w:font>
  <w:font w:name="Courier New">
    <w:altName w:val="Courier New"/>
    <w:panose1 w:val="02070309020000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0030204"/>
    <w:charset w:val="00"/>
    <w:family w:val="swiss"/>
    <w:pitch w:val="variable"/>
    <w:sig w:usb0="E10002FF" w:usb1="4000ACFF" w:usb2="00000009" w:usb3="00000000" w:csb0="0000019F" w:csb1="00000000"/>
  </w:font>
  <w:font w:name="Calibri Light">
    <w:altName w:val="Calibri Light"/>
    <w:panose1 w:val="020f0302020000030204"/>
    <w:charset w:val="00"/>
    <w:family w:val="swiss"/>
    <w:pitch w:val="variable"/>
    <w:sig w:usb0="A00002EF" w:usb1="4000207B" w:usb2="00000000" w:usb3="00000000" w:csb0="0000019F" w:csb1="00000000"/>
  </w:font>
  <w:font w:name="Arial">
    <w:altName w:val="Arial"/>
    <w:panose1 w:val="020b0604020000020204"/>
    <w:charset w:val="00"/>
    <w:family w:val="swiss"/>
    <w:pitch w:val="variable"/>
    <w:sig w:usb0="E0002AFF" w:usb1="C0007843" w:usb2="00000009" w:usb3="00000000" w:csb0="000001FF" w:csb1="00000000"/>
  </w:font>
  <w:font w:name="Segoe UI">
    <w:altName w:val="Segoe UI"/>
    <w:panose1 w:val="020b0502040000020203"/>
    <w:charset w:val="00"/>
    <w:family w:val="swiss"/>
    <w:pitch w:val="variable"/>
    <w:sig w:usb0="E10022FF" w:usb1="C000E47F" w:usb2="00000029" w:usb3="00000000" w:csb0="000001DF" w:csb1="00000000"/>
  </w:font>
  <w:font w:name="Cambria Math">
    <w:altName w:val="Cambria Math"/>
    <w:panose1 w:val="02040503050000030204"/>
    <w:charset w:val="00"/>
    <w:family w:val="roman"/>
    <w:pitch w:val="variable"/>
    <w:sig w:usb0="E00002FF" w:usb1="420024FF" w:usb2="00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0D7DE2F8">
    <w:pPr>
      <w:pStyle w:val="style31"/>
      <w:jc w:val="right"/>
      <w:rPr/>
    </w:pPr>
    <w:r>
      <w:rPr/>
      <w:fldChar w:fldCharType="begin"/>
    </w:r>
    <w:r>
      <w:instrText xml:space="preserve"> PAGE   \* MERGEFORMAT </w:instrText>
    </w:r>
    <w:r>
      <w:rPr/>
      <w:fldChar w:fldCharType="separate"/>
    </w:r>
    <w:r>
      <w:rPr>
        <w:noProof/>
      </w:rPr>
      <w:t>64</w:t>
    </w:r>
    <w:r>
      <w:rPr>
        <w:noProof/>
      </w:rPr>
      <w:fldChar w:fldCharType="end"/>
    </w:r>
  </w:p>
  <w:p w14:paraId="31790296">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735AE5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0000001"/>
    <w:multiLevelType w:val="hybridMultilevel"/>
    <w:tmpl w:val="91444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5B309EC2"/>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0000003"/>
    <w:multiLevelType w:val="hybridMultilevel"/>
    <w:tmpl w:val="136A1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91086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423A0B82"/>
    <w:lvl w:ilvl="0" w:tplc="2000001B">
      <w:start w:val="1"/>
      <w:numFmt w:val="lowerRoman"/>
      <w:lvlText w:val="%1."/>
      <w:lvlJc w:val="righ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nsid w:val="00000006"/>
    <w:multiLevelType w:val="hybridMultilevel"/>
    <w:tmpl w:val="FB6C19E4"/>
    <w:lvl w:ilvl="0" w:tplc="90CC56B4">
      <w:start w:val="1"/>
      <w:numFmt w:val="lowerRoman"/>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
    <w:nsid w:val="00000007"/>
    <w:multiLevelType w:val="multilevel"/>
    <w:tmpl w:val="B87C1118"/>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8">
    <w:nsid w:val="00000008"/>
    <w:multiLevelType w:val="hybridMultilevel"/>
    <w:tmpl w:val="5B424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ADD081F6"/>
    <w:lvl w:ilvl="0" w:tplc="90CC56B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7"/>
  </w:num>
  <w:num w:numId="3">
    <w:abstractNumId w:val="9"/>
  </w:num>
  <w:num w:numId="4">
    <w:abstractNumId w:val="6"/>
  </w:num>
  <w:num w:numId="5">
    <w:abstractNumId w:val="5"/>
  </w:num>
  <w:num w:numId="6">
    <w:abstractNumId w:val="2"/>
  </w:num>
  <w:num w:numId="7">
    <w:abstractNumId w:val="1"/>
  </w:num>
  <w:num w:numId="8">
    <w:abstractNumId w:val="8"/>
  </w:num>
  <w:num w:numId="9">
    <w:abstractNumId w:val="4"/>
  </w:num>
  <w:num w:numId="10">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paragraph" w:styleId="style1">
    <w:name w:val="heading 1"/>
    <w:basedOn w:val="style0"/>
    <w:next w:val="style0"/>
    <w:link w:val="style4097"/>
    <w:qFormat/>
    <w:uiPriority w:val="9"/>
    <w:pPr>
      <w:keepNext/>
      <w:keepLines/>
      <w:spacing w:before="360" w:after="80"/>
      <w:outlineLvl w:val="0"/>
    </w:pPr>
    <w:rPr>
      <w:rFonts w:ascii="Calibri Light" w:cs="宋体" w:eastAsia="宋体" w:hAnsi="Calibri Light"/>
      <w:color w:val="2f5496"/>
      <w:sz w:val="40"/>
      <w:szCs w:val="40"/>
    </w:rPr>
  </w:style>
  <w:style w:type="paragraph" w:styleId="style2">
    <w:name w:val="heading 2"/>
    <w:basedOn w:val="style0"/>
    <w:next w:val="style0"/>
    <w:link w:val="style4098"/>
    <w:qFormat/>
    <w:uiPriority w:val="9"/>
    <w:pPr>
      <w:keepNext/>
      <w:keepLines/>
      <w:spacing w:before="160" w:after="80"/>
      <w:outlineLvl w:val="1"/>
    </w:pPr>
    <w:rPr>
      <w:rFonts w:ascii="Calibri Light" w:cs="宋体" w:eastAsia="宋体" w:hAnsi="Calibri Light"/>
      <w:color w:val="2f5496"/>
      <w:sz w:val="32"/>
      <w:szCs w:val="32"/>
    </w:rPr>
  </w:style>
  <w:style w:type="paragraph" w:styleId="style3">
    <w:name w:val="heading 3"/>
    <w:basedOn w:val="style0"/>
    <w:next w:val="style0"/>
    <w:link w:val="style4099"/>
    <w:qFormat/>
    <w:uiPriority w:val="9"/>
    <w:pPr>
      <w:keepNext/>
      <w:keepLines/>
      <w:spacing w:before="160" w:after="80"/>
      <w:outlineLvl w:val="2"/>
    </w:pPr>
    <w:rPr>
      <w:rFonts w:cs="宋体" w:eastAsia="宋体"/>
      <w:color w:val="2f5496"/>
      <w:sz w:val="28"/>
      <w:szCs w:val="28"/>
    </w:rPr>
  </w:style>
  <w:style w:type="paragraph" w:styleId="style4">
    <w:name w:val="heading 4"/>
    <w:basedOn w:val="style0"/>
    <w:next w:val="style0"/>
    <w:link w:val="style4100"/>
    <w:qFormat/>
    <w:uiPriority w:val="9"/>
    <w:pPr>
      <w:keepNext/>
      <w:keepLines/>
      <w:spacing w:before="80" w:after="40"/>
      <w:outlineLvl w:val="3"/>
    </w:pPr>
    <w:rPr>
      <w:rFonts w:cs="宋体" w:eastAsia="宋体"/>
      <w:i/>
      <w:iCs/>
      <w:color w:val="2f5496"/>
    </w:rPr>
  </w:style>
  <w:style w:type="paragraph" w:styleId="style5">
    <w:name w:val="heading 5"/>
    <w:basedOn w:val="style0"/>
    <w:next w:val="style0"/>
    <w:link w:val="style4101"/>
    <w:qFormat/>
    <w:uiPriority w:val="9"/>
    <w:pPr>
      <w:keepNext/>
      <w:keepLines/>
      <w:spacing w:before="80" w:after="40"/>
      <w:outlineLvl w:val="4"/>
    </w:pPr>
    <w:rPr>
      <w:rFonts w:cs="宋体" w:eastAsia="宋体"/>
      <w:color w:val="2f5496"/>
    </w:rPr>
  </w:style>
  <w:style w:type="paragraph" w:styleId="style6">
    <w:name w:val="heading 6"/>
    <w:basedOn w:val="style0"/>
    <w:next w:val="style0"/>
    <w:link w:val="style4102"/>
    <w:qFormat/>
    <w:uiPriority w:val="9"/>
    <w:pPr>
      <w:keepNext/>
      <w:keepLines/>
      <w:spacing w:before="40" w:after="0"/>
      <w:outlineLvl w:val="5"/>
    </w:pPr>
    <w:rPr>
      <w:rFonts w:cs="宋体" w:eastAsia="宋体"/>
      <w:i/>
      <w:iCs/>
      <w:color w:val="595959"/>
    </w:rPr>
  </w:style>
  <w:style w:type="paragraph" w:styleId="style7">
    <w:name w:val="heading 7"/>
    <w:basedOn w:val="style0"/>
    <w:next w:val="style0"/>
    <w:link w:val="style4103"/>
    <w:qFormat/>
    <w:uiPriority w:val="9"/>
    <w:pPr>
      <w:keepNext/>
      <w:keepLines/>
      <w:spacing w:before="40" w:after="0"/>
      <w:outlineLvl w:val="6"/>
    </w:pPr>
    <w:rPr>
      <w:rFonts w:cs="宋体" w:eastAsia="宋体"/>
      <w:color w:val="595959"/>
    </w:rPr>
  </w:style>
  <w:style w:type="paragraph" w:styleId="style8">
    <w:name w:val="heading 8"/>
    <w:basedOn w:val="style0"/>
    <w:next w:val="style0"/>
    <w:link w:val="style4104"/>
    <w:qFormat/>
    <w:uiPriority w:val="9"/>
    <w:pPr>
      <w:keepNext/>
      <w:keepLines/>
      <w:spacing w:after="0"/>
      <w:outlineLvl w:val="7"/>
    </w:pPr>
    <w:rPr>
      <w:rFonts w:cs="宋体" w:eastAsia="宋体"/>
      <w:i/>
      <w:iCs/>
      <w:color w:val="272727"/>
    </w:rPr>
  </w:style>
  <w:style w:type="paragraph" w:styleId="style9">
    <w:name w:val="heading 9"/>
    <w:basedOn w:val="style0"/>
    <w:next w:val="style0"/>
    <w:link w:val="style4105"/>
    <w:qFormat/>
    <w:uiPriority w:val="9"/>
    <w:pPr>
      <w:keepNext/>
      <w:keepLines/>
      <w:spacing w:after="0"/>
      <w:outlineLvl w:val="8"/>
    </w:pPr>
    <w:rPr>
      <w:rFonts w:cs="宋体" w:eastAsia="宋体"/>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5cecd845-b2e6-4dc0-aeaa-9f99565758e9"/>
    <w:basedOn w:val="style65"/>
    <w:next w:val="style4097"/>
    <w:link w:val="style1"/>
    <w:uiPriority w:val="9"/>
    <w:rPr>
      <w:rFonts w:ascii="Calibri Light" w:cs="宋体" w:eastAsia="宋体" w:hAnsi="Calibri Light"/>
      <w:color w:val="2f5496"/>
      <w:sz w:val="40"/>
      <w:szCs w:val="40"/>
    </w:rPr>
  </w:style>
  <w:style w:type="character" w:customStyle="1" w:styleId="style4098">
    <w:name w:val="Heading 2 Char_323cfcac-e3a2-4253-a0dc-854b8d744a1c"/>
    <w:basedOn w:val="style65"/>
    <w:next w:val="style4098"/>
    <w:link w:val="style2"/>
    <w:uiPriority w:val="9"/>
    <w:rPr>
      <w:rFonts w:ascii="Calibri Light" w:cs="宋体" w:eastAsia="宋体" w:hAnsi="Calibri Light"/>
      <w:color w:val="2f5496"/>
      <w:sz w:val="32"/>
      <w:szCs w:val="32"/>
    </w:rPr>
  </w:style>
  <w:style w:type="character" w:customStyle="1" w:styleId="style4099">
    <w:name w:val="Heading 3 Char_cc42e095-97dc-4728-b647-48e5d92b5398"/>
    <w:basedOn w:val="style65"/>
    <w:next w:val="style4099"/>
    <w:link w:val="style3"/>
    <w:uiPriority w:val="9"/>
    <w:rPr>
      <w:rFonts w:cs="宋体" w:eastAsia="宋体"/>
      <w:color w:val="2f5496"/>
      <w:sz w:val="28"/>
      <w:szCs w:val="28"/>
    </w:rPr>
  </w:style>
  <w:style w:type="character" w:customStyle="1" w:styleId="style4100">
    <w:name w:val="Heading 4 Char_329503d4-8a05-4de6-83c1-503506fa7ff8"/>
    <w:basedOn w:val="style65"/>
    <w:next w:val="style4100"/>
    <w:link w:val="style4"/>
    <w:uiPriority w:val="9"/>
    <w:rPr>
      <w:rFonts w:cs="宋体" w:eastAsia="宋体"/>
      <w:i/>
      <w:iCs/>
      <w:color w:val="2f5496"/>
    </w:rPr>
  </w:style>
  <w:style w:type="character" w:customStyle="1" w:styleId="style4101">
    <w:name w:val="Heading 5 Char_88464880-72a8-4c60-acb2-602cf3754e80"/>
    <w:basedOn w:val="style65"/>
    <w:next w:val="style4101"/>
    <w:link w:val="style5"/>
    <w:uiPriority w:val="9"/>
    <w:rPr>
      <w:rFonts w:cs="宋体" w:eastAsia="宋体"/>
      <w:color w:val="2f5496"/>
    </w:rPr>
  </w:style>
  <w:style w:type="character" w:customStyle="1" w:styleId="style4102">
    <w:name w:val="Heading 6 Char_0b14ba46-f16b-4e2b-b700-36104f7b4ca9"/>
    <w:basedOn w:val="style65"/>
    <w:next w:val="style4102"/>
    <w:link w:val="style6"/>
    <w:uiPriority w:val="9"/>
    <w:rPr>
      <w:rFonts w:cs="宋体" w:eastAsia="宋体"/>
      <w:i/>
      <w:iCs/>
      <w:color w:val="595959"/>
    </w:rPr>
  </w:style>
  <w:style w:type="character" w:customStyle="1" w:styleId="style4103">
    <w:name w:val="Heading 7 Char_01a5bcaf-24a2-4e15-b1c5-ec9e1e3e2733"/>
    <w:basedOn w:val="style65"/>
    <w:next w:val="style4103"/>
    <w:link w:val="style7"/>
    <w:uiPriority w:val="9"/>
    <w:rPr>
      <w:rFonts w:cs="宋体" w:eastAsia="宋体"/>
      <w:color w:val="595959"/>
    </w:rPr>
  </w:style>
  <w:style w:type="character" w:customStyle="1" w:styleId="style4104">
    <w:name w:val="Heading 8 Char_ec5b4a86-f040-4203-9bad-c05e100f6a08"/>
    <w:basedOn w:val="style65"/>
    <w:next w:val="style4104"/>
    <w:link w:val="style8"/>
    <w:uiPriority w:val="9"/>
    <w:rPr>
      <w:rFonts w:cs="宋体" w:eastAsia="宋体"/>
      <w:i/>
      <w:iCs/>
      <w:color w:val="272727"/>
    </w:rPr>
  </w:style>
  <w:style w:type="character" w:customStyle="1" w:styleId="style4105">
    <w:name w:val="Heading 9 Char_ea64caa0-d680-4367-b1f0-e1fe512c5f6f"/>
    <w:basedOn w:val="style65"/>
    <w:next w:val="style4105"/>
    <w:link w:val="style9"/>
    <w:uiPriority w:val="9"/>
    <w:rPr>
      <w:rFonts w:cs="宋体" w:eastAsia="宋体"/>
      <w:color w:val="272727"/>
    </w:rPr>
  </w:style>
  <w:style w:type="paragraph" w:styleId="style62">
    <w:name w:val="Title"/>
    <w:basedOn w:val="style0"/>
    <w:next w:val="style0"/>
    <w:link w:val="style4106"/>
    <w:qFormat/>
    <w:uiPriority w:val="10"/>
    <w:pPr>
      <w:spacing w:after="80" w:lineRule="auto" w:line="240"/>
      <w:contextualSpacing/>
    </w:pPr>
    <w:rPr>
      <w:rFonts w:ascii="Calibri Light" w:cs="宋体" w:eastAsia="宋体" w:hAnsi="Calibri Light"/>
      <w:spacing w:val="-10"/>
      <w:kern w:val="28"/>
      <w:sz w:val="56"/>
      <w:szCs w:val="56"/>
    </w:rPr>
  </w:style>
  <w:style w:type="character" w:customStyle="1" w:styleId="style4106">
    <w:name w:val="Title Char_67afdb56-8bc8-4673-8485-1c7751d86cb7"/>
    <w:basedOn w:val="style65"/>
    <w:next w:val="style4106"/>
    <w:link w:val="style62"/>
    <w:uiPriority w:val="10"/>
    <w:rPr>
      <w:rFonts w:ascii="Calibri Light" w:cs="宋体" w:eastAsia="宋体" w:hAnsi="Calibri Light"/>
      <w:spacing w:val="-10"/>
      <w:kern w:val="28"/>
      <w:sz w:val="56"/>
      <w:szCs w:val="56"/>
    </w:rPr>
  </w:style>
  <w:style w:type="paragraph" w:styleId="style74">
    <w:name w:val="Subtitle"/>
    <w:basedOn w:val="style0"/>
    <w:next w:val="style0"/>
    <w:link w:val="style4107"/>
    <w:qFormat/>
    <w:uiPriority w:val="11"/>
    <w:pPr>
      <w:numPr>
        <w:ilvl w:val="1"/>
        <w:numId w:val="0"/>
      </w:numPr>
    </w:pPr>
    <w:rPr>
      <w:rFonts w:cs="宋体" w:eastAsia="宋体"/>
      <w:color w:val="595959"/>
      <w:spacing w:val="15"/>
      <w:sz w:val="28"/>
      <w:szCs w:val="28"/>
    </w:rPr>
  </w:style>
  <w:style w:type="character" w:customStyle="1" w:styleId="style4107">
    <w:name w:val="Subtitle Char"/>
    <w:basedOn w:val="style65"/>
    <w:next w:val="style4107"/>
    <w:link w:val="style74"/>
    <w:uiPriority w:val="11"/>
    <w:rPr>
      <w:rFonts w:cs="宋体" w:eastAsia="宋体"/>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Quote Char_e3c01444-58d1-42c3-a90d-56b1f7734504"/>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2f5496"/>
    </w:rPr>
  </w:style>
  <w:style w:type="paragraph" w:styleId="style181">
    <w:name w:val="Intense Quote"/>
    <w:basedOn w:val="style0"/>
    <w:next w:val="style0"/>
    <w:link w:val="style4109"/>
    <w:qFormat/>
    <w:uiPriority w:val="30"/>
    <w:pPr>
      <w:pBdr>
        <w:top w:val="single" w:sz="4" w:space="10" w:color="2f5496"/>
        <w:bottom w:val="single" w:sz="4" w:space="10" w:color="2f5496"/>
      </w:pBdr>
      <w:spacing w:before="360" w:after="360"/>
      <w:ind w:left="864" w:right="864"/>
      <w:jc w:val="center"/>
    </w:pPr>
    <w:rPr>
      <w:i/>
      <w:iCs/>
      <w:color w:val="2f5496"/>
    </w:rPr>
  </w:style>
  <w:style w:type="character" w:customStyle="1" w:styleId="style4109">
    <w:name w:val="Intense Quote Char_8163033b-24dc-4ff1-bd80-a6271e13ab0c"/>
    <w:basedOn w:val="style65"/>
    <w:next w:val="style4109"/>
    <w:link w:val="style181"/>
    <w:uiPriority w:val="30"/>
    <w:rPr>
      <w:i/>
      <w:iCs/>
      <w:color w:val="2f5496"/>
    </w:rPr>
  </w:style>
  <w:style w:type="character" w:styleId="style263">
    <w:name w:val="Intense Reference"/>
    <w:basedOn w:val="style65"/>
    <w:next w:val="style263"/>
    <w:qFormat/>
    <w:uiPriority w:val="32"/>
    <w:rPr>
      <w:b/>
      <w:bCs/>
      <w:smallCaps/>
      <w:color w:val="2f5496"/>
      <w:spacing w:val="5"/>
    </w:rPr>
  </w:style>
  <w:style w:type="paragraph" w:styleId="style94">
    <w:name w:val="Normal (Web)"/>
    <w:basedOn w:val="style0"/>
    <w:next w:val="style94"/>
    <w:uiPriority w:val="99"/>
    <w:pPr/>
    <w:rPr>
      <w:rFonts w:ascii="Times New Roman" w:cs="Times New Roman" w:hAnsi="Times New Roman"/>
      <w:sz w:val="24"/>
      <w:szCs w:val="24"/>
    </w:rPr>
  </w:style>
  <w:style w:type="table" w:styleId="style154">
    <w:name w:val="Table Grid"/>
    <w:basedOn w:val="style105"/>
    <w:next w:val="style154"/>
    <w:uiPriority w:val="3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31">
    <w:name w:val="header"/>
    <w:basedOn w:val="style0"/>
    <w:next w:val="style31"/>
    <w:link w:val="style4110"/>
    <w:uiPriority w:val="99"/>
    <w:pPr>
      <w:tabs>
        <w:tab w:val="center" w:leader="none" w:pos="4513"/>
        <w:tab w:val="right" w:leader="none" w:pos="9026"/>
      </w:tabs>
      <w:spacing w:after="0" w:lineRule="auto" w:line="240"/>
    </w:pPr>
    <w:rPr/>
  </w:style>
  <w:style w:type="character" w:customStyle="1" w:styleId="style4110">
    <w:name w:val="Header Char_f0757b5b-d200-47e2-ae84-441b6305ce96"/>
    <w:basedOn w:val="style65"/>
    <w:next w:val="style4110"/>
    <w:link w:val="style31"/>
    <w:uiPriority w:val="99"/>
  </w:style>
  <w:style w:type="paragraph" w:styleId="style32">
    <w:name w:val="footer"/>
    <w:basedOn w:val="style0"/>
    <w:next w:val="style32"/>
    <w:link w:val="style4111"/>
    <w:uiPriority w:val="99"/>
    <w:pPr>
      <w:tabs>
        <w:tab w:val="center" w:leader="none" w:pos="4513"/>
        <w:tab w:val="right" w:leader="none" w:pos="9026"/>
      </w:tabs>
      <w:spacing w:after="0" w:lineRule="auto" w:line="240"/>
    </w:pPr>
    <w:rPr/>
  </w:style>
  <w:style w:type="character" w:customStyle="1" w:styleId="style4111">
    <w:name w:val="Footer Char_f02e0381-e664-4bb4-9b14-857457c65a9f"/>
    <w:basedOn w:val="style65"/>
    <w:next w:val="style4111"/>
    <w:link w:val="style32"/>
    <w:uiPriority w:val="99"/>
  </w:style>
  <w:style w:type="paragraph" w:customStyle="1" w:styleId="style4112">
    <w:name w:val="Normal1"/>
    <w:next w:val="style4112"/>
    <w:pPr>
      <w:spacing w:after="0" w:lineRule="auto" w:line="276"/>
    </w:pPr>
    <w:rPr>
      <w:rFonts w:ascii="Arial" w:cs="Arial" w:eastAsia="Arial" w:hAnsi="Arial"/>
    </w:rPr>
  </w:style>
  <w:style w:type="paragraph" w:styleId="style153">
    <w:name w:val="Balloon Text"/>
    <w:basedOn w:val="style0"/>
    <w:next w:val="style153"/>
    <w:link w:val="style4113"/>
    <w:uiPriority w:val="99"/>
    <w:pPr>
      <w:spacing w:after="0" w:lineRule="auto" w:line="240"/>
    </w:pPr>
    <w:rPr>
      <w:rFonts w:ascii="Segoe UI" w:cs="Segoe UI" w:hAnsi="Segoe UI"/>
      <w:sz w:val="18"/>
      <w:szCs w:val="18"/>
    </w:rPr>
  </w:style>
  <w:style w:type="character" w:customStyle="1" w:styleId="style4113">
    <w:name w:val="Balloon Text Char"/>
    <w:basedOn w:val="style65"/>
    <w:next w:val="style4113"/>
    <w:link w:val="style153"/>
    <w:uiPriority w:val="99"/>
    <w:rPr>
      <w:rFonts w:ascii="Segoe UI" w:cs="Segoe UI" w:hAnsi="Segoe UI"/>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image" Target="media/image1.png"/><Relationship Id="rId4" Type="http://schemas.openxmlformats.org/officeDocument/2006/relationships/image" Target="media/image2.png"/><Relationship Id="rId10" Type="http://schemas.openxmlformats.org/officeDocument/2006/relationships/customXml" Target="../customXml/item1.xml"/><Relationship Id="rId9" Type="http://schemas.openxmlformats.org/officeDocument/2006/relationships/theme" Target="theme/theme1.xml"/><Relationship Id="rId5" Type="http://schemas.openxmlformats.org/officeDocument/2006/relationships/image" Target="media/image3.png"/><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2A9AC-38BE-4E64-BF30-5398D6B99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Words>16661</Words>
  <Pages>65</Pages>
  <Characters>95403</Characters>
  <Application>WPS Office</Application>
  <DocSecurity>0</DocSecurity>
  <Paragraphs>1025</Paragraphs>
  <ScaleCrop>false</ScaleCrop>
  <LinksUpToDate>false</LinksUpToDate>
  <CharactersWithSpaces>112848</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2026-06-29T06:40:00Z</dcterms:created>
  <dc:creator>Ogechi Ajah</dc:creator>
  <lastModifiedBy>CPH2387</lastModifiedBy>
  <lastPrinted>2026-06-29T10:07:00Z</lastPrinted>
  <dcterms:modified xsi:type="dcterms:W3CDTF">2026-07-17T12:44:56Z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4ecab923a09447119459e86632c82729_23</vt:lpwstr>
  </property>
</Properties>
</file>