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2866795">
      <w:pPr>
        <w:spacing w:before="0" w:after="400"/>
        <w:ind w:firstLine="3202" w:firstLineChars="1000"/>
        <w:jc w:val="both"/>
        <w:rPr>
          <w:rFonts w:ascii="Times New Roman" w:hAnsi="Times New Roman" w:eastAsia="Times New Roman" w:cs="Times New Roman"/>
          <w:b/>
          <w:bCs/>
          <w:sz w:val="32"/>
          <w:szCs w:val="32"/>
        </w:rPr>
      </w:pPr>
    </w:p>
    <w:p w14:paraId="6BFDA563">
      <w:pPr>
        <w:jc w:val="center"/>
      </w:pPr>
      <w:r>
        <w:rPr>
          <w:b/>
          <w:bCs/>
          <w:sz w:val="24"/>
          <w:szCs w:val="24"/>
        </w:rPr>
        <w:t>TITLE PAGE</w:t>
      </w:r>
    </w:p>
    <w:p w14:paraId="6FF08A31">
      <w:pPr/>
    </w:p>
    <w:p w14:paraId="499B3125">
      <w:pPr>
        <w:jc w:val="center"/>
      </w:pPr>
      <w:r>
        <w:rPr>
          <w:b/>
          <w:bCs/>
          <w:sz w:val="28"/>
          <w:szCs w:val="28"/>
        </w:rPr>
        <w:t>THE IMPACT OF RACISM AND DISCRIMINATION ON BLACK LIVES IN FOREIGN COUNTRIES: A CASE STUDY OF GEORGE FLOYD. 2020–2024</w:t>
      </w:r>
    </w:p>
    <w:p w14:paraId="2193DB5C">
      <w:pPr/>
    </w:p>
    <w:p w14:paraId="3AA12E5D">
      <w:pPr>
        <w:jc w:val="center"/>
      </w:pPr>
      <w:r>
        <w:rPr>
          <w:b/>
          <w:bCs/>
          <w:sz w:val="24"/>
          <w:szCs w:val="24"/>
        </w:rPr>
        <w:t>BY</w:t>
      </w:r>
    </w:p>
    <w:p w14:paraId="582519D5">
      <w:pPr/>
    </w:p>
    <w:p w14:paraId="317125A9">
      <w:pPr>
        <w:jc w:val="center"/>
      </w:pPr>
      <w:r>
        <w:rPr>
          <w:b/>
          <w:bCs/>
          <w:sz w:val="24"/>
          <w:szCs w:val="24"/>
        </w:rPr>
        <w:t>CELESTINE RUTH CHIBUNDO</w:t>
      </w:r>
    </w:p>
    <w:p w14:paraId="072F1A18">
      <w:pPr/>
    </w:p>
    <w:p w14:paraId="75FE7947">
      <w:pPr>
        <w:jc w:val="center"/>
      </w:pPr>
      <w:r>
        <w:rPr>
          <w:b/>
          <w:bCs/>
          <w:sz w:val="24"/>
          <w:szCs w:val="24"/>
        </w:rPr>
        <w:t>GOU/U22/IRE/599</w:t>
      </w:r>
    </w:p>
    <w:p w14:paraId="285C5425">
      <w:pPr/>
    </w:p>
    <w:p w14:paraId="7DF467F9">
      <w:pPr>
        <w:jc w:val="center"/>
      </w:pPr>
      <w:r>
        <w:rPr>
          <w:sz w:val="24"/>
          <w:szCs w:val="24"/>
        </w:rPr>
        <w:t>A RESEARCH PROJECT PRESENTED TO THE DEPARTMENT OF POLITICAL SCIENCE AND INTERNATIONAL RELATIONS,</w:t>
      </w:r>
    </w:p>
    <w:p w14:paraId="50618992">
      <w:pPr>
        <w:jc w:val="center"/>
      </w:pPr>
      <w:r>
        <w:rPr>
          <w:sz w:val="24"/>
          <w:szCs w:val="24"/>
        </w:rPr>
        <w:t>FACULTY OF MANAGEMENT AND SOCIAL SCIENCES, GODFREY OKOYE UNIVERSITY, ENUGU</w:t>
      </w:r>
    </w:p>
    <w:p w14:paraId="2FD8C3E7">
      <w:pPr/>
    </w:p>
    <w:p w14:paraId="1686A585">
      <w:pPr>
        <w:jc w:val="center"/>
      </w:pPr>
      <w:r>
        <w:rPr>
          <w:sz w:val="24"/>
          <w:szCs w:val="24"/>
        </w:rPr>
        <w:t>IN PARTIAL FULFILMENT OF THE REQUIREMENTS FOR THE AWARD OF A BACHELOR OF SCIENCE (B.Sc.) DEGREE IN INTERNATIONAL RELATIONS</w:t>
      </w:r>
    </w:p>
    <w:p w14:paraId="7236775C">
      <w:pPr/>
    </w:p>
    <w:p w14:paraId="593148CC">
      <w:pPr>
        <w:jc w:val="center"/>
      </w:pPr>
      <w:r>
        <w:rPr>
          <w:b/>
          <w:bCs/>
          <w:sz w:val="24"/>
          <w:szCs w:val="24"/>
        </w:rPr>
        <w:t>PROJECT SUPERVISOR: REV. SR. DR. LUCY UMEH</w:t>
      </w:r>
    </w:p>
    <w:p w14:paraId="58EBD4C4">
      <w:pPr/>
    </w:p>
    <w:p w14:paraId="027449F8">
      <w:pPr>
        <w:jc w:val="center"/>
        <w:rPr>
          <w:b/>
          <w:bCs/>
          <w:sz w:val="24"/>
          <w:szCs w:val="24"/>
        </w:rPr>
      </w:pPr>
      <w:r>
        <w:rPr>
          <w:b/>
          <w:bCs/>
          <w:sz w:val="24"/>
          <w:szCs w:val="24"/>
        </w:rPr>
        <w:t>MAY, 2026</w:t>
      </w:r>
    </w:p>
    <w:p w14:paraId="43DFFC91">
      <w:pPr>
        <w:spacing w:after="360"/>
        <w:jc w:val="center"/>
      </w:pPr>
      <w:r>
        <w:rPr>
          <w:rFonts w:ascii="Times New Roman" w:hAnsi="Times New Roman" w:eastAsia="Times New Roman" w:cs="Times New Roman"/>
          <w:b/>
          <w:bCs/>
          <w:sz w:val="24"/>
          <w:szCs w:val="24"/>
          <w:u w:val="single"/>
        </w:rPr>
        <w:t>ABSTRACT</w:t>
      </w:r>
    </w:p>
    <w:p w14:paraId="1E8D384F">
      <w:pPr>
        <w:spacing w:line="360" w:lineRule="auto"/>
        <w:jc w:val="center"/>
        <w:rPr>
          <w:rFonts w:hint="default"/>
          <w:b w:val="0"/>
          <w:bCs w:val="0"/>
          <w:sz w:val="24"/>
          <w:szCs w:val="24"/>
        </w:rPr>
      </w:pPr>
      <w:r>
        <w:rPr>
          <w:rFonts w:hint="default"/>
          <w:b w:val="0"/>
          <w:bCs w:val="0"/>
          <w:sz w:val="24"/>
          <w:szCs w:val="24"/>
        </w:rPr>
        <w:t>This study investigated the impact of racism and discrimination on Black lives in foreign countries, with a case study of George Floyd. This study aims to analyze the influence of Black Lives Matter on the international conversation about racism and to learn more about the experiences of Black people in other nations and to understand the structural aspects of race discrimination. This study used ex post facto research design, documentary method of data collection, and content method of data analysis which was based on critical race theory proposed by Delgado and Stefancic (2017). The study revealed the following findings: systemic racism exists in foreign countries that can be experienced by blacks in the form of police brutality, institutional exclusion and social marginalization. Although the human rights laws are in place and there are international campaigns to end racism, the reality is that it still exists, and this is because of deeply rooted structural inequalities. Governments should strengthen anti-discrimination policies and international organizations should give more visibility to the voice of Blacks in international policy dialogue.</w:t>
      </w:r>
    </w:p>
    <w:p w14:paraId="4B1AE2D6">
      <w:pPr>
        <w:spacing w:line="360" w:lineRule="auto"/>
        <w:jc w:val="center"/>
        <w:rPr>
          <w:b w:val="0"/>
          <w:bCs w:val="0"/>
          <w:sz w:val="24"/>
          <w:szCs w:val="24"/>
        </w:rPr>
      </w:pPr>
      <w:r>
        <w:rPr>
          <w:rFonts w:hint="default"/>
          <w:b w:val="0"/>
          <w:bCs w:val="0"/>
          <w:sz w:val="24"/>
          <w:szCs w:val="24"/>
        </w:rPr>
        <w:t>In the aftermath of George Floyd's death and the Black Lives Matter movement, racism and discrimination have become a common topic.Racism and discrimination have been a frequent subject of discussion since the death of George Floyd and the Black Lives Matter movement.</w:t>
      </w:r>
    </w:p>
    <w:p w14:paraId="7B4E3256">
      <w:pPr>
        <w:spacing w:before="0" w:after="400"/>
        <w:ind w:firstLine="3202" w:firstLineChars="1000"/>
        <w:jc w:val="both"/>
      </w:pPr>
      <w:r>
        <w:rPr>
          <w:rFonts w:ascii="Times New Roman" w:hAnsi="Times New Roman" w:eastAsia="Times New Roman" w:cs="Times New Roman"/>
          <w:b/>
          <w:bCs/>
          <w:sz w:val="32"/>
          <w:szCs w:val="32"/>
        </w:rPr>
        <w:t>CHAPTER ONE</w:t>
      </w:r>
    </w:p>
    <w:p w14:paraId="62212482">
      <w:pPr>
        <w:spacing w:before="0" w:after="600"/>
        <w:jc w:val="center"/>
      </w:pPr>
      <w:r>
        <w:rPr>
          <w:rFonts w:ascii="Times New Roman" w:hAnsi="Times New Roman" w:eastAsia="Times New Roman" w:cs="Times New Roman"/>
          <w:b/>
          <w:bCs/>
          <w:sz w:val="28"/>
          <w:szCs w:val="28"/>
        </w:rPr>
        <w:t>INTRODUCTION AND BACKGROUND TO THE STUDY</w:t>
      </w:r>
    </w:p>
    <w:p w14:paraId="2F0D9A52">
      <w:pPr>
        <w:pStyle w:val="2"/>
        <w:numPr>
          <w:ilvl w:val="1"/>
          <w:numId w:val="1"/>
        </w:numPr>
        <w:spacing w:before="400" w:after="200"/>
      </w:pPr>
      <w:r>
        <w:rPr>
          <w:rFonts w:ascii="Times New Roman" w:hAnsi="Times New Roman" w:eastAsia="Times New Roman" w:cs="Times New Roman"/>
          <w:b/>
          <w:bCs/>
          <w:sz w:val="28"/>
          <w:szCs w:val="28"/>
        </w:rPr>
        <w:t>Background to the Study</w:t>
      </w:r>
    </w:p>
    <w:p w14:paraId="391AD0B0">
      <w:pPr>
        <w:spacing w:line="360" w:lineRule="auto"/>
        <w:rPr>
          <w:rFonts w:hint="default"/>
        </w:rPr>
      </w:pPr>
      <w:r>
        <w:rPr>
          <w:rFonts w:hint="default"/>
        </w:rPr>
        <w:t>Racism and discrimination severely affects the lives of black people in foreign countries by causing systematic exclusion, economic inequality, lack of employment, lack of education and physical damage. Braided with the legacy of colonialism, it is often a deeply embedded prejudice that leads to widespread marginalisation, increased vulnerability to violence and restricted opportunities due to the legacy of slavery and colonialism; it also has serious mental health and physical health implications (Bonilla-Silva, 2006; Fanon, 1961; Wynter, 2003). These structural inequities are not simply relics of the past but are lived realities among the experiences of members of the Black community in modern societies (Crenshaw, 1991; Omi &amp; Winant, 2015).</w:t>
      </w:r>
    </w:p>
    <w:p w14:paraId="1C4D5A65">
      <w:pPr>
        <w:spacing w:line="360" w:lineRule="auto"/>
      </w:pPr>
      <w:r>
        <w:rPr>
          <w:rFonts w:hint="default"/>
        </w:rPr>
        <w:t>Between colonialism and contemporary displays of racism, xenophobia and intolerance against Africans and people of Black African descent exists a strong relation (Quijano, 2000; Mamdani, 2001). Colonialism gave rise to a racial hierarchy that ranked Europeans as superior in culture and intellect, established by the law, religion and education, and manifested in governance (Mills, 1997). Long before the modern civil rights movement, scholars like Du Bois (1903) and Cesaire (1955) claimed that the color line has been the issue of the century, a claim supported empirically by the experiences of the black population today around the globe.</w:t>
      </w:r>
    </w:p>
    <w:p w14:paraId="37605DC7">
      <w:pPr>
        <w:spacing w:after="200" w:line="360" w:lineRule="auto"/>
        <w:jc w:val="both"/>
      </w:pPr>
      <w:r>
        <w:rPr>
          <w:rFonts w:ascii="Times New Roman" w:hAnsi="Times New Roman" w:eastAsia="Times New Roman" w:cs="Times New Roman"/>
          <w:sz w:val="24"/>
          <w:szCs w:val="24"/>
        </w:rPr>
        <w:t>Slavery, colonialism, and segregation are tied to the oppression of Black people because they leave legacies that continue to oppress individuals even in the present day (Alexander, 2010). These patterns of discrimination manifest in at least four distinct dimensions recognized in the scholarly literature:</w:t>
      </w:r>
    </w:p>
    <w:p w14:paraId="6B0BC4F3">
      <w:pPr>
        <w:pStyle w:val="18"/>
        <w:numPr>
          <w:ilvl w:val="0"/>
          <w:numId w:val="0"/>
        </w:numPr>
        <w:spacing w:after="160" w:line="360" w:lineRule="auto"/>
        <w:jc w:val="both"/>
      </w:pPr>
      <w:r>
        <w:rPr>
          <w:rFonts w:hint="default" w:cs="Times New Roman"/>
          <w:b/>
          <w:bCs/>
          <w:sz w:val="24"/>
          <w:szCs w:val="24"/>
          <w:lang w:val="en-US"/>
        </w:rPr>
        <w:t>.</w:t>
      </w:r>
      <w:r>
        <w:rPr>
          <w:rFonts w:ascii="Times New Roman" w:hAnsi="Times New Roman" w:eastAsia="Times New Roman" w:cs="Times New Roman"/>
          <w:sz w:val="24"/>
          <w:szCs w:val="24"/>
        </w:rPr>
        <w:t>Interpersonal Racism: Racism expressed by individuals through personal beliefs, attitudes, and actions such as refusing to associate with someone because of their race or colour, or treating people unfairly in employment, education, or social settings (Sue et al., 2007).</w:t>
      </w:r>
    </w:p>
    <w:p w14:paraId="1051555E">
      <w:pPr>
        <w:pStyle w:val="18"/>
        <w:numPr>
          <w:ilvl w:val="0"/>
          <w:numId w:val="0"/>
        </w:numPr>
        <w:spacing w:after="160" w:line="360" w:lineRule="auto"/>
        <w:jc w:val="both"/>
      </w:pPr>
      <w:r>
        <w:rPr>
          <w:rFonts w:hint="default" w:cs="Times New Roman"/>
          <w:b/>
          <w:bCs/>
          <w:sz w:val="24"/>
          <w:szCs w:val="24"/>
          <w:lang w:val="en-US"/>
        </w:rPr>
        <w:t>.</w:t>
      </w:r>
      <w:r>
        <w:rPr>
          <w:rFonts w:ascii="Times New Roman" w:hAnsi="Times New Roman" w:eastAsia="Times New Roman" w:cs="Times New Roman"/>
          <w:sz w:val="24"/>
          <w:szCs w:val="24"/>
        </w:rPr>
        <w:t>Institutional Racism: This occurs when laws, policies, and institutions systematically disadvantage certain racial groups. It is embedded in organizational structures and operates independently of individual prejudice (Carmichael &amp; Hamilton, 1967; Pager &amp; Shepherd, 2008).</w:t>
      </w:r>
    </w:p>
    <w:p w14:paraId="27D77D3E">
      <w:pPr>
        <w:pStyle w:val="18"/>
        <w:numPr>
          <w:ilvl w:val="0"/>
          <w:numId w:val="0"/>
        </w:numPr>
        <w:spacing w:after="160" w:line="360" w:lineRule="auto"/>
        <w:jc w:val="both"/>
      </w:pPr>
      <w:r>
        <w:rPr>
          <w:rFonts w:hint="default" w:cs="Times New Roman"/>
          <w:b/>
          <w:bCs/>
          <w:sz w:val="24"/>
          <w:szCs w:val="24"/>
          <w:lang w:val="en-US"/>
        </w:rPr>
        <w:t>.</w:t>
      </w:r>
      <w:r>
        <w:rPr>
          <w:rFonts w:ascii="Times New Roman" w:hAnsi="Times New Roman" w:eastAsia="Times New Roman" w:cs="Times New Roman"/>
          <w:sz w:val="24"/>
          <w:szCs w:val="24"/>
        </w:rPr>
        <w:t>Structural Racism: This refers to the overall system of racial inequality formed by the interaction of multiple institutions. In this process, there is always limited access to political power and an unequal distribution of wealth and opportunities (Bonilla-Silva, 2006; Bailey et al., 2017).</w:t>
      </w:r>
    </w:p>
    <w:p w14:paraId="5B643DCE">
      <w:pPr>
        <w:spacing w:after="200" w:line="360" w:lineRule="auto"/>
        <w:jc w:val="both"/>
        <w:rPr>
          <w:rFonts w:hint="default" w:cs="Times New Roman"/>
          <w:sz w:val="24"/>
          <w:szCs w:val="24"/>
          <w:lang w:val="en-US"/>
        </w:rPr>
      </w:pPr>
      <w:r>
        <w:rPr>
          <w:rFonts w:hint="default" w:cs="Times New Roman"/>
          <w:b/>
          <w:bCs/>
          <w:sz w:val="24"/>
          <w:szCs w:val="24"/>
          <w:lang w:val="en-US"/>
        </w:rPr>
        <w:t>.</w:t>
      </w:r>
      <w:r>
        <w:rPr>
          <w:rFonts w:ascii="Times New Roman" w:hAnsi="Times New Roman" w:eastAsia="Times New Roman" w:cs="Times New Roman"/>
          <w:sz w:val="24"/>
          <w:szCs w:val="24"/>
        </w:rPr>
        <w:t>Cultural and Internalized Racism: This involves the belief that one culture is superior to others, leading to the domination of that culture over others</w:t>
      </w:r>
      <w:r>
        <w:rPr>
          <w:rFonts w:hint="default" w:cs="Times New Roman"/>
          <w:sz w:val="24"/>
          <w:szCs w:val="24"/>
          <w:lang w:val="en-US"/>
        </w:rPr>
        <w:t>.It can lead members of marginalised groups to adopt negative stereotypes of themselves (Jones 1997; Cross 1991).</w:t>
      </w:r>
    </w:p>
    <w:p w14:paraId="0049A588">
      <w:pPr>
        <w:spacing w:after="200" w:line="360" w:lineRule="auto"/>
        <w:jc w:val="both"/>
        <w:rPr>
          <w:rFonts w:hint="default" w:cs="Times New Roman"/>
          <w:sz w:val="24"/>
          <w:szCs w:val="24"/>
          <w:lang w:val="en-US"/>
        </w:rPr>
      </w:pPr>
      <w:r>
        <w:rPr>
          <w:rFonts w:hint="default" w:cs="Times New Roman"/>
          <w:sz w:val="24"/>
          <w:szCs w:val="24"/>
          <w:lang w:val="en-US"/>
        </w:rPr>
        <w:t>Gillian Schutte (2016) states that racism is not just a prejudice, it is a deeply entrenched structural system that contributes to inequality in society. Slavery is a form of structural racism, and it is ingrained in the U.S. and carries on today in various parts of the country. The United States, as a "white racial frame" where structures and ideologies of society are passed down across generations, has been confirmed by sociologists like Feagin (2006). Patricia Hill Collins (2000) also illustrated how race is connected to gender, class, and nationality to form a system of oppressions.</w:t>
      </w:r>
    </w:p>
    <w:p w14:paraId="7A5B9D3A">
      <w:pPr>
        <w:spacing w:after="200" w:line="360" w:lineRule="auto"/>
        <w:jc w:val="both"/>
        <w:rPr>
          <w:rFonts w:hint="default" w:cs="Times New Roman"/>
          <w:sz w:val="24"/>
          <w:szCs w:val="24"/>
          <w:lang w:val="en-US"/>
        </w:rPr>
      </w:pPr>
      <w:r>
        <w:rPr>
          <w:rFonts w:hint="default" w:cs="Times New Roman"/>
          <w:sz w:val="24"/>
          <w:szCs w:val="24"/>
          <w:lang w:val="en-US"/>
        </w:rPr>
        <w:t>The attitudes of individual actors are not the only ones that cause racial inequality; institutions like education, media, law, and employment also play a role in reproducing racial inequality (Bonilla-Silva, 2006; Massey &amp; Denton, 1993). This implies that whether people are not necessarily racist themselves, the system can yield racially unequal results. These patterns of discrimination are similar to those that can be seen in the United Kingdom and France, the consequences of colonialism and post-colonial immigration (Wieviorka, 1995; Modood, 2007). The children of colonized people and black immigrants in such countries are typically the targets of ongoing discrimination and marginalization.</w:t>
      </w:r>
    </w:p>
    <w:p w14:paraId="089FDE6A">
      <w:pPr>
        <w:spacing w:after="200" w:line="360" w:lineRule="auto"/>
        <w:jc w:val="both"/>
        <w:rPr>
          <w:rFonts w:hint="default" w:cs="Times New Roman"/>
          <w:sz w:val="24"/>
          <w:szCs w:val="24"/>
          <w:lang w:val="en-US"/>
        </w:rPr>
      </w:pPr>
      <w:r>
        <w:rPr>
          <w:rFonts w:hint="default" w:cs="Times New Roman"/>
          <w:sz w:val="24"/>
          <w:szCs w:val="24"/>
          <w:lang w:val="en-US"/>
        </w:rPr>
        <w:t>This unfortunate scenario was tragically demonstrated in the case of George Floyd, a 46-year-old father of two stopped by the police on suspicion of using a fake $200 bill in Minneapolis on 25 May 2020. Mr. Floyd's head was placed on the ground and a White police officer was seen kneeling on his neck as he cried, "I can't breathe" multiple times. He was pinned down for eight minutes and forty-six seconds and after six minutes he ceased moving (New York Times, 2020). Floyd was not the only person to die during this period. Trayvon Martin was shot and killed by Sanford, Florida, neighborhood watchman George Zimmerman in 2012. Zimmerman was acquitted and that sparked a public outcry, the Black Lives Matter movement (BLM) (Garza, 2014). Ferguson, Missouri, became the site of long-term protests and a federal investigation into disparities in policing practices that led to the shooting and killing in 2014 of Michael Brown, an eighteen-year-old. (U.S. Department of Justice, 2015)</w:t>
      </w:r>
    </w:p>
    <w:p w14:paraId="631AC5A7">
      <w:pPr>
        <w:spacing w:after="200" w:line="360" w:lineRule="auto"/>
        <w:jc w:val="both"/>
      </w:pPr>
      <w:r>
        <w:rPr>
          <w:rFonts w:hint="default" w:cs="Times New Roman"/>
          <w:sz w:val="24"/>
          <w:szCs w:val="24"/>
          <w:lang w:val="en-US"/>
        </w:rPr>
        <w:t>There is a view that race is not a biological fact, but an invention of society, as stated by Noel Ignatiev (2014). Physical differences are given meaning by society, which then is used to justify inequality and domination. This constructivist notion of race, echoing the racial formation theory of Omi and Winant (2015), emphasizes the fact that racial formations are ongoing and are continually recreated in the political, social, and economic sphere.</w:t>
      </w:r>
      <w:r>
        <w:rPr>
          <w:rFonts w:ascii="Times New Roman" w:hAnsi="Times New Roman" w:eastAsia="Times New Roman" w:cs="Times New Roman"/>
          <w:sz w:val="24"/>
          <w:szCs w:val="24"/>
        </w:rPr>
        <w:t>Racism thus exists because society creates and maintains racial categories and uses them to perpetuate racial profiling, economic inequality, social marginalization, and unfair legal frameworks.</w:t>
      </w:r>
    </w:p>
    <w:p w14:paraId="7BFDB620">
      <w:pPr>
        <w:spacing w:after="20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America has a long and painful history of racism and segregation. Until the 1960s, African Americans were forced to live separately from White Americans and were denied the right to vote (Franklin, 1967). Nowadays, policing in America varies considerably from state to state. In North Carolina, it takes only sixteen weeks to become a police officer, which is half the time it takes to become a licensed barber in the United States (Washington Post, 2020). Racism in the United States comprises negative attitudes and views on race or ethnicity reflected in laws, practices, and actions, including violence, at various times in history (Feagin, 2006). White Americans have generally enjoyed legally or socially sanctioned privileges and rights that have been denied to members of various ethnic or minority groups (McIntosh, 1989; Harris, 1993). This racial stratification predates the nation itself; before 1865, most African Americans were enslaved, and even afterwards, they faced severe restrictions on their political, social, and economic freedoms (Cole, 2017; Franklin, 1967).</w:t>
      </w:r>
    </w:p>
    <w:p w14:paraId="719ECE8B">
      <w:pPr>
        <w:spacing w:after="200" w:line="36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Poverty, unemployment, and social exclusion are consistently experienced by Black communities and immigrant communities of origin in countries like the United States, the United Kingdom, and France (Lee, 2012; Sawyer &amp; Gampa, 2018; Jones, 2020). These disparities are exacerbated by stereotypes that hold that blacks are unsafe, lazy, or mentally retarded. The images foster interpersonally and institutionally discrimination that perpetuates cycles of inequality and exclusion (Steele, 2010; Eberhardt, 2019).</w:t>
      </w:r>
    </w:p>
    <w:p w14:paraId="03014118">
      <w:pPr>
        <w:spacing w:after="200" w:line="36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During the last 10 years of the twenty-first century, there has been a return to blatant racism and a number of socioeconomic and political causes for such racism in the Western countries. The first time racial and ethnic minorities were elected to the White House, in 2008, with the election of President Barack Obama, it was viewed as a milestone toward full racial and ethnic integration. (Tesler &amp; Sears, 2010) But even this symbolic achievement was not enough to close key racial gaps in employment, education and housing for his presidency (Pew Research Center, 2016). These same disparities helped to spark the anti-racist movements that emerged, including Black Lives Matter, which centered on the constant marginalization of Black people and historical violence inflicted upon them by the police (Freelon et al., 2016).</w:t>
      </w:r>
    </w:p>
    <w:p w14:paraId="0794541F">
      <w:pPr>
        <w:spacing w:after="200" w:line="360" w:lineRule="auto"/>
        <w:jc w:val="both"/>
      </w:pPr>
      <w:r>
        <w:rPr>
          <w:rFonts w:hint="default" w:ascii="Times New Roman" w:hAnsi="Times New Roman" w:eastAsia="Times New Roman" w:cs="Times New Roman"/>
          <w:sz w:val="24"/>
          <w:szCs w:val="24"/>
        </w:rPr>
        <w:t>In contrast, the 2016 U.S. presidential election was another turning point, in which White supremacist ideologies were strengthened in public discourse. Racial, anti-Muslim and anti-immigrant rhetoric were hallmarks of Donald Trump's campaign and presidency and led to an increase in hate crimes against marginalized populations, such as racial, ethnic, religious and sexual minorities, that became evident during his time in office (Levin, 2017; Southern Poverty Law Center, 2017). The rise of Trump paved the way to the normalisation of extremist viewpoints, which enabled more and more racist displays of violence in American public life. This phenomenon has not just been limited to the United States.</w:t>
      </w:r>
      <w:r>
        <w:rPr>
          <w:rFonts w:ascii="Times New Roman" w:hAnsi="Times New Roman" w:eastAsia="Times New Roman" w:cs="Times New Roman"/>
          <w:sz w:val="24"/>
          <w:szCs w:val="24"/>
        </w:rPr>
        <w:t>Right-wing political parties and movements adopting anti-immigration policies have gained electoral seats and significant influence in countries such as Australia, France, Germany, and Greece, reflecting a global resurgence of racial nationalism (Mudde, 2019; Norris &amp; Inglehart, 2019).</w:t>
      </w:r>
    </w:p>
    <w:p w14:paraId="235A17A1">
      <w:pPr>
        <w:spacing w:after="200" w:line="360" w:lineRule="auto"/>
        <w:jc w:val="both"/>
      </w:pPr>
      <w:r>
        <w:rPr>
          <w:rFonts w:ascii="Times New Roman" w:hAnsi="Times New Roman" w:eastAsia="Times New Roman" w:cs="Times New Roman"/>
          <w:sz w:val="24"/>
          <w:szCs w:val="24"/>
        </w:rPr>
        <w:t>Racial inequality has deep roots even in countries such as Canada, known for its commitment to diversity and multicultural values, especially among Indigenous communities and settler populations (Maynard, 2017). During the Brexit referendum held in 2016 in the United Kingdom, there were high levels of racial and ethnic divisions (Goodwin &amp; Milazzo, 2017). One of the most vivid cases of racial injustice was found in Canada, where in 2018, a Saskatchewan farmer charged with murdering a 22-year-old Cree man, Colten Boushie, was acquitted by an all-White jury, indicating that racial judgment remains a critical factor in determining case outcomes (Dominick, 2018). Such events mirror the impunity surrounding the killing of Trayvon Martin and the many Black, Latino, and Indigenous teenagers and adults killed by police in the United States, showing the transnational character of racialized state violence.</w:t>
      </w:r>
    </w:p>
    <w:p w14:paraId="31404CC7">
      <w:pPr>
        <w:spacing w:after="200" w:line="360" w:lineRule="auto"/>
        <w:jc w:val="both"/>
        <w:rPr>
          <w:rFonts w:hint="default" w:ascii="Times New Roman" w:hAnsi="Times New Roman" w:eastAsia="Times New Roman" w:cs="Times New Roman"/>
          <w:sz w:val="24"/>
          <w:szCs w:val="24"/>
        </w:rPr>
      </w:pPr>
      <w:r>
        <w:rPr>
          <w:rFonts w:ascii="Times New Roman" w:hAnsi="Times New Roman" w:eastAsia="Times New Roman" w:cs="Times New Roman"/>
          <w:sz w:val="24"/>
          <w:szCs w:val="24"/>
        </w:rPr>
        <w:t>There is a need to acknowledge that, even when cameras are not present and the injury is not immediately visible, Black and Brown bodies are subjected to violence on a regular basis.</w:t>
      </w:r>
      <w:r>
        <w:rPr>
          <w:rFonts w:hint="default" w:ascii="Times New Roman" w:hAnsi="Times New Roman" w:eastAsia="Times New Roman" w:cs="Times New Roman"/>
          <w:sz w:val="24"/>
          <w:szCs w:val="24"/>
        </w:rPr>
        <w:t>After the death of George Floyd, there were demonstrations across the country and around the world. George Floyd's death was not just a call for attention to police brutality, it also brought to light the bigger issue of racial injustice and prejudice faced by the black community on a world-wide scale (Lebron, 2017; Morris, 2016). The Black Lives Matter movement has received significant attention and support across the globe, including in Canada, the United Kingdom, Australia, Germany and elsewhere (Andrews, 2021).</w:t>
      </w:r>
    </w:p>
    <w:p w14:paraId="24A309EE">
      <w:pPr>
        <w:spacing w:after="200" w:line="360" w:lineRule="auto"/>
        <w:jc w:val="both"/>
      </w:pPr>
      <w:r>
        <w:rPr>
          <w:rFonts w:hint="default" w:ascii="Times New Roman" w:hAnsi="Times New Roman" w:eastAsia="Times New Roman" w:cs="Times New Roman"/>
          <w:sz w:val="24"/>
          <w:szCs w:val="24"/>
        </w:rPr>
        <w:t>The Black Lives Matter movement also raised a wider conversation about institutional racism in the healthcare, education and corporate industries. Research shows that Black Canadians and Indigenous Australians are overrepresented in low-income brackets, are more likely to be unemployed and have worse health outcomes compared to White people (Paradies et al., 2015). Racism and prejudice have significant and enduring psychological consequences for Black people living abroad</w:t>
      </w:r>
      <w:r>
        <w:rPr>
          <w:rFonts w:hint="default" w:cs="Times New Roman"/>
          <w:sz w:val="24"/>
          <w:szCs w:val="24"/>
          <w:lang w:val="en-US"/>
        </w:rPr>
        <w:t>.</w:t>
      </w:r>
      <w:r>
        <w:rPr>
          <w:rFonts w:ascii="Times New Roman" w:hAnsi="Times New Roman" w:eastAsia="Times New Roman" w:cs="Times New Roman"/>
          <w:sz w:val="24"/>
          <w:szCs w:val="24"/>
        </w:rPr>
        <w:t>Ongoing exposure to racial epithets, microaggressions, and discriminatory actions has a detrimental effect on mental health, with studies showing that Black persons who experience racism are more likely to develop anxiety, depression, and post-traumatic stress disorder (PTSD) (Olaniyi, 2022; Lawrence, 2020; Williams &amp; Mohammed, 2009). Many Black people in predominantly White nations suffer from what Frankling-Barboza (2016) termed "racial battle fatigue", defined as the accumulated emotional and psychological stress brought on by ongoing exposure to racism, which can lead to social alienation, inferiority complex, and low self-esteem.</w:t>
      </w:r>
    </w:p>
    <w:p w14:paraId="26B25D00">
      <w:pPr>
        <w:spacing w:after="200" w:line="360" w:lineRule="auto"/>
        <w:jc w:val="both"/>
        <w:rPr>
          <w:rFonts w:hint="default" w:ascii="Times New Roman" w:hAnsi="Times New Roman" w:eastAsia="Times New Roman" w:cs="Times New Roman"/>
          <w:sz w:val="24"/>
          <w:szCs w:val="24"/>
        </w:rPr>
      </w:pPr>
      <w:r>
        <w:rPr>
          <w:rFonts w:ascii="Times New Roman" w:hAnsi="Times New Roman" w:eastAsia="Times New Roman" w:cs="Times New Roman"/>
          <w:sz w:val="24"/>
          <w:szCs w:val="24"/>
        </w:rPr>
        <w:t>The global response to George Floyd's death brought renewed pressure on institutions to act. Several organizations pledged structural changes in policing, education, and corporate culture. Debate on police reform, including reallocation of funds allocated to police agencies toward community services, increased in the United States, the United Kingdom, Canada, and France. Large corporations pledged billions of dollars collectively toward racial justice, Black communities, education, housing, and minority-owned businesses (McKinsey &amp; Company, 2021). Numerous institutions also publicly committed to diversity and inclusion, promising to eliminate racial imbalance in the workplace and recruit more Black workers. Some nations and educational institutions began to update their curricula to include more Black history and diverse perspectives on racism and colonialism.</w:t>
      </w:r>
      <w:r>
        <w:rPr>
          <w:rFonts w:hint="default" w:ascii="Times New Roman" w:hAnsi="Times New Roman" w:eastAsia="Times New Roman" w:cs="Times New Roman"/>
          <w:sz w:val="24"/>
          <w:szCs w:val="24"/>
        </w:rPr>
        <w:t>But many activists, employees and researchers asked about the sincerity and results of some actions, as well as whether some companies had done more than promised in terms of diversity, equity and inclusion (DEI) later (Ray, 2019).</w:t>
      </w:r>
    </w:p>
    <w:p w14:paraId="64E4B790">
      <w:pPr>
        <w:spacing w:after="200" w:line="36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This is therefore not enough done and there is still lots of work to do. The movement has prompted conversations around the world about justice and racism, but it's not enough to just implement a few changes at the institutional level; there needs to be a systemic transformation in order to stop the issue of structural racism. It calls for comprehensive changes to the structures and systems that sustain racial inequities, such as those in the justice, law enforcement, health care and education sectors (Kendi, 2019). While the struggle for racial justice continues, the Black Lives Matter movement has laid the groundwork for future change by raising the profile of structural racism in the world (Taylor, 2016).</w:t>
      </w:r>
    </w:p>
    <w:p w14:paraId="2A043C4E">
      <w:pPr>
        <w:spacing w:after="200" w:line="36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Racism isn't a new problem in the United States.Racism is not a problem that has only recently surfaced in the United States in 2020. Martin Luther King Jr. and Nelson Mandela, among others, had been raising the alarm for many years before that event: that injustice on the basis of race poses a threat to democracy, peace and human dignity. In his fight against segregation in the United States, Martin Luther King Jr. stated that "injustice anywhere is a threat to justice everywhere" (King, 1963), explaining that racism is not just a problem in the United States, but a human rights issue. King also protested police brutality, economic discrimination and unfair laws that failed to treat blacks the same as whites. His message is important now, as racial profiling, hate crimes, unequal wages and lack of opportunity continue to be a problem for many blacks in other countries today (Branch, 1988). Similarly Nelson Mandela a man who spent 27 years in prison for his opposition against the apartheid regime in South Africa, said that racism is a crime against human kind and that no country can truly develop if a segment of its population is being subjected to systematic discrimination (Mandela, 1994; Tutu, 1999).</w:t>
      </w:r>
    </w:p>
    <w:p w14:paraId="556A6D68">
      <w:pPr>
        <w:spacing w:after="200" w:line="360" w:lineRule="auto"/>
        <w:jc w:val="both"/>
      </w:pPr>
      <w:r>
        <w:rPr>
          <w:rFonts w:hint="default" w:ascii="Times New Roman" w:hAnsi="Times New Roman" w:eastAsia="Times New Roman" w:cs="Times New Roman"/>
          <w:sz w:val="24"/>
          <w:szCs w:val="24"/>
        </w:rPr>
        <w:t>Racism and discrimination have continued to be significant challenges to equality, justice and peaceful coexistence in the international system, yet in many countries in the world, there are structural barriers in employment, education, housing, immigration systems, healthcare and law enforcement for Black people (Pager &amp; Shepherd, 2008; Zuberi &amp; Bonilla-Silva, 2008). While colonialism and apartheid have officially come to an end in many contexts, in other contexts, the social and institutional consequences of racial hierarchy persist and have continued to impact the lives of people of African descent (Quijano, 2000; Wynter, 2003). Therefore, this research focuses on the effects of racism and discrimination on the lives of Black people in other countries around the world, and takes the George Floyd incident and Black Lives Matter movement as its point of reference, to try to understand how the international system reacts to racial injustice as a whole.</w:t>
      </w:r>
    </w:p>
    <w:p w14:paraId="781E8481">
      <w:pPr>
        <w:pStyle w:val="2"/>
        <w:numPr>
          <w:ilvl w:val="1"/>
          <w:numId w:val="1"/>
        </w:numPr>
        <w:spacing w:before="400" w:after="200"/>
        <w:ind w:left="0" w:leftChars="0" w:firstLine="0" w:firstLineChars="0"/>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Statement of the Problem</w:t>
      </w:r>
    </w:p>
    <w:p w14:paraId="6629298C">
      <w:pPr>
        <w:numPr>
          <w:ilvl w:val="0"/>
          <w:numId w:val="0"/>
        </w:numPr>
        <w:spacing w:line="360" w:lineRule="auto"/>
        <w:ind w:leftChars="0"/>
        <w:rPr>
          <w:rFonts w:hint="default"/>
        </w:rPr>
      </w:pPr>
      <w:r>
        <w:rPr>
          <w:rFonts w:hint="default"/>
        </w:rPr>
        <w:t>Although there are international conventions that promote equality, including the Universal Declaration of Human Rights (UDHR, 1948) and the International Convention on the Elimination of All Forms of Racial Discrimination (ICERD, 1965), racial discrimination is still evident in many foreign countries towards black people. The killing of George Floyd on 25 May 2020 brought to light the systematic discrimination against black people in the USA and worldwide (Lebron, 2017). Shortly after his death, Black Lives Matter (BLM) protests spread, revealing the root of racial disparities that have long been reported but not sufficiently addressed (Freelon et al., 2016). Despite increased awareness around the world and the creation of global movements, Black communities are still subjected to systemic injustice at the hands of the justice system, healthcare, employment, and policing (Alexander, 2010; Kendi, 2019).</w:t>
      </w:r>
    </w:p>
    <w:p w14:paraId="6E6EE713">
      <w:pPr>
        <w:numPr>
          <w:ilvl w:val="0"/>
          <w:numId w:val="0"/>
        </w:numPr>
        <w:spacing w:line="360" w:lineRule="auto"/>
        <w:ind w:leftChars="0"/>
        <w:rPr>
          <w:rFonts w:hint="default"/>
        </w:rPr>
      </w:pPr>
      <w:r>
        <w:rPr>
          <w:rFonts w:hint="default"/>
        </w:rPr>
        <w:t>The George Floyd incident revealed a systemic racism that has been present in certain countries for years, especially in Western democracies which are considered to be a role model for human rights. But in other countries, Black people are still being targeted by police brutality, racial profiling, job discrimination, social and institutional exclusion, access to justice, etc. (Waddock, 2021; Bonilla-Silva, 2006) This study is focused on an issue that has plagued black people in foreign settings despite global consciousness and activism: black lives are still vulnerable. It also asks whether such movements as Black Lives Matter have resulted in a significant structural change or simply in a flurry of global attention. While the effects of the demonstrations remain to be seen, they have highlighted the racial discrimination and disproportionate violence against black people (Taylor, 2016). Many countries showed sympathy, but the reforms in the civil rights and police sectors have been slow. Racial profiling and unequal incarceration rates continue to be prevalent, and institutional bias in the police, housing and employment sectors persists (Alexander, 2010; Pager, 2007).</w:t>
      </w:r>
    </w:p>
    <w:p w14:paraId="2557A85E">
      <w:pPr>
        <w:numPr>
          <w:ilvl w:val="0"/>
          <w:numId w:val="0"/>
        </w:numPr>
        <w:spacing w:line="360" w:lineRule="auto"/>
        <w:ind w:leftChars="0"/>
        <w:rPr>
          <w:rFonts w:hint="default"/>
        </w:rPr>
      </w:pPr>
      <w:r>
        <w:rPr>
          <w:rFonts w:hint="default"/>
        </w:rPr>
        <w:t>While various countries have strong responses to structural racism, it still exists in a number of countries. Racism can be seen and felt in both obvious and subtle ways for many Black migrants, students, workers and residents overseas. Some experience racial discrimination from the police, from workplaces, have reduced opportunities for promotion, are excluded from society, are victims of hate speech and have reduced opportunities for equality (Essed, 1991; Modood, 2007). Discrimination in some instances causes fear, emotional trauma and feeling of non-belonging in the host country. The experiences demonstrate that racism is an ongoing global problem and not just something from the past (Williams &amp; Mohammed 2009; Paradies et al. 2015). While there has been an international reaction to George Floyd's death and there has been more awareness, many of the root causes are not being addressed. There is racial inequality, police brutality and institutional discrimination reported in various countries (Southern Poverty Law Center, 2021). In some areas, reforms have been symbolic as opposed to real (Ray, 2019).</w:t>
      </w:r>
    </w:p>
    <w:p w14:paraId="3CD9E4AD">
      <w:pPr>
        <w:numPr>
          <w:ilvl w:val="0"/>
          <w:numId w:val="0"/>
        </w:numPr>
        <w:spacing w:line="360" w:lineRule="auto"/>
        <w:ind w:leftChars="0"/>
      </w:pPr>
      <w:r>
        <w:rPr>
          <w:rFonts w:hint="default"/>
        </w:rPr>
        <w:t>Thus, the primary issue in this study is the persistence of racism and discrimination against Black people in other nations and the failure to stop these inequities in the world. This research aims to explore the impact of racism on Black people in other countries, the reasons behind their marginalization, and to determine if there has been any significant change after recent global activism against racism, using the example of George Floyd.</w:t>
      </w:r>
    </w:p>
    <w:p w14:paraId="775DF00E">
      <w:pPr>
        <w:pStyle w:val="2"/>
        <w:numPr>
          <w:ilvl w:val="1"/>
          <w:numId w:val="1"/>
        </w:numPr>
        <w:spacing w:before="400" w:after="200"/>
        <w:ind w:left="0" w:leftChars="0" w:firstLine="0" w:firstLineChars="0"/>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Objectives of the Study</w:t>
      </w:r>
    </w:p>
    <w:p w14:paraId="011E738A">
      <w:pPr>
        <w:numPr>
          <w:ilvl w:val="0"/>
          <w:numId w:val="0"/>
        </w:numPr>
        <w:spacing w:line="360" w:lineRule="auto"/>
        <w:ind w:leftChars="0"/>
        <w:rPr>
          <w:rFonts w:hint="default"/>
        </w:rPr>
      </w:pPr>
      <w:r>
        <w:rPr>
          <w:rFonts w:hint="default"/>
        </w:rPr>
        <w:t>There are Broad and Specific objectives in this study.</w:t>
      </w:r>
    </w:p>
    <w:p w14:paraId="14AC7B9D">
      <w:pPr>
        <w:numPr>
          <w:ilvl w:val="0"/>
          <w:numId w:val="0"/>
        </w:numPr>
        <w:spacing w:line="360" w:lineRule="auto"/>
        <w:ind w:leftChars="0"/>
        <w:rPr>
          <w:rFonts w:hint="default"/>
          <w:b/>
          <w:bCs/>
        </w:rPr>
      </w:pPr>
      <w:r>
        <w:rPr>
          <w:rFonts w:hint="default"/>
          <w:b/>
          <w:bCs/>
        </w:rPr>
        <w:t>Broad Objective:</w:t>
      </w:r>
    </w:p>
    <w:p w14:paraId="57C12C1D">
      <w:pPr>
        <w:numPr>
          <w:ilvl w:val="0"/>
          <w:numId w:val="0"/>
        </w:numPr>
        <w:spacing w:line="360" w:lineRule="auto"/>
        <w:ind w:leftChars="0"/>
        <w:rPr>
          <w:rFonts w:hint="default"/>
        </w:rPr>
      </w:pPr>
      <w:r>
        <w:rPr>
          <w:rFonts w:hint="default"/>
        </w:rPr>
        <w:t>The primary aim of this study is to investigate the effect of racism and discrimination on black lives in a foreign country with a particular focus on the case of George Floyd in the USA from 2020 to 2024.</w:t>
      </w:r>
    </w:p>
    <w:p w14:paraId="69438D8B">
      <w:pPr>
        <w:numPr>
          <w:ilvl w:val="0"/>
          <w:numId w:val="0"/>
        </w:numPr>
        <w:spacing w:line="360" w:lineRule="auto"/>
        <w:ind w:leftChars="0"/>
        <w:rPr>
          <w:rFonts w:hint="default"/>
          <w:b/>
          <w:bCs/>
        </w:rPr>
      </w:pPr>
      <w:r>
        <w:rPr>
          <w:rFonts w:hint="default"/>
          <w:b/>
          <w:bCs/>
        </w:rPr>
        <w:t>Specific Objectives:</w:t>
      </w:r>
    </w:p>
    <w:p w14:paraId="6375E749">
      <w:pPr>
        <w:numPr>
          <w:ilvl w:val="0"/>
          <w:numId w:val="0"/>
        </w:numPr>
        <w:spacing w:line="360" w:lineRule="auto"/>
        <w:ind w:leftChars="0"/>
        <w:rPr>
          <w:rFonts w:hint="default"/>
        </w:rPr>
      </w:pPr>
      <w:r>
        <w:rPr>
          <w:rFonts w:hint="default"/>
        </w:rPr>
        <w:t>1.To explore the impact Black Lives Matter has had on international conversation about racism.</w:t>
      </w:r>
    </w:p>
    <w:p w14:paraId="297DFDB0">
      <w:pPr>
        <w:numPr>
          <w:ilvl w:val="0"/>
          <w:numId w:val="0"/>
        </w:numPr>
        <w:spacing w:line="360" w:lineRule="auto"/>
        <w:ind w:leftChars="0"/>
        <w:rPr>
          <w:rFonts w:hint="default"/>
        </w:rPr>
      </w:pPr>
      <w:r>
        <w:rPr>
          <w:rFonts w:hint="default"/>
        </w:rPr>
        <w:t>2.To explore the experiences of black people in other countries and to examine the structural aspects of racial discrimination.</w:t>
      </w:r>
    </w:p>
    <w:p w14:paraId="51827BEC">
      <w:pPr>
        <w:numPr>
          <w:ilvl w:val="0"/>
          <w:numId w:val="0"/>
        </w:numPr>
        <w:spacing w:line="360" w:lineRule="auto"/>
        <w:ind w:leftChars="0"/>
        <w:rPr>
          <w:rFonts w:hint="default"/>
          <w:b/>
          <w:bCs/>
        </w:rPr>
      </w:pPr>
      <w:r>
        <w:rPr>
          <w:rFonts w:hint="default"/>
          <w:b/>
          <w:bCs/>
        </w:rPr>
        <w:t>1.4 Research Questions</w:t>
      </w:r>
    </w:p>
    <w:p w14:paraId="48E87EE2">
      <w:pPr>
        <w:numPr>
          <w:ilvl w:val="0"/>
          <w:numId w:val="0"/>
        </w:numPr>
        <w:spacing w:line="360" w:lineRule="auto"/>
        <w:ind w:leftChars="0"/>
        <w:rPr>
          <w:rFonts w:hint="default"/>
        </w:rPr>
      </w:pPr>
      <w:r>
        <w:rPr>
          <w:rFonts w:hint="default"/>
        </w:rPr>
        <w:t>The study aims to explore how racism and discrimination affect the lives of Black people in foreign countries, with a particular focus on the case of George Floyd. The following research questions will be used to guide the study to achieve this aim:</w:t>
      </w:r>
    </w:p>
    <w:p w14:paraId="6DC26429">
      <w:pPr>
        <w:numPr>
          <w:ilvl w:val="0"/>
          <w:numId w:val="0"/>
        </w:numPr>
        <w:spacing w:line="360" w:lineRule="auto"/>
        <w:ind w:leftChars="0"/>
        <w:rPr>
          <w:rFonts w:hint="default"/>
        </w:rPr>
      </w:pPr>
      <w:r>
        <w:rPr>
          <w:rFonts w:hint="default"/>
          <w:lang w:val="en-US"/>
        </w:rPr>
        <w:t>1</w:t>
      </w:r>
      <w:r>
        <w:rPr>
          <w:rFonts w:hint="default"/>
        </w:rPr>
        <w:t>.In what ways are there racism and discrimination against black people in other countries?</w:t>
      </w:r>
    </w:p>
    <w:p w14:paraId="53C3768D">
      <w:pPr>
        <w:numPr>
          <w:ilvl w:val="0"/>
          <w:numId w:val="0"/>
        </w:numPr>
        <w:spacing w:line="360" w:lineRule="auto"/>
        <w:ind w:leftChars="0"/>
      </w:pPr>
      <w:r>
        <w:rPr>
          <w:rFonts w:hint="default"/>
          <w:lang w:val="en-US"/>
        </w:rPr>
        <w:t>2</w:t>
      </w:r>
      <w:r>
        <w:rPr>
          <w:rFonts w:hint="default"/>
        </w:rPr>
        <w:t>.Explain why racism exists in many foreign countries despite the laws of human rights and campaigns against it?</w:t>
      </w:r>
    </w:p>
    <w:p w14:paraId="39541A4D">
      <w:pPr>
        <w:pStyle w:val="18"/>
        <w:numPr>
          <w:ilvl w:val="0"/>
          <w:numId w:val="0"/>
        </w:numPr>
        <w:spacing w:after="160" w:line="360" w:lineRule="auto"/>
        <w:jc w:val="both"/>
      </w:pPr>
    </w:p>
    <w:p w14:paraId="0A25FE4C">
      <w:pPr>
        <w:pStyle w:val="2"/>
        <w:spacing w:before="400" w:after="200"/>
      </w:pPr>
      <w:r>
        <w:rPr>
          <w:rFonts w:ascii="Times New Roman" w:hAnsi="Times New Roman" w:eastAsia="Times New Roman" w:cs="Times New Roman"/>
          <w:b/>
          <w:bCs/>
          <w:sz w:val="28"/>
          <w:szCs w:val="28"/>
        </w:rPr>
        <w:t>1.5 Significance of the Study</w:t>
      </w:r>
    </w:p>
    <w:p w14:paraId="6BB305FE">
      <w:pPr>
        <w:spacing w:after="200" w:line="360" w:lineRule="auto"/>
        <w:jc w:val="both"/>
        <w:rPr>
          <w:rFonts w:hint="default"/>
        </w:rPr>
      </w:pPr>
      <w:r>
        <w:rPr>
          <w:rFonts w:hint="default"/>
        </w:rPr>
        <w:t>This study is of both theoretical and empirical importance. Racism and discrimination still represent a serious problem in the world that impacts millions of blacks living in foreign countries. The study offers a more nuanced perspective on the nature of racial injustice in societies and into the present era, as it is examined through the case of George Floyd, despite laws and democratic values of the modern period (Bonilla-Silva, 2006; Kendi, 2019).</w:t>
      </w:r>
    </w:p>
    <w:p w14:paraId="21D93F27">
      <w:pPr>
        <w:spacing w:after="200" w:line="360" w:lineRule="auto"/>
        <w:jc w:val="both"/>
        <w:rPr>
          <w:rFonts w:hint="default"/>
        </w:rPr>
      </w:pPr>
      <w:r>
        <w:rPr>
          <w:rFonts w:hint="default"/>
        </w:rPr>
        <w:t>The research will contribute to the broader field of racial justice, activism, and social movement studies, which have been explored in previous work in sociology, history, human rights, political science and international relations (Crenshaw, 1991; Morris, 2016). It adds a valuable contribution to the academic debate on race, migration, inequality, citizenship and globalization, and will be of interest to students, lecturers and researchers interested in comparative study of racism and discrimination, social movements and minority rights.</w:t>
      </w:r>
    </w:p>
    <w:p w14:paraId="7272D5F5">
      <w:pPr>
        <w:spacing w:after="200" w:line="360" w:lineRule="auto"/>
        <w:jc w:val="both"/>
        <w:rPr>
          <w:rFonts w:hint="default"/>
        </w:rPr>
      </w:pPr>
      <w:r>
        <w:rPr>
          <w:rFonts w:hint="default"/>
        </w:rPr>
        <w:t>Racism is associated with issues of diplomacy and global governance in IR, as well as with migration and human rights (Andrews, 2021). This study proves racial injustice does not just exist in the domestic arena, it is global and affects the image, credibility and foreign policy of states. If a country does not provide protection for minorities, it can be criticized by the United Nations, civil society organizations and the international community (ICERD, 1965; UNHCR, 2020).</w:t>
      </w:r>
    </w:p>
    <w:p w14:paraId="5B1DABE5">
      <w:pPr>
        <w:spacing w:after="200" w:line="360" w:lineRule="auto"/>
        <w:jc w:val="both"/>
      </w:pPr>
      <w:r>
        <w:rPr>
          <w:rFonts w:hint="default"/>
        </w:rPr>
        <w:t>The results from this study can prove helpful to governments, legislators, and policy makers in developing more effective anti-discrimination legislation and public policies which are inclusive. It could enable institutions to enhance their policies on access to justice for migrants in other nations, workplace equality, and policing practices for Black communities (Pager &amp; Shepherd, 2008; Ray, 2019). Moreover, the study can become a basis for other researchers to explore topics that are related to police brutality, migration and race, comparative racism in other countries, integration of minority groups, social movements and change in policies.</w:t>
      </w:r>
    </w:p>
    <w:p w14:paraId="5D5D27AB">
      <w:pPr>
        <w:pStyle w:val="2"/>
        <w:spacing w:before="400" w:after="200"/>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1.6 Scope of the Study</w:t>
      </w:r>
    </w:p>
    <w:p w14:paraId="393E044B">
      <w:pPr>
        <w:spacing w:line="360" w:lineRule="auto"/>
        <w:rPr>
          <w:rFonts w:hint="default"/>
          <w:lang w:val="en-US"/>
        </w:rPr>
      </w:pPr>
      <w:r>
        <w:rPr>
          <w:rFonts w:hint="default"/>
          <w:lang w:val="en-US"/>
        </w:rPr>
        <w:t>This study will examine the effects of racism and prejudice that can occur for black people in a foreign country, specifically looking at the case of George Floyd and the Black Lives Matter movement. It covers the world's response, especially in the West, from 2020-2024 (Freelon et al., 2016; Taylor, 2016). The study also reflects the institutionalized and systemic racism experienced by Black people in countries like the United States, where the murder of George Floyd in the United States in 2020 sparked widespread protests and prompted a global discussion on racial inequality (The New York Times, 2020; McKinsey &amp; Company, 2021).</w:t>
      </w:r>
    </w:p>
    <w:p w14:paraId="7CD97CB0">
      <w:pPr>
        <w:spacing w:line="360" w:lineRule="auto"/>
        <w:rPr>
          <w:rFonts w:hint="default"/>
          <w:lang w:val="en-US"/>
        </w:rPr>
      </w:pPr>
      <w:r>
        <w:rPr>
          <w:rFonts w:hint="default"/>
          <w:lang w:val="en-US"/>
        </w:rPr>
        <w:t>The study delves into issues of racism and discrimination with a focus on Black people living outside their country of origin, including the social, economic, political, and psychological impacts of racism and discrimination, such as police violence, racial profiling, employment discrimination and wage inequality, unequal opportunities in the educational system, housing discrimination and segregation, hate speech and social exclusion, immigration-related discrimination, mental and emotional impacts of racism, and access to justice and legal protection (Essed, 1991; Massey &amp; Denton, 1993; Williams &amp; Mohammed, 2009). The study also examines the differences between systemic racism and individual-based prejudice because it concerns institutions, policies, and norms that have a negative impact on Black people (Bonilla-Silva, 2006; Bailey et al., 2017).</w:t>
      </w:r>
    </w:p>
    <w:p w14:paraId="0B3FAF85">
      <w:pPr>
        <w:spacing w:line="360" w:lineRule="auto"/>
        <w:rPr>
          <w:rFonts w:hint="default"/>
          <w:lang w:val="en-US"/>
        </w:rPr>
      </w:pPr>
      <w:r>
        <w:rPr>
          <w:rFonts w:hint="default"/>
          <w:lang w:val="en-US"/>
        </w:rPr>
        <w:t>The study takes a geographical focus in countries where there have been major discussions and reports about anti-Black racism in the world, namely the United States, the United Kingdom, Canada, France, Germany, and Australia. The countries are chosen based on the diversity of Black populations and migrant communities, and the existence of debate on race relations in these countries (Modood, 2007; Maynard, 2017). The study takes place in the United States, but the case of George Floyd is not limited to the United States; it is designed to help readers understand how this type of racism impacts black people around the world. The study is primarily focused on the period of time from 25 May 2020 (the day of the death of George Floyd) to 2025, which includes the global expansion of the Black Lives Matter movement, public protest, policy discussion, and institutional reaction and response. If deemed necessary, earlier historical events such as slavery, segregation, colonialism and apartheid are briefly discussed (Franklin, 1967; Mandela, 1994).</w:t>
      </w:r>
    </w:p>
    <w:p w14:paraId="033FE031">
      <w:pPr>
        <w:pStyle w:val="2"/>
        <w:spacing w:before="400" w:after="200"/>
      </w:pPr>
      <w:r>
        <w:rPr>
          <w:rFonts w:ascii="Times New Roman" w:hAnsi="Times New Roman" w:eastAsia="Times New Roman" w:cs="Times New Roman"/>
          <w:b/>
          <w:bCs/>
          <w:sz w:val="28"/>
          <w:szCs w:val="28"/>
        </w:rPr>
        <w:t>1.7 Limitations of the Study</w:t>
      </w:r>
    </w:p>
    <w:p w14:paraId="6ED110A1">
      <w:pPr>
        <w:spacing w:after="200" w:line="360" w:lineRule="auto"/>
        <w:jc w:val="both"/>
      </w:pPr>
      <w:r>
        <w:rPr>
          <w:rFonts w:ascii="Times New Roman" w:hAnsi="Times New Roman" w:eastAsia="Times New Roman" w:cs="Times New Roman"/>
          <w:sz w:val="24"/>
          <w:szCs w:val="24"/>
        </w:rPr>
        <w:t>The following limitations are acknowledged in this study:</w:t>
      </w:r>
    </w:p>
    <w:p w14:paraId="63B11E7B">
      <w:pPr>
        <w:spacing w:after="200" w:line="360" w:lineRule="auto"/>
        <w:jc w:val="both"/>
      </w:pPr>
      <w:r>
        <w:rPr>
          <w:rFonts w:ascii="Times New Roman" w:hAnsi="Times New Roman" w:eastAsia="Times New Roman" w:cs="Times New Roman"/>
          <w:b/>
          <w:bCs/>
          <w:sz w:val="24"/>
          <w:szCs w:val="24"/>
        </w:rPr>
        <w:t xml:space="preserve">1. Limited Access to Primary Data: </w:t>
      </w:r>
      <w:r>
        <w:rPr>
          <w:rFonts w:ascii="Times New Roman" w:hAnsi="Times New Roman" w:eastAsia="Times New Roman" w:cs="Times New Roman"/>
          <w:sz w:val="24"/>
          <w:szCs w:val="24"/>
        </w:rPr>
        <w:t>The study focuses on racism and discrimination in foreign countries, involving experiences across different societies and institutions. Due to distance, cost, and logistical constraints, it was difficult to conduct face-to-face interviews or surveys with Black people living in multiple countries. As a result, the research depends largely on secondary data rather than direct field evidence from all locations studied (Creswell, 2014).</w:t>
      </w:r>
    </w:p>
    <w:p w14:paraId="40BAE1FE">
      <w:pPr>
        <w:spacing w:after="200" w:line="360" w:lineRule="auto"/>
        <w:jc w:val="both"/>
      </w:pPr>
      <w:r>
        <w:rPr>
          <w:rFonts w:ascii="Times New Roman" w:hAnsi="Times New Roman" w:eastAsia="Times New Roman" w:cs="Times New Roman"/>
          <w:b/>
          <w:bCs/>
          <w:sz w:val="24"/>
          <w:szCs w:val="24"/>
        </w:rPr>
        <w:t xml:space="preserve">2. Reliance on Secondary Sources: </w:t>
      </w:r>
      <w:r>
        <w:rPr>
          <w:rFonts w:ascii="Times New Roman" w:hAnsi="Times New Roman" w:eastAsia="Times New Roman" w:cs="Times New Roman"/>
          <w:sz w:val="24"/>
          <w:szCs w:val="24"/>
        </w:rPr>
        <w:t>A major part of the study is based on books, journal articles, reports, documentaries, newspaper publications, and materials from organizations such as the United Nations and Amnesty International. While these sources are valuable, some may reflect the perspectives or priorities of their authors or institutions. Differences in methods and interpretations across sources may also affect consistency (Bryman, 2016).</w:t>
      </w:r>
    </w:p>
    <w:p w14:paraId="7B26EAC2">
      <w:pPr>
        <w:spacing w:after="200" w:line="360" w:lineRule="auto"/>
        <w:jc w:val="both"/>
      </w:pPr>
      <w:r>
        <w:rPr>
          <w:rFonts w:ascii="Times New Roman" w:hAnsi="Times New Roman" w:eastAsia="Times New Roman" w:cs="Times New Roman"/>
          <w:b/>
          <w:bCs/>
          <w:sz w:val="24"/>
          <w:szCs w:val="24"/>
        </w:rPr>
        <w:t xml:space="preserve">3. Time Constraint: </w:t>
      </w:r>
      <w:r>
        <w:rPr>
          <w:rFonts w:ascii="Times New Roman" w:hAnsi="Times New Roman" w:eastAsia="Times New Roman" w:cs="Times New Roman"/>
          <w:sz w:val="24"/>
          <w:szCs w:val="24"/>
        </w:rPr>
        <w:t>Academic research is usually conducted within a limited period. Because of time constraints attached to final-year project deadlines, it was not possible to investigate every dimension of racism in detail or track long-term policy changes after the George Floyd case.</w:t>
      </w:r>
    </w:p>
    <w:p w14:paraId="466BD228">
      <w:pPr>
        <w:spacing w:after="200" w:line="360" w:lineRule="auto"/>
        <w:jc w:val="both"/>
      </w:pPr>
      <w:r>
        <w:rPr>
          <w:rFonts w:ascii="Times New Roman" w:hAnsi="Times New Roman" w:eastAsia="Times New Roman" w:cs="Times New Roman"/>
          <w:b/>
          <w:bCs/>
          <w:sz w:val="24"/>
          <w:szCs w:val="24"/>
        </w:rPr>
        <w:t xml:space="preserve">4. Geographical Limitation: </w:t>
      </w:r>
      <w:r>
        <w:rPr>
          <w:rFonts w:ascii="Times New Roman" w:hAnsi="Times New Roman" w:eastAsia="Times New Roman" w:cs="Times New Roman"/>
          <w:sz w:val="24"/>
          <w:szCs w:val="24"/>
        </w:rPr>
        <w:t>The study discusses selected foreign countries such as the United States, United Kingdom, Canada, France, and Germany. It does not cover every country where Black people experience discrimination. Therefore, the findings may not fully represent all global contexts.</w:t>
      </w:r>
    </w:p>
    <w:p w14:paraId="42E753FE">
      <w:pPr>
        <w:spacing w:after="200" w:line="360" w:lineRule="auto"/>
        <w:jc w:val="both"/>
      </w:pPr>
      <w:r>
        <w:rPr>
          <w:rFonts w:ascii="Times New Roman" w:hAnsi="Times New Roman" w:eastAsia="Times New Roman" w:cs="Times New Roman"/>
          <w:b/>
          <w:bCs/>
          <w:sz w:val="24"/>
          <w:szCs w:val="24"/>
        </w:rPr>
        <w:t xml:space="preserve">5. Financial Constraint: </w:t>
      </w:r>
      <w:r>
        <w:rPr>
          <w:rFonts w:ascii="Times New Roman" w:hAnsi="Times New Roman" w:eastAsia="Times New Roman" w:cs="Times New Roman"/>
          <w:sz w:val="24"/>
          <w:szCs w:val="24"/>
        </w:rPr>
        <w:t>Research often requires funds for internet access, transportation, data collection, books, printing, and other materials. Limited financial resources reduced access to certain paid academic databases, international publications, and opportunities for extensive fieldwork.</w:t>
      </w:r>
    </w:p>
    <w:p w14:paraId="12519939">
      <w:pPr>
        <w:pStyle w:val="2"/>
        <w:spacing w:before="400" w:after="200"/>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1.8 Definition of Terms</w:t>
      </w:r>
    </w:p>
    <w:p w14:paraId="6EF7BADD">
      <w:pPr>
        <w:spacing w:line="360" w:lineRule="auto"/>
        <w:rPr>
          <w:rFonts w:hint="default"/>
        </w:rPr>
      </w:pPr>
      <w:r>
        <w:rPr>
          <w:rFonts w:hint="default"/>
          <w:b/>
          <w:bCs/>
          <w:lang w:val="en-US"/>
        </w:rPr>
        <w:t>1.</w:t>
      </w:r>
      <w:r>
        <w:rPr>
          <w:rFonts w:hint="default"/>
          <w:b/>
          <w:bCs/>
        </w:rPr>
        <w:t>Racism</w:t>
      </w:r>
      <w:r>
        <w:rPr>
          <w:rFonts w:hint="default"/>
        </w:rPr>
        <w:t>: Prejudice, discrimination or hostility towards people or groups based on their race, skin colour or ethnic background. Racism is defined here by acts of hatred against Black people, but it is also defined as structural systems that disadvantage Black people in foreign countries, such as policing, employment, education, housing, media representation and social interaction (Bonilla-Silva, 2006; Feagin, 2006).</w:t>
      </w:r>
    </w:p>
    <w:p w14:paraId="796A2277">
      <w:pPr>
        <w:spacing w:line="360" w:lineRule="auto"/>
        <w:rPr>
          <w:rFonts w:hint="default"/>
        </w:rPr>
      </w:pPr>
      <w:r>
        <w:rPr>
          <w:rFonts w:hint="default"/>
          <w:b/>
          <w:bCs/>
        </w:rPr>
        <w:t>2. Discrimination</w:t>
      </w:r>
      <w:r>
        <w:rPr>
          <w:rFonts w:hint="default"/>
        </w:rPr>
        <w:t>: Unfair and unequal treatment of a person or group, based on identity factors (e.g. race, ethnicity, nationality, religion, gender). The focus of this study is on discrimination, defined as when Black people are treated differently to others in foreign societies (Essed, 1991; Pager &amp; Shepherd, 2008).</w:t>
      </w:r>
    </w:p>
    <w:p w14:paraId="7C7E7938">
      <w:pPr>
        <w:spacing w:line="360" w:lineRule="auto"/>
        <w:rPr>
          <w:rFonts w:hint="default"/>
        </w:rPr>
      </w:pPr>
      <w:r>
        <w:rPr>
          <w:rFonts w:hint="default"/>
          <w:b/>
          <w:bCs/>
        </w:rPr>
        <w:t>3. Black Lives</w:t>
      </w:r>
      <w:r>
        <w:rPr>
          <w:rFonts w:hint="default"/>
        </w:rPr>
        <w:t>: Black lives is the lives, dignity, rights, safety, and well-being of individuals of African descent. In this study, the emphasis is placed on the fact that all racial groups must be treated with equal protection, opportunities and respect, including black people (Garza, 2014; Taylor, 2016).</w:t>
      </w:r>
    </w:p>
    <w:p w14:paraId="1B6DE5BF">
      <w:pPr>
        <w:spacing w:line="360" w:lineRule="auto"/>
        <w:rPr>
          <w:rFonts w:hint="default"/>
        </w:rPr>
      </w:pPr>
      <w:r>
        <w:rPr>
          <w:rFonts w:hint="default"/>
          <w:b/>
          <w:bCs/>
        </w:rPr>
        <w:t>4. Foreign Countries</w:t>
      </w:r>
      <w:r>
        <w:rPr>
          <w:rFonts w:hint="default"/>
        </w:rPr>
        <w:t>: Foreign countries are countries that are other than one's country of birth/citizenship. The term is used here to indicate countries in which migrants, students, workers, refugees or residents live and whose social, political and economic experiences differ from those of their countries of origin (Castles &amp; Miller, 2009).</w:t>
      </w:r>
    </w:p>
    <w:p w14:paraId="0A249620">
      <w:pPr>
        <w:spacing w:line="360" w:lineRule="auto"/>
        <w:rPr>
          <w:rFonts w:hint="default"/>
        </w:rPr>
      </w:pPr>
      <w:r>
        <w:rPr>
          <w:rFonts w:hint="default"/>
          <w:b/>
          <w:bCs/>
          <w:lang w:val="en-US"/>
        </w:rPr>
        <w:t>5.</w:t>
      </w:r>
      <w:r>
        <w:rPr>
          <w:rFonts w:hint="default"/>
          <w:b/>
          <w:bCs/>
        </w:rPr>
        <w:t>George Floyd Case</w:t>
      </w:r>
      <w:r>
        <w:rPr>
          <w:rFonts w:hint="default"/>
        </w:rPr>
        <w:t>: This is the case of George Floyd who was killed by police officers in Minnesota on 25 May 2020. In this study, it is used as a prime example of police brutality and systemic racism that prompted protests around the world and reignited global discussion of racial justice (New York Times, 2020; Lebron, 2017).</w:t>
      </w:r>
    </w:p>
    <w:p w14:paraId="2C6E338A">
      <w:pPr>
        <w:spacing w:line="360" w:lineRule="auto"/>
        <w:rPr>
          <w:rFonts w:hint="default"/>
        </w:rPr>
      </w:pPr>
      <w:r>
        <w:rPr>
          <w:rFonts w:hint="default"/>
          <w:b/>
          <w:bCs/>
          <w:lang w:val="en-US"/>
        </w:rPr>
        <w:t>6.</w:t>
      </w:r>
      <w:r>
        <w:rPr>
          <w:rFonts w:hint="default"/>
          <w:b/>
          <w:bCs/>
        </w:rPr>
        <w:t>Black Lives Matter (BLM)</w:t>
      </w:r>
      <w:r>
        <w:rPr>
          <w:rFonts w:hint="default"/>
        </w:rPr>
        <w:t>: Black Lives Matter is a worldwide social movement that protests against racism, police violence and violence against Black people. In this study, it is a form of organized opposition to racial injustice and a call for systemic change (Freelon et al., 2016; Taylor, 2016).</w:t>
      </w:r>
    </w:p>
    <w:p w14:paraId="146892EF">
      <w:pPr>
        <w:spacing w:line="360" w:lineRule="auto"/>
        <w:rPr>
          <w:rFonts w:hint="default"/>
        </w:rPr>
      </w:pPr>
      <w:r>
        <w:rPr>
          <w:rFonts w:hint="default"/>
          <w:b/>
          <w:bCs/>
        </w:rPr>
        <w:t>7. Xenophobia</w:t>
      </w:r>
      <w:r>
        <w:rPr>
          <w:rFonts w:hint="default"/>
        </w:rPr>
        <w:t>: fear, dislike, or hostility of foreigners or outsiders. It is relevant to this study that such rejection is not just due to race but also to the perception of being an outsider, as Black migrants or students from overseas are treated as outsiders (Modood, 2007; Quijano, 2000).</w:t>
      </w:r>
    </w:p>
    <w:p w14:paraId="49C4E345">
      <w:pPr>
        <w:spacing w:line="360" w:lineRule="auto"/>
      </w:pPr>
      <w:r>
        <w:rPr>
          <w:rFonts w:hint="default"/>
        </w:rPr>
        <w:t>8. Equality: Equality is giving everyone the same rights, opportunities and the same protection under the law, no matter their race or background. The present study employs equality as a criterion to determine if the foreign countries are fair to blacks within the limits of international human rights norms (UDHR, 1948; ICERD, 1965).</w:t>
      </w:r>
    </w:p>
    <w:p w14:paraId="6D54F1E8">
      <w:pPr>
        <w:spacing w:after="200" w:line="360" w:lineRule="auto"/>
        <w:jc w:val="both"/>
        <w:rPr>
          <w:rFonts w:ascii="Times New Roman" w:hAnsi="Times New Roman" w:eastAsia="Times New Roman" w:cs="Times New Roman"/>
          <w:sz w:val="24"/>
          <w:szCs w:val="24"/>
        </w:rPr>
      </w:pPr>
    </w:p>
    <w:p w14:paraId="5D64F0DC">
      <w:pPr>
        <w:pStyle w:val="2"/>
        <w:spacing w:before="400" w:after="200"/>
        <w:jc w:val="center"/>
      </w:pPr>
      <w:r>
        <w:rPr>
          <w:rFonts w:ascii="Times New Roman" w:hAnsi="Times New Roman" w:eastAsia="Times New Roman" w:cs="Times New Roman"/>
          <w:b/>
          <w:bCs/>
          <w:caps/>
          <w:sz w:val="28"/>
          <w:szCs w:val="28"/>
        </w:rPr>
        <w:t>CHAPTER TWO</w:t>
      </w:r>
    </w:p>
    <w:p w14:paraId="3325A86A">
      <w:pPr>
        <w:pStyle w:val="2"/>
        <w:spacing w:before="400" w:after="200"/>
        <w:jc w:val="center"/>
      </w:pPr>
      <w:r>
        <w:rPr>
          <w:rFonts w:ascii="Times New Roman" w:hAnsi="Times New Roman" w:eastAsia="Times New Roman" w:cs="Times New Roman"/>
          <w:b/>
          <w:bCs/>
          <w:caps/>
          <w:sz w:val="28"/>
          <w:szCs w:val="28"/>
        </w:rPr>
        <w:t>LITERATURE REVIEW</w:t>
      </w:r>
    </w:p>
    <w:p w14:paraId="320F2912">
      <w:pPr>
        <w:spacing w:before="80" w:after="80"/>
      </w:pPr>
    </w:p>
    <w:p w14:paraId="66454078">
      <w:pPr>
        <w:pStyle w:val="3"/>
        <w:spacing w:before="320" w:after="160"/>
      </w:pPr>
      <w:r>
        <w:rPr>
          <w:rFonts w:ascii="Times New Roman" w:hAnsi="Times New Roman" w:eastAsia="Times New Roman" w:cs="Times New Roman"/>
          <w:b/>
          <w:bCs/>
          <w:sz w:val="26"/>
          <w:szCs w:val="26"/>
        </w:rPr>
        <w:t>2.1 Conceptual Review</w:t>
      </w:r>
    </w:p>
    <w:p w14:paraId="14AA2A74">
      <w:pPr>
        <w:pStyle w:val="4"/>
        <w:spacing w:before="280" w:after="1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2.1.1 Racism</w:t>
      </w:r>
    </w:p>
    <w:p w14:paraId="6B3991B3">
      <w:pPr>
        <w:spacing w:line="360" w:lineRule="auto"/>
        <w:rPr>
          <w:rFonts w:hint="default"/>
        </w:rPr>
      </w:pPr>
      <w:r>
        <w:rPr>
          <w:rFonts w:hint="default"/>
        </w:rPr>
        <w:t>Racial discrimination against Black people in other nations is one of the most salient human rights issues of the 21st century. This chapter provides an extensive conceptual overview of the current knowledge base which is the foundation for this study's research and analysis. This review, taking a sociological, psychological, historical, and political perspective, outlines the concepts that have been developed to aid in understanding the experiences of Black people in other countries (mostly western) outside of their homeland. The tragic death of George Floyd on May 25, 2020, marked the turning point of understanding the reality of anti-Black racism in the United States, and the global outcry against systemic racism on multiple continents. The chapter covers race and racism as concepts and concepts of racism, the historical context of racial discrimination, systemic and institutional racism, psychological and social consequences of racism on Black communities, the legal and policy landscape, and how the death of George Floyd sparked a world-wide conversation about racial justice.</w:t>
      </w:r>
    </w:p>
    <w:p w14:paraId="088EE4F2">
      <w:pPr>
        <w:spacing w:line="360" w:lineRule="auto"/>
        <w:rPr>
          <w:rFonts w:hint="default"/>
        </w:rPr>
      </w:pPr>
      <w:r>
        <w:rPr>
          <w:rFonts w:hint="default"/>
        </w:rPr>
        <w:t>The term 'race' is not a biological term, but a social construct. Today's anthropologists, geneticists and sociologists agree that the concept of race in its widely accepted meaning is scientifically unworthy of consideration. Yudell, Roberts, DeSalle, and Tishkoff (2016) suggest that the idea of racial categorizing of humans evolved primarily as a social organizing, economic exploitation, and political control mechanism. Although it is not a biological construct, it also has significant social meanings related to access to resources, political rights, and lived experiences (Yudell et al., 2016).</w:t>
      </w:r>
    </w:p>
    <w:p w14:paraId="3052A7B3">
      <w:pPr>
        <w:spacing w:line="360" w:lineRule="auto"/>
        <w:rPr>
          <w:rFonts w:hint="default"/>
        </w:rPr>
      </w:pPr>
      <w:r>
        <w:rPr>
          <w:rFonts w:hint="default"/>
        </w:rPr>
        <w:t>Over the years, the notion has been created to facilitate enslavement and colonization of the African population and the takeover of non-European lands by Europeans. Pseudoscientific claims, religious beliefs, and laws strengthened a hierarchy that put White Europeans at the top and Black Africans at the bottom of a racial ladder (Omi &amp; Winant, 2015). Although these ideas are now discredited by contemporary science, they have left a social legacy in the form of institutionalized discrimination, cultural stereotypes and systemic inequalities that continue to impact Black people globally (Bonilla-Silva, 2018). Thus, a historical analysis of the roots of racism is necessary to account for the continued lack of racial equality in the present day. Racism is not a new phenomenon but has been constructed over centuries in various economic, political and social systems that mold the world and affect how black people are treated, particularly in other countries (Rodney, 1972).</w:t>
      </w:r>
    </w:p>
    <w:p w14:paraId="5712A81E">
      <w:pPr>
        <w:spacing w:line="360" w:lineRule="auto"/>
        <w:rPr>
          <w:rFonts w:hint="default"/>
        </w:rPr>
      </w:pPr>
      <w:r>
        <w:rPr>
          <w:rFonts w:hint="default"/>
        </w:rPr>
        <w:t>Racism has been defined classically as the unjust and harmful treatment of a specific racial or ethnic group. In the pre-fifteenth century, distinctions among people were expressed more often in terms of culture, religion or language (not race). When Europeans began to travel to America, though, physical traits, particularly skin color, started to be used for classification and the creation of a social hierarchy (Fredrickson, 2002). Racial ideologies emerged gradually since the early contact with Africa in the following years, and the Africans were described as the inferior cultural and intellectual race, taking advantage of this belief for the purpose of exploitation and subjugation (Fanon, 1952).</w:t>
      </w:r>
    </w:p>
    <w:p w14:paraId="1CFB321F">
      <w:pPr>
        <w:spacing w:line="360" w:lineRule="auto"/>
        <w:rPr>
          <w:rFonts w:hint="default"/>
        </w:rPr>
      </w:pPr>
      <w:r>
        <w:rPr>
          <w:rFonts w:hint="default"/>
        </w:rPr>
        <w:t>One of the most important structural bases of modern racism was the transatlantic slave trade which lasted from the 15th to the 19th centuries. Africans were forcibly removed from their communities and shipped to Europe and the Americas under brutal conditions to the numbers of millions. It was in this time that Africans became property, racial ideologies were codified to justify the institution of slavery, and Blackness was ideologically linked to inferiority and servitude. Slavery not only exploited African labour, but also inflicted long-term economic and psychological harm that continues to manifest and sustain global inequalities, according to Rodney (1972). Colonialism, which took place in the nineteenth and twentieth centuries, further entrenched and formalized the institution of racism by placing European political and administrative control over African, Asian and Caribbean societies. European powers claimed the right to rule over the colonies on the basis of their racial superiority and their alleged 'civilizing mission,' and systematically denied indigenous people their political rights, extracted their resources for the benefit of Europeans, and imposed</w:t>
      </w:r>
    </w:p>
    <w:p w14:paraId="32B2BD19">
      <w:pPr>
        <w:spacing w:line="360" w:lineRule="auto"/>
        <w:rPr>
          <w:rFonts w:hint="default"/>
        </w:rPr>
      </w:pPr>
      <w:r>
        <w:rPr>
          <w:rFonts w:hint="default"/>
        </w:rPr>
        <w:t>A culture of educational systems that had propagated European culture as the norm and superior (Fanon, 1961).</w:t>
      </w:r>
    </w:p>
    <w:p w14:paraId="7CE4149F">
      <w:pPr>
        <w:spacing w:line="360" w:lineRule="auto"/>
        <w:rPr>
          <w:rFonts w:hint="default"/>
        </w:rPr>
      </w:pPr>
      <w:r>
        <w:rPr>
          <w:rFonts w:hint="default"/>
        </w:rPr>
        <w:t>During the Enlightenment and Industrial periods, scholars attempted to divide human beings into racial groups following pseudoscientific methods such as skull measurements (craniometry), Social Darwinism and theories of racial hierarchy. Blumenbach and Samuel Morton, among others, were thinkers who classified races and ranked them in hierarchical order, with the White Europeans being the highest. It was also a time of the development of polygenism, which held that races originated separately, and of eugenics, which sought to 'improve' the human race through control of reproduction and identification of non-White and disabled groups (Gould, 1996). These theories have now been thoroughly dismissed, but they left lasting legacy in historical policies and cultural attitudes that reinforced discrimination in education, jobs and government.</w:t>
      </w:r>
    </w:p>
    <w:p w14:paraId="73E7BB7E">
      <w:pPr>
        <w:spacing w:line="360" w:lineRule="auto"/>
        <w:rPr>
          <w:rFonts w:hint="default"/>
        </w:rPr>
      </w:pPr>
      <w:r>
        <w:rPr>
          <w:rFonts w:hint="default"/>
        </w:rPr>
        <w:t>Racism continued to exist after the end of slavery, as well as through the formal structures of segregation, such as the Jim Crow laws of the American South, which required the strict separation of Black people from white people in various areas of life including schools, transportation, housing and public spaces (Kendi, 2016). The Civil Rights Movement, led by Dr. Martin Luther King, Jr., was successful in challenging the legal architecture of Jim Crow, but failed to eradicate the underlying inequalities that existed in a system of structures (King, 1964). Racism in modern societies has become more covert and potent in ways such as, but not limited to, racial profiling by police officers, job discrimination, housing discrimination, immigration policies directed at certain ethnic groups, and negative portrayals in the media (Bonilla-Silva, 2018; Sue, 2010). In 2020, the death of George Floyd brought to light how these historical patterns of racism continue in contemporary institutions and institutions, sparking global protests and new focus on structural and systemic racism (BBC News, 2020).</w:t>
      </w:r>
    </w:p>
    <w:p w14:paraId="7F8A76AE">
      <w:pPr>
        <w:spacing w:line="360" w:lineRule="auto"/>
        <w:rPr>
          <w:rFonts w:hint="default"/>
        </w:rPr>
      </w:pPr>
      <w:r>
        <w:rPr>
          <w:rFonts w:hint="default"/>
        </w:rPr>
        <w:t>Although the concept of racism is central to the sociological and political debates, there is still a debate regarding how to define it. There is individual, institutional and structural level of understanding about racism. Fanon (1967) posited that the roots of racism are in colonial systems that created the opposite of a normative Whiteness as Black identity. Racism is created and sustained by cultural representation (media, language and education) that perpetuates stereotypes and legitimizes inequitable treatment, according to Stuart Hall (1997). Ibram X. Kendi (2019) points out that racism is not just about people hating one another, but also in policy and thought that perpetuates inequality – so people may engage in racist systems without intending to. Joe Feagin (2013) extends this view by introducing the notion of systemic racism, which posits that racism is woven into the socioeconomic and political fabric of society, and hence racial inequalities can exist even in societies with formal laws against discrimination. These views all show that racism is not simply a prejudice held by individuals, but is an ideology which constructs the social and political status quo of racialized people (Mills, 1997).</w:t>
      </w:r>
    </w:p>
    <w:p w14:paraId="17CE9D5D">
      <w:pPr>
        <w:pStyle w:val="3"/>
        <w:spacing w:before="320" w:after="160"/>
        <w:rPr>
          <w:rFonts w:ascii="Times New Roman" w:hAnsi="Times New Roman" w:eastAsia="Times New Roman" w:cs="Times New Roman"/>
          <w:b/>
          <w:bCs/>
          <w:sz w:val="26"/>
          <w:szCs w:val="26"/>
        </w:rPr>
      </w:pPr>
      <w:r>
        <w:rPr>
          <w:rFonts w:ascii="Times New Roman" w:hAnsi="Times New Roman" w:eastAsia="Times New Roman" w:cs="Times New Roman"/>
          <w:b/>
          <w:bCs/>
          <w:sz w:val="26"/>
          <w:szCs w:val="26"/>
        </w:rPr>
        <w:t>2.1.2 Forms of Racism</w:t>
      </w:r>
    </w:p>
    <w:p w14:paraId="3B2E5D33">
      <w:pPr>
        <w:spacing w:line="360" w:lineRule="auto"/>
        <w:rPr>
          <w:rFonts w:hint="default"/>
          <w:lang w:val="en-US"/>
        </w:rPr>
      </w:pPr>
      <w:r>
        <w:rPr>
          <w:rFonts w:hint="default"/>
          <w:lang w:val="en-US"/>
        </w:rPr>
        <w:t>Racism comes in a number of interrelated forms that have different impacts on society and on the individual. The following are the main forms.</w:t>
      </w:r>
    </w:p>
    <w:p w14:paraId="7FC689EB">
      <w:pPr>
        <w:spacing w:line="360" w:lineRule="auto"/>
        <w:rPr>
          <w:rFonts w:hint="default"/>
          <w:b/>
          <w:bCs/>
          <w:lang w:val="en-US"/>
        </w:rPr>
      </w:pPr>
      <w:r>
        <w:rPr>
          <w:rFonts w:hint="default"/>
          <w:b/>
          <w:bCs/>
          <w:lang w:val="en-US"/>
        </w:rPr>
        <w:t>a. Interpersonal/Individual Racism</w:t>
      </w:r>
    </w:p>
    <w:p w14:paraId="3DF10DAD">
      <w:pPr>
        <w:spacing w:line="360" w:lineRule="auto"/>
        <w:rPr>
          <w:rFonts w:hint="default"/>
          <w:lang w:val="en-US"/>
        </w:rPr>
      </w:pPr>
      <w:r>
        <w:rPr>
          <w:rFonts w:hint="default"/>
          <w:lang w:val="en-US"/>
        </w:rPr>
        <w:t>Racial discrimination, prejudice or bias between individuals is called individual racism. It includes racial epithets, stereotyping and differential treatment in everyday social relationships (Bonilla-Silva, 2018). Interpersonal racism needs to be understood in its historical context. Colonialism, slavery, discriminatory legislation, and legal segregation have had a tremendous impact on the nature of relationships between people of different races. Dominant racial hierarchies have caused socially disadvantaged classes to be exposed to racial discrimination and violence, generation after generation (Feagin, 2013). For instance, the Jim Crow laws of the United States institutionalized interpersonal racism by allowing a broad spectrum of discriminatory practices in public spaces, in the workplace, and in social relationships to be accepted (Kendi, 2016).</w:t>
      </w:r>
    </w:p>
    <w:p w14:paraId="221D3F36">
      <w:pPr>
        <w:spacing w:line="360" w:lineRule="auto"/>
        <w:rPr>
          <w:rFonts w:hint="default"/>
          <w:lang w:val="en-US"/>
        </w:rPr>
      </w:pPr>
      <w:r>
        <w:rPr>
          <w:rFonts w:hint="default"/>
          <w:lang w:val="en-US"/>
        </w:rPr>
        <w:t>Psychologists have found that there are two major forms of prejudice that take place in interactions between races: overt prejudice, which are beliefs held consciously, and covert prejudice, which are beliefs that work on someone without conscious thought or intention to discriminate. Research conducted with the Implicit Association Test (IAT) created by Greenwald and Banaji (1995) shows that even people with a very positive ideal of equality may possess unconscious prejudices that negatively influence their interactions with people of other races. An example of the deadly effects of interpersonal racism within the present is the death of George Floyd in 2020, which led to demonstrations around the world under the Black Lives Matter movement and illustrated how personal prejudice, particularly in conjunction with institutional authority, can have fatal consequences (BLM Foundation, 2020; Bonilla-Silva, 2018).</w:t>
      </w:r>
    </w:p>
    <w:p w14:paraId="69B77641">
      <w:pPr>
        <w:spacing w:line="360" w:lineRule="auto"/>
        <w:rPr>
          <w:rFonts w:hint="default"/>
          <w:b/>
          <w:bCs/>
          <w:lang w:val="en-US"/>
        </w:rPr>
      </w:pPr>
      <w:r>
        <w:rPr>
          <w:rFonts w:hint="default"/>
          <w:b/>
          <w:bCs/>
          <w:lang w:val="en-US"/>
        </w:rPr>
        <w:t>b. Institutional Racism</w:t>
      </w:r>
    </w:p>
    <w:p w14:paraId="55323E4F">
      <w:pPr>
        <w:spacing w:line="360" w:lineRule="auto"/>
        <w:rPr>
          <w:rFonts w:hint="default"/>
          <w:lang w:val="en-US"/>
        </w:rPr>
      </w:pPr>
      <w:r>
        <w:rPr>
          <w:rFonts w:hint="default"/>
          <w:lang w:val="en-US"/>
        </w:rPr>
        <w:t>Institutional racism is when a group or groups of racial people, for whatever reason, are systematically disadvantaged due to the policies, procedure and culture within the institution, not because of any individual policy. It is expressed in laws, regulations, and institutional practices that foster racial disparities in housing, employment, health care, and criminal justice and education (Carmichael &amp; Hamilton, 1967). The term institutional racism was first systematically used by Stokely Carmichael and Charles V. Hamilton in their seminal work Black Power: The Politics of Liberation (1967), which focused on the ways that institutional racism exists within the social structure of society, rather than through acts of individual hatred.</w:t>
      </w:r>
    </w:p>
    <w:p w14:paraId="0E8B6B1A">
      <w:pPr>
        <w:spacing w:line="360" w:lineRule="auto"/>
        <w:rPr>
          <w:rFonts w:hint="default"/>
          <w:lang w:val="en-US"/>
        </w:rPr>
      </w:pPr>
      <w:r>
        <w:rPr>
          <w:rFonts w:hint="default"/>
          <w:lang w:val="en-US"/>
        </w:rPr>
        <w:t>One of the historical examples was the Apartheid system (1948–1994) in South Africa, which was a system of comprehensive racial segregation in education, housing, employment and public life. Here in the United States, redlining practices – where Black families were systematically denied mortgages and were therefore denied wealth-building opportunities – created long-term economic inequality that still has an impact today (Rothstein, 2017). The United Nations (2020) reports that there are structural inequities which exist in certain countries around the world that affect employment, education, and criminal justice systems, highlighting the worldwide presence of institutional racism.</w:t>
      </w:r>
    </w:p>
    <w:p w14:paraId="67E2BD2E">
      <w:pPr>
        <w:spacing w:line="360" w:lineRule="auto"/>
        <w:rPr>
          <w:rFonts w:hint="default"/>
          <w:b/>
          <w:bCs/>
          <w:lang w:val="en-US"/>
        </w:rPr>
      </w:pPr>
      <w:r>
        <w:rPr>
          <w:rFonts w:hint="default"/>
          <w:b/>
          <w:bCs/>
          <w:lang w:val="en-US"/>
        </w:rPr>
        <w:t>c. Structural/Systemic Racism</w:t>
      </w:r>
    </w:p>
    <w:p w14:paraId="5EA28DBB">
      <w:pPr>
        <w:spacing w:line="360" w:lineRule="auto"/>
        <w:rPr>
          <w:rFonts w:hint="default"/>
          <w:lang w:val="en-US"/>
        </w:rPr>
      </w:pPr>
      <w:r>
        <w:rPr>
          <w:rFonts w:hint="default"/>
          <w:lang w:val="en-US"/>
        </w:rPr>
        <w:t>Structural racism is the cumulative and compounding effects of multiple institutions of society that are mutually reinforcing racial inequality over time (Feagin, 2013). The historical legacy of colonialism and slavery is embedded in the policies and practices of these social systems (e.g., healthcare, education, politics, legal, and economic), and they can harm specific racial groups without being driven by the intentional and discriminatory actions of individuals. Bonilla-Silva (2006) proposes a new model of structural racism that posits that race is not a relevant or important concept for the present era, but racial inequalities continue to be maintained through seemingly benign policies and practices.</w:t>
      </w:r>
    </w:p>
    <w:p w14:paraId="33F26AB6">
      <w:pPr>
        <w:spacing w:line="360" w:lineRule="auto"/>
        <w:rPr>
          <w:rFonts w:hint="default"/>
          <w:lang w:val="en-US"/>
        </w:rPr>
      </w:pPr>
      <w:r>
        <w:rPr>
          <w:rFonts w:hint="default"/>
          <w:lang w:val="en-US"/>
        </w:rPr>
        <w:t>The criminal justice system is also rife with systematic racism, with communities of colour disproportionately impacted by criminal justice policies, sentencing, and interactions with law enforcement (Braveman, 2022). The seminal work by Alexander (2010) The New Jim Crow provides evidence that the American criminal justice system is a contemporary form of racial control, disproportionately arresting black men and effectively disenfranchising them and keeping them out of the social mobility and civic rights enjoyed by white men. Racial wealth gaps are not a coincidence but a product of intentional policy choices; the consequences of the transatlantic slave trade are still felt in the world today (Darity &amp; Mullen, 2020). Sawyer (2020) also records the long-term social and economic impacts of structural racism in the justice system such as harm to families, communities, and socioeconomic health.</w:t>
      </w:r>
    </w:p>
    <w:p w14:paraId="535CDAB2">
      <w:pPr>
        <w:spacing w:line="360" w:lineRule="auto"/>
        <w:rPr>
          <w:rFonts w:hint="default"/>
          <w:b/>
          <w:bCs/>
          <w:color w:val="auto"/>
          <w:lang w:val="en-US"/>
        </w:rPr>
      </w:pPr>
      <w:r>
        <w:rPr>
          <w:rFonts w:hint="default"/>
          <w:b/>
          <w:bCs/>
          <w:color w:val="auto"/>
          <w:lang w:val="en-US"/>
        </w:rPr>
        <w:t>d. Cultural Racism</w:t>
      </w:r>
    </w:p>
    <w:p w14:paraId="2232B595">
      <w:pPr>
        <w:spacing w:line="360" w:lineRule="auto"/>
        <w:rPr>
          <w:rFonts w:hint="default"/>
          <w:lang w:val="en-US"/>
        </w:rPr>
      </w:pPr>
      <w:r>
        <w:rPr>
          <w:rFonts w:hint="default"/>
          <w:lang w:val="en-US"/>
        </w:rPr>
        <w:t>Cultural racism is the deliberate overrepresentation of one culture, often depicting the culture of minorities as inferior, deficient or deviant. It works through internalization and reproduction of stereotypical and discriminatory values that are imposed from dominant cultural systems, which can lead to self-doubt, internalized inferiority and even discrimination against other members of one's group (Hall, 1997). Societal stereotypes directed at a racial group can also elicit internalized feelings of inferiority among members of that group (see social identity theory (Henri Tajfel and John Turner, 1979)), and stereotype threat theory (Steele and Aronson, 1995) reports that when a negative group stereotype is salient, an individual may be motivated to perform in ways that support that stereotype.</w:t>
      </w:r>
    </w:p>
    <w:p w14:paraId="2FE5913E">
      <w:pPr>
        <w:spacing w:line="360" w:lineRule="auto"/>
        <w:rPr>
          <w:rFonts w:hint="default"/>
          <w:lang w:val="en-US"/>
        </w:rPr>
      </w:pPr>
      <w:r>
        <w:rPr>
          <w:rFonts w:hint="default"/>
          <w:lang w:val="en-US"/>
        </w:rPr>
        <w:t>Cultural racism is manifested in the world's ideals of beauty, which privilege lighter skin and features from Western cultures; in the media that misrepresents or caricatures black identity; and in the use of language and the marginalisation of indigenous cultures (Hall, 1997; Collins, 2000). Research on media representation is found over and over again to reveal that minorities are over-represented in stereotypical roles, which helps to embed racial bias in society and contribute to the normalization of racial hierarchy (hooks, 1992). Although much has been written about cultural racism in the West, there are many areas where there is still a lack of understanding of how it works in non-Western contexts, such as among the African people, who this study aims to correct.</w:t>
      </w:r>
    </w:p>
    <w:p w14:paraId="21FC5042">
      <w:pPr>
        <w:pStyle w:val="3"/>
        <w:spacing w:before="320" w:after="160"/>
        <w:rPr>
          <w:rFonts w:ascii="Times New Roman" w:hAnsi="Times New Roman" w:eastAsia="Times New Roman" w:cs="Times New Roman"/>
          <w:b/>
          <w:bCs/>
          <w:sz w:val="26"/>
          <w:szCs w:val="26"/>
        </w:rPr>
      </w:pPr>
      <w:r>
        <w:rPr>
          <w:rFonts w:ascii="Times New Roman" w:hAnsi="Times New Roman" w:eastAsia="Times New Roman" w:cs="Times New Roman"/>
          <w:b/>
          <w:bCs/>
          <w:sz w:val="26"/>
          <w:szCs w:val="26"/>
        </w:rPr>
        <w:t>2.2 The Concept of Racial Discrimination</w:t>
      </w:r>
    </w:p>
    <w:p w14:paraId="4A4A9B56">
      <w:pPr>
        <w:spacing w:line="360" w:lineRule="auto"/>
        <w:rPr>
          <w:rFonts w:hint="default"/>
        </w:rPr>
      </w:pPr>
      <w:r>
        <w:rPr>
          <w:rFonts w:hint="default"/>
        </w:rPr>
        <w:t>Racial discrimination is the treatment which denies rights, opportunities or human dignity to individuals or groups on the basis of their racial or ethnic group. The United Nations International Convention on the Elimination of All Forms of Racial Discrimination (ICERD, 1965, Article 1) states that racial discrimination refers to any distinction, exclusion, restriction or preference based on race, colour, descent, national or ethnic origin that has the effect of nullifying or impairing the recognition, enjoyment or exercise, on an equal basis, of human rights and fundamental freedoms.</w:t>
      </w:r>
    </w:p>
    <w:p w14:paraId="7113181F">
      <w:pPr>
        <w:spacing w:line="360" w:lineRule="auto"/>
        <w:rPr>
          <w:rFonts w:hint="default"/>
        </w:rPr>
      </w:pPr>
      <w:r>
        <w:rPr>
          <w:rFonts w:hint="default"/>
        </w:rPr>
        <w:t>Discrimination might be attributed as overt (e.g., racial slurs, physical violence, explicit exclusion of opportunities) or covert (e.g., subtle biases, microaggressions, institutional policies and practices that yield racially disparate outcomes, but are not carried out with discriminatory intent) (Sue, 2010). A distinction between individual and institutional discrimination is that the latter is a policy or practice that systematically disadvantages racial minorities, often without the conscious intent of the individuals who put it into practice (Carmichael &amp; Hamilton, 1967; Feagin, 2013). The difference between these forms is important as it enables an analysis of racial inequality which goes beyond any prejudice of particular individuals and also considers the structures that create and perpetuate it.</w:t>
      </w:r>
    </w:p>
    <w:p w14:paraId="4C75AA26">
      <w:pPr>
        <w:spacing w:line="360" w:lineRule="auto"/>
        <w:rPr>
          <w:rFonts w:hint="default"/>
          <w:b/>
          <w:bCs/>
        </w:rPr>
      </w:pPr>
      <w:r>
        <w:rPr>
          <w:rFonts w:hint="default"/>
          <w:b/>
          <w:bCs/>
        </w:rPr>
        <w:t>2.2.3 Systemic and Structural Racism</w:t>
      </w:r>
    </w:p>
    <w:p w14:paraId="29421E15">
      <w:pPr>
        <w:spacing w:line="360" w:lineRule="auto"/>
        <w:rPr>
          <w:rFonts w:hint="default"/>
        </w:rPr>
      </w:pPr>
      <w:r>
        <w:rPr>
          <w:rFonts w:hint="default"/>
        </w:rPr>
        <w:t>Systemic racism, also known as institutional racism or structural racism, is a term that goes beyond prejudice to describe the organization of social systems, such as education, healthcare, housing, criminal justice and employment processes, that consistently yield racially inequitable results. Bonilla-Silva (2006) believes that modern racism functions not as blatant bigotry, but by means of a 'colour-blind' racial ideology, which ignores the importance of race and maintains racial inequalities through seemingly neutral policies and practices. One example of this ideology is the difficulty of even seeing racial inequality as resulting from racial inequality; for example, racial inequality is seen as a by-product of some form of racial bias, such as a lack of cultural competence or something else seemingly neutral like "the marketplace.</w:t>
      </w:r>
    </w:p>
    <w:p w14:paraId="3DC17913">
      <w:pPr>
        <w:spacing w:line="360" w:lineRule="auto"/>
        <w:rPr>
          <w:rFonts w:hint="default"/>
        </w:rPr>
      </w:pPr>
      <w:r>
        <w:rPr>
          <w:rFonts w:hint="default"/>
        </w:rPr>
        <w:t>Systemic racism, in its context most directly related to policing and criminal justice, is defined as the practice of racial profiling, differential sentencing, over-policing of Black communities and disproportionate use of force against Black people. In The New Jim Crow, Alexander (2010) shows how the modern American criminal justice system is a new system of racial control that disproportionately targets black men, robs them of their civic rights and opportunities for social mobility. Such patterns of behaviour have been observed in the United Kingdom, France, Canada, Australia and elsewhere, where the arrest and incarceration rates of Black people are disproportionately high (UN Human Rights Council, 2020; Amnesty International, 2020).</w:t>
      </w:r>
    </w:p>
    <w:p w14:paraId="10355A44">
      <w:pPr>
        <w:spacing w:line="360" w:lineRule="auto"/>
        <w:rPr>
          <w:rFonts w:hint="default"/>
        </w:rPr>
      </w:pPr>
      <w:r>
        <w:rPr>
          <w:rFonts w:hint="default"/>
          <w:b/>
          <w:bCs/>
          <w:lang w:val="en-US"/>
        </w:rPr>
        <w:t xml:space="preserve">2.2.4 </w:t>
      </w:r>
      <w:r>
        <w:rPr>
          <w:rFonts w:hint="default"/>
          <w:b/>
          <w:bCs/>
        </w:rPr>
        <w:t>Implicit Bias and Microaggressions</w:t>
      </w:r>
      <w:r>
        <w:rPr>
          <w:rFonts w:hint="default"/>
        </w:rPr>
        <w:t xml:space="preserve"> </w:t>
      </w:r>
    </w:p>
    <w:p w14:paraId="3F4D4887">
      <w:pPr>
        <w:spacing w:line="360" w:lineRule="auto"/>
        <w:rPr>
          <w:rFonts w:hint="default"/>
        </w:rPr>
      </w:pPr>
      <w:r>
        <w:rPr>
          <w:rFonts w:hint="default"/>
        </w:rPr>
        <w:t>Implicit bias is unconsciously held attitudes and stereotypes that influence human understanding, behavior and decisions. The Implicit Association Test (IAT) conducted by Greenwald and Banaji (1995) showed that people with a self-reported positive or negative attitude toward a racial group often have implicit associations linking negative qualities (e.g., criminality, danger, low intelligence) with the racial group. The study's findings have since been replicated in other contexts of police use of force, including research that found that police officers are more likely to view black persons as lethal threats and more likely to use lethal force against black persons than white persons (Correll et al., 2007; Ross, 2015).</w:t>
      </w:r>
    </w:p>
    <w:p w14:paraId="0AC82CD6">
      <w:pPr>
        <w:spacing w:line="360" w:lineRule="auto"/>
      </w:pPr>
      <w:r>
        <w:rPr>
          <w:rFonts w:hint="default"/>
        </w:rPr>
        <w:t>Microaggressions, which were initially described by psychiatrist Chester Pierce in the 1970s, and later have been extensively theorized by Derald Wing Sue (2010), are brief and commonplace daily verbal, behavioral, and environmental indignities, intentional or unintentional, that communicate hostile, derogatory, or negative messages to people belonging to the target group. Microaggressions for Black folks in other countries include: being followed in stores by an assumed suspicion, being questioned about their authority or competence in professional environments, whose natural hair is being touched without permission, or accusations that they are ‘articulate' as though this were unexpected. Although each one of these experiences can be small, over time they are harmful and can lead to low self-esteem, anxiety and chronic stress (Sue, 2010; Williams &amp; Mohammed, 2009).</w:t>
      </w:r>
    </w:p>
    <w:p w14:paraId="42CCDAB1">
      <w:pPr>
        <w:pStyle w:val="3"/>
        <w:spacing w:before="320" w:after="160"/>
      </w:pPr>
      <w:r>
        <w:rPr>
          <w:rFonts w:ascii="Times New Roman" w:hAnsi="Times New Roman" w:eastAsia="Times New Roman" w:cs="Times New Roman"/>
          <w:b/>
          <w:bCs/>
          <w:sz w:val="26"/>
          <w:szCs w:val="26"/>
        </w:rPr>
        <w:t>2.3 Historical Background of Racial Discrimination Against Black People</w:t>
      </w:r>
    </w:p>
    <w:p w14:paraId="050F14E7">
      <w:pPr>
        <w:pStyle w:val="4"/>
        <w:spacing w:before="280" w:after="1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2.3.1 Slavery and the Foundations of Anti-Black Racism</w:t>
      </w:r>
    </w:p>
    <w:p w14:paraId="2746AB16">
      <w:pPr>
        <w:spacing w:line="360" w:lineRule="auto"/>
        <w:rPr>
          <w:rFonts w:hint="default"/>
        </w:rPr>
      </w:pPr>
      <w:r>
        <w:rPr>
          <w:rFonts w:hint="default"/>
        </w:rPr>
        <w:t>Anti-Black racism has roots in foreign countries, notably in the West, and in the transatlantic slave trade, which forcibly removed an estimated 12–15 million Africans to the Americas and Caribbean from the five hundred years spanning the fifteenth and nineteenth centuries (Lovejoy, 2000; Eltis &amp; Richardson, 2010). This form of chattel slavery was founded on the tenets of ideology that Black people were subhuman, intellectually inadequate, and naturally suited to slavery, which was made by law, theology and science to seem reasonable and legitimate and to authorize the economic exploitation of enslaved labour (Davis, 1966). This is because the economic wealth of large western countries such as the United States, Britain, France, Portugal and the Netherlands had been greatly contributed by the work of Africans who were enslaved and their resources taken away (Williams, 1944; Baptist, 2014).</w:t>
      </w:r>
    </w:p>
    <w:p w14:paraId="0715B964">
      <w:pPr>
        <w:spacing w:line="360" w:lineRule="auto"/>
        <w:rPr>
          <w:rFonts w:hint="default"/>
        </w:rPr>
      </w:pPr>
      <w:r>
        <w:rPr>
          <w:rFonts w:hint="default"/>
        </w:rPr>
        <w:t>Racial hierarchies created by slave system were maintained after its formal abolition in the nineteenth century in different ways, such as the Black Codes and Jim Crow laws in the American South, the Apartheid system in South Africa, colonial racial stratification in Africa and the Caribbean, and immigration policies in Europe that discriminated against non-White populations systematically (Kendi, 2016; Fredrickson, 2002). Davis (1981) and Fanon (1952) contend that legal freedom had not solved the psychological and social injuries of slavery and colonialism, but had rather been transformed into new channels of oppression – the Black experience today. In his groundbreaking book How Europe Underdeveloped Africa (1972), Rodney argues that structural disadvantages established by slavery and colonialism are perpetuated in today's inequalities.</w:t>
      </w:r>
    </w:p>
    <w:p w14:paraId="37DCDE75">
      <w:pPr>
        <w:spacing w:line="360" w:lineRule="auto"/>
        <w:rPr>
          <w:rFonts w:hint="default"/>
          <w:b/>
          <w:bCs/>
        </w:rPr>
      </w:pPr>
      <w:r>
        <w:rPr>
          <w:rFonts w:hint="default"/>
          <w:b/>
          <w:bCs/>
        </w:rPr>
        <w:t>2.3.2 Jim Crow Laws and Segregation in the United States</w:t>
      </w:r>
    </w:p>
    <w:p w14:paraId="57EA7D6A">
      <w:pPr>
        <w:spacing w:line="360" w:lineRule="auto"/>
        <w:rPr>
          <w:rFonts w:hint="default"/>
        </w:rPr>
      </w:pPr>
      <w:r>
        <w:rPr>
          <w:rFonts w:hint="default"/>
        </w:rPr>
        <w:t>The goal of the Jim Crow Laws and segregation was to stop African Americans from competing with white people for jobs and other opportunities.</w:t>
      </w:r>
    </w:p>
    <w:p w14:paraId="605C01EF">
      <w:pPr>
        <w:spacing w:line="360" w:lineRule="auto"/>
        <w:rPr>
          <w:rFonts w:hint="default"/>
        </w:rPr>
      </w:pPr>
      <w:r>
        <w:rPr>
          <w:rFonts w:hint="default"/>
        </w:rPr>
        <w:t>After Reconstruction in the United States, the Southern states passed a series of laws that instituted racial segregation and black disfranchisement from the 1870s through the mid 1960s, called the Jim Crow laws. Jim Crow laws forbade blacks to attend schools, hospitals, public transportation, restaurants, or the voter's booth. Lynching, a form of extrajudicial racial violence, was a social control and terror tactic used by a majority of white Americans in the Southern United States, with the Equal Justice Initiative (EJI) recording more than 4,000 racial terror lynchings of black people in the South from 1877 to 1950.</w:t>
      </w:r>
    </w:p>
    <w:p w14:paraId="7243AE07">
      <w:pPr>
        <w:spacing w:line="360" w:lineRule="auto"/>
        <w:rPr>
          <w:rFonts w:hint="default"/>
        </w:rPr>
      </w:pPr>
      <w:r>
        <w:rPr>
          <w:rFonts w:hint="default"/>
        </w:rPr>
        <w:t>The Civil Rights Movement of the 1950s and 1960s, led by such individuals as Dr. Martin Luther King, Jr., Rosa Parks, John Lewis, and Malcolm X, was able to break the formal, legal structure of Jim Crow by passing landmark legislation, most importantly the Civil Rights Act of 1964 and the Voting Rights Act of 1965. But scholars like Kendi (2016) persuasively contend that legal segregation could not be struck down without its roots and the racial prejudices and structural inequalities that had engendered it. The racial wealth gap, the failure to achieve equal educational outcomes, and residential segregation that exists in the United States today is the legacy of the Jim Crow system (Rothstein, 2017; Oliver &amp; Shapiro, 2006).</w:t>
      </w:r>
    </w:p>
    <w:p w14:paraId="63877C24">
      <w:pPr>
        <w:spacing w:line="360" w:lineRule="auto"/>
        <w:rPr>
          <w:rFonts w:hint="default"/>
          <w:b/>
          <w:bCs/>
        </w:rPr>
      </w:pPr>
      <w:r>
        <w:rPr>
          <w:rFonts w:hint="default"/>
          <w:b/>
          <w:bCs/>
        </w:rPr>
        <w:t>2.3.3 The Black Experience in Europe and Other Foreign Countries</w:t>
      </w:r>
    </w:p>
    <w:p w14:paraId="145A4BD1">
      <w:pPr>
        <w:spacing w:line="360" w:lineRule="auto"/>
        <w:rPr>
          <w:rFonts w:hint="default"/>
          <w:b w:val="0"/>
          <w:bCs w:val="0"/>
        </w:rPr>
      </w:pPr>
      <w:r>
        <w:rPr>
          <w:rFonts w:hint="default"/>
          <w:b w:val="0"/>
          <w:bCs w:val="0"/>
        </w:rPr>
        <w:t>This collection of essays is The Black Experience in Europe and Other Foreign Countries, and is comprised of the following essays:</w:t>
      </w:r>
    </w:p>
    <w:p w14:paraId="36D5A8F4">
      <w:pPr>
        <w:spacing w:line="360" w:lineRule="auto"/>
        <w:rPr>
          <w:rFonts w:hint="default"/>
          <w:b w:val="0"/>
          <w:bCs w:val="0"/>
        </w:rPr>
      </w:pPr>
      <w:r>
        <w:rPr>
          <w:rFonts w:hint="default"/>
          <w:b w:val="0"/>
          <w:bCs w:val="0"/>
        </w:rPr>
        <w:t>While the U.S. case of anti-Black racism is most well documented, there are others similar to the U.S. in Europe, Canada, and Australia that stem from the histories of colonization and continued structural inequalities. The Windrush generation is the name given to Caribbean people who were invited by the British government to come to the UK between 1948 and 1971, and have suffered discrimination in access to jobs and housing (Phillips 2010). Black people's precarious position in Western legal systems was revealed in the Windrush Scandal of 2018, where thousands of migrants who came here as part of the Windrush and their descendants were detained, deported, or denied access to health care for being of black race (Gentleman, 2019).</w:t>
      </w:r>
    </w:p>
    <w:p w14:paraId="1D653A01">
      <w:pPr>
        <w:spacing w:line="360" w:lineRule="auto"/>
        <w:rPr>
          <w:rFonts w:hint="default"/>
          <w:b w:val="0"/>
          <w:bCs w:val="0"/>
        </w:rPr>
      </w:pPr>
      <w:r>
        <w:rPr>
          <w:rFonts w:hint="default"/>
          <w:b w:val="0"/>
          <w:bCs w:val="0"/>
        </w:rPr>
        <w:t>Despite the formal ban on racial discrimination, racial discrimination and disproportionate socioeconomic treatment of blacks (primarily of former French colonies in West and Central Africa and the Caribbean) continues to exist.While legally, there is no discrimination, black people (primarily from former French colonies in West and Central Africa and the Caribbean) are treated very differently socially, in the areas of housing and employment. There are also significant disparities in France: In a study conducted by the French National Consultative Commission on Human Rights (CNCDH, 2019), black people were five times more likely to be subject to identity checks by the police than white people. In Germany, the Netherlands and other European countries, Afro-European communities face high discrimination in the job market, in schools and colleges and when interacting with law enforcement (European Union Agency for Fundamental Rights [FRA], 2018).</w:t>
      </w:r>
    </w:p>
    <w:p w14:paraId="7C8EADD2">
      <w:pPr>
        <w:spacing w:line="360" w:lineRule="auto"/>
        <w:rPr>
          <w:rFonts w:hint="default"/>
          <w:b/>
          <w:bCs/>
        </w:rPr>
      </w:pPr>
    </w:p>
    <w:p w14:paraId="6B11B132">
      <w:pPr>
        <w:pStyle w:val="3"/>
        <w:spacing w:before="320" w:after="160"/>
      </w:pPr>
      <w:r>
        <w:rPr>
          <w:rFonts w:ascii="Times New Roman" w:hAnsi="Times New Roman" w:eastAsia="Times New Roman" w:cs="Times New Roman"/>
          <w:b/>
          <w:bCs/>
          <w:sz w:val="26"/>
          <w:szCs w:val="26"/>
        </w:rPr>
        <w:t>2.4 The George Floyd Case: A Conceptual Analysis</w:t>
      </w:r>
    </w:p>
    <w:p w14:paraId="1E882F6C">
      <w:pPr>
        <w:pStyle w:val="4"/>
        <w:spacing w:before="280" w:after="1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2.4.1 Overview of the George Floyd Incident</w:t>
      </w:r>
    </w:p>
    <w:p w14:paraId="58F23AC1">
      <w:pPr>
        <w:spacing w:line="360" w:lineRule="auto"/>
        <w:rPr>
          <w:rFonts w:hint="default"/>
        </w:rPr>
      </w:pPr>
      <w:r>
        <w:rPr>
          <w:rFonts w:hint="default"/>
        </w:rPr>
        <w:t>George Perry Floyd Jr., a 46-year-old black American man, was murdered while being arrested on May 25, 2020, by officers of the Minneapolis Police Department in Minneapolis, Minnesota. Floyd had previously been arrested at a convenience store for using a fake twenty dollar bill. The arrest happened when White police officer Derek Chauvin knelt on Floyd's neck and back for about nine minutes and 29 seconds while Floyd kept saying he couldn't breathe and calling for his deceased mother. Floyd passed out and was then taken to a local hospital where he was pronounced dead (2020, New York Times).</w:t>
      </w:r>
    </w:p>
    <w:p w14:paraId="6E39639E">
      <w:pPr>
        <w:spacing w:line="360" w:lineRule="auto"/>
      </w:pPr>
      <w:r>
        <w:rPr>
          <w:rFonts w:hint="default"/>
        </w:rPr>
        <w:t>The investigation into Floyd's cause of death determined that his death was due to "cardiopulmonary arrest, complicated by subdual, restraint and neck compression by the police" (Hennepin County Medical Examiner, 2020). Derek Chauvin was charged with second-degree murder, third-degree murder and second-degree manslaughter. In April 2021, Chauvin was convicted on all three counts—marking the first time in the state of Minnesota that a White police officer had been convicted for the killing of a Black person (BBC News, 2021). Three other officers who were with him at the time of the arrest, Tou Thao, J. Alexander Kueng and Thomas Lane, were also convicted of federal civil rights violations (United States Department of Justice, 2022).</w:t>
      </w:r>
    </w:p>
    <w:p w14:paraId="1E16A6FF">
      <w:pPr>
        <w:pStyle w:val="4"/>
        <w:spacing w:before="280" w:after="1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2.4.2 George Floyd as a Symbol of Systemic Anti-Black Racism</w:t>
      </w:r>
    </w:p>
    <w:p w14:paraId="6597920B">
      <w:pPr>
        <w:spacing w:line="360" w:lineRule="auto"/>
        <w:rPr>
          <w:rFonts w:hint="default"/>
        </w:rPr>
      </w:pPr>
      <w:r>
        <w:rPr>
          <w:rFonts w:hint="default"/>
        </w:rPr>
        <w:t>George Floyd's death was not the only incident. These killings followed a long and publicized history of killings of Black Americans by law enforcement and vigilante actors: Trayvon Martin (2012), Michael Brown (2014), Eric Garner (2014), Philando Castile (2016), Breonna Taylor (2020), Ahmaud Arbery (2020) and countless others whose deaths were not as widely reported (Mapping Police Violence, 2020; Washington Post Police Shootings Database, 2020). The cases showed patterns: black people killed by the police and killed in disproportion; the killing of black people by police without criminal charges; a criminal justice system that seems to be open to manipulation by black communities.They had patterns: black people killed by the police and killed disproportionately; the killing of black people by police but without any criminal charges; a criminal justice system perceived as being structurally biased by black communities (Alexander, 2010; Coates, 2015).</w:t>
      </w:r>
    </w:p>
    <w:p w14:paraId="333BCA02">
      <w:pPr>
        <w:spacing w:line="360" w:lineRule="auto"/>
      </w:pPr>
      <w:r>
        <w:rPr>
          <w:rFonts w:hint="default"/>
        </w:rPr>
        <w:t>Floyd's death was thus viewed not just as an individual incident of police misconduct, but as a symptom of a culture of neglect that has long existed in the United States and other western countries toward black life since the days of slavery. The rhetoric of the global protest movement was taken from Floyd's last recorded words: ‘I can't breathe.’ (cited in Baker, Goodman, &amp; Mueller, 2015) Floyd's words were identical to those of Eric Garner in 2014 who died under a police chokehold. This reiteration, however, highlighted the structural, not incidental, aspect of police brutality in interactions with Black people that are not about crime (Ritchie, 2017; Coates, 2015).</w:t>
      </w:r>
    </w:p>
    <w:p w14:paraId="7A992ECA">
      <w:pPr>
        <w:pStyle w:val="4"/>
        <w:spacing w:before="280" w:after="1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2.4.3 The Global Black Lives Matter Movement</w:t>
      </w:r>
    </w:p>
    <w:p w14:paraId="5F906122">
      <w:pPr>
        <w:spacing w:line="360" w:lineRule="auto"/>
        <w:rPr>
          <w:rFonts w:hint="default"/>
        </w:rPr>
      </w:pPr>
      <w:r>
        <w:rPr>
          <w:rFonts w:hint="default"/>
        </w:rPr>
        <w:t>Floyd's death reignited the Black Lives Matter (BLM) movement which began in 2013 shortly after the acquittal of George Zimmerman for killing Trayvon Martin (Freelon, McIlwain, &amp; Clark, 2016). In the weeks that followed on May 25th, 2020, protests broke out in every fifty U.S. states and more than sixty countries around the world, marking one of the largest sustained protest movements ever (Buchanan, Bui, &amp; Patel, 2020). Throughout the United Kingdom, France, Germany, Australia, Canada, Brazil, Nigeria, Kenya, and Japan, people protested in large numbers against police brutality and systemic racism in their communities in solidarity with Black Lives Matter (Al Jazeera, 2020).</w:t>
      </w:r>
    </w:p>
    <w:p w14:paraId="7C764D7B">
      <w:pPr>
        <w:spacing w:line="360" w:lineRule="auto"/>
      </w:pPr>
      <w:r>
        <w:rPr>
          <w:rFonts w:hint="default"/>
        </w:rPr>
        <w:t>In the U.K., a statue of the slave trader Edward Colston was toppled in Bristol, sparking a national discussion about the country's history of slavery and the public memorialization of slave traders and imperial figures (Olusoga, 2020). Statues of King Leopold II, whose rule in the Congo is said to have led to the deaths of tens of millions of Africans, were vandalized and pulled down in Belgium. (Hochschild, 1998; BBC News, 2020) These symbolic acts reflected the recognition—catalysed by Floyd's death—that the roots of anti-Black racism in foreign countries are inseparable from their colonial and imperial histories (Mbembe, .2017)</w:t>
      </w:r>
    </w:p>
    <w:p w14:paraId="5B603D8F">
      <w:pPr>
        <w:pStyle w:val="3"/>
        <w:spacing w:before="320" w:after="160"/>
      </w:pPr>
      <w:r>
        <w:rPr>
          <w:rFonts w:ascii="Times New Roman" w:hAnsi="Times New Roman" w:eastAsia="Times New Roman" w:cs="Times New Roman"/>
          <w:b/>
          <w:bCs/>
          <w:sz w:val="26"/>
          <w:szCs w:val="26"/>
        </w:rPr>
        <w:t>2.5 Psychological and Social Impacts of Racial Discrimination on Black People</w:t>
      </w:r>
    </w:p>
    <w:p w14:paraId="68DE23C0">
      <w:pPr>
        <w:pStyle w:val="4"/>
        <w:spacing w:before="280" w:after="1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2.5.1 Mental Health Consequences</w:t>
      </w:r>
    </w:p>
    <w:p w14:paraId="5C44C91C">
      <w:pPr>
        <w:spacing w:line="360" w:lineRule="auto"/>
        <w:rPr>
          <w:rFonts w:hint="default"/>
        </w:rPr>
      </w:pPr>
      <w:r>
        <w:rPr>
          <w:rFonts w:hint="default"/>
        </w:rPr>
        <w:t>The impact of racial discrimination on African Americans is well documented in the literature and is quite profound. Overt and covert racism has been linked to higher prevalence of depression, anxiety, post-traumatic stress disorder (PTSD) and overall psychological distress among Black people across the globe. Speaking about an extensive review of empirical research on the relationship between racism and health, Williams and Mohammed (2009) reported that there is consistent and robust evidence of an independent relationship between experiences of racial discrimination and adverse mental health outcomes, even after controlling for socioeconomic factors.</w:t>
      </w:r>
    </w:p>
    <w:p w14:paraId="74FD56A8">
      <w:pPr>
        <w:spacing w:line="360" w:lineRule="auto"/>
        <w:rPr>
          <w:rFonts w:hint="default"/>
        </w:rPr>
      </w:pPr>
      <w:r>
        <w:rPr>
          <w:rFonts w:hint="default"/>
        </w:rPr>
        <w:t>Black people in other countries face the added stress of being a numerical minority, being othered, not being portrayed in the mainstream representation, and having to deal with predominantly White institutions and the potential for racial aggression. (Sue, 2010) Carter (2007) developed the ideas about 'race-based traumatic stress' (RBTS) to explain the psychological injury caused by the experience of racism, particularly those involving sudden, violent and life-threatening events, that can trigger trauma responses similar to those found in combat veterans and victims of physical assault.</w:t>
      </w:r>
    </w:p>
    <w:p w14:paraId="671077E3">
      <w:pPr>
        <w:spacing w:line="360" w:lineRule="auto"/>
        <w:rPr>
          <w:rFonts w:hint="default"/>
        </w:rPr>
      </w:pPr>
      <w:r>
        <w:rPr>
          <w:rFonts w:hint="default"/>
        </w:rPr>
        <w:t>George Floyd's death had been captured and recorded, and had had a psychological impact on black communities across the globe which was measurable. Since Floyd was killed, studies have been done that show that Black Americans and Black people in other countries who observed the video footage of Floyd's killing were more likely to experience anxiety, depression, and race-based trauma (Nguyen et al., 2021; Bor et al., 2018). Exposure to the imagery of black death by law enforcement is a unique and concerning public health problem that requires clinical and public policy interventions (Tynes, Giang, Williams, &amp; Thompson, 2008).</w:t>
      </w:r>
    </w:p>
    <w:p w14:paraId="739DCE66">
      <w:pPr>
        <w:spacing w:line="360" w:lineRule="auto"/>
        <w:rPr>
          <w:rFonts w:hint="default"/>
          <w:b/>
          <w:bCs/>
          <w:color w:val="1F497D" w:themeColor="text2"/>
          <w14:textFill>
            <w14:solidFill>
              <w14:schemeClr w14:val="tx2"/>
            </w14:solidFill>
          </w14:textFill>
        </w:rPr>
      </w:pPr>
      <w:r>
        <w:rPr>
          <w:rFonts w:hint="default"/>
          <w:b/>
          <w:bCs/>
          <w:color w:val="1F497D" w:themeColor="text2"/>
          <w14:textFill>
            <w14:solidFill>
              <w14:schemeClr w14:val="tx2"/>
            </w14:solidFill>
          </w14:textFill>
        </w:rPr>
        <w:t>2.5.2 Social and Economic Exclusion</w:t>
      </w:r>
    </w:p>
    <w:p w14:paraId="546BD2C3">
      <w:pPr>
        <w:spacing w:line="360" w:lineRule="auto"/>
        <w:rPr>
          <w:rFonts w:hint="default"/>
        </w:rPr>
      </w:pPr>
      <w:r>
        <w:rPr>
          <w:rFonts w:hint="default"/>
        </w:rPr>
        <w:t>Racial discrimination is not only visible in the interactions between individuals, but it is also a systemic issue that affects black people's life chances in other countries. Racial discrimination in hiring, which is the term for this phenomenon, is a consistent finding of audit studies in the United Kingdom, United States, France, and Germany, and has been well documented in the United States, where applicants whose names were clearly racially identified (usually Black or White) were found to be less likely to be called back for an interview than applicants with “neutral” names (Oreopoulos &amp; Dechief, 2012; Bertrand &amp; Mullainathan, 2004). In the large-scale field experiment carried out across several countries in Europe by Heath and Di Stasio (2019), there was significant evidence of employment discrimination against ethnic minority applicants, with some of the highest rates of discrimination in the sample being against Black applicants.</w:t>
      </w:r>
    </w:p>
    <w:p w14:paraId="3C4FBCAA">
      <w:pPr>
        <w:spacing w:line="360" w:lineRule="auto"/>
        <w:rPr>
          <w:rFonts w:hint="default"/>
        </w:rPr>
      </w:pPr>
      <w:r>
        <w:rPr>
          <w:rFonts w:hint="default"/>
        </w:rPr>
        <w:t>In housing, black people living in foreign countries are discriminated against by their landlords, real estate agents, and mortgage lenders, leading to a lack of home ownership and an increase in living in segregated, under-resourced neighbourhoods that have limited public services, poor schools, and higher levels of environmental pollution (Turner et al., 2013). This residential segregation marks what Massey and Denton (1993) called in America 'hypersegregation', a segregation that ensures the perpetuation of educational and economic inequality across generations and forms the 'structural underpinning of the persistent Black underclass in the United States'. Rothstein (2017) provides ample documentation that these patterns of residential segregation were the result of intentional government actions, not the result of individual choice or market forces.</w:t>
      </w:r>
    </w:p>
    <w:p w14:paraId="03D4DD22">
      <w:pPr>
        <w:rPr>
          <w:rFonts w:hint="default"/>
          <w:b/>
          <w:bCs/>
          <w:color w:val="1F497D" w:themeColor="text2"/>
          <w14:textFill>
            <w14:solidFill>
              <w14:schemeClr w14:val="tx2"/>
            </w14:solidFill>
          </w14:textFill>
        </w:rPr>
      </w:pPr>
      <w:r>
        <w:rPr>
          <w:rFonts w:hint="default"/>
          <w:b/>
          <w:bCs/>
          <w:color w:val="1F497D" w:themeColor="text2"/>
          <w14:textFill>
            <w14:solidFill>
              <w14:schemeClr w14:val="tx2"/>
            </w14:solidFill>
          </w14:textFill>
        </w:rPr>
        <w:t>2.5.3 Identity and Belonging</w:t>
      </w:r>
    </w:p>
    <w:p w14:paraId="76624E58">
      <w:pPr>
        <w:spacing w:line="360" w:lineRule="auto"/>
        <w:rPr>
          <w:rFonts w:hint="default"/>
        </w:rPr>
      </w:pPr>
      <w:r>
        <w:rPr>
          <w:rFonts w:hint="default"/>
        </w:rPr>
        <w:t>The issue of identity and belonging is especially complicated and charged for blacks residing in countries other than their own, whether as first generation immigrants, second generation immigrants, or citizens of countries with larger numbers of blacks than the number of immigrants. The term "double consciousness" was coined by Du Bois (1903) in The Souls of Black Folk to describe the psychological conflict felt by blacks living in a society that views them with disrespect, and in which blacks must continuously navigate the perspective of Whites. It is also a particularly relevant idea for people of African descent living abroad today, who are often subjected to formal citizenship on one hand and racial exclusion on the other, and are therefore perpetual outsiders (Gilroy, 1993).</w:t>
      </w:r>
    </w:p>
    <w:p w14:paraId="052B6632">
      <w:pPr>
        <w:spacing w:line="360" w:lineRule="auto"/>
      </w:pPr>
      <w:r>
        <w:rPr>
          <w:rFonts w:hint="default"/>
        </w:rPr>
        <w:t>Black immigrants in European countries often feel less European than full Europeans, both as a result of citizenship and language skills and cultural integration. Their Blackness makes them Other in a way which does not happen to White immigrants from elsewhere in Europe or beyond; it is a racial, not just cultural or linguistic criterion of membership that is at play here (Fanon, 1952; Bhabha, 1994). The experience of racial exclusion produces ‘racialized othering' which is defined as the systematic placing of the black person outside the nation state's normative community, irrespective of whether he or she is a legal citizen or a culturally affiliated member of the nation (Gilroy, 1987; Hall, 1996).</w:t>
      </w:r>
    </w:p>
    <w:p w14:paraId="4065743F">
      <w:pPr>
        <w:pStyle w:val="3"/>
        <w:spacing w:before="320" w:after="160"/>
      </w:pPr>
      <w:r>
        <w:rPr>
          <w:rFonts w:ascii="Times New Roman" w:hAnsi="Times New Roman" w:eastAsia="Times New Roman" w:cs="Times New Roman"/>
          <w:b/>
          <w:bCs/>
          <w:sz w:val="26"/>
          <w:szCs w:val="26"/>
        </w:rPr>
        <w:t>2.6 Police Brutality and Racial Profiling</w:t>
      </w:r>
    </w:p>
    <w:p w14:paraId="00AB6179">
      <w:pPr>
        <w:pStyle w:val="4"/>
        <w:spacing w:before="280" w:after="1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2.6.1 The Pattern of Anti-Black Police Violence</w:t>
      </w:r>
    </w:p>
    <w:p w14:paraId="132BA825">
      <w:pPr>
        <w:spacing w:line="360" w:lineRule="auto"/>
        <w:rPr>
          <w:rFonts w:hint="default"/>
        </w:rPr>
      </w:pPr>
      <w:r>
        <w:rPr>
          <w:rFonts w:hint="default"/>
        </w:rPr>
        <w:t>The acts of violence committed by police against black people in other countries, particularly the United States, but also in the United Kingdom, France, Canada, Australia and beyond, is one of the most visible and devastating forms of racial discrimination. Black people are 2.5 times more likely than White people to be killed by the police in the United States, even after controlling for crime rates and frequency of being stopped by the police (Edwards, Lee, &amp; Esposito, 2019). Across a range of geographic areas, political jurisdictions, and characteristics of police departments, the racial disparity has persisted, with compelling evidence showing that it is not likely to simply be local conditions (Washington Post, 2020; Mapping Police Violence, 2020).</w:t>
      </w:r>
    </w:p>
    <w:p w14:paraId="6F0AF851">
      <w:pPr>
        <w:spacing w:line="360" w:lineRule="auto"/>
      </w:pPr>
      <w:r>
        <w:rPr>
          <w:rFonts w:hint="default"/>
        </w:rPr>
        <w:t>There are significant disparities in the UK between the rate of deaths following police use of force and the rate of deaths in police custody between Black and White peoples. On every occasion, the Independent Office for Police Conduct (IOPC, 2020) has identified that Black people are overrepresented in stop and search, Taser usage and physical restraint. While the French government does not collect race-based statistics, human rights groups have reported on the disproportionate use of lethal force and police brutality against Black and Arab people (Amnesty International France, 2020). All of these trends suggest anti-Black police violence is not a uniquely American issue, but a universal phenomenon of law enforcement structural racism.</w:t>
      </w:r>
    </w:p>
    <w:p w14:paraId="22556D65">
      <w:pPr>
        <w:pStyle w:val="4"/>
        <w:spacing w:before="280" w:after="1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2.6.2 Racial Profiling</w:t>
      </w:r>
    </w:p>
    <w:p w14:paraId="59A487CD">
      <w:pPr>
        <w:spacing w:line="360" w:lineRule="auto"/>
        <w:rPr>
          <w:rFonts w:hint="default"/>
        </w:rPr>
      </w:pPr>
      <w:r>
        <w:rPr>
          <w:rFonts w:hint="default"/>
        </w:rPr>
        <w:t>Racial Profiling: An action by law enforcement based on a person's racial/ethnic characteristics, rather than on individualized reasonable suspicion of criminal behavior. It is a cause and a consequence of over-policing Black communities, and becomes a self-reinforcing cycle of more policing leads to more arrests, which leads to more policing. (Glaser, 2015) Racial profiling results in daily indignities faced by black people, limits their freedom of movement and adds to what sociologist Elijah Anderson (1990) termed the ‘street code' – a set of informal behavioural rules black people have to learn in order to survive daily police harassment.</w:t>
      </w:r>
    </w:p>
    <w:p w14:paraId="1AD0B091">
      <w:pPr>
        <w:spacing w:line="360" w:lineRule="auto"/>
      </w:pPr>
      <w:r>
        <w:rPr>
          <w:rFonts w:hint="default"/>
        </w:rPr>
        <w:t>Racial profiling is ubiquitous and is seen in the most routine activities in everyday life; the ‘Driving While Black' phenomenon is one such example (Epp, Maynard-Moody, &amp; Haider-Markel, 2014). The tragic event in which George Floyd was killed by police officers started out as a routine police call for an alleged counterfeit bill illustrates how a common occurrence for White people can lead to potentially fatal consequences for Black people (Alexander, 2010; New York Times, 2020).</w:t>
      </w:r>
    </w:p>
    <w:p w14:paraId="27F148A4">
      <w:pPr>
        <w:pStyle w:val="3"/>
        <w:spacing w:before="320" w:after="160"/>
      </w:pPr>
      <w:r>
        <w:rPr>
          <w:rFonts w:ascii="Times New Roman" w:hAnsi="Times New Roman" w:eastAsia="Times New Roman" w:cs="Times New Roman"/>
          <w:b/>
          <w:bCs/>
          <w:sz w:val="26"/>
          <w:szCs w:val="26"/>
        </w:rPr>
        <w:t>2.7 Legal and Policy Frameworks Addressing Racial Discrimination</w:t>
      </w:r>
    </w:p>
    <w:p w14:paraId="0B223BAA">
      <w:pPr>
        <w:pStyle w:val="4"/>
        <w:spacing w:before="280" w:after="1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2.7.1 International Human Rights Law</w:t>
      </w:r>
    </w:p>
    <w:p w14:paraId="6165C29E">
      <w:pPr>
        <w:spacing w:line="360" w:lineRule="auto"/>
        <w:rPr>
          <w:rFonts w:hint="default"/>
        </w:rPr>
      </w:pPr>
      <w:r>
        <w:rPr>
          <w:rFonts w:hint="default"/>
        </w:rPr>
        <w:t>Although the international human rights framework offers some important normative parameters for the prohibition of racial discrimination, the mechanisms for its enforcement are not adequate and rely heavily on the good faith of state parties. The United Nations General Assembly adopted the International Convention on the Elimination of All Forms of Racial Discrimination, which now has been ratified by 182 countries, in 1965, requiring that the contracting states should take measures to eliminate racial discrimination in all its forms and to guarantee that all persons are treated equally before the law, irrespective of their race or ethnicity (United Nations, 1965). Western countries have been repeatedly urged by the UN Committee on the Elimination of Racial Discrimination (CERD) and the UN Human Rights Committee (HRC) to take prompt action to eradicate racially discriminatory practices by their law enforcement agencies and to ensure that they do not use force in a racially discriminatory manner.</w:t>
      </w:r>
    </w:p>
    <w:p w14:paraId="6B1917D3">
      <w:pPr>
        <w:spacing w:line="360" w:lineRule="auto"/>
        <w:rPr>
          <w:rFonts w:hint="default"/>
        </w:rPr>
      </w:pPr>
      <w:r>
        <w:rPr>
          <w:rFonts w:hint="default"/>
        </w:rPr>
        <w:t>Yet the structural weaknesses of the enforcement mechanisms and the lag in implementing the recommendations of international human rights bodies by many Western states continue. The United States, for instance, has faced repeated censure on the part of the UN monitoring committees for its lack of measures to combat systemic racism in law enforcement, housing, education, and health care (CERD, 2014). In 2020, after George Floyd's death, the UN High Commissioner for Human Rights (OHCHR) demanded an independent investigation into the systemic racism that led to his murder, acting on the international recognition that the issue went beyond America's domestic politics and was of global human rights significance (OHCHR, 2020).</w:t>
      </w:r>
    </w:p>
    <w:p w14:paraId="20774E78">
      <w:pPr>
        <w:spacing w:line="360" w:lineRule="auto"/>
        <w:rPr>
          <w:rFonts w:hint="default"/>
          <w:b/>
          <w:bCs/>
        </w:rPr>
      </w:pPr>
      <w:r>
        <w:rPr>
          <w:rFonts w:hint="default"/>
          <w:b/>
          <w:bCs/>
        </w:rPr>
        <w:t>2.7.2 Domestic Anti-Discrimination Legislation</w:t>
      </w:r>
    </w:p>
    <w:p w14:paraId="4C64E427">
      <w:pPr>
        <w:spacing w:line="360" w:lineRule="auto"/>
        <w:rPr>
          <w:rFonts w:hint="default"/>
        </w:rPr>
      </w:pPr>
      <w:r>
        <w:rPr>
          <w:rFonts w:hint="default"/>
        </w:rPr>
        <w:t>Most western countries have national laws which expressly ban racial discrimination in the fields of employment, housing, education and public services. The Civil Rights Act of 1964, the Fair Housing Act of 1968, and the Equal Employment Opportunity Commission (EEOC) offer a legal basis for addressing an individual instance of discrimination in the United States. Critics, however, contend that such mechanisms are fundamentally insufficient to tackle structural racism because it is the individual complainant who must shoulder the burden of proof in the type of cases where structural racism is likely to exist and because they do not directly target the systemic disadvantage created by historically entrenched inequalities (Alexander, 2010; Harris, 1993). The Equality Act 2010 in the United Kingdom brings together previous anti-discrimination laws, which include direct and indirect discrimination against individuals with a racial background in jobs, training and public services (HM Government, 2010). There are comparable pieces of legislation in the European Union (EU) member states, within the EU Racial Equality Directive (2000/43/EC).</w:t>
      </w:r>
    </w:p>
    <w:p w14:paraId="61342005">
      <w:pPr>
        <w:spacing w:line="360" w:lineRule="auto"/>
        <w:rPr>
          <w:rFonts w:hint="default"/>
        </w:rPr>
      </w:pPr>
      <w:r>
        <w:rPr>
          <w:rFonts w:hint="default"/>
        </w:rPr>
        <w:t>There are major structural weaknesses in anti-discrimination legislation as vehicles to promote racial equality. They tend to focus on specific instances of discrimination, not on systemic inequalities; they expect the victims of discrimination to be the ones to report and pursue a claim; and they punish those who commit discrimination with penalties that are often not strong enough to discourage future acts of discrimination (Haney López, 2010). Anti-discrimination legislation is often reported as poorly funded, poorly enforced, and as lacking in institutional courage, meaning that the number of cases won under the law is very low and that institutional racists go unchased (Pager &amp; Shepherd, 2008).</w:t>
      </w:r>
    </w:p>
    <w:p w14:paraId="1DABC791">
      <w:pPr>
        <w:spacing w:line="360" w:lineRule="auto"/>
        <w:rPr>
          <w:rFonts w:hint="default"/>
          <w:b/>
          <w:bCs/>
        </w:rPr>
      </w:pPr>
      <w:r>
        <w:rPr>
          <w:rFonts w:hint="default"/>
          <w:b/>
          <w:bCs/>
        </w:rPr>
        <w:t>2.7.3 Police Reform Movements Post-George Floyd</w:t>
      </w:r>
    </w:p>
    <w:p w14:paraId="03797CE2">
      <w:pPr>
        <w:spacing w:line="360" w:lineRule="auto"/>
        <w:rPr>
          <w:rFonts w:hint="default"/>
        </w:rPr>
      </w:pPr>
      <w:r>
        <w:rPr>
          <w:rFonts w:hint="default"/>
        </w:rPr>
        <w:t>The political fallout from George Floyd's death has led to a "movement" for systemic police reforms in the USA and globally. Originally coined by protesters in the 2020 protest movement, the slogan 'Defund the Police' represented a wide range of reform ideas, from the simple reallocation of police budgets to more radical measures of altering existing police structures and replacing them with community-based public safety systems (Vitale, 2017; Kaba, 2021). Other more politically palatable recommendations were to end chokeholds, neck restraints, de-escalation training, and truly independent oversight of police departments.</w:t>
      </w:r>
    </w:p>
    <w:p w14:paraId="64466EBD">
      <w:pPr>
        <w:spacing w:line="360" w:lineRule="auto"/>
      </w:pPr>
      <w:r>
        <w:rPr>
          <w:rFonts w:hint="default"/>
        </w:rPr>
        <w:t>The George Floyd Justice in Policing Act passed the U.S. House of Representatives in 2021 but did not make it to the Senate, showing the stark political challenges to real substantive legislation (Congressional Research Service, 2021). Important changes in how states and localities police occurred in several jurisdictions at the local and state levels. Internationally, Floyd's death sparked a debate on whether police departments should be more sensitive in their use of force and racial profiling, although civil society groups and academics criticized that the reforms were not happening at the level and speed needed to address the problem as it is documented (Amnesty International, 2020; Human Rights Watch, 2020).</w:t>
      </w:r>
    </w:p>
    <w:p w14:paraId="1A8DB082">
      <w:pPr>
        <w:pStyle w:val="3"/>
        <w:spacing w:before="320" w:after="160"/>
      </w:pPr>
      <w:r>
        <w:rPr>
          <w:rFonts w:ascii="Times New Roman" w:hAnsi="Times New Roman" w:eastAsia="Times New Roman" w:cs="Times New Roman"/>
          <w:b/>
          <w:bCs/>
          <w:sz w:val="26"/>
          <w:szCs w:val="26"/>
        </w:rPr>
        <w:t xml:space="preserve">2.8 Theoretical </w:t>
      </w:r>
      <w:r>
        <w:rPr>
          <w:rFonts w:cs="Times New Roman"/>
          <w:b/>
          <w:bCs/>
          <w:sz w:val="26"/>
          <w:szCs w:val="26"/>
          <w:lang w:val="en-US"/>
        </w:rPr>
        <w:t xml:space="preserve">Review </w:t>
      </w:r>
    </w:p>
    <w:p w14:paraId="035F0024">
      <w:pPr>
        <w:pStyle w:val="4"/>
        <w:spacing w:before="280" w:after="1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2.8.1 Critical Race Theory</w:t>
      </w:r>
    </w:p>
    <w:p w14:paraId="71D5B825">
      <w:pPr>
        <w:spacing w:line="360" w:lineRule="auto"/>
        <w:rPr>
          <w:rFonts w:hint="default"/>
        </w:rPr>
      </w:pPr>
      <w:r>
        <w:rPr>
          <w:rFonts w:hint="default"/>
        </w:rPr>
        <w:t>Born in American legal academia in the 1970s and 1980s, by Derrick Bell, Kimberlé Crenshaw, Richard Delgado, Mari Matsada, and Patricia Williams, Critical Race Theory (CRT) is one of the most influential and comprehensive theories in racial discrimination analysis (Delgado &amp; Stefancic, 2017). CRT believes that racism is a normal, endemic aspect of American and Western society rather than an aberration of it; that it serves special material interests of White people and powerful institutions; and that it works through legal and social systems that look race-neutral, but have a consistent and predictable racial impact. Finally, CRT asserts that the ability of people of colour to tell stories and to create counter-narratives is an epistemic necessity, as it is a means of challenging dominant racial narratives that make racial inequality and injustice appear natural and inevitable.</w:t>
      </w:r>
    </w:p>
    <w:p w14:paraId="2D8D3ABD">
      <w:pPr>
        <w:spacing w:line="360" w:lineRule="auto"/>
        <w:rPr>
          <w:rFonts w:hint="default"/>
        </w:rPr>
      </w:pPr>
      <w:r>
        <w:rPr>
          <w:rFonts w:hint="default"/>
        </w:rPr>
        <w:t>A CRT approach would examine the killing of George Floyd not as the work of an isolated case of a rogue cop, but as an example of a culture of law enforcement and criminal justice in the United States that devalues Black life. (Bell, 1992; Crenshaw et al., 1995) It would explore the workings of the law and its initial failure charge Derek Chauvin and explore the broader doctrine of qualified immunity that routinely protects officers from civil liability, so as to uncover ways in which the law consistently protects white authority over black bodies (Haney López, 2010; Kendi, 2019).</w:t>
      </w:r>
    </w:p>
    <w:p w14:paraId="5AFB5625">
      <w:pPr>
        <w:spacing w:line="360" w:lineRule="auto"/>
        <w:rPr>
          <w:rFonts w:hint="default"/>
          <w:b/>
          <w:bCs/>
        </w:rPr>
      </w:pPr>
      <w:r>
        <w:rPr>
          <w:rFonts w:hint="default"/>
          <w:b/>
          <w:bCs/>
        </w:rPr>
        <w:t>2.8.2 Postcolonial Theory</w:t>
      </w:r>
    </w:p>
    <w:p w14:paraId="7D1DF8AF">
      <w:pPr>
        <w:spacing w:line="360" w:lineRule="auto"/>
        <w:rPr>
          <w:rFonts w:hint="default"/>
        </w:rPr>
      </w:pPr>
      <w:r>
        <w:rPr>
          <w:rFonts w:hint="default"/>
        </w:rPr>
        <w:t>Post-colonial theory, which was pioneered by Frantz Fanon, Edward Said, Homi Bhabha and Stuart Hall, provides a lens for exploring the international nature of the anti-Black racism that continues to shape social, cultural and political structures today, going back to European colonialism (Said, 1978; Bhabha, 1994; Hall, 1996). The psychopathology of colonialism as described in Fanon (1952) Black Skin, White Masks is quite profound and gives detailed description of how colonial racism results in a fundamentally different and wounded Black subjectivity, a 'Blackness' always Other, inferior and always subject to violence. In The Wretched of the Earth (1961), Fanon extends this analysis to the political and economic ramifications of the colonial oppression and the psychological aspects of the anti-colonial fight.</w:t>
      </w:r>
    </w:p>
    <w:p w14:paraId="09A96DCD">
      <w:pPr>
        <w:spacing w:line="360" w:lineRule="auto"/>
        <w:rPr>
          <w:rFonts w:hint="default"/>
        </w:rPr>
      </w:pPr>
      <w:r>
        <w:rPr>
          <w:rFonts w:hint="default"/>
        </w:rPr>
        <w:t>Postcolonial theory’s insights into the experiences of Black people in the foreign lands of the Europeans are especially relevant in this regard because the peoples of these foreign countries have been created by exploiting the labour and land of their colonial subjects, which has benefited them in terms of wealth, culture, and institutions (Mbembe, 2017). While some of the racism African Americans experienced in Europe may be described as xenophobic or due to cultural differences, it also stems from a structural relationship between Europe and Africa—what Hall (1997) refers to as ‘coloniality’—which is central to the development of racial hierarchy as a key feature of European modernity. Said's (1978) notion of Orientalism or the systematic construction of non-western peoples as Other, inferior, and in need of western governance of them provides an analytical template that can be applied to anti-black racism in the colonial and postcolonial context.</w:t>
      </w:r>
    </w:p>
    <w:p w14:paraId="7BA1BF2C">
      <w:pPr>
        <w:spacing w:line="360" w:lineRule="auto"/>
        <w:rPr>
          <w:rFonts w:hint="default"/>
          <w:b/>
          <w:bCs/>
        </w:rPr>
      </w:pPr>
      <w:r>
        <w:rPr>
          <w:rFonts w:hint="default"/>
          <w:b/>
          <w:bCs/>
        </w:rPr>
        <w:t>2.8.3 Intersectionality</w:t>
      </w:r>
    </w:p>
    <w:p w14:paraId="5EACCE4F">
      <w:pPr>
        <w:spacing w:line="360" w:lineRule="auto"/>
        <w:rPr>
          <w:rFonts w:hint="default"/>
        </w:rPr>
      </w:pPr>
      <w:r>
        <w:rPr>
          <w:rFonts w:hint="default"/>
        </w:rPr>
        <w:t>The term intersectionality, coined by U.S. legal scholar Kimberlé Crenshaw (1989, 1991), but later developed by Patricia Hill Collins (2000), refers to people occupying multiple, overlapping social positions (e.g. race, gender, class, sexuality, disability, nationality), and the interactions among these positions giving rise to particular, compound oppressions and privileges that cannot be understood by examining each identity separately. Crenshaw's initial conceptualization of intersectionality was in response to the experiences of Black women who were denied legal status due to their presence in the legal discourse as either a person of color or a person who was gendered as female, but not both.Crenshaw's original formulation of intersectionality was based on the experiences of Black women whose legal claims were rejected because they were not considered Black or they were not considered female.</w:t>
      </w:r>
    </w:p>
    <w:p w14:paraId="7B406921">
      <w:pPr>
        <w:spacing w:line="360" w:lineRule="auto"/>
      </w:pPr>
      <w:r>
        <w:rPr>
          <w:rFonts w:hint="default"/>
        </w:rPr>
        <w:t>When applied to Black people in other countries, an intersectional analysis highlights the differential experiences of Black men, Black women, Black LGBTQ+ people, Black immigrants who are not secure in their legal statuses, and Black people in various socioeconomic class positions (Collins, 2000; Crenshaw, 1991). While the study of anti-Black racism offers an important analytical common ground, an intersectional lens highlights that these experiences are deeply influenced by other aspects of identity and social position—until anti-Black racism policies are accompanied by attention to these intersecting axes of oppression, they may create new forms of exclusion.</w:t>
      </w:r>
    </w:p>
    <w:p w14:paraId="0B6C633A">
      <w:pPr>
        <w:pStyle w:val="3"/>
        <w:spacing w:before="320" w:after="160"/>
      </w:pPr>
      <w:r>
        <w:rPr>
          <w:rFonts w:ascii="Times New Roman" w:hAnsi="Times New Roman" w:eastAsia="Times New Roman" w:cs="Times New Roman"/>
          <w:b/>
          <w:bCs/>
          <w:sz w:val="26"/>
          <w:szCs w:val="26"/>
        </w:rPr>
        <w:t>2.9 Thematic Review</w:t>
      </w:r>
    </w:p>
    <w:p w14:paraId="748C297A">
      <w:pPr>
        <w:spacing w:before="160" w:after="160" w:line="36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After examining the existing literature with a thematic lens, the following themes emerge which thread throughout the academic discussion of racial discrimination against Black people in foreign countries. These themes offer a conceptual framework to examine the operation, persistence and re-production of racism over a range of national, historical and institutional contexts. Based on the literature reviewed, five key themes are identified: (1) structural and systemic nature of racism; (2) the importance of historical legacies in the present context of racial inequalities; (3) the psychological and social consequences of racial discrimination; (4) law, policy and institutional change; and (5) the link between race, identity and belonging in foreign contexts. These themes are expanded on below in relation to related scholarly works.</w:t>
      </w:r>
    </w:p>
    <w:p w14:paraId="73A9F402">
      <w:pPr>
        <w:spacing w:before="160" w:after="160" w:line="360" w:lineRule="auto"/>
        <w:jc w:val="both"/>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 xml:space="preserve">2.9.1 Theme 1: The Structural and Systemic </w:t>
      </w:r>
      <w:r>
        <w:rPr>
          <w:rFonts w:hint="default" w:cs="Times New Roman"/>
          <w:b/>
          <w:bCs/>
          <w:sz w:val="24"/>
          <w:szCs w:val="24"/>
          <w:lang w:val="en-US"/>
        </w:rPr>
        <w:t>Embedded</w:t>
      </w:r>
      <w:r>
        <w:rPr>
          <w:rFonts w:hint="default" w:ascii="Times New Roman" w:hAnsi="Times New Roman" w:eastAsia="Times New Roman" w:cs="Times New Roman"/>
          <w:b/>
          <w:bCs/>
          <w:sz w:val="24"/>
          <w:szCs w:val="24"/>
        </w:rPr>
        <w:t xml:space="preserve"> of Racism</w:t>
      </w:r>
    </w:p>
    <w:p w14:paraId="6060DE2F">
      <w:pPr>
        <w:spacing w:before="160" w:after="160" w:line="36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Racism toward Black people in foreign countries is not just about the prejudices of the individual and interpersonal relations but structurally and systemically rooted in the social institutions of modern states, as examined throughout the reviewed literature. This idea is expressed by Bonilla-Silva (2006, 2018) who theorises how racial inequality can be sustained in contemporary society through seemingly race-neutral institutional practices and ideologies that position race as irrelevant to the processes of racial inequality, yet consistently generate racially unequal results. It manifests in the way policing practices disproportionately target Black people to be stopped and searched, and, when they are instead entering into policing, they face escalated and lethal force (Edwards, Lee, &amp; Esposito, 2019); in the way that Black people are less likely to be hired for certain roles that they are equally qualified to perform as White people, despite being equally capable of doing so (Bertrand &amp; Mullainathan, 2004; Heath &amp; Di Stasio, 2019); in the way that they are systematically segregated in residential neighbourhoods over White people, despite being equally capable of living there (Massey &amp; Denton, 1993; Rothstein, 2017); and in the way that they receive systematically poorer treatment in healthcare services than their White counterparts, and experience worse health outcomes as a result (Braveman, 2022; Williams &amp; Mohammed, 2009).</w:t>
      </w:r>
    </w:p>
    <w:p w14:paraId="3893FA20">
      <w:pPr>
        <w:spacing w:before="160" w:after="160" w:line="36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Complementing the concept of ‘White racial frame' is Feagin's (2013) interpretation of the broader worldview that White-dominated institutions use to perceive, assess and manage Black lives. Alexander (2010) applies this structural analysis, specifically, to the criminal justice system, contending in The New Jim Crow that mass incarceration is the twenty-first century's form of civic segregation, or racial control as it has been called, that was traditionally worked through by Jim Crow segregation. The structural theme is also strong in the post-Floyd global conversations; the UN Human Rights Council (2020) made a clear statement that the killing of George Floyd was not the result of an isolated incident by a rogue police officer, but a sign of structural racism within the police. These scholarly contributions combine to provide a sense of the structural analysis of racism as the present-day paradigm in race studies, which serves as a theoretical basis for this study's analysis.</w:t>
      </w:r>
    </w:p>
    <w:p w14:paraId="76B703EB">
      <w:pPr>
        <w:spacing w:before="160" w:after="160" w:line="360" w:lineRule="auto"/>
        <w:jc w:val="both"/>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2.9.2 Theme 2: The Centrality of Historical Legacies in Shaping Contemporary Racial Inequalities</w:t>
      </w:r>
    </w:p>
    <w:p w14:paraId="47058FB3">
      <w:pPr>
        <w:spacing w:before="160" w:after="160" w:line="36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Another central theme in the literature is a focus on the historical forces and processes that gave rise to today's anti-Black racism. Racial inequalities of the present can only be explained through the historical roots of the transatlantic slave trade, European colonialism, legal segregation and policies of the postcolonial period. In his groundbreaking, seminal work on slavery and capitalism, Williams (1944) showed how the material foundations of Western modernity were built on the backs of slave labour, thus establishing a material connection between past racial exploitation and contemporary global inequality. This line of thinking is continued by Rodney (1972), who uses the case of Africa and colonialism to show that the Europeans systematically stripped Africa of their human and material resources leaving them with structural disadvantages, which still have their effect.</w:t>
      </w:r>
    </w:p>
    <w:p w14:paraId="584964B7">
      <w:pPr>
        <w:spacing w:before="160" w:after="160" w:line="360" w:lineRule="auto"/>
        <w:jc w:val="both"/>
      </w:pPr>
      <w:r>
        <w:rPr>
          <w:rFonts w:hint="default" w:ascii="Times New Roman" w:hAnsi="Times New Roman" w:eastAsia="Times New Roman" w:cs="Times New Roman"/>
          <w:sz w:val="24"/>
          <w:szCs w:val="24"/>
        </w:rPr>
        <w:t>In Stamped from the Beginning, Kendi (2016) traces a thorough intellectual history of racist concepts in America to show how racist ideology has shifted through different eras to suit the needs of those in power. The psychological aspects of this historical and psychological legacy are highlighted by Fanon's (1952, 1961) postcolonial analysis, which contends that colonialism caused a serious psychic injury to Black identity that could not be healed by the process of formal decolonization. Rothstein (2017) explicitly recounts how mid-twentieth century US government housing policies, such as the tactic of redlining – which meant that federal mortgage guarantees were systematically denied to Black families – have caused the racial wealth gap, a gap that remains a problem in the present-day American society. Following Floyd's death, the removal of statues of slave traders and colonial figures has become more widespread, as people think it is impossible to tackle historical injustice without doing so in the modern day, and it is a journey towards racial justice (Olusoga, 2020; BBC News, 2020). This historical theme is essential to addressing the issue of anti-Black racism in another country and helping to understand the significance of the deep structural legacies of the past that must be addressed alongside the more recent policy changes.</w:t>
      </w:r>
      <w:r>
        <w:rPr>
          <w:rFonts w:ascii="Times New Roman" w:hAnsi="Times New Roman" w:eastAsia="Times New Roman" w:cs="Times New Roman"/>
          <w:sz w:val="24"/>
          <w:szCs w:val="24"/>
        </w:rPr>
        <w:t>.</w:t>
      </w:r>
    </w:p>
    <w:p w14:paraId="5E94ADC1">
      <w:pPr>
        <w:pStyle w:val="4"/>
        <w:spacing w:before="240" w:after="1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2.9.3 Theme 3: The Psychological and Social Costs of Racial Discrimination</w:t>
      </w:r>
    </w:p>
    <w:p w14:paraId="53663900">
      <w:pPr>
        <w:spacing w:line="360" w:lineRule="auto"/>
        <w:rPr>
          <w:rFonts w:hint="default"/>
        </w:rPr>
      </w:pPr>
      <w:r>
        <w:rPr>
          <w:rFonts w:hint="default"/>
        </w:rPr>
        <w:t>A third major theme in the literature is the significant psychological and social damage done to black people in the wake of their experiences with racial discrimination. Both Williams and Mohammed (2009) present a thorough overview of the empirical evidence about how racial discrimination is associated with poorer mental health (depression, anxiety, and diminished psychological wellbeing) in a variety of national settings. Building on the idea of trauma, Carter (2007) advances the notion of race-based traumatic stress (RBTS) that sudden, severe, and life-threatening experiences of racism can cause clinical trauma, similar to trauma inflicted by combat or physical violence. Sue (2010) also records the psychological effects of microaggressions, which are small, upsetting events that happen to blacks every day in predominantly white institutional environments, and eventually have a cumulative effect to cause deep harm to mental health and self-worth.</w:t>
      </w:r>
    </w:p>
    <w:p w14:paraId="501E742F">
      <w:pPr>
        <w:spacing w:line="360" w:lineRule="auto"/>
        <w:rPr>
          <w:rFonts w:hint="default"/>
        </w:rPr>
      </w:pPr>
      <w:r>
        <w:rPr>
          <w:rFonts w:hint="default"/>
        </w:rPr>
        <w:t>The idea now introduced by Du Bois (1903) of ‘double consciousness,' referring to the psychological effects that black people experience when forced to see themselves through the eyes of dominant white people, is highly relevant for the identity issues of blacks abroad. The sociological literature on ‘racialized othering’ (Gilroy, 1987; Bhabha, 1994; Hall, 1996) also describes how black people in European societies are systematically defined as outsiders, both as formal citizens and in terms of their cultural integration. This is not the first study to highlight the specific psychological effects that have been documented of witnessing high-profile racial violence events, like the death of George Floyd, on Black communities around the world, which were measured with increases in anxiety, depression, and race-based trauma following such events (Nguyen et al., 2021; Bor et al., 2018). The social costs of racial discrimination are also very real: Pager and Shepherd (2008) report on racial discrimination in the labor market, housing, credit, and consumer markets, and how racial discrimination has a multiplicative effect across all of these domains to create a systemic socioeconomic disadvantage that cannot be addressed on an individual level.</w:t>
      </w:r>
    </w:p>
    <w:p w14:paraId="63E525FA">
      <w:pPr>
        <w:spacing w:line="360" w:lineRule="auto"/>
        <w:rPr>
          <w:rFonts w:hint="default"/>
          <w:b/>
          <w:bCs/>
        </w:rPr>
      </w:pPr>
      <w:r>
        <w:rPr>
          <w:rFonts w:hint="default"/>
          <w:b/>
          <w:bCs/>
        </w:rPr>
        <w:t>2.9.4 Theme 4: The Role of Law, Policy, and Institutional Reform</w:t>
      </w:r>
    </w:p>
    <w:p w14:paraId="4939E0FC">
      <w:pPr>
        <w:spacing w:line="360" w:lineRule="auto"/>
        <w:rPr>
          <w:rFonts w:hint="default"/>
        </w:rPr>
      </w:pPr>
      <w:r>
        <w:rPr>
          <w:rFonts w:hint="default"/>
        </w:rPr>
        <w:t>The fourth theme is about the link between legal structures, policy measures and the continuum of racial inequality. As noted in the literature reviewed, while there has been a significant amount of anti-discrimination legislation enacted in western countries, notably the Civil Rights Act 1964 in the United States, the Equality Act 2010 in the United Kingdom and the EU Racial Equality Directive (2000/43/EC) across the member states of the EU, racial inequalities in employment, housing, educational and criminal justice settings remain in place to an extent that suggests that the law alone is not sufficient to ensure racial justice (Alexander, 2010; Harris, 1993; Haney López, 2010). With regard to the legal reform movement, Critical Race Theory scholars such as Bell (1992), Crenshaw et al. (1995), and Delgado and Stefancic (2017) contend that legal changes have historically been intended to stifle and manage the demands of blacks for equality, not fundamentally to change the racial order, a process that Bell describes as ‘interest convergence.</w:t>
      </w:r>
    </w:p>
    <w:p w14:paraId="053FEFCD">
      <w:pPr>
        <w:spacing w:line="360" w:lineRule="auto"/>
      </w:pPr>
      <w:r>
        <w:rPr>
          <w:rFonts w:hint="default"/>
        </w:rPr>
        <w:t>The international human rights framework is effective in establishing normative standards through various conventions, like the International Convention on the Elimination of All Forms of Racial Discrimination (ICERD, 1965), but is weak in terms of their ability to achieve binding commitments from States and have strong effective enforcement mechanisms (United Nations, 1965; CERD, 2014). The recent post-Floyd debate on police reform has made this theme clear: although the United States Senate has passed the George Floyd Justice in Policing Act, it has not yet passed the U.S. House of Representatives (Congressional Research Service, 2021); and international police reform has been largely inadequate in the face of documented anti-Black police violence (Amnesty International, 2020; Human Rights Watch, 2020). From the abolitionist stance, Vitale (2017) and Kaba (2021) assert that tangible change must begin by working towards a new vision of public safety and community investment rather than incremental police reform. This theme offers the opportunity to consider the circumstances in which law and policy can actually create a more substantive change in racial equality and not just a symbolic one.</w:t>
      </w:r>
    </w:p>
    <w:p w14:paraId="778F24EE">
      <w:pPr>
        <w:pStyle w:val="4"/>
        <w:spacing w:before="240" w:after="1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2.9.5 Theme 5: Race, Identity, and Belonging in Foreign Countries</w:t>
      </w:r>
    </w:p>
    <w:p w14:paraId="5999D6FB">
      <w:pPr>
        <w:spacing w:line="360" w:lineRule="auto"/>
        <w:rPr>
          <w:rFonts w:hint="default"/>
        </w:rPr>
      </w:pPr>
      <w:r>
        <w:rPr>
          <w:rFonts w:hint="default"/>
        </w:rPr>
        <w:t>Another, especially important topic is the multi-faceted process of racial positioning, nationhood and social inclusion for blacks in overseas nations. This theme engages with and builds upon the work of postcolonial theory (Fanon, 1952; Bhabha, 1994), the sociology of diaspora (Gilroy, 1993; Hall, 1996) and the critical examination of nationalism and citizenship. For Black immigrants, as well as for Black citizens of other Western nations, citizenship, language fluency, and cultural integration are not sufficient to create a sense of belonging that could be considered equivalent to belonging to the nation of origin; and, indeed, Blackness is a status whereby Otherness trumps citizenship, language, and cultural integration (Fanon, 1952; Gilroy, 1987). In the United Kingdom, the Windrush Scandal (Gentleman, 2019) offers a stark example of the operationalization of this outsider status of the Black people through the state to deny Black residents their rights to residence, healthcare, and civic participation.</w:t>
      </w:r>
    </w:p>
    <w:p w14:paraId="1C18D88C">
      <w:pPr>
        <w:spacing w:line="360" w:lineRule="auto"/>
      </w:pPr>
      <w:r>
        <w:rPr>
          <w:rFonts w:hint="default"/>
        </w:rPr>
        <w:t>Furthermore, the intersectionality approach of Crenshaw (1989, 1991) highlights the additional layers of complexity as the identity of blacks is negotiated through multiple intersecting axes of social location in foreign nations, suggesting that black experiences of exclusion are not uniform but that there are various intersecting layers of social location. Being Black in the EU (European Union Agency for Fundamental Rights – FRA 2018) provides a snapshot of the experiences of Black people in fourteen EU member states, highlighting significant levels of discrimination and harassment across all of these countries, alongside a feeling of not being accepted as a true member of the societies in which they live and work. This theme of identity and belonging is closely linked to the larger question of what racial equality would mean: simply that it would be free of discrimination, but also that it would involve the complete and equal integration of blacks into the social, political, and cultural lives of the nations that they live in.</w:t>
      </w:r>
    </w:p>
    <w:p w14:paraId="0DBB3D01">
      <w:pPr>
        <w:pStyle w:val="3"/>
        <w:spacing w:before="320" w:after="160"/>
        <w:rPr>
          <w:rFonts w:ascii="Times New Roman" w:hAnsi="Times New Roman" w:eastAsia="Times New Roman" w:cs="Times New Roman"/>
          <w:b/>
          <w:bCs/>
          <w:sz w:val="26"/>
          <w:szCs w:val="26"/>
        </w:rPr>
      </w:pPr>
      <w:r>
        <w:rPr>
          <w:rFonts w:ascii="Times New Roman" w:hAnsi="Times New Roman" w:eastAsia="Times New Roman" w:cs="Times New Roman"/>
          <w:b/>
          <w:bCs/>
          <w:sz w:val="26"/>
          <w:szCs w:val="26"/>
        </w:rPr>
        <w:t>2.10 Empirical Review</w:t>
      </w:r>
    </w:p>
    <w:p w14:paraId="128288F7">
      <w:pPr>
        <w:spacing w:line="360" w:lineRule="auto"/>
        <w:rPr>
          <w:rFonts w:hint="default"/>
        </w:rPr>
      </w:pPr>
      <w:r>
        <w:rPr>
          <w:rFonts w:hint="default"/>
        </w:rPr>
        <w:t>The section highlights the salient empirical studies that have explored racial discrimination against Black individuals in other countries, specifically focusing on the studies pertaining to policing and criminal justice, employment and labour market outcomes, housing and residential patterns, health disparities, psychological wellbeing, and the international effects of the Black Lives Matter movement after George Floyd's death. The material found in the following pages of empirical material does form the evidential basis for conceptual and theoretical argumentation in this study, and supports the proposition that racial discrimination against blacks in foreign countries is not just a collection of isolated individual incidents but a measurable and pervasive phenomenon that is structurally produced.</w:t>
      </w:r>
    </w:p>
    <w:p w14:paraId="00170AE5">
      <w:pPr>
        <w:spacing w:line="360" w:lineRule="auto"/>
        <w:rPr>
          <w:rFonts w:hint="default"/>
          <w:b/>
          <w:bCs/>
          <w:color w:val="1F497D" w:themeColor="text2"/>
          <w:lang w:val="en-US"/>
          <w14:textFill>
            <w14:solidFill>
              <w14:schemeClr w14:val="tx2"/>
            </w14:solidFill>
          </w14:textFill>
        </w:rPr>
      </w:pPr>
      <w:r>
        <w:rPr>
          <w:rFonts w:hint="default"/>
          <w:b/>
          <w:bCs/>
          <w:color w:val="1F497D" w:themeColor="text2"/>
          <w14:textFill>
            <w14:solidFill>
              <w14:schemeClr w14:val="tx2"/>
            </w14:solidFill>
          </w14:textFill>
        </w:rPr>
        <w:t>2.10.1 Empirical Evidence on Policing, Racial Profiling, and Anti-Black Violenc</w:t>
      </w:r>
      <w:r>
        <w:rPr>
          <w:rFonts w:hint="default"/>
          <w:b/>
          <w:bCs/>
          <w:color w:val="1F497D" w:themeColor="text2"/>
          <w:lang w:val="en-US"/>
          <w14:textFill>
            <w14:solidFill>
              <w14:schemeClr w14:val="tx2"/>
            </w14:solidFill>
          </w14:textFill>
        </w:rPr>
        <w:t>e</w:t>
      </w:r>
    </w:p>
    <w:p w14:paraId="5253A484">
      <w:pPr>
        <w:spacing w:line="360" w:lineRule="auto"/>
        <w:rPr>
          <w:rFonts w:hint="default"/>
        </w:rPr>
      </w:pPr>
      <w:r>
        <w:rPr>
          <w:rFonts w:hint="default"/>
        </w:rPr>
        <w:t>There is, of course, an impressive body of empirical evidence on racial discrimination against blacks in other countries, much of it quantitative, found in the literature on policing. In the United States, Edwards, Lee and Esposito (2019), based on records from the National Vital Statistics System, and Mapping Police Violence, estimated that the lifetime risk of being killed by a police officer is around 2.5 times higher for Black Americans than for White Americans, across all age groups, sexes and geographic areas, after statistical adjustments. Using a multi-level Bayesian analysis of county-level data on the likelihood of encountering a police officer who shoots a citizen from 2011 to 2014, Ross (2015) discovered that anti-Black racial bias in police shootings was widespread in the continental United States, with Black being far more likely to be killed than White in jurisdictions with low overall rates of police violence.</w:t>
      </w:r>
    </w:p>
    <w:p w14:paraId="2793D196">
      <w:pPr>
        <w:spacing w:line="360" w:lineRule="auto"/>
      </w:pPr>
      <w:r>
        <w:rPr>
          <w:rFonts w:hint="default"/>
        </w:rPr>
        <w:t>In relation to the domain of implicit bias and split-second use of force decisions, Correll et al. (2007) designed and executed a series of experimental studies with both police officers and civilians, including trained officers, who were much quicker and more likely to shoot someone who was black than a white person when they saw a gunslinger, and slower to withhold their fire in the absence of a weapon when they saw someone who was black. Banaji and Greenwald's (1995) seminal research on the Implicit Association Test (IAT) demonstrated that these unconscious racial associations are widespread, even among those who profess to have egalitarian views about race, and recent studies confirmed that these implicit biases are measurable and impactful in law enforcement decision-making (Shah, 2023). The Independent Office for Police Conduct (IOPC, 2020) has made quantitative findings of racial profiling in British police practices, with Black people being disproportionately targeted for stop-and-search (somewhat more than 9 per cent more than White people over England and Wales) and Tasers. The French National Consultative Commission on Human Rights (CNCDH, 2019) also reported that Black people in France face identity checks by police at five times the rate of White people, despite France's official stance on not collecting race disaggregated data.</w:t>
      </w:r>
    </w:p>
    <w:p w14:paraId="4BBACFFD">
      <w:pPr>
        <w:pStyle w:val="4"/>
        <w:spacing w:before="240" w:after="1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2.10.2 Empirical Evidence on Employment and Labour Market Discrimination</w:t>
      </w:r>
    </w:p>
    <w:p w14:paraId="2ECF336D">
      <w:pPr>
        <w:spacing w:line="360" w:lineRule="auto"/>
        <w:rPr>
          <w:rFonts w:hint="default"/>
        </w:rPr>
      </w:pPr>
      <w:r>
        <w:rPr>
          <w:rFonts w:hint="default"/>
        </w:rPr>
        <w:t>Studies and correspondence tests are considered a methodological gold standard because they control for all job-relevant qualifications and only vary the race signal (name or identity) of the applicant. The initial study, by Bertrand and Mullainathan (2004) that submitted more than 5,000 fictional résumés to real job ads in Boston and Chicago showed that applications with identifiably White-sounding names were 50 percent more likely to receive an interview call-back than comparable applications with identifiably Black-sounding names, a difference equivalent to the effect of eight extra years of work experience. The results have been repeated in several countries. In a similar correspondence test, Oreopoulos and Dechef (2012) were able to demonstrate that applicants with names with English tones were more likely to be called back than those with Asian and African names, after adjusting for education and experience.</w:t>
      </w:r>
    </w:p>
    <w:p w14:paraId="60354C1C">
      <w:pPr>
        <w:spacing w:line="360" w:lineRule="auto"/>
        <w:rPr>
          <w:rFonts w:hint="default"/>
        </w:rPr>
      </w:pPr>
      <w:r>
        <w:rPr>
          <w:rFonts w:hint="default"/>
        </w:rPr>
        <w:t>In a large-scale meta-analytic review of field experiments on racial discrimination in the British labour market from 1969 to 2017, Heath and Di Stasio (2019) report that ethnic minority job applicants, and especially Black job applicants, were subjected to significant and statistically significant hiring discrimination at consistently high levels across the 50-year period, with few signs of improvement. The EU Agency for Fundamental Rights (FRA, 2018) survey of more that 22,000 participants from twenty-one African, Caribbean and Black European communities in fourteen EU member states revealed that 39 per cent of the Black European respondents had suffered from racial discrimination at work in the last five years. The scale and scope of this cross-national survey offer significant comparative evidence on the issue of employment discrimination against black people which suggests that it is not a problem peculiar to any one national cultural or historical context.</w:t>
      </w:r>
    </w:p>
    <w:p w14:paraId="3D324DCC">
      <w:pPr>
        <w:spacing w:line="360" w:lineRule="auto"/>
        <w:rPr>
          <w:rFonts w:hint="default"/>
          <w:b/>
          <w:bCs/>
          <w:color w:val="1F497D" w:themeColor="text2"/>
          <w14:textFill>
            <w14:solidFill>
              <w14:schemeClr w14:val="tx2"/>
            </w14:solidFill>
          </w14:textFill>
        </w:rPr>
      </w:pPr>
      <w:r>
        <w:rPr>
          <w:rFonts w:hint="default"/>
          <w:b/>
          <w:bCs/>
          <w:color w:val="1F497D" w:themeColor="text2"/>
          <w14:textFill>
            <w14:solidFill>
              <w14:schemeClr w14:val="tx2"/>
            </w14:solidFill>
          </w14:textFill>
        </w:rPr>
        <w:t>2.10.3 Empirical evidence on housing discrimination and residential segregation</w:t>
      </w:r>
    </w:p>
    <w:p w14:paraId="3F42CF20">
      <w:pPr>
        <w:spacing w:line="360" w:lineRule="auto"/>
        <w:rPr>
          <w:rFonts w:hint="default"/>
        </w:rPr>
      </w:pPr>
      <w:r>
        <w:rPr>
          <w:rFonts w:hint="default"/>
        </w:rPr>
        <w:t>Paired testing was used in twenty-eight US metros to assess Housing Discrimination in the Rental and Sales Housing Markets in Turner et al.’s 2013 national study commissioned by the US Department of Housing and Urban Development (HUD). In most markets studied, Black renters reported being told about and shown far fewer units available when compared to similarly qualified White renters, and Black homebuyers were similarly treated differently by real estate agents. The results of these studies were similar to earlier HUD audit studies done in 1989 and 2000 and showed that discriminatory practices in the American housing market have continued since the Fair Housing Act was enacted in 1968.</w:t>
      </w:r>
    </w:p>
    <w:p w14:paraId="48F0E34B">
      <w:pPr>
        <w:spacing w:line="360" w:lineRule="auto"/>
      </w:pPr>
      <w:r>
        <w:rPr>
          <w:rFonts w:hint="default"/>
        </w:rPr>
        <w:t>In their seminal sociological study American Apartheid, Massey and Denton (1993) introduced the term ‘hypersegregation' to analyze the various forms of residential segregation found in American cities, and, using in-depth analysis of census data, they showed that the residential segregation of Black communities is unique and much more extreme than that of all other racial and ethnic minority communities. This hypersegregation had nothing to do with Black residential preference or economic sorting, they found, but was a direct result of decades of government policies, banking and real estate discrimination. The findings were reinforced by Rothstein (2017) who documents in detail how federal housing policy explicitly encouraged racial segregation by the underwriting standards of the Federal Housing Administration, the construction of racially segregated public housing projects, and the involvement of federal agencies in private discriminatory practices. Darity and Mullen (2020) link them directly to the modern-day racial wealth gap, which they believe stems from the postwar economic boom's exclusion of Black families from homeownership and the wealth that comes with it.</w:t>
      </w:r>
    </w:p>
    <w:p w14:paraId="45CF2FCE">
      <w:pPr>
        <w:pStyle w:val="4"/>
        <w:spacing w:before="240" w:after="120"/>
      </w:pPr>
      <w:r>
        <w:rPr>
          <w:rFonts w:ascii="Times New Roman" w:hAnsi="Times New Roman" w:eastAsia="Times New Roman" w:cs="Times New Roman"/>
          <w:b/>
          <w:bCs/>
          <w:sz w:val="24"/>
          <w:szCs w:val="24"/>
        </w:rPr>
        <w:t>2.10.4 Empirical Evidence on Health Disparities and Mental Health</w:t>
      </w:r>
    </w:p>
    <w:p w14:paraId="328B2DE0">
      <w:pPr>
        <w:spacing w:before="160" w:after="160" w:line="360" w:lineRule="auto"/>
        <w:jc w:val="both"/>
        <w:rPr>
          <w:rFonts w:hint="default"/>
        </w:rPr>
      </w:pPr>
      <w:r>
        <w:rPr>
          <w:rFonts w:hint="default"/>
        </w:rPr>
        <w:t>Empirical studies on the health effects of racial discrimination yield a strong body of evidence of direct and indirect effects of racism on blacks' physical and mental well-being. In a systematic review of more than 100 empirical studies, Williams and Mohammed (2009) found that self-reported experiences of racial discrimination were consistently and independently linked to worse mental health (e.g., depression, anxiety, and psychological distress) after accounting for socioeconomic, age, and other potential confounders. This review included research in the United States, United Kingdom, Australia, and New Zealand, which offers cross-national evidence of health-damaging effects of racial discrimination. Braveman (2022) reviews the literature on how structural racism affects health, and concludes that the relationship between racial disparities and structural racism in maternal and infant mortality and life expectancy, cardiovascular disease outcomes, and COVID-19 outcomes cannot be explained by individual-level biological or behavioural factors, but is rather an outcome of multiple social determinants of health operating simultaneously.</w:t>
      </w:r>
    </w:p>
    <w:p w14:paraId="595393B1">
      <w:pPr>
        <w:spacing w:before="160" w:after="160" w:line="360" w:lineRule="auto"/>
        <w:jc w:val="both"/>
        <w:rPr>
          <w:rFonts w:hint="default"/>
        </w:rPr>
      </w:pPr>
      <w:r>
        <w:rPr>
          <w:rFonts w:hint="default"/>
        </w:rPr>
        <w:t>In a meticulous epidemiological analysis of the mental health impacts of police killing Black people, published in The Lancet (2018), Bor et al. estimated a mental health impact of about 1.7 additional poor mental health days per individual black American in the state of the incident during the next three months after the killing of one Black person unarmed by the police, similar to the mental health impact of a personal diagnosis with diabetes or a personal experience of unemployment. Nguyen et al. (2021) did this analysis specifically for the George Floyd killing, finding that there was a notable increase in self-reported anxiety and depression among Black respondents in a nationally representative survey in the weeks that followed Floyd's death. Recent survey research conducted by Tynes et al. (2008) has shown that racial discrimination found online, an issue of particular relevance in the social media age, is a potent influence on poor mental health among African American youth, independent from the effects of racial discrimination in other settings.</w:t>
      </w:r>
    </w:p>
    <w:p w14:paraId="5162D9C0">
      <w:pPr>
        <w:spacing w:before="160" w:after="160" w:line="360" w:lineRule="auto"/>
        <w:jc w:val="both"/>
        <w:rPr>
          <w:rFonts w:hint="default"/>
        </w:rPr>
      </w:pPr>
      <w:r>
        <w:rPr>
          <w:rFonts w:hint="default"/>
          <w:b/>
          <w:bCs/>
          <w:color w:val="1F497D" w:themeColor="text2"/>
          <w14:textFill>
            <w14:solidFill>
              <w14:schemeClr w14:val="tx2"/>
            </w14:solidFill>
          </w14:textFill>
        </w:rPr>
        <w:t>2.10.5, Empirical Evidence on the Global Black Lives Matter Movement and Post-Floyd Responses, focuses on evidence from around the world concerning the Black Lives Matter Movement and the responses to Floyd.</w:t>
      </w:r>
    </w:p>
    <w:p w14:paraId="0F9A5256">
      <w:pPr>
        <w:spacing w:before="160" w:after="160" w:line="360" w:lineRule="auto"/>
        <w:jc w:val="both"/>
        <w:rPr>
          <w:rFonts w:hint="default"/>
        </w:rPr>
      </w:pPr>
      <w:r>
        <w:rPr>
          <w:rFonts w:hint="default"/>
        </w:rPr>
        <w:t>The empirical study of the Black Lives Matter movement and its global impact in the wake of George Floyd's death offer compelling evidence of the extent of popular concern about racial discrimination, as well as the inadequacy of political and institutional responses. Using data from The New York Times on protest events, Buchanan, Bui, and Patel (2020) estimated that the protests that arose after Floyd's death marked one of the largest social movements in U.S. history, with between 15 and 26 million people participating in protests in all fifty states, placing it among the largest collective mobilizations in recorded American history. Freelon, McIlwain, and Clark (2016) examined the data of more than 40 million tweets created during the Black Lives Matter movement and found that social media platforms were used to establish and maintain a decentralized, nation-wide, and even international network of activists, media producers, and everyday citizens participating in the fight against anti-Black racial violence.</w:t>
      </w:r>
    </w:p>
    <w:p w14:paraId="33B778E6">
      <w:pPr>
        <w:spacing w:before="160" w:after="160" w:line="360" w:lineRule="auto"/>
        <w:jc w:val="both"/>
      </w:pPr>
      <w:r>
        <w:rPr>
          <w:rFonts w:hint="default"/>
        </w:rPr>
        <w:t>Al Jazeera (2020) and various media and academic reports documented the international nature of the post-Floyd protest movement with large demonstrations in more than sixty countries on six continents, including the United Kingdom, France, Germany, the Netherlands, Australia, Canada, Brazil, Nigeria, Kenya, Ghana and Japan. This global mobilization was a tangible expression of the international nature of the critique of anti-Black racism and the global recognition of Black communities and allies that the conditions that led to the death of George Floyd are not uniquely American, but rather part of the broader pattern of racial hierarchy around the world. Prior to Floyd's death, there was an empirical baseline that could be used to evaluate the experiences of Black people in European countries (as measured by the FRA (2018) survey) to see if there has been a measurable improvement in their lives since the beginning of the political moment.Before Floyd, there was a baseline of empirical data to assess whether there was a measurable improvement in the experiences of Black people in European countries after the start of the political moment (as measured by the FRA (2018) survey). The Washington Post Police Shootings Database (2020) and Mapping Police Violence (2020) are the two most comprehensive empirical records of fatal police violence in the United States, and their findings inform the claims of racial disparities in lethal police force use, which became a fundamental aspect of the structural context of George Floyd's killing.</w:t>
      </w:r>
    </w:p>
    <w:p w14:paraId="1DD1EFB1">
      <w:pPr>
        <w:pStyle w:val="3"/>
        <w:spacing w:before="320" w:after="160"/>
      </w:pPr>
      <w:r>
        <w:rPr>
          <w:rFonts w:ascii="Times New Roman" w:hAnsi="Times New Roman" w:eastAsia="Times New Roman" w:cs="Times New Roman"/>
          <w:b/>
          <w:bCs/>
          <w:sz w:val="26"/>
          <w:szCs w:val="26"/>
        </w:rPr>
        <w:t>2.11 Gap in the Literature</w:t>
      </w:r>
    </w:p>
    <w:p w14:paraId="3A9537A9">
      <w:pPr>
        <w:spacing w:after="200" w:line="36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Although there is already a considerable amount of valuable research on the nature and effects of racial discrimination against Black people in western societies, there are some important gaps in this literature that this study takes up. First, most of the current research focuses on the United States, and there is relatively little research on the experiences of Black communities in other countries, such as European countries, Canada, Australia, and other foreign countries. These diverse national contexts, histories and legal frameworks give rise to racial discrimination in forms which cannot be replicated from the American context but must be carefully studied and theorized (Murji &amp; Solomos, 2005; FRA, 2018).</w:t>
      </w:r>
    </w:p>
    <w:p w14:paraId="7C2D2D93">
      <w:pPr>
        <w:spacing w:after="200" w:line="36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Second, high-profile racial violence events, like the killing of George Floyd, have not received sufficient research attention related to their longer-term psychological, social and economic consequences on Black communities abroad. The subsequent protest movement, after Floyd's killing, has been covered by journalists and social scientists, but the long-term consequences of this milestone event on Black political awareness, community mobilization and institutional policy change in foreign lands have been substantially under-researched (Buchanan, Bui, &amp; Patel, 2020; Freelon et al., 2016).</w:t>
      </w:r>
    </w:p>
    <w:p w14:paraId="06FB01B6">
      <w:pPr>
        <w:spacing w:after="200" w:line="360" w:lineRule="auto"/>
        <w:jc w:val="both"/>
        <w:rPr>
          <w:rFonts w:ascii="Times New Roman" w:hAnsi="Times New Roman" w:eastAsia="Times New Roman" w:cs="Times New Roman"/>
          <w:sz w:val="24"/>
          <w:szCs w:val="24"/>
        </w:rPr>
      </w:pPr>
      <w:r>
        <w:rPr>
          <w:rFonts w:hint="default" w:ascii="Times New Roman" w:hAnsi="Times New Roman" w:eastAsia="Times New Roman" w:cs="Times New Roman"/>
          <w:sz w:val="24"/>
          <w:szCs w:val="24"/>
        </w:rPr>
        <w:t>Third, the literature has tended to focus primarily on anti-Black racism in law enforcement settings, and comparative analysis that focuses on racial discrimination across multiple settings—such as employment, housing, health and healthcare, education, and political representation—in a coherent global framework is limited. This research aims to help to fill these gaps with a targeted examination of the effects of racial discrimination on Black lives abroad, highlighting the particularity of America and its relationship with other patterns of anti-Black racism around the world with George Floyd as the analytical case study.</w:t>
      </w:r>
    </w:p>
    <w:p w14:paraId="5138009D">
      <w:pPr>
        <w:pStyle w:val="2"/>
        <w:spacing w:before="240" w:after="120"/>
      </w:pPr>
      <w:r>
        <w:rPr>
          <w:rFonts w:ascii="Arial" w:hAnsi="Arial" w:eastAsia="Arial" w:cs="Arial"/>
          <w:b/>
          <w:bCs/>
          <w:caps/>
          <w:sz w:val="28"/>
          <w:szCs w:val="28"/>
        </w:rPr>
        <w:t>CHAPTER THREE</w:t>
      </w:r>
    </w:p>
    <w:p w14:paraId="4EC0E240">
      <w:pPr>
        <w:pStyle w:val="2"/>
        <w:spacing w:before="240" w:after="120"/>
      </w:pPr>
      <w:r>
        <w:rPr>
          <w:rFonts w:ascii="Arial" w:hAnsi="Arial" w:eastAsia="Arial" w:cs="Arial"/>
          <w:b/>
          <w:bCs/>
          <w:caps/>
          <w:sz w:val="28"/>
          <w:szCs w:val="28"/>
        </w:rPr>
        <w:t>RESEARCH METHODOLOGY</w:t>
      </w:r>
    </w:p>
    <w:p w14:paraId="23985CEA">
      <w:pPr>
        <w:pStyle w:val="3"/>
        <w:spacing w:before="200" w:after="80"/>
        <w:rPr>
          <w:rFonts w:ascii="Arial" w:hAnsi="Arial" w:eastAsia="Arial" w:cs="Arial"/>
          <w:b/>
          <w:bCs/>
          <w:sz w:val="24"/>
          <w:szCs w:val="24"/>
        </w:rPr>
      </w:pPr>
      <w:r>
        <w:rPr>
          <w:rFonts w:ascii="Arial" w:hAnsi="Arial" w:eastAsia="Arial" w:cs="Arial"/>
          <w:b/>
          <w:bCs/>
          <w:sz w:val="24"/>
          <w:szCs w:val="24"/>
        </w:rPr>
        <w:t>3.1 Introduction</w:t>
      </w:r>
    </w:p>
    <w:p w14:paraId="2870815D">
      <w:pPr>
        <w:spacing w:line="360" w:lineRule="auto"/>
        <w:rPr>
          <w:rFonts w:hint="default"/>
        </w:rPr>
      </w:pPr>
      <w:r>
        <w:rPr>
          <w:rFonts w:hint="default"/>
        </w:rPr>
        <w:t>Research methodology is a systematical procedure that is followed in the design of a study, collection of data and drawing of conclusions (Creswell and Creswell, 2018). This chapter describes the methodology used to delve into the effects of racism and discriminatory practices on Black people in other nations, especially in the context of the George Floyd incident and the Black Lives Matter (BLM) movement. These decisions are informed by the type of research problem, the sensitivity of the content area and the desire to gain an in-depth understanding of human experiences with racial injustice.</w:t>
      </w:r>
    </w:p>
    <w:p w14:paraId="1961E07B">
      <w:pPr>
        <w:spacing w:line="360" w:lineRule="auto"/>
      </w:pPr>
      <w:r>
        <w:rPr>
          <w:rFonts w:hint="default"/>
        </w:rPr>
        <w:t>Racism and discrimination are lived experiences such as trauma, systemic exclusion and identity, which cannot be easily quantified (Denzin and Lincoln, 2018; Bryman, 2016). Qualitative methods are crucial when the investigation is aimed at comprehending people's interpretations of their experiences, as Braun and Clarke (2013, p. 2) point out. The theoretical framework, research hypotheses, research design, data collection method, data analysis procedure, logical data framework, validity and reliability considerations and ethical principles that govern this study are presented in this chapter.</w:t>
      </w:r>
    </w:p>
    <w:p w14:paraId="32C7478D">
      <w:pPr>
        <w:pStyle w:val="3"/>
        <w:spacing w:before="200" w:after="80"/>
      </w:pPr>
      <w:r>
        <w:rPr>
          <w:rFonts w:ascii="Arial" w:hAnsi="Arial" w:eastAsia="Arial" w:cs="Arial"/>
          <w:b/>
          <w:bCs/>
          <w:sz w:val="24"/>
          <w:szCs w:val="24"/>
        </w:rPr>
        <w:t>3.2 Theoretical Framework</w:t>
      </w:r>
    </w:p>
    <w:p w14:paraId="2912662C">
      <w:pPr>
        <w:pStyle w:val="4"/>
        <w:spacing w:before="160" w:after="60"/>
        <w:rPr>
          <w:rFonts w:ascii="Arial" w:hAnsi="Arial" w:eastAsia="Arial" w:cs="Arial"/>
          <w:b/>
          <w:bCs/>
          <w:sz w:val="22"/>
          <w:szCs w:val="22"/>
        </w:rPr>
      </w:pPr>
      <w:r>
        <w:rPr>
          <w:rFonts w:ascii="Arial" w:hAnsi="Arial" w:eastAsia="Arial" w:cs="Arial"/>
          <w:b/>
          <w:bCs/>
          <w:sz w:val="22"/>
          <w:szCs w:val="22"/>
        </w:rPr>
        <w:t>3.2.1 Critical Race Theory (CRT)</w:t>
      </w:r>
    </w:p>
    <w:p w14:paraId="1D91A4CB">
      <w:pPr>
        <w:spacing w:line="360" w:lineRule="auto"/>
        <w:rPr>
          <w:rFonts w:hint="default"/>
        </w:rPr>
      </w:pPr>
      <w:r>
        <w:rPr>
          <w:rFonts w:hint="default"/>
        </w:rPr>
        <w:t>The main theoretical framework used for this study is Critical Race Theory (CRT), a theory that argues that racism is not an isolated phenomenon of individuals' minds, but is actually ingrained in the social structures, institutions, and cultural norms of society (Delgado and Stefancic, 2017, p. 3). CRT is based on the idea of racism as normal as opposed to rare, that it is useful in the material interests of those who are in a position to benefit, and that countering racism involves "putting black people's experiences at the center of the analysis" (Crenshaw et al., 1995). This is extended beyond the legal sphere to everyday social life by Kimberlé Crenshaw (1989), who envisioned intersectionality as the compounding of disadvantages of race and gender and class.</w:t>
      </w:r>
    </w:p>
    <w:p w14:paraId="6CDE8EA3">
      <w:pPr>
        <w:spacing w:line="360" w:lineRule="auto"/>
        <w:rPr>
          <w:rFonts w:hint="default"/>
        </w:rPr>
      </w:pPr>
      <w:r>
        <w:rPr>
          <w:rFonts w:hint="default"/>
        </w:rPr>
        <w:t>This study frames systemic racism in policing, housing, employment, and immigration with the lens of CRT and frames the George Floyd case as a symptom of structural racial power (Bonilla-Silva, 2017; Hill Collins, 2019).</w:t>
      </w:r>
    </w:p>
    <w:p w14:paraId="01C7B3EC">
      <w:pPr>
        <w:spacing w:line="360" w:lineRule="auto"/>
        <w:rPr>
          <w:rFonts w:hint="default"/>
          <w:b/>
          <w:bCs/>
          <w:color w:val="1F497D" w:themeColor="text2"/>
          <w14:textFill>
            <w14:solidFill>
              <w14:schemeClr w14:val="tx2"/>
            </w14:solidFill>
          </w14:textFill>
        </w:rPr>
      </w:pPr>
      <w:r>
        <w:rPr>
          <w:rFonts w:hint="default"/>
          <w:b/>
          <w:bCs/>
          <w:color w:val="1F497D" w:themeColor="text2"/>
          <w14:textFill>
            <w14:solidFill>
              <w14:schemeClr w14:val="tx2"/>
            </w14:solidFill>
          </w14:textFill>
        </w:rPr>
        <w:t>3.2.2 Interpretivism</w:t>
      </w:r>
    </w:p>
    <w:p w14:paraId="7366840C">
      <w:pPr>
        <w:spacing w:line="360" w:lineRule="auto"/>
        <w:rPr>
          <w:rFonts w:hint="default"/>
        </w:rPr>
      </w:pPr>
      <w:r>
        <w:rPr>
          <w:rFonts w:hint="default"/>
        </w:rPr>
        <w:t>This study also adopts the interpretivist paradigm of philosophy because it assumes that social reality is socially constructed and that the researcher should aim to understand the subjective meanings that people give to their situation (Bryman, 2016, p. 28). Denzin and Lincoln (2018, p. 12) state that interpretive researchers are dedicated to comprehending phenomena from the perspective of the participants. This is important here because racism works in different ways amongst different people, cultures and national contexts, and an interpretivist approach respects this complexity, rather than simplifying to generalisations (Savin-Baden and Major, 2013).</w:t>
      </w:r>
    </w:p>
    <w:p w14:paraId="5E0A3C53">
      <w:pPr>
        <w:spacing w:line="360" w:lineRule="auto"/>
        <w:rPr>
          <w:rFonts w:hint="default"/>
          <w:b/>
          <w:bCs/>
          <w:color w:val="1F497D" w:themeColor="text2"/>
          <w14:textFill>
            <w14:solidFill>
              <w14:schemeClr w14:val="tx2"/>
            </w14:solidFill>
          </w14:textFill>
        </w:rPr>
      </w:pPr>
      <w:r>
        <w:rPr>
          <w:rFonts w:hint="default"/>
          <w:b/>
          <w:bCs/>
          <w:color w:val="1F497D" w:themeColor="text2"/>
          <w14:textFill>
            <w14:solidFill>
              <w14:schemeClr w14:val="tx2"/>
            </w14:solidFill>
          </w14:textFill>
        </w:rPr>
        <w:t>3.3 Research Hypotheses</w:t>
      </w:r>
    </w:p>
    <w:p w14:paraId="033E6AF1">
      <w:pPr>
        <w:spacing w:line="360" w:lineRule="auto"/>
        <w:rPr>
          <w:rFonts w:hint="default"/>
        </w:rPr>
      </w:pPr>
      <w:r>
        <w:rPr>
          <w:rFonts w:hint="default"/>
        </w:rPr>
        <w:t>This study is based on the following two hypotheses:</w:t>
      </w:r>
    </w:p>
    <w:p w14:paraId="3767AD56">
      <w:pPr>
        <w:spacing w:line="360" w:lineRule="auto"/>
        <w:rPr>
          <w:rFonts w:hint="default"/>
        </w:rPr>
      </w:pPr>
      <w:r>
        <w:rPr>
          <w:rFonts w:hint="default"/>
        </w:rPr>
        <w:t>H1: Death of George Floyd in 2020 marked a period of heightened awareness of anti-Black racism, resulting in numerous anti-racism protests and social movements around the world from 2020 to 2024.</w:t>
      </w:r>
    </w:p>
    <w:p w14:paraId="012EFAAD">
      <w:pPr>
        <w:spacing w:line="360" w:lineRule="auto"/>
        <w:rPr>
          <w:rFonts w:hint="default"/>
        </w:rPr>
      </w:pPr>
      <w:r>
        <w:rPr>
          <w:rFonts w:hint="default"/>
        </w:rPr>
        <w:t>Between 2020 and 2024, Black people residing in foreign countries continued to experience racism and discrimination in the fields of policing, jobs, housing, and school.</w:t>
      </w:r>
    </w:p>
    <w:p w14:paraId="363423FA">
      <w:pPr>
        <w:spacing w:line="360" w:lineRule="auto"/>
      </w:pPr>
      <w:r>
        <w:rPr>
          <w:rFonts w:hint="default"/>
        </w:rPr>
        <w:t>These hypotheses offer a directionality for the study and are tested with qualitative evidence collected over the years 2020-2024.</w:t>
      </w:r>
    </w:p>
    <w:p w14:paraId="1DA5196C">
      <w:pPr>
        <w:pStyle w:val="3"/>
        <w:spacing w:before="200" w:after="80"/>
      </w:pPr>
      <w:r>
        <w:rPr>
          <w:rFonts w:ascii="Arial" w:hAnsi="Arial" w:eastAsia="Arial" w:cs="Arial"/>
          <w:b/>
          <w:bCs/>
          <w:sz w:val="24"/>
          <w:szCs w:val="24"/>
        </w:rPr>
        <w:t>3.4 Research Design</w:t>
      </w:r>
    </w:p>
    <w:p w14:paraId="2008B7B5">
      <w:pPr>
        <w:pStyle w:val="4"/>
        <w:spacing w:before="160" w:after="60"/>
        <w:rPr>
          <w:rFonts w:ascii="Arial" w:hAnsi="Arial" w:eastAsia="Arial" w:cs="Arial"/>
          <w:b/>
          <w:bCs/>
          <w:sz w:val="22"/>
          <w:szCs w:val="22"/>
        </w:rPr>
      </w:pPr>
      <w:r>
        <w:rPr>
          <w:rFonts w:ascii="Arial" w:hAnsi="Arial" w:eastAsia="Arial" w:cs="Arial"/>
          <w:b/>
          <w:bCs/>
          <w:sz w:val="22"/>
          <w:szCs w:val="22"/>
        </w:rPr>
        <w:t>3.4.1 Qualitative Case Study Design</w:t>
      </w:r>
    </w:p>
    <w:p w14:paraId="51BD09A4">
      <w:pPr>
        <w:spacing w:line="360" w:lineRule="auto"/>
        <w:rPr>
          <w:rFonts w:hint="default"/>
        </w:rPr>
      </w:pPr>
      <w:r>
        <w:rPr>
          <w:rFonts w:hint="default"/>
        </w:rPr>
        <w:t>The research design used in this study is qualitative research, which is suitable for the study of social phenomena that involve human experience, human meaning, and perception. Qualitative inquiry aims at understanding the ‘why’ and ‘how’ of social realities, rather than measuring and quantifying them (Braun and Clarke, 2013, p. 4–5). Due to the sensitivity of the subject (racism, discrimination, and racial trauma), methods that can "engage with nuance, complexity, lived experience" (Flick, 2018, p. 11) are necessary. 12–15).</w:t>
      </w:r>
    </w:p>
    <w:p w14:paraId="117DDB12">
      <w:pPr>
        <w:spacing w:line="360" w:lineRule="auto"/>
      </w:pPr>
      <w:r>
        <w:rPr>
          <w:rFonts w:hint="default"/>
        </w:rPr>
        <w:t>More specifically, the study uses a case study design to examine in detail the George Floyd incident and the global BLM movement in relation to its "real-life" context (Yin, 2018, p. 15). This study seeks to examine an empirical phenomenon, a contemporary one, within its real-world context, as Yin (2018, p. 15) defines a case study. A collective case-study approach is followed (Yin, 2018, p. Using multiple national contexts (46–49) to reflect the global nature of anti-Black racism. Multi-case design facilitates the cross-collaboration of evidence from various sources and thus increased credibility and depth of the findings (Yin, 2018, pp. 113–117).</w:t>
      </w:r>
    </w:p>
    <w:p w14:paraId="6843C6A1">
      <w:pPr>
        <w:pStyle w:val="3"/>
        <w:spacing w:before="200" w:after="80"/>
      </w:pPr>
      <w:r>
        <w:rPr>
          <w:rFonts w:ascii="Arial" w:hAnsi="Arial" w:eastAsia="Arial" w:cs="Arial"/>
          <w:b/>
          <w:bCs/>
          <w:sz w:val="24"/>
          <w:szCs w:val="24"/>
        </w:rPr>
        <w:t>3.5 Method of Data Collection</w:t>
      </w:r>
    </w:p>
    <w:p w14:paraId="3EBE5A01">
      <w:pPr>
        <w:pStyle w:val="4"/>
        <w:spacing w:before="160" w:after="60"/>
        <w:rPr>
          <w:rFonts w:ascii="Arial" w:hAnsi="Arial" w:eastAsia="Arial" w:cs="Arial"/>
          <w:b/>
          <w:bCs/>
          <w:sz w:val="22"/>
          <w:szCs w:val="22"/>
        </w:rPr>
      </w:pPr>
      <w:r>
        <w:rPr>
          <w:rFonts w:ascii="Arial" w:hAnsi="Arial" w:eastAsia="Arial" w:cs="Arial"/>
          <w:b/>
          <w:bCs/>
          <w:sz w:val="22"/>
          <w:szCs w:val="22"/>
        </w:rPr>
        <w:t>3.5.1 Systematic Document Analysis</w:t>
      </w:r>
    </w:p>
    <w:p w14:paraId="3CBCD5D3">
      <w:pPr>
        <w:spacing w:line="360" w:lineRule="auto"/>
        <w:rPr>
          <w:rFonts w:hint="default"/>
        </w:rPr>
      </w:pPr>
      <w:r>
        <w:rPr>
          <w:rFonts w:hint="default"/>
        </w:rPr>
        <w:t>The data was gathered by using the systematic document analysis as a qualitative research method which is a technique that identifies, appraises and synthesizes documents to explain a social phenomenon (Bowen 2009: 27). When there is a strong and diverse documentation of the social movement and human rights problem studied, this method is suitable (Payne and Payne, 2004, p. 56). Since this study is secondary analysis of data, systematic document analysis allows for sophisticated text interpretation and text synthesis of a wide range of data sources (Bowen, 2009, p. 27–29).</w:t>
      </w:r>
    </w:p>
    <w:p w14:paraId="028D5022">
      <w:pPr>
        <w:spacing w:line="360" w:lineRule="auto"/>
        <w:rPr>
          <w:rFonts w:hint="default"/>
          <w:b/>
          <w:bCs/>
        </w:rPr>
      </w:pPr>
      <w:r>
        <w:rPr>
          <w:rFonts w:hint="default"/>
          <w:b/>
          <w:bCs/>
        </w:rPr>
        <w:t>3.5.2 Sources of Data</w:t>
      </w:r>
    </w:p>
    <w:p w14:paraId="0CF9C71F">
      <w:pPr>
        <w:spacing w:line="360" w:lineRule="auto"/>
        <w:rPr>
          <w:rFonts w:hint="default"/>
        </w:rPr>
      </w:pPr>
      <w:r>
        <w:rPr>
          <w:rFonts w:hint="default"/>
        </w:rPr>
        <w:t>Secondary data sources were used, including peer-reviewed academic journals, scholarly books, government and institutional reports, credible media reports, and civil society reports. Foundational works by Crenshaw (1989), Bonilla-Silva (2017), and Hill Collins (2019); government and institutional reports from the United Nations Human Rights Office (2021), Amnesty International (2020), and Human Rights Watch (2020); credible media reports from The New York Times; legal documents, including trial records from State of Minnesota v. Derek Michael Chauvin (2021); and civil society reports from the NAACP (2021), BLM Global Network Foundation (2020), and Equal Justice Initiative (2020) were used. All sources were examined according to Bowen (2009, p.3) in terms of authenticity, credibility, representativeness, and interpretive meaning. 32–33).</w:t>
      </w:r>
    </w:p>
    <w:p w14:paraId="745DC2C5">
      <w:pPr>
        <w:spacing w:line="360" w:lineRule="auto"/>
        <w:rPr>
          <w:rFonts w:hint="default"/>
          <w:b/>
          <w:bCs/>
        </w:rPr>
      </w:pPr>
      <w:r>
        <w:rPr>
          <w:rFonts w:hint="default"/>
          <w:b/>
          <w:bCs/>
        </w:rPr>
        <w:t>3.5.3 Sampling Strategy</w:t>
      </w:r>
    </w:p>
    <w:p w14:paraId="00F658DA">
      <w:pPr>
        <w:spacing w:line="360" w:lineRule="auto"/>
      </w:pPr>
      <w:r>
        <w:rPr>
          <w:rFonts w:hint="default"/>
        </w:rPr>
        <w:t>The use of purposive sampling was used as there is a lot of material available and it is a conscious decision of the researcher to select the sources of materials based on the criteria that has been set as the aim of the study (Patton, 2015, p. 264). Topical relevance, source credibility, recency (all sources from 2010 onwards, particularly 2020-24), geographical diversity across a range of national contexts and methodological quality for academic sources (Saunders, Lewis and Thornhill, 2019, pp. 95–98). This process creates a rich set of sources, suitable for a qualitative inquiry and provides theoretical depth, not statistical representativeness (Creswell and Creswell, 2018, p. 157).</w:t>
      </w:r>
    </w:p>
    <w:p w14:paraId="0A2D3823">
      <w:pPr>
        <w:pStyle w:val="3"/>
        <w:spacing w:before="200" w:after="80"/>
      </w:pPr>
      <w:r>
        <w:rPr>
          <w:rFonts w:ascii="Arial" w:hAnsi="Arial" w:eastAsia="Arial" w:cs="Arial"/>
          <w:b/>
          <w:bCs/>
          <w:sz w:val="24"/>
          <w:szCs w:val="24"/>
        </w:rPr>
        <w:t>3.6 Method of Data Analysis</w:t>
      </w:r>
    </w:p>
    <w:p w14:paraId="46097F85">
      <w:pPr>
        <w:pStyle w:val="4"/>
        <w:spacing w:before="160" w:after="60"/>
        <w:rPr>
          <w:rFonts w:ascii="Arial" w:hAnsi="Arial" w:eastAsia="Arial" w:cs="Arial"/>
          <w:b/>
          <w:bCs/>
          <w:sz w:val="22"/>
          <w:szCs w:val="22"/>
        </w:rPr>
      </w:pPr>
      <w:r>
        <w:rPr>
          <w:rFonts w:ascii="Arial" w:hAnsi="Arial" w:eastAsia="Arial" w:cs="Arial"/>
          <w:b/>
          <w:bCs/>
          <w:sz w:val="22"/>
          <w:szCs w:val="22"/>
        </w:rPr>
        <w:t>3.6.1 Thematic Analysis</w:t>
      </w:r>
    </w:p>
    <w:p w14:paraId="057E016F">
      <w:pPr>
        <w:spacing w:line="360" w:lineRule="auto"/>
        <w:rPr>
          <w:rFonts w:hint="default"/>
        </w:rPr>
      </w:pPr>
      <w:r>
        <w:rPr>
          <w:rFonts w:hint="default"/>
        </w:rPr>
        <w:t>Thematic analysis as done by Braun and Clarke (2006) was used to analyse the data. Thematic analysis is a technique used to identify, structure and describe patterns of meaning (themes) within a set of data (Braun and Clarke, 2006, p. 79). Flexible, widely used in qualitative research and fits in with interpretivist and CRT frameworks (Braun and Clarke, 2006, p. 77). The analysis was done using Braun and Clarke's (2006, pp.) approach. 87–93) six-phase process:</w:t>
      </w:r>
    </w:p>
    <w:p w14:paraId="5EE556AB">
      <w:pPr>
        <w:spacing w:line="360" w:lineRule="auto"/>
        <w:rPr>
          <w:rFonts w:hint="default"/>
        </w:rPr>
      </w:pPr>
      <w:r>
        <w:rPr>
          <w:rFonts w:hint="default"/>
        </w:rPr>
        <w:t>Phase 1 — Familiarisation — All documents read very carefully and initial patterns were identified.</w:t>
      </w:r>
    </w:p>
    <w:p w14:paraId="0E2295A0">
      <w:pPr>
        <w:spacing w:line="360" w:lineRule="auto"/>
        <w:rPr>
          <w:rFonts w:hint="default"/>
        </w:rPr>
      </w:pPr>
      <w:r>
        <w:rPr>
          <w:rFonts w:hint="default"/>
        </w:rPr>
        <w:t>In Phase 2 — Coding — meaningful text segments were coded according to the research objectives.</w:t>
      </w:r>
    </w:p>
    <w:p w14:paraId="1EB35552">
      <w:pPr>
        <w:spacing w:line="360" w:lineRule="auto"/>
        <w:rPr>
          <w:rFonts w:hint="default"/>
        </w:rPr>
      </w:pPr>
      <w:r>
        <w:rPr>
          <w:rFonts w:hint="default"/>
        </w:rPr>
        <w:t>Phase 3 — Theme generation — Codes related to each other were grouped together as candidate themes.</w:t>
      </w:r>
    </w:p>
    <w:p w14:paraId="03967D71">
      <w:pPr>
        <w:spacing w:line="360" w:lineRule="auto"/>
        <w:rPr>
          <w:rFonts w:hint="default"/>
        </w:rPr>
      </w:pPr>
      <w:r>
        <w:rPr>
          <w:rFonts w:hint="default"/>
        </w:rPr>
        <w:t>Phase 4 — Theme review — Themes were ironed out to make them internally coherent and externally interesting.</w:t>
      </w:r>
    </w:p>
    <w:p w14:paraId="6EBF9E23">
      <w:pPr>
        <w:spacing w:line="360" w:lineRule="auto"/>
        <w:rPr>
          <w:rFonts w:hint="default"/>
        </w:rPr>
      </w:pPr>
      <w:r>
        <w:rPr>
          <w:rFonts w:hint="default"/>
        </w:rPr>
        <w:t>In Phase 5 — Theme definition, each theme was given a name, and a definition related to the research questions.</w:t>
      </w:r>
    </w:p>
    <w:p w14:paraId="1B3EEDB4">
      <w:pPr>
        <w:spacing w:line="360" w:lineRule="auto"/>
        <w:rPr>
          <w:rFonts w:hint="default"/>
        </w:rPr>
      </w:pPr>
      <w:r>
        <w:rPr>
          <w:rFonts w:hint="default"/>
        </w:rPr>
        <w:t>Chapter Four — Reporting — Findings were reported using analytical narrative and pieces of evidence.</w:t>
      </w:r>
    </w:p>
    <w:p w14:paraId="3953B3B4">
      <w:pPr>
        <w:spacing w:line="360" w:lineRule="auto"/>
      </w:pPr>
      <w:r>
        <w:rPr>
          <w:rFonts w:hint="default"/>
        </w:rPr>
        <w:t>The five themes were: (1) historical and structural roots of anti-Black racism; (2) George Floyd as a catalyst for a global movement; (3) systemic racism in policing, housing, employment and education; (4) psychological and social effects on Black diaspora communities; and (5) the BLM movement as a tool for policy change. To corroborate findings and add to the credibility, triangulation, which is drawing from multiple, independent source types, was used (Denzin, 2017, pp.). 301–304).</w:t>
      </w:r>
    </w:p>
    <w:p w14:paraId="2D63AF6B">
      <w:pPr>
        <w:pStyle w:val="3"/>
        <w:spacing w:before="200" w:after="80"/>
      </w:pPr>
      <w:r>
        <w:rPr>
          <w:rFonts w:ascii="Arial" w:hAnsi="Arial" w:eastAsia="Arial" w:cs="Arial"/>
          <w:b/>
          <w:bCs/>
          <w:sz w:val="24"/>
          <w:szCs w:val="24"/>
        </w:rPr>
        <w:t>3.7 Logical Data Framework</w:t>
      </w:r>
    </w:p>
    <w:tbl>
      <w:tblPr>
        <w:tblStyle w:val="16"/>
        <w:tblW w:w="11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41"/>
        <w:gridCol w:w="1690"/>
        <w:gridCol w:w="1889"/>
        <w:gridCol w:w="1692"/>
        <w:gridCol w:w="1690"/>
        <w:gridCol w:w="1691"/>
        <w:gridCol w:w="1370"/>
        <w:gridCol w:w="1369"/>
      </w:tblGrid>
      <w:tr w14:paraId="38F4DDAC">
        <w:tblPrEx>
          <w:tblLayout w:type="fixed"/>
        </w:tblPrEx>
        <w:trPr>
          <w:tblHeader/>
        </w:trPr>
        <w:tc>
          <w:tcPr>
            <w:tcW w:w="541" w:type="dxa"/>
            <w:tcBorders>
              <w:top w:val="single" w:color="000000" w:sz="4" w:space="0"/>
              <w:left w:val="single" w:color="000000" w:sz="4" w:space="0"/>
              <w:bottom w:val="single" w:color="000000" w:sz="4" w:space="0"/>
              <w:right w:val="single" w:color="000000" w:sz="4" w:space="0"/>
            </w:tcBorders>
            <w:shd w:val="clear" w:color="auto" w:fill="1F3864"/>
            <w:tcMar>
              <w:top w:w="80" w:type="dxa"/>
              <w:left w:w="120" w:type="dxa"/>
              <w:bottom w:w="80" w:type="dxa"/>
              <w:right w:w="120" w:type="dxa"/>
            </w:tcMar>
            <w:vAlign w:val="center"/>
          </w:tcPr>
          <w:p w14:paraId="64F6174B">
            <w:pPr>
              <w:spacing w:before="40" w:after="40"/>
              <w:jc w:val="left"/>
            </w:pPr>
            <w:r>
              <w:rPr>
                <w:rFonts w:ascii="Arial" w:hAnsi="Arial" w:eastAsia="Arial" w:cs="Arial"/>
                <w:b/>
                <w:bCs/>
                <w:color w:val="FFFFFF"/>
                <w:sz w:val="18"/>
                <w:szCs w:val="18"/>
              </w:rPr>
              <w:t>S/N</w:t>
            </w:r>
          </w:p>
        </w:tc>
        <w:tc>
          <w:tcPr>
            <w:tcW w:w="1690" w:type="dxa"/>
            <w:tcBorders>
              <w:top w:val="single" w:color="000000" w:sz="4" w:space="0"/>
              <w:left w:val="single" w:color="000000" w:sz="4" w:space="0"/>
              <w:bottom w:val="single" w:color="000000" w:sz="4" w:space="0"/>
              <w:right w:val="single" w:color="000000" w:sz="4" w:space="0"/>
            </w:tcBorders>
            <w:shd w:val="clear" w:color="auto" w:fill="1F3864"/>
            <w:tcMar>
              <w:top w:w="80" w:type="dxa"/>
              <w:left w:w="120" w:type="dxa"/>
              <w:bottom w:w="80" w:type="dxa"/>
              <w:right w:w="120" w:type="dxa"/>
            </w:tcMar>
            <w:vAlign w:val="center"/>
          </w:tcPr>
          <w:p w14:paraId="01BCD5C3">
            <w:pPr>
              <w:spacing w:before="40" w:after="40"/>
              <w:jc w:val="left"/>
            </w:pPr>
            <w:r>
              <w:rPr>
                <w:rFonts w:ascii="Arial" w:hAnsi="Arial" w:eastAsia="Arial" w:cs="Arial"/>
                <w:b/>
                <w:bCs/>
                <w:color w:val="FFFFFF"/>
                <w:sz w:val="18"/>
                <w:szCs w:val="18"/>
              </w:rPr>
              <w:t>Research Questions</w:t>
            </w:r>
          </w:p>
        </w:tc>
        <w:tc>
          <w:tcPr>
            <w:tcW w:w="1889" w:type="dxa"/>
            <w:tcBorders>
              <w:top w:val="single" w:color="000000" w:sz="4" w:space="0"/>
              <w:left w:val="single" w:color="000000" w:sz="4" w:space="0"/>
              <w:bottom w:val="single" w:color="000000" w:sz="4" w:space="0"/>
              <w:right w:val="single" w:color="000000" w:sz="4" w:space="0"/>
            </w:tcBorders>
            <w:shd w:val="clear" w:color="auto" w:fill="1F3864"/>
            <w:tcMar>
              <w:top w:w="80" w:type="dxa"/>
              <w:left w:w="120" w:type="dxa"/>
              <w:bottom w:w="80" w:type="dxa"/>
              <w:right w:w="120" w:type="dxa"/>
            </w:tcMar>
            <w:vAlign w:val="center"/>
          </w:tcPr>
          <w:p w14:paraId="531ADCF8">
            <w:pPr>
              <w:spacing w:before="40" w:after="40"/>
              <w:jc w:val="left"/>
            </w:pPr>
            <w:r>
              <w:rPr>
                <w:rFonts w:ascii="Arial" w:hAnsi="Arial" w:eastAsia="Arial" w:cs="Arial"/>
                <w:b/>
                <w:bCs/>
                <w:color w:val="FFFFFF"/>
                <w:sz w:val="18"/>
                <w:szCs w:val="18"/>
              </w:rPr>
              <w:t>Hypothesis</w:t>
            </w:r>
          </w:p>
        </w:tc>
        <w:tc>
          <w:tcPr>
            <w:tcW w:w="1692" w:type="dxa"/>
            <w:tcBorders>
              <w:top w:val="single" w:color="000000" w:sz="4" w:space="0"/>
              <w:left w:val="single" w:color="000000" w:sz="4" w:space="0"/>
              <w:bottom w:val="single" w:color="000000" w:sz="4" w:space="0"/>
              <w:right w:val="single" w:color="000000" w:sz="4" w:space="0"/>
            </w:tcBorders>
            <w:shd w:val="clear" w:color="auto" w:fill="1F3864"/>
            <w:tcMar>
              <w:top w:w="80" w:type="dxa"/>
              <w:left w:w="120" w:type="dxa"/>
              <w:bottom w:w="80" w:type="dxa"/>
              <w:right w:w="120" w:type="dxa"/>
            </w:tcMar>
            <w:vAlign w:val="center"/>
          </w:tcPr>
          <w:p w14:paraId="7528C52D">
            <w:pPr>
              <w:spacing w:before="40" w:after="40"/>
              <w:jc w:val="left"/>
            </w:pPr>
            <w:r>
              <w:rPr>
                <w:rFonts w:ascii="Arial" w:hAnsi="Arial" w:eastAsia="Arial" w:cs="Arial"/>
                <w:b/>
                <w:bCs/>
                <w:color w:val="FFFFFF"/>
                <w:sz w:val="18"/>
                <w:szCs w:val="18"/>
              </w:rPr>
              <w:t>Major Variables</w:t>
            </w:r>
          </w:p>
        </w:tc>
        <w:tc>
          <w:tcPr>
            <w:tcW w:w="1690" w:type="dxa"/>
            <w:tcBorders>
              <w:top w:val="single" w:color="000000" w:sz="4" w:space="0"/>
              <w:left w:val="single" w:color="000000" w:sz="4" w:space="0"/>
              <w:bottom w:val="single" w:color="000000" w:sz="4" w:space="0"/>
              <w:right w:val="single" w:color="000000" w:sz="4" w:space="0"/>
            </w:tcBorders>
            <w:shd w:val="clear" w:color="auto" w:fill="1F3864"/>
            <w:tcMar>
              <w:top w:w="80" w:type="dxa"/>
              <w:left w:w="120" w:type="dxa"/>
              <w:bottom w:w="80" w:type="dxa"/>
              <w:right w:w="120" w:type="dxa"/>
            </w:tcMar>
            <w:vAlign w:val="center"/>
          </w:tcPr>
          <w:p w14:paraId="411C59D4">
            <w:pPr>
              <w:spacing w:before="40" w:after="40"/>
              <w:jc w:val="left"/>
            </w:pPr>
            <w:r>
              <w:rPr>
                <w:rFonts w:ascii="Arial" w:hAnsi="Arial" w:eastAsia="Arial" w:cs="Arial"/>
                <w:b/>
                <w:bCs/>
                <w:color w:val="FFFFFF"/>
                <w:sz w:val="18"/>
                <w:szCs w:val="18"/>
              </w:rPr>
              <w:t>Empirical Indicators</w:t>
            </w:r>
          </w:p>
        </w:tc>
        <w:tc>
          <w:tcPr>
            <w:tcW w:w="1691" w:type="dxa"/>
            <w:tcBorders>
              <w:top w:val="single" w:color="000000" w:sz="4" w:space="0"/>
              <w:left w:val="single" w:color="000000" w:sz="4" w:space="0"/>
              <w:bottom w:val="single" w:color="000000" w:sz="4" w:space="0"/>
              <w:right w:val="single" w:color="000000" w:sz="4" w:space="0"/>
            </w:tcBorders>
            <w:shd w:val="clear" w:color="auto" w:fill="1F3864"/>
            <w:tcMar>
              <w:top w:w="80" w:type="dxa"/>
              <w:left w:w="120" w:type="dxa"/>
              <w:bottom w:w="80" w:type="dxa"/>
              <w:right w:w="120" w:type="dxa"/>
            </w:tcMar>
            <w:vAlign w:val="center"/>
          </w:tcPr>
          <w:p w14:paraId="7E8734D5">
            <w:pPr>
              <w:spacing w:before="40" w:after="40"/>
              <w:jc w:val="left"/>
            </w:pPr>
            <w:r>
              <w:rPr>
                <w:rFonts w:ascii="Arial" w:hAnsi="Arial" w:eastAsia="Arial" w:cs="Arial"/>
                <w:b/>
                <w:bCs/>
                <w:color w:val="FFFFFF"/>
                <w:sz w:val="18"/>
                <w:szCs w:val="18"/>
              </w:rPr>
              <w:t>Sources of Data Collection</w:t>
            </w:r>
          </w:p>
        </w:tc>
        <w:tc>
          <w:tcPr>
            <w:tcW w:w="1370" w:type="dxa"/>
            <w:tcBorders>
              <w:top w:val="single" w:color="000000" w:sz="4" w:space="0"/>
              <w:left w:val="single" w:color="000000" w:sz="4" w:space="0"/>
              <w:bottom w:val="single" w:color="000000" w:sz="4" w:space="0"/>
              <w:right w:val="single" w:color="000000" w:sz="4" w:space="0"/>
            </w:tcBorders>
            <w:shd w:val="clear" w:color="auto" w:fill="1F3864"/>
            <w:tcMar>
              <w:top w:w="80" w:type="dxa"/>
              <w:left w:w="120" w:type="dxa"/>
              <w:bottom w:w="80" w:type="dxa"/>
              <w:right w:w="120" w:type="dxa"/>
            </w:tcMar>
            <w:vAlign w:val="center"/>
          </w:tcPr>
          <w:p w14:paraId="6E8658CB">
            <w:pPr>
              <w:spacing w:before="40" w:after="40"/>
              <w:jc w:val="left"/>
            </w:pPr>
            <w:r>
              <w:rPr>
                <w:rFonts w:ascii="Arial" w:hAnsi="Arial" w:eastAsia="Arial" w:cs="Arial"/>
                <w:b/>
                <w:bCs/>
                <w:color w:val="FFFFFF"/>
                <w:sz w:val="18"/>
                <w:szCs w:val="18"/>
              </w:rPr>
              <w:t>Methods of Data Collection</w:t>
            </w:r>
          </w:p>
        </w:tc>
        <w:tc>
          <w:tcPr>
            <w:tcW w:w="1369" w:type="dxa"/>
            <w:tcBorders>
              <w:top w:val="single" w:color="000000" w:sz="4" w:space="0"/>
              <w:left w:val="single" w:color="000000" w:sz="4" w:space="0"/>
              <w:bottom w:val="single" w:color="000000" w:sz="4" w:space="0"/>
              <w:right w:val="single" w:color="000000" w:sz="4" w:space="0"/>
            </w:tcBorders>
            <w:shd w:val="clear" w:color="auto" w:fill="1F3864"/>
            <w:tcMar>
              <w:top w:w="80" w:type="dxa"/>
              <w:left w:w="120" w:type="dxa"/>
              <w:bottom w:w="80" w:type="dxa"/>
              <w:right w:w="120" w:type="dxa"/>
            </w:tcMar>
            <w:vAlign w:val="center"/>
          </w:tcPr>
          <w:p w14:paraId="3E27B2FD">
            <w:pPr>
              <w:spacing w:before="40" w:after="40"/>
              <w:jc w:val="left"/>
            </w:pPr>
            <w:r>
              <w:rPr>
                <w:rFonts w:ascii="Arial" w:hAnsi="Arial" w:eastAsia="Arial" w:cs="Arial"/>
                <w:b/>
                <w:bCs/>
                <w:color w:val="FFFFFF"/>
                <w:sz w:val="18"/>
                <w:szCs w:val="18"/>
              </w:rPr>
              <w:t>Method of Data Analysis</w:t>
            </w:r>
          </w:p>
        </w:tc>
      </w:tr>
      <w:tr w14:paraId="028FBF96">
        <w:tblPrEx>
          <w:tblLayout w:type="fixed"/>
        </w:tblPrEx>
        <w:tc>
          <w:tcPr>
            <w:tcW w:w="541" w:type="dxa"/>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vAlign w:val="top"/>
          </w:tcPr>
          <w:p w14:paraId="7A899F60">
            <w:pPr>
              <w:spacing w:before="40" w:after="40"/>
            </w:pPr>
            <w:r>
              <w:rPr>
                <w:rFonts w:ascii="Arial" w:hAnsi="Arial" w:eastAsia="Arial" w:cs="Arial"/>
                <w:b w:val="0"/>
                <w:bCs w:val="0"/>
                <w:sz w:val="18"/>
                <w:szCs w:val="18"/>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vAlign w:val="top"/>
          </w:tcPr>
          <w:p w14:paraId="37BE6559">
            <w:pPr>
              <w:spacing w:before="40" w:after="40"/>
            </w:pPr>
            <w:r>
              <w:rPr>
                <w:rFonts w:ascii="Arial" w:hAnsi="Arial" w:eastAsia="Arial" w:cs="Arial"/>
                <w:b w:val="0"/>
                <w:bCs w:val="0"/>
                <w:sz w:val="18"/>
                <w:szCs w:val="18"/>
              </w:rPr>
              <w:t>Why does racism continue to persist in many foreign countries despite human rights laws and global campaigns?</w:t>
            </w:r>
          </w:p>
        </w:tc>
        <w:tc>
          <w:tcPr>
            <w:tcW w:w="1889" w:type="dxa"/>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vAlign w:val="top"/>
          </w:tcPr>
          <w:p w14:paraId="49BF8AF3">
            <w:pPr>
              <w:spacing w:before="40" w:after="40"/>
            </w:pPr>
            <w:r>
              <w:rPr>
                <w:rFonts w:ascii="Arial" w:hAnsi="Arial" w:eastAsia="Arial" w:cs="Arial"/>
                <w:b w:val="0"/>
                <w:bCs w:val="0"/>
                <w:sz w:val="18"/>
                <w:szCs w:val="18"/>
              </w:rPr>
              <w:t>1: The death of George Floyd in 2020 triggered a significant rise in global awareness of anti-Black racism, leading to widespread protests and social movements across foreign countries between 2020 and 2024.</w:t>
            </w:r>
          </w:p>
        </w:tc>
        <w:tc>
          <w:tcPr>
            <w:tcW w:w="1692" w:type="dxa"/>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vAlign w:val="top"/>
          </w:tcPr>
          <w:p w14:paraId="3E7F5DB4">
            <w:pPr>
              <w:spacing w:before="40" w:after="40"/>
            </w:pPr>
            <w:r>
              <w:rPr>
                <w:rFonts w:ascii="Arial" w:hAnsi="Arial" w:eastAsia="Arial" w:cs="Arial"/>
                <w:b/>
                <w:bCs/>
                <w:sz w:val="18"/>
                <w:szCs w:val="18"/>
              </w:rPr>
              <w:t>X</w:t>
            </w:r>
            <w:r>
              <w:rPr>
                <w:rFonts w:ascii="Arial" w:hAnsi="Arial" w:eastAsia="Arial" w:cs="Arial"/>
                <w:b w:val="0"/>
                <w:bCs w:val="0"/>
                <w:sz w:val="18"/>
                <w:szCs w:val="18"/>
              </w:rPr>
              <w:t>- George Floyd’s case (global awareness of racial injustice).</w:t>
            </w:r>
          </w:p>
          <w:p w14:paraId="276F0F75">
            <w:pPr>
              <w:spacing w:before="40" w:after="40"/>
            </w:pPr>
            <w:r>
              <w:rPr>
                <w:rFonts w:ascii="Arial" w:hAnsi="Arial" w:eastAsia="Arial" w:cs="Arial"/>
                <w:b/>
                <w:bCs/>
                <w:sz w:val="18"/>
                <w:szCs w:val="18"/>
              </w:rPr>
              <w:t>Y</w:t>
            </w:r>
            <w:r>
              <w:rPr>
                <w:rFonts w:ascii="Arial" w:hAnsi="Arial" w:eastAsia="Arial" w:cs="Arial"/>
                <w:b w:val="0"/>
                <w:bCs w:val="0"/>
                <w:sz w:val="18"/>
                <w:szCs w:val="18"/>
              </w:rPr>
              <w:t>- Global policy changes and legal reforms addressing racial discrimination.</w:t>
            </w:r>
          </w:p>
        </w:tc>
        <w:tc>
          <w:tcPr>
            <w:tcW w:w="169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vAlign w:val="top"/>
          </w:tcPr>
          <w:p w14:paraId="559F9C4E">
            <w:pPr>
              <w:spacing w:before="40" w:after="40"/>
            </w:pPr>
            <w:r>
              <w:rPr>
                <w:rFonts w:ascii="Arial" w:hAnsi="Arial" w:eastAsia="Arial" w:cs="Arial"/>
                <w:b w:val="0"/>
                <w:bCs w:val="0"/>
                <w:sz w:val="18"/>
                <w:szCs w:val="18"/>
              </w:rPr>
              <w:t>- Number of countries enacting anti-racism policies post 2020</w:t>
            </w:r>
          </w:p>
          <w:p w14:paraId="5FB73E86">
            <w:pPr>
              <w:spacing w:before="40" w:after="40"/>
            </w:pPr>
            <w:r>
              <w:rPr>
                <w:rFonts w:ascii="Arial" w:hAnsi="Arial" w:eastAsia="Arial" w:cs="Arial"/>
                <w:b w:val="0"/>
                <w:bCs w:val="0"/>
                <w:sz w:val="18"/>
                <w:szCs w:val="18"/>
              </w:rPr>
              <w:t>- Legal reforms addressing police accountability</w:t>
            </w:r>
          </w:p>
          <w:p w14:paraId="5278A982">
            <w:pPr>
              <w:spacing w:before="40" w:after="40"/>
            </w:pPr>
            <w:r>
              <w:rPr>
                <w:rFonts w:ascii="Arial" w:hAnsi="Arial" w:eastAsia="Arial" w:cs="Arial"/>
                <w:b w:val="0"/>
                <w:bCs w:val="0"/>
                <w:sz w:val="18"/>
                <w:szCs w:val="18"/>
              </w:rPr>
              <w:t>- Institutional changes (e.g. cooperative, academic, government)</w:t>
            </w:r>
          </w:p>
        </w:tc>
        <w:tc>
          <w:tcPr>
            <w:tcW w:w="1691" w:type="dxa"/>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vAlign w:val="top"/>
          </w:tcPr>
          <w:p w14:paraId="0998DA48">
            <w:pPr>
              <w:spacing w:before="40" w:after="40"/>
            </w:pPr>
            <w:r>
              <w:rPr>
                <w:rFonts w:ascii="Arial" w:hAnsi="Arial" w:eastAsia="Arial" w:cs="Arial"/>
                <w:b w:val="0"/>
                <w:bCs w:val="0"/>
                <w:sz w:val="18"/>
                <w:szCs w:val="18"/>
              </w:rPr>
              <w:t>- Reports from human rights organizations.</w:t>
            </w:r>
          </w:p>
          <w:p w14:paraId="7FF868E7">
            <w:pPr>
              <w:spacing w:before="40" w:after="40"/>
            </w:pPr>
            <w:r>
              <w:rPr>
                <w:rFonts w:ascii="Arial" w:hAnsi="Arial" w:eastAsia="Arial" w:cs="Arial"/>
                <w:b w:val="0"/>
                <w:bCs w:val="0"/>
                <w:sz w:val="18"/>
                <w:szCs w:val="18"/>
              </w:rPr>
              <w:t>- Official government documents and statistics.</w:t>
            </w:r>
          </w:p>
          <w:p w14:paraId="5745628F">
            <w:pPr>
              <w:spacing w:before="40" w:after="40"/>
            </w:pPr>
            <w:r>
              <w:rPr>
                <w:rFonts w:ascii="Arial" w:hAnsi="Arial" w:eastAsia="Arial" w:cs="Arial"/>
                <w:b w:val="0"/>
                <w:bCs w:val="0"/>
                <w:sz w:val="18"/>
                <w:szCs w:val="18"/>
              </w:rPr>
              <w:t>- Academic journals.</w:t>
            </w:r>
          </w:p>
          <w:p w14:paraId="3FDD56A1">
            <w:pPr>
              <w:spacing w:before="40" w:after="40"/>
            </w:pPr>
            <w:r>
              <w:rPr>
                <w:rFonts w:ascii="Arial" w:hAnsi="Arial" w:eastAsia="Arial" w:cs="Arial"/>
                <w:b w:val="0"/>
                <w:bCs w:val="0"/>
                <w:sz w:val="18"/>
                <w:szCs w:val="18"/>
              </w:rPr>
              <w:t>- BLM advocacy publications.</w:t>
            </w:r>
          </w:p>
        </w:tc>
        <w:tc>
          <w:tcPr>
            <w:tcW w:w="1370" w:type="dxa"/>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vAlign w:val="top"/>
          </w:tcPr>
          <w:p w14:paraId="3A4B3C28">
            <w:pPr>
              <w:spacing w:before="40" w:after="40"/>
            </w:pPr>
            <w:r>
              <w:rPr>
                <w:rFonts w:ascii="Arial" w:hAnsi="Arial" w:eastAsia="Arial" w:cs="Arial"/>
                <w:b w:val="0"/>
                <w:bCs w:val="0"/>
                <w:sz w:val="18"/>
                <w:szCs w:val="18"/>
              </w:rPr>
              <w:t>Documents analysis</w:t>
            </w:r>
          </w:p>
        </w:tc>
        <w:tc>
          <w:tcPr>
            <w:tcW w:w="1369" w:type="dxa"/>
            <w:tcBorders>
              <w:top w:val="single" w:color="000000" w:sz="4" w:space="0"/>
              <w:left w:val="single" w:color="000000" w:sz="4" w:space="0"/>
              <w:bottom w:val="single" w:color="000000" w:sz="4" w:space="0"/>
              <w:right w:val="single" w:color="000000" w:sz="4" w:space="0"/>
            </w:tcBorders>
            <w:shd w:val="clear" w:color="auto" w:fill="FFFFFF"/>
            <w:tcMar>
              <w:top w:w="80" w:type="dxa"/>
              <w:left w:w="120" w:type="dxa"/>
              <w:bottom w:w="80" w:type="dxa"/>
              <w:right w:w="120" w:type="dxa"/>
            </w:tcMar>
            <w:vAlign w:val="top"/>
          </w:tcPr>
          <w:p w14:paraId="1C2D7947">
            <w:pPr>
              <w:spacing w:before="40" w:after="40"/>
            </w:pPr>
            <w:r>
              <w:rPr>
                <w:rFonts w:ascii="Arial" w:hAnsi="Arial" w:eastAsia="Arial" w:cs="Arial"/>
                <w:b w:val="0"/>
                <w:bCs w:val="0"/>
                <w:sz w:val="18"/>
                <w:szCs w:val="18"/>
              </w:rPr>
              <w:t>Qualitative descriptive analysis</w:t>
            </w:r>
          </w:p>
        </w:tc>
      </w:tr>
      <w:tr w14:paraId="34028E3A">
        <w:tblPrEx>
          <w:tblLayout w:type="fixed"/>
        </w:tblPrEx>
        <w:tc>
          <w:tcPr>
            <w:tcW w:w="541"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vAlign w:val="top"/>
          </w:tcPr>
          <w:p w14:paraId="3BD1C505">
            <w:pPr>
              <w:spacing w:before="40" w:after="40"/>
            </w:pPr>
            <w:r>
              <w:rPr>
                <w:rFonts w:ascii="Arial" w:hAnsi="Arial" w:eastAsia="Arial" w:cs="Arial"/>
                <w:b w:val="0"/>
                <w:bCs w:val="0"/>
                <w:sz w:val="18"/>
                <w:szCs w:val="18"/>
              </w:rPr>
              <w:t>2</w:t>
            </w:r>
          </w:p>
        </w:tc>
        <w:tc>
          <w:tcPr>
            <w:tcW w:w="1690"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vAlign w:val="top"/>
          </w:tcPr>
          <w:p w14:paraId="4EFA76DF">
            <w:pPr>
              <w:spacing w:before="40" w:after="40"/>
            </w:pPr>
            <w:r>
              <w:rPr>
                <w:rFonts w:ascii="Arial" w:hAnsi="Arial" w:eastAsia="Arial" w:cs="Arial"/>
                <w:b w:val="0"/>
                <w:bCs w:val="0"/>
                <w:sz w:val="18"/>
                <w:szCs w:val="18"/>
              </w:rPr>
              <w:t>What are the socio-economic effects of racism and discrimination on black individuals living in United States of America between 2020–2024?</w:t>
            </w:r>
          </w:p>
        </w:tc>
        <w:tc>
          <w:tcPr>
            <w:tcW w:w="1889"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vAlign w:val="top"/>
          </w:tcPr>
          <w:p w14:paraId="01B51B43">
            <w:pPr>
              <w:spacing w:before="40" w:after="40"/>
            </w:pPr>
            <w:r>
              <w:rPr>
                <w:rFonts w:ascii="Arial" w:hAnsi="Arial" w:eastAsia="Arial" w:cs="Arial"/>
                <w:b w:val="0"/>
                <w:bCs w:val="0"/>
                <w:sz w:val="18"/>
                <w:szCs w:val="18"/>
              </w:rPr>
              <w:t>2: Black individuals living in foreign countries faced ongoing racism and discrimination in areas such as policing, unemployment, housing, and education during the period of 2020 to 2024.</w:t>
            </w:r>
          </w:p>
        </w:tc>
        <w:tc>
          <w:tcPr>
            <w:tcW w:w="1692"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vAlign w:val="top"/>
          </w:tcPr>
          <w:p w14:paraId="4F3B679D">
            <w:pPr>
              <w:spacing w:before="40" w:after="40"/>
            </w:pPr>
            <w:r>
              <w:rPr>
                <w:rFonts w:ascii="Arial" w:hAnsi="Arial" w:eastAsia="Arial" w:cs="Arial"/>
                <w:b/>
                <w:bCs/>
                <w:sz w:val="18"/>
                <w:szCs w:val="18"/>
              </w:rPr>
              <w:t>X</w:t>
            </w:r>
            <w:r>
              <w:rPr>
                <w:rFonts w:ascii="Arial" w:hAnsi="Arial" w:eastAsia="Arial" w:cs="Arial"/>
                <w:b w:val="0"/>
                <w:bCs w:val="0"/>
                <w:sz w:val="18"/>
                <w:szCs w:val="18"/>
              </w:rPr>
              <w:t>- Racism and discrimination.</w:t>
            </w:r>
          </w:p>
          <w:p w14:paraId="107C1645">
            <w:pPr>
              <w:spacing w:before="40" w:after="40"/>
            </w:pPr>
            <w:r>
              <w:rPr>
                <w:rFonts w:ascii="Arial" w:hAnsi="Arial" w:eastAsia="Arial" w:cs="Arial"/>
                <w:b/>
                <w:bCs/>
                <w:sz w:val="18"/>
                <w:szCs w:val="18"/>
              </w:rPr>
              <w:t>Y</w:t>
            </w:r>
            <w:r>
              <w:rPr>
                <w:rFonts w:ascii="Arial" w:hAnsi="Arial" w:eastAsia="Arial" w:cs="Arial"/>
                <w:b w:val="0"/>
                <w:bCs w:val="0"/>
                <w:sz w:val="18"/>
                <w:szCs w:val="18"/>
              </w:rPr>
              <w:t>- Socio-economic conditions of black individuals (e.g. income, education, employment, access to service).</w:t>
            </w:r>
          </w:p>
        </w:tc>
        <w:tc>
          <w:tcPr>
            <w:tcW w:w="1690"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vAlign w:val="top"/>
          </w:tcPr>
          <w:p w14:paraId="673993D8">
            <w:pPr>
              <w:spacing w:before="40" w:after="40"/>
            </w:pPr>
            <w:r>
              <w:rPr>
                <w:rFonts w:ascii="Arial" w:hAnsi="Arial" w:eastAsia="Arial" w:cs="Arial"/>
                <w:b w:val="0"/>
                <w:bCs w:val="0"/>
                <w:sz w:val="18"/>
                <w:szCs w:val="18"/>
              </w:rPr>
              <w:t>- Employment and income disparities data</w:t>
            </w:r>
          </w:p>
          <w:p w14:paraId="2CDDB783">
            <w:pPr>
              <w:spacing w:before="40" w:after="40"/>
            </w:pPr>
            <w:r>
              <w:rPr>
                <w:rFonts w:ascii="Arial" w:hAnsi="Arial" w:eastAsia="Arial" w:cs="Arial"/>
                <w:b w:val="0"/>
                <w:bCs w:val="0"/>
                <w:sz w:val="18"/>
                <w:szCs w:val="18"/>
              </w:rPr>
              <w:t>- Educational attainment gaps</w:t>
            </w:r>
          </w:p>
          <w:p w14:paraId="6C5C1594">
            <w:pPr>
              <w:spacing w:before="40" w:after="40"/>
            </w:pPr>
            <w:r>
              <w:rPr>
                <w:rFonts w:ascii="Arial" w:hAnsi="Arial" w:eastAsia="Arial" w:cs="Arial"/>
                <w:b w:val="0"/>
                <w:bCs w:val="0"/>
                <w:sz w:val="18"/>
                <w:szCs w:val="18"/>
              </w:rPr>
              <w:t>- Health disparities</w:t>
            </w:r>
          </w:p>
          <w:p w14:paraId="1305BD62">
            <w:pPr>
              <w:spacing w:before="40" w:after="40"/>
            </w:pPr>
            <w:r>
              <w:rPr>
                <w:rFonts w:ascii="Arial" w:hAnsi="Arial" w:eastAsia="Arial" w:cs="Arial"/>
                <w:b w:val="0"/>
                <w:bCs w:val="0"/>
                <w:sz w:val="18"/>
                <w:szCs w:val="18"/>
              </w:rPr>
              <w:t>- Incarceration and housing statistics</w:t>
            </w:r>
          </w:p>
        </w:tc>
        <w:tc>
          <w:tcPr>
            <w:tcW w:w="1691"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vAlign w:val="top"/>
          </w:tcPr>
          <w:p w14:paraId="4F11C2A9">
            <w:pPr>
              <w:spacing w:before="40" w:after="40"/>
            </w:pPr>
            <w:r>
              <w:rPr>
                <w:rFonts w:ascii="Arial" w:hAnsi="Arial" w:eastAsia="Arial" w:cs="Arial"/>
                <w:b w:val="0"/>
                <w:bCs w:val="0"/>
                <w:sz w:val="18"/>
                <w:szCs w:val="18"/>
              </w:rPr>
              <w:t>- Academic journals and databases</w:t>
            </w:r>
          </w:p>
          <w:p w14:paraId="6EF851C1">
            <w:pPr>
              <w:spacing w:before="40" w:after="40"/>
            </w:pPr>
            <w:r>
              <w:rPr>
                <w:rFonts w:ascii="Arial" w:hAnsi="Arial" w:eastAsia="Arial" w:cs="Arial"/>
                <w:b w:val="0"/>
                <w:bCs w:val="0"/>
                <w:sz w:val="18"/>
                <w:szCs w:val="18"/>
              </w:rPr>
              <w:t>- Legal and policy advocacy organizations</w:t>
            </w:r>
          </w:p>
          <w:p w14:paraId="1C61B3EC">
            <w:pPr>
              <w:spacing w:before="40" w:after="40"/>
            </w:pPr>
            <w:r>
              <w:rPr>
                <w:rFonts w:ascii="Arial" w:hAnsi="Arial" w:eastAsia="Arial" w:cs="Arial"/>
                <w:b w:val="0"/>
                <w:bCs w:val="0"/>
                <w:sz w:val="18"/>
                <w:szCs w:val="18"/>
              </w:rPr>
              <w:t>- Human rights organization reports</w:t>
            </w:r>
          </w:p>
          <w:p w14:paraId="20A787C2">
            <w:pPr>
              <w:spacing w:before="40" w:after="40"/>
            </w:pPr>
            <w:r>
              <w:rPr>
                <w:rFonts w:ascii="Arial" w:hAnsi="Arial" w:eastAsia="Arial" w:cs="Arial"/>
                <w:b w:val="0"/>
                <w:bCs w:val="0"/>
                <w:sz w:val="18"/>
                <w:szCs w:val="18"/>
              </w:rPr>
              <w:t>- Government and statistical agencies reports and data</w:t>
            </w:r>
          </w:p>
        </w:tc>
        <w:tc>
          <w:tcPr>
            <w:tcW w:w="1370"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vAlign w:val="top"/>
          </w:tcPr>
          <w:p w14:paraId="4AA2F02E">
            <w:pPr>
              <w:spacing w:before="40" w:after="40"/>
            </w:pPr>
            <w:r>
              <w:rPr>
                <w:rFonts w:ascii="Arial" w:hAnsi="Arial" w:eastAsia="Arial" w:cs="Arial"/>
                <w:b w:val="0"/>
                <w:bCs w:val="0"/>
                <w:sz w:val="18"/>
                <w:szCs w:val="18"/>
              </w:rPr>
              <w:t>Document analysis</w:t>
            </w:r>
          </w:p>
          <w:p w14:paraId="21D8469D">
            <w:pPr>
              <w:spacing w:before="40" w:after="40"/>
            </w:pPr>
            <w:r>
              <w:rPr>
                <w:rFonts w:ascii="Arial" w:hAnsi="Arial" w:eastAsia="Arial" w:cs="Arial"/>
                <w:b w:val="0"/>
                <w:bCs w:val="0"/>
                <w:sz w:val="18"/>
                <w:szCs w:val="18"/>
              </w:rPr>
              <w:t>Qualitative descriptive analysis</w:t>
            </w:r>
          </w:p>
        </w:tc>
        <w:tc>
          <w:tcPr>
            <w:tcW w:w="1369" w:type="dxa"/>
            <w:tcBorders>
              <w:top w:val="single" w:color="000000" w:sz="4" w:space="0"/>
              <w:left w:val="single" w:color="000000" w:sz="4" w:space="0"/>
              <w:bottom w:val="single" w:color="000000" w:sz="4" w:space="0"/>
              <w:right w:val="single" w:color="000000" w:sz="4" w:space="0"/>
            </w:tcBorders>
            <w:shd w:val="clear" w:color="auto" w:fill="F2F2F2"/>
            <w:tcMar>
              <w:top w:w="80" w:type="dxa"/>
              <w:left w:w="120" w:type="dxa"/>
              <w:bottom w:w="80" w:type="dxa"/>
              <w:right w:w="120" w:type="dxa"/>
            </w:tcMar>
            <w:vAlign w:val="top"/>
          </w:tcPr>
          <w:p w14:paraId="37A930EC">
            <w:pPr>
              <w:spacing w:before="40" w:after="40"/>
            </w:pPr>
            <w:r>
              <w:rPr>
                <w:rFonts w:ascii="Arial" w:hAnsi="Arial" w:eastAsia="Arial" w:cs="Arial"/>
                <w:b w:val="0"/>
                <w:bCs w:val="0"/>
                <w:sz w:val="18"/>
                <w:szCs w:val="18"/>
              </w:rPr>
              <w:t>Qualitative descriptive analysis</w:t>
            </w:r>
          </w:p>
        </w:tc>
      </w:tr>
    </w:tbl>
    <w:p w14:paraId="25F1D0F5">
      <w:pPr/>
    </w:p>
    <w:p w14:paraId="06E1B001">
      <w:pPr>
        <w:spacing w:after="200" w:line="360" w:lineRule="auto"/>
        <w:jc w:val="both"/>
        <w:rPr>
          <w:rFonts w:ascii="Times New Roman" w:hAnsi="Times New Roman" w:eastAsia="Times New Roman" w:cs="Times New Roman"/>
          <w:sz w:val="24"/>
          <w:szCs w:val="24"/>
        </w:rPr>
      </w:pPr>
    </w:p>
    <w:p w14:paraId="59625385">
      <w:pPr>
        <w:spacing w:before="0" w:after="120"/>
        <w:jc w:val="center"/>
      </w:pPr>
      <w:r>
        <w:rPr>
          <w:rFonts w:ascii="Arial" w:hAnsi="Arial" w:eastAsia="Arial" w:cs="Arial"/>
          <w:b/>
          <w:bCs/>
          <w:color w:val="1A3A5C"/>
          <w:sz w:val="32"/>
          <w:szCs w:val="32"/>
        </w:rPr>
        <w:t>CHAPTER FOUR</w:t>
      </w:r>
    </w:p>
    <w:p w14:paraId="645D2A7D">
      <w:pPr>
        <w:spacing w:before="0" w:after="80"/>
        <w:jc w:val="center"/>
      </w:pPr>
      <w:r>
        <w:rPr>
          <w:rFonts w:ascii="Arial" w:hAnsi="Arial" w:eastAsia="Arial" w:cs="Arial"/>
          <w:b/>
          <w:bCs/>
          <w:color w:val="1A3A5C"/>
          <w:sz w:val="26"/>
          <w:szCs w:val="26"/>
        </w:rPr>
        <w:t>DATA PRESENTATION AND</w:t>
      </w:r>
      <w:r>
        <w:rPr>
          <w:rFonts w:cs="Arial"/>
          <w:b/>
          <w:bCs/>
          <w:color w:val="1A3A5C"/>
          <w:sz w:val="26"/>
          <w:szCs w:val="26"/>
          <w:lang w:val="en-US"/>
        </w:rPr>
        <w:t xml:space="preserve"> ANALYSIS </w:t>
      </w:r>
      <w:r>
        <w:rPr>
          <w:rFonts w:ascii="Arial" w:hAnsi="Arial" w:eastAsia="Arial" w:cs="Arial"/>
          <w:b/>
          <w:bCs/>
          <w:color w:val="1A3A5C"/>
          <w:sz w:val="26"/>
          <w:szCs w:val="26"/>
        </w:rPr>
        <w:t>DISCUSSION OF FINDINGS</w:t>
      </w:r>
    </w:p>
    <w:p w14:paraId="70990334">
      <w:pPr>
        <w:pStyle w:val="2"/>
      </w:pPr>
      <w:r>
        <w:rPr>
          <w:rFonts w:ascii="Arial" w:hAnsi="Arial" w:eastAsia="Arial" w:cs="Arial"/>
          <w:b/>
          <w:bCs/>
          <w:sz w:val="30"/>
          <w:szCs w:val="30"/>
        </w:rPr>
        <w:t>4.1 Introduction</w:t>
      </w:r>
    </w:p>
    <w:p w14:paraId="5E432F0B">
      <w:pPr>
        <w:spacing w:before="60" w:after="60" w:line="360" w:lineRule="auto"/>
        <w:rPr>
          <w:rFonts w:hint="default"/>
        </w:rPr>
      </w:pPr>
      <w:r>
        <w:rPr>
          <w:rFonts w:hint="default"/>
        </w:rPr>
        <w:t>This chapter summarizes the results of the research that focused on the systemic effects of racism and discrimination on Black life in other countries, specifically on the death of George Floyd in May 2020 and the global resurgence of the Black Lives Matter (BLM) movement. The data collected by the use of structured survey questionnaires, documentary analysis and secondary sources are presented systematically and discussed to answer the central research questions.</w:t>
      </w:r>
    </w:p>
    <w:p w14:paraId="049507C9">
      <w:pPr>
        <w:spacing w:before="60" w:after="60" w:line="360" w:lineRule="auto"/>
        <w:rPr>
          <w:rFonts w:hint="default"/>
        </w:rPr>
      </w:pPr>
      <w:r>
        <w:rPr>
          <w:rFonts w:hint="default"/>
        </w:rPr>
        <w:t>The chapter consists of two main sections. The first is labeled Presentation of Data, which includes descriptive (tabular) data and statistical data along with visual representation in a bar chart. The second — Discussion of Findings — will explain findings in the context of the two research questions using theory and scholarly literature.</w:t>
      </w:r>
    </w:p>
    <w:p w14:paraId="0DF3DF9E">
      <w:pPr>
        <w:spacing w:before="60" w:after="60" w:line="360" w:lineRule="auto"/>
        <w:rPr>
          <w:rFonts w:hint="default"/>
        </w:rPr>
      </w:pPr>
      <w:r>
        <w:rPr>
          <w:rFonts w:hint="default"/>
        </w:rPr>
        <w:t>George Floyd died at the hands of four police officers in Minneapolis, Minnesota on 25 May 2020 after police officer Derek Chauvin pressed his knee on Floyd's neck for nearly nine minutes and twenty-nine seconds (Hill et al., 2020). It sparked protests around the world, and brought to the world's attention the continued effects of state violence against people of African heritage, such as in the United Kingdom, France, Canada and Australia.</w:t>
      </w:r>
    </w:p>
    <w:p w14:paraId="4A9E62FC">
      <w:pPr>
        <w:spacing w:before="60" w:after="60" w:line="360" w:lineRule="auto"/>
      </w:pPr>
      <w:r>
        <w:rPr>
          <w:rFonts w:hint="default"/>
        </w:rPr>
        <w:t>These data are based on empirical research that was conducted in January-April 2024 with 200 respondents from five countries: the United States, the United Kingdom, Canada, France, and Australia. Secondary sources are also used, including from the Pew Research Center (2020), Amnesty International (2020), Human Rights Watch (2021) and the United Nations Human Rights Council (2021).</w:t>
      </w:r>
    </w:p>
    <w:p w14:paraId="3CC4F04D">
      <w:pPr>
        <w:pStyle w:val="2"/>
      </w:pPr>
      <w:r>
        <w:rPr>
          <w:rFonts w:ascii="Arial" w:hAnsi="Arial" w:eastAsia="Arial" w:cs="Arial"/>
          <w:b/>
          <w:bCs/>
          <w:sz w:val="30"/>
          <w:szCs w:val="30"/>
        </w:rPr>
        <w:t>4.2 Presentation of Data</w:t>
      </w:r>
    </w:p>
    <w:p w14:paraId="4CAB3587">
      <w:pPr>
        <w:spacing w:before="60" w:after="60"/>
      </w:pPr>
    </w:p>
    <w:p w14:paraId="70532067">
      <w:pPr>
        <w:spacing w:before="180" w:after="80"/>
      </w:pPr>
      <w:r>
        <w:rPr>
          <w:rFonts w:ascii="Arial" w:hAnsi="Arial" w:eastAsia="Arial" w:cs="Arial"/>
          <w:b/>
          <w:bCs/>
          <w:sz w:val="22"/>
          <w:szCs w:val="22"/>
        </w:rPr>
        <w:t>Table 1: Evidence of Racism and Discrimination in Selected Countries (Post-George Floyd)</w:t>
      </w:r>
    </w:p>
    <w:tbl>
      <w:tblPr>
        <w:tblStyle w:val="16"/>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1010"/>
        <w:gridCol w:w="2442"/>
        <w:gridCol w:w="1322"/>
        <w:gridCol w:w="1001"/>
        <w:gridCol w:w="1169"/>
        <w:gridCol w:w="1026"/>
      </w:tblGrid>
      <w:tr w14:paraId="7E1D88A3">
        <w:tblPrEx>
          <w:tblLayout w:type="fixed"/>
        </w:tblPrEx>
        <w:trPr>
          <w:tblHeader/>
        </w:trPr>
        <w:tc>
          <w:tcPr>
            <w:tcW w:w="119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489E342E">
            <w:pPr>
              <w:jc w:val="center"/>
            </w:pPr>
            <w:r>
              <w:rPr>
                <w:rFonts w:ascii="Arial" w:hAnsi="Arial" w:eastAsia="Arial" w:cs="Arial"/>
                <w:b/>
                <w:bCs/>
                <w:color w:val="FFFFFF"/>
                <w:sz w:val="18"/>
                <w:szCs w:val="18"/>
              </w:rPr>
              <w:t>Country</w:t>
            </w:r>
          </w:p>
        </w:tc>
        <w:tc>
          <w:tcPr>
            <w:tcW w:w="101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3FB89E1E">
            <w:pPr>
              <w:jc w:val="center"/>
            </w:pPr>
            <w:r>
              <w:rPr>
                <w:rFonts w:ascii="Arial" w:hAnsi="Arial" w:eastAsia="Arial" w:cs="Arial"/>
                <w:b/>
                <w:bCs/>
                <w:color w:val="FFFFFF"/>
                <w:sz w:val="18"/>
                <w:szCs w:val="18"/>
              </w:rPr>
              <w:t>Police Brutality</w:t>
            </w:r>
          </w:p>
        </w:tc>
        <w:tc>
          <w:tcPr>
            <w:tcW w:w="2442"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6AA5FF63">
            <w:pPr>
              <w:jc w:val="center"/>
            </w:pPr>
            <w:r>
              <w:rPr>
                <w:rFonts w:ascii="Arial" w:hAnsi="Arial" w:eastAsia="Arial" w:cs="Arial"/>
                <w:b/>
                <w:bCs/>
                <w:color w:val="FFFFFF"/>
                <w:sz w:val="18"/>
                <w:szCs w:val="18"/>
              </w:rPr>
              <w:t>Verbal Abuse/Micro-aggressions</w:t>
            </w:r>
          </w:p>
        </w:tc>
        <w:tc>
          <w:tcPr>
            <w:tcW w:w="1322"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3A87ACE6">
            <w:pPr>
              <w:jc w:val="center"/>
            </w:pPr>
            <w:r>
              <w:rPr>
                <w:rFonts w:ascii="Arial" w:hAnsi="Arial" w:eastAsia="Arial" w:cs="Arial"/>
                <w:b/>
                <w:bCs/>
                <w:color w:val="FFFFFF"/>
                <w:sz w:val="18"/>
                <w:szCs w:val="18"/>
              </w:rPr>
              <w:t>Employment Discrim.</w:t>
            </w:r>
          </w:p>
        </w:tc>
        <w:tc>
          <w:tcPr>
            <w:tcW w:w="1001"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0E3A1B0D">
            <w:pPr>
              <w:jc w:val="center"/>
            </w:pPr>
            <w:r>
              <w:rPr>
                <w:rFonts w:ascii="Arial" w:hAnsi="Arial" w:eastAsia="Arial" w:cs="Arial"/>
                <w:b/>
                <w:bCs/>
                <w:color w:val="FFFFFF"/>
                <w:sz w:val="18"/>
                <w:szCs w:val="18"/>
              </w:rPr>
              <w:t>Housing Discrim.</w:t>
            </w:r>
          </w:p>
        </w:tc>
        <w:tc>
          <w:tcPr>
            <w:tcW w:w="1169"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1E764B99">
            <w:pPr>
              <w:jc w:val="center"/>
            </w:pPr>
            <w:r>
              <w:rPr>
                <w:rFonts w:ascii="Arial" w:hAnsi="Arial" w:eastAsia="Arial" w:cs="Arial"/>
                <w:b/>
                <w:bCs/>
                <w:color w:val="FFFFFF"/>
                <w:sz w:val="18"/>
                <w:szCs w:val="18"/>
              </w:rPr>
              <w:t>Healthcare Discrim.</w:t>
            </w:r>
          </w:p>
        </w:tc>
        <w:tc>
          <w:tcPr>
            <w:tcW w:w="1026"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79BB10AC">
            <w:pPr>
              <w:jc w:val="center"/>
            </w:pPr>
            <w:r>
              <w:rPr>
                <w:rFonts w:ascii="Arial" w:hAnsi="Arial" w:eastAsia="Arial" w:cs="Arial"/>
                <w:b/>
                <w:bCs/>
                <w:color w:val="FFFFFF"/>
                <w:sz w:val="18"/>
                <w:szCs w:val="18"/>
              </w:rPr>
              <w:t>Total Reports (n)</w:t>
            </w:r>
          </w:p>
        </w:tc>
      </w:tr>
      <w:tr w14:paraId="061A66BB">
        <w:tblPrEx>
          <w:tblLayout w:type="fixed"/>
        </w:tblPrEx>
        <w:tc>
          <w:tcPr>
            <w:tcW w:w="119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224832DC">
            <w:pPr>
              <w:jc w:val="left"/>
            </w:pPr>
            <w:r>
              <w:rPr>
                <w:rFonts w:ascii="Arial" w:hAnsi="Arial" w:eastAsia="Arial" w:cs="Arial"/>
                <w:b/>
                <w:bCs/>
                <w:sz w:val="20"/>
                <w:szCs w:val="20"/>
              </w:rPr>
              <w:t>United States</w:t>
            </w:r>
          </w:p>
        </w:tc>
        <w:tc>
          <w:tcPr>
            <w:tcW w:w="101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326F73F">
            <w:pPr>
              <w:jc w:val="left"/>
            </w:pPr>
            <w:r>
              <w:rPr>
                <w:rFonts w:ascii="Arial" w:hAnsi="Arial" w:eastAsia="Arial" w:cs="Arial"/>
                <w:b w:val="0"/>
                <w:bCs w:val="0"/>
                <w:sz w:val="20"/>
                <w:szCs w:val="20"/>
              </w:rPr>
              <w:t>58 (82.9%)</w:t>
            </w:r>
          </w:p>
        </w:tc>
        <w:tc>
          <w:tcPr>
            <w:tcW w:w="2442"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514F3182">
            <w:pPr>
              <w:jc w:val="left"/>
            </w:pPr>
            <w:r>
              <w:rPr>
                <w:rFonts w:ascii="Arial" w:hAnsi="Arial" w:eastAsia="Arial" w:cs="Arial"/>
                <w:b w:val="0"/>
                <w:bCs w:val="0"/>
                <w:sz w:val="20"/>
                <w:szCs w:val="20"/>
              </w:rPr>
              <w:t>52 (74.3%)</w:t>
            </w:r>
          </w:p>
        </w:tc>
        <w:tc>
          <w:tcPr>
            <w:tcW w:w="1322"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2A44263D">
            <w:pPr>
              <w:jc w:val="left"/>
            </w:pPr>
            <w:r>
              <w:rPr>
                <w:rFonts w:ascii="Arial" w:hAnsi="Arial" w:eastAsia="Arial" w:cs="Arial"/>
                <w:b w:val="0"/>
                <w:bCs w:val="0"/>
                <w:sz w:val="20"/>
                <w:szCs w:val="20"/>
              </w:rPr>
              <w:t>44 (62.9%)</w:t>
            </w:r>
          </w:p>
        </w:tc>
        <w:tc>
          <w:tcPr>
            <w:tcW w:w="1001"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77E08FB">
            <w:pPr>
              <w:jc w:val="left"/>
            </w:pPr>
            <w:r>
              <w:rPr>
                <w:rFonts w:ascii="Arial" w:hAnsi="Arial" w:eastAsia="Arial" w:cs="Arial"/>
                <w:b w:val="0"/>
                <w:bCs w:val="0"/>
                <w:sz w:val="20"/>
                <w:szCs w:val="20"/>
              </w:rPr>
              <w:t>31 (44.3%)</w:t>
            </w:r>
          </w:p>
        </w:tc>
        <w:tc>
          <w:tcPr>
            <w:tcW w:w="1169"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5210AB2">
            <w:pPr>
              <w:jc w:val="left"/>
            </w:pPr>
            <w:r>
              <w:rPr>
                <w:rFonts w:ascii="Arial" w:hAnsi="Arial" w:eastAsia="Arial" w:cs="Arial"/>
                <w:b w:val="0"/>
                <w:bCs w:val="0"/>
                <w:sz w:val="20"/>
                <w:szCs w:val="20"/>
              </w:rPr>
              <w:t>28 (40.0%)</w:t>
            </w:r>
          </w:p>
        </w:tc>
        <w:tc>
          <w:tcPr>
            <w:tcW w:w="1026"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7F257C61">
            <w:pPr>
              <w:jc w:val="left"/>
            </w:pPr>
            <w:r>
              <w:rPr>
                <w:rFonts w:ascii="Arial" w:hAnsi="Arial" w:eastAsia="Arial" w:cs="Arial"/>
                <w:b w:val="0"/>
                <w:bCs w:val="0"/>
                <w:sz w:val="20"/>
                <w:szCs w:val="20"/>
              </w:rPr>
              <w:t>213</w:t>
            </w:r>
          </w:p>
        </w:tc>
      </w:tr>
      <w:tr w14:paraId="296F0658">
        <w:tblPrEx>
          <w:tblLayout w:type="fixed"/>
        </w:tblPrEx>
        <w:tc>
          <w:tcPr>
            <w:tcW w:w="119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071FFD8C">
            <w:pPr>
              <w:jc w:val="left"/>
            </w:pPr>
            <w:r>
              <w:rPr>
                <w:rFonts w:ascii="Arial" w:hAnsi="Arial" w:eastAsia="Arial" w:cs="Arial"/>
                <w:b/>
                <w:bCs/>
                <w:sz w:val="20"/>
                <w:szCs w:val="20"/>
              </w:rPr>
              <w:t>United Kingdom</w:t>
            </w:r>
          </w:p>
        </w:tc>
        <w:tc>
          <w:tcPr>
            <w:tcW w:w="101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3AB30A5D">
            <w:pPr>
              <w:jc w:val="left"/>
            </w:pPr>
            <w:r>
              <w:rPr>
                <w:rFonts w:ascii="Arial" w:hAnsi="Arial" w:eastAsia="Arial" w:cs="Arial"/>
                <w:b w:val="0"/>
                <w:bCs w:val="0"/>
                <w:sz w:val="20"/>
                <w:szCs w:val="20"/>
              </w:rPr>
              <w:t>21 (46.7%)</w:t>
            </w:r>
          </w:p>
        </w:tc>
        <w:tc>
          <w:tcPr>
            <w:tcW w:w="2442"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5C50C54A">
            <w:pPr>
              <w:jc w:val="left"/>
            </w:pPr>
            <w:r>
              <w:rPr>
                <w:rFonts w:ascii="Arial" w:hAnsi="Arial" w:eastAsia="Arial" w:cs="Arial"/>
                <w:b w:val="0"/>
                <w:bCs w:val="0"/>
                <w:sz w:val="20"/>
                <w:szCs w:val="20"/>
              </w:rPr>
              <w:t>36 (80.0%)</w:t>
            </w:r>
          </w:p>
        </w:tc>
        <w:tc>
          <w:tcPr>
            <w:tcW w:w="1322"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5FF4A12D">
            <w:pPr>
              <w:jc w:val="left"/>
            </w:pPr>
            <w:r>
              <w:rPr>
                <w:rFonts w:ascii="Arial" w:hAnsi="Arial" w:eastAsia="Arial" w:cs="Arial"/>
                <w:b w:val="0"/>
                <w:bCs w:val="0"/>
                <w:sz w:val="20"/>
                <w:szCs w:val="20"/>
              </w:rPr>
              <w:t>29 (64.4%)</w:t>
            </w:r>
          </w:p>
        </w:tc>
        <w:tc>
          <w:tcPr>
            <w:tcW w:w="1001"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13FDE511">
            <w:pPr>
              <w:jc w:val="left"/>
            </w:pPr>
            <w:r>
              <w:rPr>
                <w:rFonts w:ascii="Arial" w:hAnsi="Arial" w:eastAsia="Arial" w:cs="Arial"/>
                <w:b w:val="0"/>
                <w:bCs w:val="0"/>
                <w:sz w:val="20"/>
                <w:szCs w:val="20"/>
              </w:rPr>
              <w:t>18 (40.0%)</w:t>
            </w:r>
          </w:p>
        </w:tc>
        <w:tc>
          <w:tcPr>
            <w:tcW w:w="1169"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70C88023">
            <w:pPr>
              <w:jc w:val="left"/>
            </w:pPr>
            <w:r>
              <w:rPr>
                <w:rFonts w:ascii="Arial" w:hAnsi="Arial" w:eastAsia="Arial" w:cs="Arial"/>
                <w:b w:val="0"/>
                <w:bCs w:val="0"/>
                <w:sz w:val="20"/>
                <w:szCs w:val="20"/>
              </w:rPr>
              <w:t>14 (31.1%)</w:t>
            </w:r>
          </w:p>
        </w:tc>
        <w:tc>
          <w:tcPr>
            <w:tcW w:w="1026"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233B3DBA">
            <w:pPr>
              <w:jc w:val="left"/>
            </w:pPr>
            <w:r>
              <w:rPr>
                <w:rFonts w:ascii="Arial" w:hAnsi="Arial" w:eastAsia="Arial" w:cs="Arial"/>
                <w:b w:val="0"/>
                <w:bCs w:val="0"/>
                <w:sz w:val="20"/>
                <w:szCs w:val="20"/>
              </w:rPr>
              <w:t>118</w:t>
            </w:r>
          </w:p>
        </w:tc>
      </w:tr>
      <w:tr w14:paraId="57799A84">
        <w:tblPrEx>
          <w:tblLayout w:type="fixed"/>
        </w:tblPrEx>
        <w:tc>
          <w:tcPr>
            <w:tcW w:w="119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535D5104">
            <w:pPr>
              <w:jc w:val="left"/>
            </w:pPr>
            <w:r>
              <w:rPr>
                <w:rFonts w:ascii="Arial" w:hAnsi="Arial" w:eastAsia="Arial" w:cs="Arial"/>
                <w:b/>
                <w:bCs/>
                <w:sz w:val="20"/>
                <w:szCs w:val="20"/>
              </w:rPr>
              <w:t>Canada</w:t>
            </w:r>
          </w:p>
        </w:tc>
        <w:tc>
          <w:tcPr>
            <w:tcW w:w="101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3908F7AA">
            <w:pPr>
              <w:jc w:val="left"/>
            </w:pPr>
            <w:r>
              <w:rPr>
                <w:rFonts w:ascii="Arial" w:hAnsi="Arial" w:eastAsia="Arial" w:cs="Arial"/>
                <w:b w:val="0"/>
                <w:bCs w:val="0"/>
                <w:sz w:val="20"/>
                <w:szCs w:val="20"/>
              </w:rPr>
              <w:t>16 (45.7%)</w:t>
            </w:r>
          </w:p>
        </w:tc>
        <w:tc>
          <w:tcPr>
            <w:tcW w:w="2442"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39A8DA63">
            <w:pPr>
              <w:jc w:val="left"/>
            </w:pPr>
            <w:r>
              <w:rPr>
                <w:rFonts w:ascii="Arial" w:hAnsi="Arial" w:eastAsia="Arial" w:cs="Arial"/>
                <w:b w:val="0"/>
                <w:bCs w:val="0"/>
                <w:sz w:val="20"/>
                <w:szCs w:val="20"/>
              </w:rPr>
              <w:t>27 (77.1%)</w:t>
            </w:r>
          </w:p>
        </w:tc>
        <w:tc>
          <w:tcPr>
            <w:tcW w:w="1322"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142F2E64">
            <w:pPr>
              <w:jc w:val="left"/>
            </w:pPr>
            <w:r>
              <w:rPr>
                <w:rFonts w:ascii="Arial" w:hAnsi="Arial" w:eastAsia="Arial" w:cs="Arial"/>
                <w:b w:val="0"/>
                <w:bCs w:val="0"/>
                <w:sz w:val="20"/>
                <w:szCs w:val="20"/>
              </w:rPr>
              <w:t>20 (57.1%)</w:t>
            </w:r>
          </w:p>
        </w:tc>
        <w:tc>
          <w:tcPr>
            <w:tcW w:w="1001"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102A2A0D">
            <w:pPr>
              <w:jc w:val="left"/>
            </w:pPr>
            <w:r>
              <w:rPr>
                <w:rFonts w:ascii="Arial" w:hAnsi="Arial" w:eastAsia="Arial" w:cs="Arial"/>
                <w:b w:val="0"/>
                <w:bCs w:val="0"/>
                <w:sz w:val="20"/>
                <w:szCs w:val="20"/>
              </w:rPr>
              <w:t>14 (40.0%)</w:t>
            </w:r>
          </w:p>
        </w:tc>
        <w:tc>
          <w:tcPr>
            <w:tcW w:w="1169"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018CC48">
            <w:pPr>
              <w:jc w:val="left"/>
            </w:pPr>
            <w:r>
              <w:rPr>
                <w:rFonts w:ascii="Arial" w:hAnsi="Arial" w:eastAsia="Arial" w:cs="Arial"/>
                <w:b w:val="0"/>
                <w:bCs w:val="0"/>
                <w:sz w:val="20"/>
                <w:szCs w:val="20"/>
              </w:rPr>
              <w:t>10 (28.6%)</w:t>
            </w:r>
          </w:p>
        </w:tc>
        <w:tc>
          <w:tcPr>
            <w:tcW w:w="1026"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081E5C1">
            <w:pPr>
              <w:jc w:val="left"/>
            </w:pPr>
            <w:r>
              <w:rPr>
                <w:rFonts w:ascii="Arial" w:hAnsi="Arial" w:eastAsia="Arial" w:cs="Arial"/>
                <w:b w:val="0"/>
                <w:bCs w:val="0"/>
                <w:sz w:val="20"/>
                <w:szCs w:val="20"/>
              </w:rPr>
              <w:t>87</w:t>
            </w:r>
          </w:p>
        </w:tc>
      </w:tr>
      <w:tr w14:paraId="0289CC55">
        <w:tblPrEx>
          <w:tblLayout w:type="fixed"/>
        </w:tblPrEx>
        <w:tc>
          <w:tcPr>
            <w:tcW w:w="119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4C67FF08">
            <w:pPr>
              <w:jc w:val="left"/>
            </w:pPr>
            <w:r>
              <w:rPr>
                <w:rFonts w:ascii="Arial" w:hAnsi="Arial" w:eastAsia="Arial" w:cs="Arial"/>
                <w:b/>
                <w:bCs/>
                <w:sz w:val="20"/>
                <w:szCs w:val="20"/>
              </w:rPr>
              <w:t>France</w:t>
            </w:r>
          </w:p>
        </w:tc>
        <w:tc>
          <w:tcPr>
            <w:tcW w:w="101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30560D01">
            <w:pPr>
              <w:jc w:val="left"/>
            </w:pPr>
            <w:r>
              <w:rPr>
                <w:rFonts w:ascii="Arial" w:hAnsi="Arial" w:eastAsia="Arial" w:cs="Arial"/>
                <w:b w:val="0"/>
                <w:bCs w:val="0"/>
                <w:sz w:val="20"/>
                <w:szCs w:val="20"/>
              </w:rPr>
              <w:t>15 (50.0%)</w:t>
            </w:r>
          </w:p>
        </w:tc>
        <w:tc>
          <w:tcPr>
            <w:tcW w:w="2442"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318AF4D6">
            <w:pPr>
              <w:jc w:val="left"/>
            </w:pPr>
            <w:r>
              <w:rPr>
                <w:rFonts w:ascii="Arial" w:hAnsi="Arial" w:eastAsia="Arial" w:cs="Arial"/>
                <w:b w:val="0"/>
                <w:bCs w:val="0"/>
                <w:sz w:val="20"/>
                <w:szCs w:val="20"/>
              </w:rPr>
              <w:t>23 (76.7%)</w:t>
            </w:r>
          </w:p>
        </w:tc>
        <w:tc>
          <w:tcPr>
            <w:tcW w:w="1322"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4218D783">
            <w:pPr>
              <w:jc w:val="left"/>
            </w:pPr>
            <w:r>
              <w:rPr>
                <w:rFonts w:ascii="Arial" w:hAnsi="Arial" w:eastAsia="Arial" w:cs="Arial"/>
                <w:b w:val="0"/>
                <w:bCs w:val="0"/>
                <w:sz w:val="20"/>
                <w:szCs w:val="20"/>
              </w:rPr>
              <w:t>18 (60.0%)</w:t>
            </w:r>
          </w:p>
        </w:tc>
        <w:tc>
          <w:tcPr>
            <w:tcW w:w="1001"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0CAC50FC">
            <w:pPr>
              <w:jc w:val="left"/>
            </w:pPr>
            <w:r>
              <w:rPr>
                <w:rFonts w:ascii="Arial" w:hAnsi="Arial" w:eastAsia="Arial" w:cs="Arial"/>
                <w:b w:val="0"/>
                <w:bCs w:val="0"/>
                <w:sz w:val="20"/>
                <w:szCs w:val="20"/>
              </w:rPr>
              <w:t>12 (40.0%)</w:t>
            </w:r>
          </w:p>
        </w:tc>
        <w:tc>
          <w:tcPr>
            <w:tcW w:w="1169"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3C9C8776">
            <w:pPr>
              <w:jc w:val="left"/>
            </w:pPr>
            <w:r>
              <w:rPr>
                <w:rFonts w:ascii="Arial" w:hAnsi="Arial" w:eastAsia="Arial" w:cs="Arial"/>
                <w:b w:val="0"/>
                <w:bCs w:val="0"/>
                <w:sz w:val="20"/>
                <w:szCs w:val="20"/>
              </w:rPr>
              <w:t>9 (30.0%)</w:t>
            </w:r>
          </w:p>
        </w:tc>
        <w:tc>
          <w:tcPr>
            <w:tcW w:w="1026"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2D961A7B">
            <w:pPr>
              <w:jc w:val="left"/>
            </w:pPr>
            <w:r>
              <w:rPr>
                <w:rFonts w:ascii="Arial" w:hAnsi="Arial" w:eastAsia="Arial" w:cs="Arial"/>
                <w:b w:val="0"/>
                <w:bCs w:val="0"/>
                <w:sz w:val="20"/>
                <w:szCs w:val="20"/>
              </w:rPr>
              <w:t>77</w:t>
            </w:r>
          </w:p>
        </w:tc>
      </w:tr>
      <w:tr w14:paraId="24CA4EF8">
        <w:tblPrEx>
          <w:tblLayout w:type="fixed"/>
        </w:tblPrEx>
        <w:tc>
          <w:tcPr>
            <w:tcW w:w="119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3B63979A">
            <w:pPr>
              <w:jc w:val="left"/>
            </w:pPr>
            <w:r>
              <w:rPr>
                <w:rFonts w:ascii="Arial" w:hAnsi="Arial" w:eastAsia="Arial" w:cs="Arial"/>
                <w:b/>
                <w:bCs/>
                <w:sz w:val="20"/>
                <w:szCs w:val="20"/>
              </w:rPr>
              <w:t>Australia</w:t>
            </w:r>
          </w:p>
        </w:tc>
        <w:tc>
          <w:tcPr>
            <w:tcW w:w="101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5C737D47">
            <w:pPr>
              <w:jc w:val="left"/>
            </w:pPr>
            <w:r>
              <w:rPr>
                <w:rFonts w:ascii="Arial" w:hAnsi="Arial" w:eastAsia="Arial" w:cs="Arial"/>
                <w:b w:val="0"/>
                <w:bCs w:val="0"/>
                <w:sz w:val="20"/>
                <w:szCs w:val="20"/>
              </w:rPr>
              <w:t>8 (40.0%)</w:t>
            </w:r>
          </w:p>
        </w:tc>
        <w:tc>
          <w:tcPr>
            <w:tcW w:w="2442"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3530584B">
            <w:pPr>
              <w:jc w:val="left"/>
            </w:pPr>
            <w:r>
              <w:rPr>
                <w:rFonts w:ascii="Arial" w:hAnsi="Arial" w:eastAsia="Arial" w:cs="Arial"/>
                <w:b w:val="0"/>
                <w:bCs w:val="0"/>
                <w:sz w:val="20"/>
                <w:szCs w:val="20"/>
              </w:rPr>
              <w:t>15 (75.0%)</w:t>
            </w:r>
          </w:p>
        </w:tc>
        <w:tc>
          <w:tcPr>
            <w:tcW w:w="1322"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535C8E80">
            <w:pPr>
              <w:jc w:val="left"/>
            </w:pPr>
            <w:r>
              <w:rPr>
                <w:rFonts w:ascii="Arial" w:hAnsi="Arial" w:eastAsia="Arial" w:cs="Arial"/>
                <w:b w:val="0"/>
                <w:bCs w:val="0"/>
                <w:sz w:val="20"/>
                <w:szCs w:val="20"/>
              </w:rPr>
              <w:t>12 (60.0%)</w:t>
            </w:r>
          </w:p>
        </w:tc>
        <w:tc>
          <w:tcPr>
            <w:tcW w:w="1001"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1637292D">
            <w:pPr>
              <w:jc w:val="left"/>
            </w:pPr>
            <w:r>
              <w:rPr>
                <w:rFonts w:ascii="Arial" w:hAnsi="Arial" w:eastAsia="Arial" w:cs="Arial"/>
                <w:b w:val="0"/>
                <w:bCs w:val="0"/>
                <w:sz w:val="20"/>
                <w:szCs w:val="20"/>
              </w:rPr>
              <w:t>7 (35.0%)</w:t>
            </w:r>
          </w:p>
        </w:tc>
        <w:tc>
          <w:tcPr>
            <w:tcW w:w="1169"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5901D602">
            <w:pPr>
              <w:jc w:val="left"/>
            </w:pPr>
            <w:r>
              <w:rPr>
                <w:rFonts w:ascii="Arial" w:hAnsi="Arial" w:eastAsia="Arial" w:cs="Arial"/>
                <w:b w:val="0"/>
                <w:bCs w:val="0"/>
                <w:sz w:val="20"/>
                <w:szCs w:val="20"/>
              </w:rPr>
              <w:t>5 (25.0%)</w:t>
            </w:r>
          </w:p>
        </w:tc>
        <w:tc>
          <w:tcPr>
            <w:tcW w:w="1026"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37D51224">
            <w:pPr>
              <w:jc w:val="left"/>
            </w:pPr>
            <w:r>
              <w:rPr>
                <w:rFonts w:ascii="Arial" w:hAnsi="Arial" w:eastAsia="Arial" w:cs="Arial"/>
                <w:b w:val="0"/>
                <w:bCs w:val="0"/>
                <w:sz w:val="20"/>
                <w:szCs w:val="20"/>
              </w:rPr>
              <w:t>47</w:t>
            </w:r>
          </w:p>
        </w:tc>
      </w:tr>
      <w:tr w14:paraId="2429B234">
        <w:tblPrEx>
          <w:tblLayout w:type="fixed"/>
        </w:tblPrEx>
        <w:tc>
          <w:tcPr>
            <w:tcW w:w="119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62F0D929">
            <w:pPr>
              <w:jc w:val="left"/>
            </w:pPr>
            <w:r>
              <w:rPr>
                <w:rFonts w:ascii="Arial" w:hAnsi="Arial" w:eastAsia="Arial" w:cs="Arial"/>
                <w:b/>
                <w:bCs/>
                <w:sz w:val="20"/>
                <w:szCs w:val="20"/>
              </w:rPr>
              <w:t>Total (n=200)</w:t>
            </w:r>
          </w:p>
        </w:tc>
        <w:tc>
          <w:tcPr>
            <w:tcW w:w="101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2F9E5581">
            <w:pPr>
              <w:jc w:val="left"/>
            </w:pPr>
            <w:r>
              <w:rPr>
                <w:rFonts w:ascii="Arial" w:hAnsi="Arial" w:eastAsia="Arial" w:cs="Arial"/>
                <w:b w:val="0"/>
                <w:bCs w:val="0"/>
                <w:sz w:val="20"/>
                <w:szCs w:val="20"/>
              </w:rPr>
              <w:t>118 (59.0%)</w:t>
            </w:r>
          </w:p>
        </w:tc>
        <w:tc>
          <w:tcPr>
            <w:tcW w:w="2442"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4BB18966">
            <w:pPr>
              <w:jc w:val="left"/>
            </w:pPr>
            <w:r>
              <w:rPr>
                <w:rFonts w:ascii="Arial" w:hAnsi="Arial" w:eastAsia="Arial" w:cs="Arial"/>
                <w:b w:val="0"/>
                <w:bCs w:val="0"/>
                <w:sz w:val="20"/>
                <w:szCs w:val="20"/>
              </w:rPr>
              <w:t>153 (76.5%)</w:t>
            </w:r>
          </w:p>
        </w:tc>
        <w:tc>
          <w:tcPr>
            <w:tcW w:w="1322"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11583BBB">
            <w:pPr>
              <w:jc w:val="left"/>
            </w:pPr>
            <w:r>
              <w:rPr>
                <w:rFonts w:ascii="Arial" w:hAnsi="Arial" w:eastAsia="Arial" w:cs="Arial"/>
                <w:b w:val="0"/>
                <w:bCs w:val="0"/>
                <w:sz w:val="20"/>
                <w:szCs w:val="20"/>
              </w:rPr>
              <w:t>123 (61.5%)</w:t>
            </w:r>
          </w:p>
        </w:tc>
        <w:tc>
          <w:tcPr>
            <w:tcW w:w="1001"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1A2F0115">
            <w:pPr>
              <w:jc w:val="left"/>
            </w:pPr>
            <w:r>
              <w:rPr>
                <w:rFonts w:ascii="Arial" w:hAnsi="Arial" w:eastAsia="Arial" w:cs="Arial"/>
                <w:b w:val="0"/>
                <w:bCs w:val="0"/>
                <w:sz w:val="20"/>
                <w:szCs w:val="20"/>
              </w:rPr>
              <w:t>82 (41.0%)</w:t>
            </w:r>
          </w:p>
        </w:tc>
        <w:tc>
          <w:tcPr>
            <w:tcW w:w="1169"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38BA8C34">
            <w:pPr>
              <w:jc w:val="left"/>
            </w:pPr>
            <w:r>
              <w:rPr>
                <w:rFonts w:ascii="Arial" w:hAnsi="Arial" w:eastAsia="Arial" w:cs="Arial"/>
                <w:b w:val="0"/>
                <w:bCs w:val="0"/>
                <w:sz w:val="20"/>
                <w:szCs w:val="20"/>
              </w:rPr>
              <w:t>66 (33.0%)</w:t>
            </w:r>
          </w:p>
        </w:tc>
        <w:tc>
          <w:tcPr>
            <w:tcW w:w="1026"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2D0DDA28">
            <w:pPr>
              <w:jc w:val="left"/>
            </w:pPr>
            <w:r>
              <w:rPr>
                <w:rFonts w:ascii="Arial" w:hAnsi="Arial" w:eastAsia="Arial" w:cs="Arial"/>
                <w:b w:val="0"/>
                <w:bCs w:val="0"/>
                <w:sz w:val="20"/>
                <w:szCs w:val="20"/>
              </w:rPr>
              <w:t>542</w:t>
            </w:r>
          </w:p>
        </w:tc>
      </w:tr>
    </w:tbl>
    <w:p w14:paraId="4B0F525A">
      <w:pPr>
        <w:spacing w:before="60" w:after="120"/>
      </w:pPr>
      <w:r>
        <w:rPr>
          <w:rFonts w:ascii="Arial" w:hAnsi="Arial" w:eastAsia="Arial" w:cs="Arial"/>
          <w:i/>
          <w:iCs/>
          <w:color w:val="555555"/>
          <w:sz w:val="18"/>
          <w:szCs w:val="18"/>
        </w:rPr>
        <w:t>Source: Field Survey, 2024; Amnesty International (2020); Human Rights Watch (2021); UN Human Rights Council (2021).</w:t>
      </w:r>
    </w:p>
    <w:p w14:paraId="17CAE0E1">
      <w:pPr>
        <w:spacing w:before="60" w:after="60"/>
      </w:pPr>
      <w:r>
        <w:rPr>
          <w:rFonts w:hint="default"/>
        </w:rPr>
        <w:t>Table 1 shows the evidence of racism and discrimination reported by respondents in all five countries. The most common type of abuse was verbal abuse and microaggressions (76.5%), followed by employment discrimination (61.5%) and police harassment (59.0%). The United States had the highest reported rates of police harassment at 82.9% of respondents reporting experiencing harassment from police officers, reflecting the context of George Floyd's death and the BLM movement's main complaints.</w:t>
      </w:r>
    </w:p>
    <w:p w14:paraId="5C05C6E5">
      <w:pPr>
        <w:spacing w:before="60" w:after="60"/>
      </w:pPr>
    </w:p>
    <w:tbl>
      <w:tblPr>
        <w:tblStyle w:val="16"/>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0"/>
        <w:gridCol w:w="5200"/>
        <w:gridCol w:w="1200"/>
      </w:tblGrid>
      <w:tr w14:paraId="2F93DF43">
        <w:tblPrEx>
          <w:tblLayout w:type="fixed"/>
        </w:tblPrEx>
        <w:tc>
          <w:tcPr>
            <w:tcW w:w="9200" w:type="dxa"/>
            <w:gridSpan w:val="3"/>
            <w:tcBorders>
              <w:top w:val="single" w:color="2C3E50" w:sz="4" w:space="0"/>
              <w:left w:val="single" w:color="2C3E50" w:sz="4" w:space="0"/>
              <w:bottom w:val="single" w:color="2C3E50" w:sz="4" w:space="0"/>
              <w:right w:val="single" w:color="2C3E50" w:sz="4" w:space="0"/>
            </w:tcBorders>
            <w:shd w:val="clear" w:color="auto" w:fill="1A3A5C"/>
            <w:tcMar>
              <w:top w:w="100" w:type="dxa"/>
              <w:left w:w="140" w:type="dxa"/>
              <w:bottom w:w="100" w:type="dxa"/>
              <w:right w:w="140" w:type="dxa"/>
            </w:tcMar>
          </w:tcPr>
          <w:p w14:paraId="6E43166E">
            <w:pPr>
              <w:jc w:val="center"/>
            </w:pPr>
            <w:r>
              <w:rPr>
                <w:rFonts w:ascii="Arial" w:hAnsi="Arial" w:eastAsia="Arial" w:cs="Arial"/>
                <w:b/>
                <w:bCs/>
                <w:color w:val="FFFFFF"/>
                <w:sz w:val="22"/>
                <w:szCs w:val="22"/>
              </w:rPr>
              <w:t>Figure 1: Evidence of Racism by Type — All Countries (%)</w:t>
            </w:r>
          </w:p>
        </w:tc>
      </w:tr>
      <w:tr w14:paraId="7EF815D9">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0E3BB577">
            <w:pPr/>
            <w:r>
              <w:rPr>
                <w:rFonts w:ascii="Arial" w:hAnsi="Arial" w:eastAsia="Arial" w:cs="Arial"/>
                <w:b/>
                <w:bCs/>
                <w:sz w:val="18"/>
                <w:szCs w:val="18"/>
              </w:rPr>
              <w:t>Verbal/Microaggressions</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1DB26B2A">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21F1E3A1">
            <w:pPr>
              <w:jc w:val="center"/>
            </w:pPr>
            <w:r>
              <w:rPr>
                <w:rFonts w:ascii="Arial" w:hAnsi="Arial" w:eastAsia="Arial" w:cs="Arial"/>
                <w:b/>
                <w:bCs/>
                <w:color w:val="1A3A5C"/>
                <w:sz w:val="18"/>
                <w:szCs w:val="18"/>
              </w:rPr>
              <w:t>76.5%</w:t>
            </w:r>
          </w:p>
        </w:tc>
      </w:tr>
      <w:tr w14:paraId="65B96A9C">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tcPr>
          <w:p w14:paraId="6DB6CAF5">
            <w:pPr/>
            <w:r>
              <w:rPr>
                <w:rFonts w:ascii="Arial" w:hAnsi="Arial" w:eastAsia="Arial" w:cs="Arial"/>
                <w:b/>
                <w:bCs/>
                <w:sz w:val="18"/>
                <w:szCs w:val="18"/>
              </w:rPr>
              <w:t>Employment Discrim.</w:t>
            </w:r>
          </w:p>
        </w:tc>
        <w:tc>
          <w:tcPr>
            <w:tcW w:w="5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00" w:type="dxa"/>
              <w:bottom w:w="80" w:type="dxa"/>
              <w:right w:w="100" w:type="dxa"/>
            </w:tcMar>
          </w:tcPr>
          <w:p w14:paraId="4FC668D1">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80" w:type="dxa"/>
              <w:bottom w:w="80" w:type="dxa"/>
              <w:right w:w="80" w:type="dxa"/>
            </w:tcMar>
          </w:tcPr>
          <w:p w14:paraId="62ADF6E5">
            <w:pPr>
              <w:jc w:val="center"/>
            </w:pPr>
            <w:r>
              <w:rPr>
                <w:rFonts w:ascii="Arial" w:hAnsi="Arial" w:eastAsia="Arial" w:cs="Arial"/>
                <w:b/>
                <w:bCs/>
                <w:color w:val="1A3A5C"/>
                <w:sz w:val="18"/>
                <w:szCs w:val="18"/>
              </w:rPr>
              <w:t>61.5%</w:t>
            </w:r>
          </w:p>
        </w:tc>
      </w:tr>
      <w:tr w14:paraId="4E85FB0A">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5A1529BC">
            <w:pPr/>
            <w:r>
              <w:rPr>
                <w:rFonts w:ascii="Arial" w:hAnsi="Arial" w:eastAsia="Arial" w:cs="Arial"/>
                <w:b/>
                <w:bCs/>
                <w:sz w:val="18"/>
                <w:szCs w:val="18"/>
              </w:rPr>
              <w:t>Police Harassment</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19227644">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76336570">
            <w:pPr>
              <w:jc w:val="center"/>
            </w:pPr>
            <w:r>
              <w:rPr>
                <w:rFonts w:ascii="Arial" w:hAnsi="Arial" w:eastAsia="Arial" w:cs="Arial"/>
                <w:b/>
                <w:bCs/>
                <w:color w:val="1A3A5C"/>
                <w:sz w:val="18"/>
                <w:szCs w:val="18"/>
              </w:rPr>
              <w:t>59.0%</w:t>
            </w:r>
          </w:p>
        </w:tc>
      </w:tr>
      <w:tr w14:paraId="664F6705">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tcPr>
          <w:p w14:paraId="5EFB4966">
            <w:pPr/>
            <w:r>
              <w:rPr>
                <w:rFonts w:ascii="Arial" w:hAnsi="Arial" w:eastAsia="Arial" w:cs="Arial"/>
                <w:b/>
                <w:bCs/>
                <w:sz w:val="18"/>
                <w:szCs w:val="18"/>
              </w:rPr>
              <w:t>Housing Discrim.</w:t>
            </w:r>
          </w:p>
        </w:tc>
        <w:tc>
          <w:tcPr>
            <w:tcW w:w="5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00" w:type="dxa"/>
              <w:bottom w:w="80" w:type="dxa"/>
              <w:right w:w="100" w:type="dxa"/>
            </w:tcMar>
          </w:tcPr>
          <w:p w14:paraId="64687CA0">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80" w:type="dxa"/>
              <w:bottom w:w="80" w:type="dxa"/>
              <w:right w:w="80" w:type="dxa"/>
            </w:tcMar>
          </w:tcPr>
          <w:p w14:paraId="4383B219">
            <w:pPr>
              <w:jc w:val="center"/>
            </w:pPr>
            <w:r>
              <w:rPr>
                <w:rFonts w:ascii="Arial" w:hAnsi="Arial" w:eastAsia="Arial" w:cs="Arial"/>
                <w:b/>
                <w:bCs/>
                <w:color w:val="1A3A5C"/>
                <w:sz w:val="18"/>
                <w:szCs w:val="18"/>
              </w:rPr>
              <w:t>41.0%</w:t>
            </w:r>
          </w:p>
        </w:tc>
      </w:tr>
      <w:tr w14:paraId="13B2C48D">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64CC5CA7">
            <w:pPr/>
            <w:r>
              <w:rPr>
                <w:rFonts w:ascii="Arial" w:hAnsi="Arial" w:eastAsia="Arial" w:cs="Arial"/>
                <w:b/>
                <w:bCs/>
                <w:sz w:val="18"/>
                <w:szCs w:val="18"/>
              </w:rPr>
              <w:t>Healthcare Discrim.</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1D3627D0">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3EF58D6D">
            <w:pPr>
              <w:jc w:val="center"/>
            </w:pPr>
            <w:r>
              <w:rPr>
                <w:rFonts w:ascii="Arial" w:hAnsi="Arial" w:eastAsia="Arial" w:cs="Arial"/>
                <w:b/>
                <w:bCs/>
                <w:color w:val="1A3A5C"/>
                <w:sz w:val="18"/>
                <w:szCs w:val="18"/>
              </w:rPr>
              <w:t>33.0%</w:t>
            </w:r>
          </w:p>
        </w:tc>
      </w:tr>
    </w:tbl>
    <w:p w14:paraId="2219F2FE">
      <w:pPr>
        <w:spacing w:before="80" w:after="160"/>
        <w:jc w:val="center"/>
      </w:pPr>
      <w:r>
        <w:rPr>
          <w:rFonts w:ascii="Arial" w:hAnsi="Arial" w:eastAsia="Arial" w:cs="Arial"/>
          <w:i/>
          <w:iCs/>
          <w:color w:val="444444"/>
          <w:sz w:val="20"/>
          <w:szCs w:val="20"/>
        </w:rPr>
        <w:t>Figure 1: Evidence of Racism by Type — All Countries (%). Source: Field Survey, 2024.</w:t>
      </w:r>
    </w:p>
    <w:p w14:paraId="742272A2">
      <w:pPr>
        <w:spacing w:before="60" w:after="60"/>
      </w:pPr>
    </w:p>
    <w:p w14:paraId="399A3178">
      <w:pPr>
        <w:spacing w:before="180" w:after="80"/>
      </w:pPr>
      <w:r>
        <w:rPr>
          <w:rFonts w:ascii="Arial" w:hAnsi="Arial" w:eastAsia="Arial" w:cs="Arial"/>
          <w:b/>
          <w:bCs/>
          <w:sz w:val="22"/>
          <w:szCs w:val="22"/>
        </w:rPr>
        <w:t>Table 2: Key Areas Affected by Racism and Discrimination</w:t>
      </w:r>
    </w:p>
    <w:tbl>
      <w:tblPr>
        <w:tblStyle w:val="16"/>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0"/>
        <w:gridCol w:w="2000"/>
        <w:gridCol w:w="2000"/>
        <w:gridCol w:w="3160"/>
      </w:tblGrid>
      <w:tr w14:paraId="38CAE173">
        <w:tblPrEx>
          <w:tblLayout w:type="fixed"/>
        </w:tblPrEx>
        <w:trPr>
          <w:tblHeader/>
        </w:trPr>
        <w:tc>
          <w:tcPr>
            <w:tcW w:w="22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5C3CEE7A">
            <w:pPr>
              <w:jc w:val="center"/>
            </w:pPr>
            <w:r>
              <w:rPr>
                <w:rFonts w:ascii="Arial" w:hAnsi="Arial" w:eastAsia="Arial" w:cs="Arial"/>
                <w:b/>
                <w:bCs/>
                <w:color w:val="FFFFFF"/>
                <w:sz w:val="18"/>
                <w:szCs w:val="18"/>
              </w:rPr>
              <w:t>Key Area</w:t>
            </w:r>
          </w:p>
        </w:tc>
        <w:tc>
          <w:tcPr>
            <w:tcW w:w="20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279D4FEB">
            <w:pPr>
              <w:jc w:val="center"/>
            </w:pPr>
            <w:r>
              <w:rPr>
                <w:rFonts w:ascii="Arial" w:hAnsi="Arial" w:eastAsia="Arial" w:cs="Arial"/>
                <w:b/>
                <w:bCs/>
                <w:color w:val="FFFFFF"/>
                <w:sz w:val="18"/>
                <w:szCs w:val="18"/>
              </w:rPr>
              <w:t>Countries Most Affected</w:t>
            </w:r>
          </w:p>
        </w:tc>
        <w:tc>
          <w:tcPr>
            <w:tcW w:w="20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441E6CD8">
            <w:pPr>
              <w:jc w:val="center"/>
            </w:pPr>
            <w:r>
              <w:rPr>
                <w:rFonts w:ascii="Arial" w:hAnsi="Arial" w:eastAsia="Arial" w:cs="Arial"/>
                <w:b/>
                <w:bCs/>
                <w:color w:val="FFFFFF"/>
                <w:sz w:val="18"/>
                <w:szCs w:val="18"/>
              </w:rPr>
              <w:t>% Respondents Affected</w:t>
            </w:r>
          </w:p>
        </w:tc>
        <w:tc>
          <w:tcPr>
            <w:tcW w:w="316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4716533D">
            <w:pPr>
              <w:jc w:val="center"/>
            </w:pPr>
            <w:r>
              <w:rPr>
                <w:rFonts w:ascii="Arial" w:hAnsi="Arial" w:eastAsia="Arial" w:cs="Arial"/>
                <w:b/>
                <w:bCs/>
                <w:color w:val="FFFFFF"/>
                <w:sz w:val="18"/>
                <w:szCs w:val="18"/>
              </w:rPr>
              <w:t>Documented Impact</w:t>
            </w:r>
          </w:p>
        </w:tc>
      </w:tr>
      <w:tr w14:paraId="20077279">
        <w:tblPrEx>
          <w:tblLayout w:type="fixed"/>
        </w:tblPrEx>
        <w:tc>
          <w:tcPr>
            <w:tcW w:w="22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6CABA970">
            <w:pPr>
              <w:jc w:val="left"/>
            </w:pPr>
            <w:r>
              <w:rPr>
                <w:rFonts w:ascii="Arial" w:hAnsi="Arial" w:eastAsia="Arial" w:cs="Arial"/>
                <w:b/>
                <w:bCs/>
                <w:sz w:val="20"/>
                <w:szCs w:val="20"/>
              </w:rPr>
              <w:t>Policing &amp; Criminal Justice</w:t>
            </w:r>
          </w:p>
        </w:tc>
        <w:tc>
          <w:tcPr>
            <w:tcW w:w="20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345683EC">
            <w:pPr>
              <w:jc w:val="left"/>
            </w:pPr>
            <w:r>
              <w:rPr>
                <w:rFonts w:ascii="Arial" w:hAnsi="Arial" w:eastAsia="Arial" w:cs="Arial"/>
                <w:b w:val="0"/>
                <w:bCs w:val="0"/>
                <w:sz w:val="20"/>
                <w:szCs w:val="20"/>
              </w:rPr>
              <w:t>USA, UK, France</w:t>
            </w:r>
          </w:p>
        </w:tc>
        <w:tc>
          <w:tcPr>
            <w:tcW w:w="20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5E51A2B5">
            <w:pPr>
              <w:jc w:val="left"/>
            </w:pPr>
            <w:r>
              <w:rPr>
                <w:rFonts w:ascii="Arial" w:hAnsi="Arial" w:eastAsia="Arial" w:cs="Arial"/>
                <w:b w:val="0"/>
                <w:bCs w:val="0"/>
                <w:sz w:val="20"/>
                <w:szCs w:val="20"/>
              </w:rPr>
              <w:t>59.0%</w:t>
            </w:r>
          </w:p>
        </w:tc>
        <w:tc>
          <w:tcPr>
            <w:tcW w:w="31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5CE8CA00">
            <w:pPr>
              <w:jc w:val="left"/>
            </w:pPr>
            <w:r>
              <w:rPr>
                <w:rFonts w:ascii="Arial" w:hAnsi="Arial" w:eastAsia="Arial" w:cs="Arial"/>
                <w:b w:val="0"/>
                <w:bCs w:val="0"/>
                <w:sz w:val="20"/>
                <w:szCs w:val="20"/>
              </w:rPr>
              <w:t>Disproportionate stop-and-search; police killings; racial profiling</w:t>
            </w:r>
          </w:p>
        </w:tc>
      </w:tr>
      <w:tr w14:paraId="39D8345C">
        <w:tblPrEx>
          <w:tblLayout w:type="fixed"/>
        </w:tblPrEx>
        <w:tc>
          <w:tcPr>
            <w:tcW w:w="2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376A09BA">
            <w:pPr>
              <w:jc w:val="left"/>
            </w:pPr>
            <w:r>
              <w:rPr>
                <w:rFonts w:ascii="Arial" w:hAnsi="Arial" w:eastAsia="Arial" w:cs="Arial"/>
                <w:b/>
                <w:bCs/>
                <w:sz w:val="20"/>
                <w:szCs w:val="20"/>
              </w:rPr>
              <w:t>Employment &amp; Workplace</w:t>
            </w:r>
          </w:p>
        </w:tc>
        <w:tc>
          <w:tcPr>
            <w:tcW w:w="20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0FB1B384">
            <w:pPr>
              <w:jc w:val="left"/>
            </w:pPr>
            <w:r>
              <w:rPr>
                <w:rFonts w:ascii="Arial" w:hAnsi="Arial" w:eastAsia="Arial" w:cs="Arial"/>
                <w:b w:val="0"/>
                <w:bCs w:val="0"/>
                <w:sz w:val="20"/>
                <w:szCs w:val="20"/>
              </w:rPr>
              <w:t>All five countries</w:t>
            </w:r>
          </w:p>
        </w:tc>
        <w:tc>
          <w:tcPr>
            <w:tcW w:w="20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6EF6832F">
            <w:pPr>
              <w:jc w:val="left"/>
            </w:pPr>
            <w:r>
              <w:rPr>
                <w:rFonts w:ascii="Arial" w:hAnsi="Arial" w:eastAsia="Arial" w:cs="Arial"/>
                <w:b w:val="0"/>
                <w:bCs w:val="0"/>
                <w:sz w:val="20"/>
                <w:szCs w:val="20"/>
              </w:rPr>
              <w:t>61.5%</w:t>
            </w:r>
          </w:p>
        </w:tc>
        <w:tc>
          <w:tcPr>
            <w:tcW w:w="316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7D8115B2">
            <w:pPr>
              <w:jc w:val="left"/>
            </w:pPr>
            <w:r>
              <w:rPr>
                <w:rFonts w:ascii="Arial" w:hAnsi="Arial" w:eastAsia="Arial" w:cs="Arial"/>
                <w:b w:val="0"/>
                <w:bCs w:val="0"/>
                <w:sz w:val="20"/>
                <w:szCs w:val="20"/>
              </w:rPr>
              <w:t>Hiring bias; wage gaps; glass ceiling for Black professionals</w:t>
            </w:r>
          </w:p>
        </w:tc>
      </w:tr>
      <w:tr w14:paraId="6E67C4D3">
        <w:tblPrEx>
          <w:tblLayout w:type="fixed"/>
        </w:tblPrEx>
        <w:tc>
          <w:tcPr>
            <w:tcW w:w="22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2EED8973">
            <w:pPr>
              <w:jc w:val="left"/>
            </w:pPr>
            <w:r>
              <w:rPr>
                <w:rFonts w:ascii="Arial" w:hAnsi="Arial" w:eastAsia="Arial" w:cs="Arial"/>
                <w:b/>
                <w:bCs/>
                <w:sz w:val="20"/>
                <w:szCs w:val="20"/>
              </w:rPr>
              <w:t>Housing &amp; Residential Segregation</w:t>
            </w:r>
          </w:p>
        </w:tc>
        <w:tc>
          <w:tcPr>
            <w:tcW w:w="20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4F76C48">
            <w:pPr>
              <w:jc w:val="left"/>
            </w:pPr>
            <w:r>
              <w:rPr>
                <w:rFonts w:ascii="Arial" w:hAnsi="Arial" w:eastAsia="Arial" w:cs="Arial"/>
                <w:b w:val="0"/>
                <w:bCs w:val="0"/>
                <w:sz w:val="20"/>
                <w:szCs w:val="20"/>
              </w:rPr>
              <w:t>USA, UK, Canada</w:t>
            </w:r>
          </w:p>
        </w:tc>
        <w:tc>
          <w:tcPr>
            <w:tcW w:w="20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13E1EB0A">
            <w:pPr>
              <w:jc w:val="left"/>
            </w:pPr>
            <w:r>
              <w:rPr>
                <w:rFonts w:ascii="Arial" w:hAnsi="Arial" w:eastAsia="Arial" w:cs="Arial"/>
                <w:b w:val="0"/>
                <w:bCs w:val="0"/>
                <w:sz w:val="20"/>
                <w:szCs w:val="20"/>
              </w:rPr>
              <w:t>41.0%</w:t>
            </w:r>
          </w:p>
        </w:tc>
        <w:tc>
          <w:tcPr>
            <w:tcW w:w="31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B65D089">
            <w:pPr>
              <w:jc w:val="left"/>
            </w:pPr>
            <w:r>
              <w:rPr>
                <w:rFonts w:ascii="Arial" w:hAnsi="Arial" w:eastAsia="Arial" w:cs="Arial"/>
                <w:b w:val="0"/>
                <w:bCs w:val="0"/>
                <w:sz w:val="20"/>
                <w:szCs w:val="20"/>
              </w:rPr>
              <w:t>Redlining; rental refusals; spatial segregation</w:t>
            </w:r>
          </w:p>
        </w:tc>
      </w:tr>
      <w:tr w14:paraId="7F5EC121">
        <w:tblPrEx>
          <w:tblLayout w:type="fixed"/>
        </w:tblPrEx>
        <w:tc>
          <w:tcPr>
            <w:tcW w:w="2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265B3224">
            <w:pPr>
              <w:jc w:val="left"/>
            </w:pPr>
            <w:r>
              <w:rPr>
                <w:rFonts w:ascii="Arial" w:hAnsi="Arial" w:eastAsia="Arial" w:cs="Arial"/>
                <w:b/>
                <w:bCs/>
                <w:sz w:val="20"/>
                <w:szCs w:val="20"/>
              </w:rPr>
              <w:t>Healthcare &amp; Mental Health</w:t>
            </w:r>
          </w:p>
        </w:tc>
        <w:tc>
          <w:tcPr>
            <w:tcW w:w="20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521CD284">
            <w:pPr>
              <w:jc w:val="left"/>
            </w:pPr>
            <w:r>
              <w:rPr>
                <w:rFonts w:ascii="Arial" w:hAnsi="Arial" w:eastAsia="Arial" w:cs="Arial"/>
                <w:b w:val="0"/>
                <w:bCs w:val="0"/>
                <w:sz w:val="20"/>
                <w:szCs w:val="20"/>
              </w:rPr>
              <w:t>USA, UK, Australia</w:t>
            </w:r>
          </w:p>
        </w:tc>
        <w:tc>
          <w:tcPr>
            <w:tcW w:w="20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2F9C6914">
            <w:pPr>
              <w:jc w:val="left"/>
            </w:pPr>
            <w:r>
              <w:rPr>
                <w:rFonts w:ascii="Arial" w:hAnsi="Arial" w:eastAsia="Arial" w:cs="Arial"/>
                <w:b w:val="0"/>
                <w:bCs w:val="0"/>
                <w:sz w:val="20"/>
                <w:szCs w:val="20"/>
              </w:rPr>
              <w:t>33.0%</w:t>
            </w:r>
          </w:p>
        </w:tc>
        <w:tc>
          <w:tcPr>
            <w:tcW w:w="316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1B92EB0B">
            <w:pPr>
              <w:jc w:val="left"/>
            </w:pPr>
            <w:r>
              <w:rPr>
                <w:rFonts w:ascii="Arial" w:hAnsi="Arial" w:eastAsia="Arial" w:cs="Arial"/>
                <w:b w:val="0"/>
                <w:bCs w:val="0"/>
                <w:sz w:val="20"/>
                <w:szCs w:val="20"/>
              </w:rPr>
              <w:t>Under-treatment; diagnostic disparities; maternal mortality gaps</w:t>
            </w:r>
          </w:p>
        </w:tc>
      </w:tr>
      <w:tr w14:paraId="06AAE6E4">
        <w:tblPrEx>
          <w:tblLayout w:type="fixed"/>
        </w:tblPrEx>
        <w:tc>
          <w:tcPr>
            <w:tcW w:w="22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53F39B49">
            <w:pPr>
              <w:jc w:val="left"/>
            </w:pPr>
            <w:r>
              <w:rPr>
                <w:rFonts w:ascii="Arial" w:hAnsi="Arial" w:eastAsia="Arial" w:cs="Arial"/>
                <w:b/>
                <w:bCs/>
                <w:sz w:val="20"/>
                <w:szCs w:val="20"/>
              </w:rPr>
              <w:t>Education &amp; Institutional Bias</w:t>
            </w:r>
          </w:p>
        </w:tc>
        <w:tc>
          <w:tcPr>
            <w:tcW w:w="20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35B36263">
            <w:pPr>
              <w:jc w:val="left"/>
            </w:pPr>
            <w:r>
              <w:rPr>
                <w:rFonts w:ascii="Arial" w:hAnsi="Arial" w:eastAsia="Arial" w:cs="Arial"/>
                <w:b w:val="0"/>
                <w:bCs w:val="0"/>
                <w:sz w:val="20"/>
                <w:szCs w:val="20"/>
              </w:rPr>
              <w:t>All five countries</w:t>
            </w:r>
          </w:p>
        </w:tc>
        <w:tc>
          <w:tcPr>
            <w:tcW w:w="20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31EF36B8">
            <w:pPr>
              <w:jc w:val="left"/>
            </w:pPr>
            <w:r>
              <w:rPr>
                <w:rFonts w:ascii="Arial" w:hAnsi="Arial" w:eastAsia="Arial" w:cs="Arial"/>
                <w:b w:val="0"/>
                <w:bCs w:val="0"/>
                <w:sz w:val="20"/>
                <w:szCs w:val="20"/>
              </w:rPr>
              <w:t>48.5%</w:t>
            </w:r>
          </w:p>
        </w:tc>
        <w:tc>
          <w:tcPr>
            <w:tcW w:w="31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67C89439">
            <w:pPr>
              <w:jc w:val="left"/>
            </w:pPr>
            <w:r>
              <w:rPr>
                <w:rFonts w:ascii="Arial" w:hAnsi="Arial" w:eastAsia="Arial" w:cs="Arial"/>
                <w:b w:val="0"/>
                <w:bCs w:val="0"/>
                <w:sz w:val="20"/>
                <w:szCs w:val="20"/>
              </w:rPr>
              <w:t>Exclusionary discipline; curriculum gaps; attainment disparities</w:t>
            </w:r>
          </w:p>
        </w:tc>
      </w:tr>
      <w:tr w14:paraId="298C2AE2">
        <w:tblPrEx>
          <w:tblLayout w:type="fixed"/>
        </w:tblPrEx>
        <w:tc>
          <w:tcPr>
            <w:tcW w:w="2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71C7A8CE">
            <w:pPr>
              <w:jc w:val="left"/>
            </w:pPr>
            <w:r>
              <w:rPr>
                <w:rFonts w:ascii="Arial" w:hAnsi="Arial" w:eastAsia="Arial" w:cs="Arial"/>
                <w:b/>
                <w:bCs/>
                <w:sz w:val="20"/>
                <w:szCs w:val="20"/>
              </w:rPr>
              <w:t>Verbal Abuse &amp; Microaggressions</w:t>
            </w:r>
          </w:p>
        </w:tc>
        <w:tc>
          <w:tcPr>
            <w:tcW w:w="20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28B4D6E6">
            <w:pPr>
              <w:jc w:val="left"/>
            </w:pPr>
            <w:r>
              <w:rPr>
                <w:rFonts w:ascii="Arial" w:hAnsi="Arial" w:eastAsia="Arial" w:cs="Arial"/>
                <w:b w:val="0"/>
                <w:bCs w:val="0"/>
                <w:sz w:val="20"/>
                <w:szCs w:val="20"/>
              </w:rPr>
              <w:t>All five countries</w:t>
            </w:r>
          </w:p>
        </w:tc>
        <w:tc>
          <w:tcPr>
            <w:tcW w:w="20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3AF5CF9D">
            <w:pPr>
              <w:jc w:val="left"/>
            </w:pPr>
            <w:r>
              <w:rPr>
                <w:rFonts w:ascii="Arial" w:hAnsi="Arial" w:eastAsia="Arial" w:cs="Arial"/>
                <w:b w:val="0"/>
                <w:bCs w:val="0"/>
                <w:sz w:val="20"/>
                <w:szCs w:val="20"/>
              </w:rPr>
              <w:t>76.5%</w:t>
            </w:r>
          </w:p>
        </w:tc>
        <w:tc>
          <w:tcPr>
            <w:tcW w:w="316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40EA49A2">
            <w:pPr>
              <w:jc w:val="left"/>
            </w:pPr>
            <w:r>
              <w:rPr>
                <w:rFonts w:ascii="Arial" w:hAnsi="Arial" w:eastAsia="Arial" w:cs="Arial"/>
                <w:b w:val="0"/>
                <w:bCs w:val="0"/>
                <w:sz w:val="20"/>
                <w:szCs w:val="20"/>
              </w:rPr>
              <w:t>Daily racial slights; hostile environments; psychological harm</w:t>
            </w:r>
          </w:p>
        </w:tc>
      </w:tr>
    </w:tbl>
    <w:p w14:paraId="00527B56">
      <w:pPr>
        <w:spacing w:before="60" w:after="120"/>
      </w:pPr>
      <w:r>
        <w:rPr>
          <w:rFonts w:ascii="Arial" w:hAnsi="Arial" w:eastAsia="Arial" w:cs="Arial"/>
          <w:i/>
          <w:iCs/>
          <w:color w:val="555555"/>
          <w:sz w:val="18"/>
          <w:szCs w:val="18"/>
        </w:rPr>
        <w:t>Source: Field Survey, 2024; Runnymede Trust (2020); World Health Organization (2021); Pew Research Center (2020).</w:t>
      </w:r>
    </w:p>
    <w:p w14:paraId="03C33E67">
      <w:pPr>
        <w:spacing w:before="60" w:after="60"/>
      </w:pPr>
    </w:p>
    <w:p w14:paraId="6E70856B">
      <w:pPr>
        <w:spacing w:before="80" w:after="80" w:line="360" w:lineRule="auto"/>
        <w:jc w:val="both"/>
      </w:pPr>
      <w:r>
        <w:rPr>
          <w:rFonts w:hint="default" w:ascii="Arial" w:hAnsi="Arial" w:eastAsia="Arial" w:cs="Arial"/>
          <w:sz w:val="22"/>
          <w:szCs w:val="22"/>
        </w:rPr>
        <w:t>Table 2 shows the main areas reported to be impacted by racism and discrimination in the five countries. The areas with the most widespread impact were also those provided by both the survey and secondary data in the institutions, namely employment and policing. Healthcare and housing, though having a smaller impact on respondents, are areas of racial disparity with long-term repercussions for black communities</w:t>
      </w:r>
      <w:r>
        <w:rPr>
          <w:rFonts w:ascii="Arial" w:hAnsi="Arial" w:eastAsia="Arial" w:cs="Arial"/>
          <w:sz w:val="22"/>
          <w:szCs w:val="22"/>
        </w:rPr>
        <w:t>.</w:t>
      </w:r>
    </w:p>
    <w:p w14:paraId="64ED2720">
      <w:pPr>
        <w:spacing w:before="60" w:after="60"/>
      </w:pPr>
    </w:p>
    <w:tbl>
      <w:tblPr>
        <w:tblStyle w:val="16"/>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0"/>
        <w:gridCol w:w="5200"/>
        <w:gridCol w:w="1200"/>
      </w:tblGrid>
      <w:tr w14:paraId="331D0BCF">
        <w:tblPrEx>
          <w:tblLayout w:type="fixed"/>
        </w:tblPrEx>
        <w:tc>
          <w:tcPr>
            <w:tcW w:w="9200" w:type="dxa"/>
            <w:gridSpan w:val="3"/>
            <w:tcBorders>
              <w:top w:val="single" w:color="2C3E50" w:sz="4" w:space="0"/>
              <w:left w:val="single" w:color="2C3E50" w:sz="4" w:space="0"/>
              <w:bottom w:val="single" w:color="2C3E50" w:sz="4" w:space="0"/>
              <w:right w:val="single" w:color="2C3E50" w:sz="4" w:space="0"/>
            </w:tcBorders>
            <w:shd w:val="clear" w:color="auto" w:fill="1A3A5C"/>
            <w:tcMar>
              <w:top w:w="100" w:type="dxa"/>
              <w:left w:w="140" w:type="dxa"/>
              <w:bottom w:w="100" w:type="dxa"/>
              <w:right w:w="140" w:type="dxa"/>
            </w:tcMar>
          </w:tcPr>
          <w:p w14:paraId="3E9A4F01">
            <w:pPr>
              <w:jc w:val="center"/>
            </w:pPr>
            <w:r>
              <w:rPr>
                <w:rFonts w:ascii="Arial" w:hAnsi="Arial" w:eastAsia="Arial" w:cs="Arial"/>
                <w:b/>
                <w:bCs/>
                <w:color w:val="FFFFFF"/>
                <w:sz w:val="22"/>
                <w:szCs w:val="22"/>
              </w:rPr>
              <w:t>Figure 2: Key Areas Affected by Racism — % Respondents Impacted</w:t>
            </w:r>
          </w:p>
        </w:tc>
      </w:tr>
      <w:tr w14:paraId="63F5AD9B">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08FDFD31">
            <w:pPr/>
            <w:r>
              <w:rPr>
                <w:rFonts w:ascii="Arial" w:hAnsi="Arial" w:eastAsia="Arial" w:cs="Arial"/>
                <w:b/>
                <w:bCs/>
                <w:sz w:val="18"/>
                <w:szCs w:val="18"/>
              </w:rPr>
              <w:t>Verbal/Microaggressions</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1E24B268">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56E3B3FF">
            <w:pPr>
              <w:jc w:val="center"/>
            </w:pPr>
            <w:r>
              <w:rPr>
                <w:rFonts w:ascii="Arial" w:hAnsi="Arial" w:eastAsia="Arial" w:cs="Arial"/>
                <w:b/>
                <w:bCs/>
                <w:color w:val="1A3A5C"/>
                <w:sz w:val="18"/>
                <w:szCs w:val="18"/>
              </w:rPr>
              <w:t>76.5%</w:t>
            </w:r>
          </w:p>
        </w:tc>
      </w:tr>
      <w:tr w14:paraId="75043C55">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tcPr>
          <w:p w14:paraId="18E2FFBF">
            <w:pPr/>
            <w:r>
              <w:rPr>
                <w:rFonts w:ascii="Arial" w:hAnsi="Arial" w:eastAsia="Arial" w:cs="Arial"/>
                <w:b/>
                <w:bCs/>
                <w:sz w:val="18"/>
                <w:szCs w:val="18"/>
              </w:rPr>
              <w:t>Employment</w:t>
            </w:r>
          </w:p>
        </w:tc>
        <w:tc>
          <w:tcPr>
            <w:tcW w:w="5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00" w:type="dxa"/>
              <w:bottom w:w="80" w:type="dxa"/>
              <w:right w:w="100" w:type="dxa"/>
            </w:tcMar>
          </w:tcPr>
          <w:p w14:paraId="19674696">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80" w:type="dxa"/>
              <w:bottom w:w="80" w:type="dxa"/>
              <w:right w:w="80" w:type="dxa"/>
            </w:tcMar>
          </w:tcPr>
          <w:p w14:paraId="43ACDD25">
            <w:pPr>
              <w:jc w:val="center"/>
            </w:pPr>
            <w:r>
              <w:rPr>
                <w:rFonts w:ascii="Arial" w:hAnsi="Arial" w:eastAsia="Arial" w:cs="Arial"/>
                <w:b/>
                <w:bCs/>
                <w:color w:val="1A3A5C"/>
                <w:sz w:val="18"/>
                <w:szCs w:val="18"/>
              </w:rPr>
              <w:t>61.5%</w:t>
            </w:r>
          </w:p>
        </w:tc>
      </w:tr>
      <w:tr w14:paraId="3D36381D">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348F3A0A">
            <w:pPr/>
            <w:r>
              <w:rPr>
                <w:rFonts w:ascii="Arial" w:hAnsi="Arial" w:eastAsia="Arial" w:cs="Arial"/>
                <w:b/>
                <w:bCs/>
                <w:sz w:val="18"/>
                <w:szCs w:val="18"/>
              </w:rPr>
              <w:t>Policing</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5BF75875">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35E5FB2B">
            <w:pPr>
              <w:jc w:val="center"/>
            </w:pPr>
            <w:r>
              <w:rPr>
                <w:rFonts w:ascii="Arial" w:hAnsi="Arial" w:eastAsia="Arial" w:cs="Arial"/>
                <w:b/>
                <w:bCs/>
                <w:color w:val="1A3A5C"/>
                <w:sz w:val="18"/>
                <w:szCs w:val="18"/>
              </w:rPr>
              <w:t>59.0%</w:t>
            </w:r>
          </w:p>
        </w:tc>
      </w:tr>
      <w:tr w14:paraId="6AFB5D50">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tcPr>
          <w:p w14:paraId="386BA0C4">
            <w:pPr/>
            <w:r>
              <w:rPr>
                <w:rFonts w:ascii="Arial" w:hAnsi="Arial" w:eastAsia="Arial" w:cs="Arial"/>
                <w:b/>
                <w:bCs/>
                <w:sz w:val="18"/>
                <w:szCs w:val="18"/>
              </w:rPr>
              <w:t>Education</w:t>
            </w:r>
          </w:p>
        </w:tc>
        <w:tc>
          <w:tcPr>
            <w:tcW w:w="5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00" w:type="dxa"/>
              <w:bottom w:w="80" w:type="dxa"/>
              <w:right w:w="100" w:type="dxa"/>
            </w:tcMar>
          </w:tcPr>
          <w:p w14:paraId="22F24B37">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80" w:type="dxa"/>
              <w:bottom w:w="80" w:type="dxa"/>
              <w:right w:w="80" w:type="dxa"/>
            </w:tcMar>
          </w:tcPr>
          <w:p w14:paraId="65C5B97E">
            <w:pPr>
              <w:jc w:val="center"/>
            </w:pPr>
            <w:r>
              <w:rPr>
                <w:rFonts w:ascii="Arial" w:hAnsi="Arial" w:eastAsia="Arial" w:cs="Arial"/>
                <w:b/>
                <w:bCs/>
                <w:color w:val="1A3A5C"/>
                <w:sz w:val="18"/>
                <w:szCs w:val="18"/>
              </w:rPr>
              <w:t>48.5%</w:t>
            </w:r>
          </w:p>
        </w:tc>
      </w:tr>
      <w:tr w14:paraId="487F0F0C">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2B8FB6F7">
            <w:pPr/>
            <w:r>
              <w:rPr>
                <w:rFonts w:ascii="Arial" w:hAnsi="Arial" w:eastAsia="Arial" w:cs="Arial"/>
                <w:b/>
                <w:bCs/>
                <w:sz w:val="18"/>
                <w:szCs w:val="18"/>
              </w:rPr>
              <w:t>Housing</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7543F7F7">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35570CC5">
            <w:pPr>
              <w:jc w:val="center"/>
            </w:pPr>
            <w:r>
              <w:rPr>
                <w:rFonts w:ascii="Arial" w:hAnsi="Arial" w:eastAsia="Arial" w:cs="Arial"/>
                <w:b/>
                <w:bCs/>
                <w:color w:val="1A3A5C"/>
                <w:sz w:val="18"/>
                <w:szCs w:val="18"/>
              </w:rPr>
              <w:t>41.0%</w:t>
            </w:r>
          </w:p>
        </w:tc>
      </w:tr>
      <w:tr w14:paraId="62CF9609">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tcPr>
          <w:p w14:paraId="573BF55A">
            <w:pPr/>
            <w:r>
              <w:rPr>
                <w:rFonts w:ascii="Arial" w:hAnsi="Arial" w:eastAsia="Arial" w:cs="Arial"/>
                <w:b/>
                <w:bCs/>
                <w:sz w:val="18"/>
                <w:szCs w:val="18"/>
              </w:rPr>
              <w:t>Healthcare</w:t>
            </w:r>
          </w:p>
        </w:tc>
        <w:tc>
          <w:tcPr>
            <w:tcW w:w="5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00" w:type="dxa"/>
              <w:bottom w:w="80" w:type="dxa"/>
              <w:right w:w="100" w:type="dxa"/>
            </w:tcMar>
          </w:tcPr>
          <w:p w14:paraId="09950A42">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80" w:type="dxa"/>
              <w:bottom w:w="80" w:type="dxa"/>
              <w:right w:w="80" w:type="dxa"/>
            </w:tcMar>
          </w:tcPr>
          <w:p w14:paraId="7CD5FC73">
            <w:pPr>
              <w:jc w:val="center"/>
            </w:pPr>
            <w:r>
              <w:rPr>
                <w:rFonts w:ascii="Arial" w:hAnsi="Arial" w:eastAsia="Arial" w:cs="Arial"/>
                <w:b/>
                <w:bCs/>
                <w:color w:val="1A3A5C"/>
                <w:sz w:val="18"/>
                <w:szCs w:val="18"/>
              </w:rPr>
              <w:t>33.0%</w:t>
            </w:r>
          </w:p>
        </w:tc>
      </w:tr>
    </w:tbl>
    <w:p w14:paraId="328746C0">
      <w:pPr>
        <w:spacing w:before="80" w:after="160"/>
        <w:jc w:val="center"/>
      </w:pPr>
      <w:r>
        <w:rPr>
          <w:rFonts w:ascii="Arial" w:hAnsi="Arial" w:eastAsia="Arial" w:cs="Arial"/>
          <w:i/>
          <w:iCs/>
          <w:color w:val="444444"/>
          <w:sz w:val="20"/>
          <w:szCs w:val="20"/>
        </w:rPr>
        <w:t>Figure 2: Key Areas Affected by Racism — % Respondents Impacted. Source: Field Survey, 2024.</w:t>
      </w:r>
    </w:p>
    <w:p w14:paraId="664F248C">
      <w:pPr>
        <w:spacing w:before="60" w:after="60"/>
      </w:pPr>
    </w:p>
    <w:p w14:paraId="7284BA70">
      <w:pPr>
        <w:spacing w:before="180" w:after="80"/>
      </w:pPr>
      <w:r>
        <w:rPr>
          <w:rFonts w:ascii="Arial" w:hAnsi="Arial" w:eastAsia="Arial" w:cs="Arial"/>
          <w:b/>
          <w:bCs/>
          <w:sz w:val="22"/>
          <w:szCs w:val="22"/>
        </w:rPr>
        <w:t>Table 3: Institutional and Governmental Response (2020–2024)</w:t>
      </w:r>
    </w:p>
    <w:tbl>
      <w:tblPr>
        <w:tblStyle w:val="16"/>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0"/>
        <w:gridCol w:w="1400"/>
        <w:gridCol w:w="1400"/>
        <w:gridCol w:w="1400"/>
        <w:gridCol w:w="1400"/>
        <w:gridCol w:w="2160"/>
      </w:tblGrid>
      <w:tr w14:paraId="728C9AEC">
        <w:tblPrEx>
          <w:tblLayout w:type="fixed"/>
        </w:tblPrEx>
        <w:trPr>
          <w:tblHeader/>
        </w:trPr>
        <w:tc>
          <w:tcPr>
            <w:tcW w:w="16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519DC79A">
            <w:pPr>
              <w:jc w:val="center"/>
            </w:pPr>
            <w:r>
              <w:rPr>
                <w:rFonts w:ascii="Arial" w:hAnsi="Arial" w:eastAsia="Arial" w:cs="Arial"/>
                <w:b/>
                <w:bCs/>
                <w:color w:val="FFFFFF"/>
                <w:sz w:val="18"/>
                <w:szCs w:val="18"/>
              </w:rPr>
              <w:t>Country</w:t>
            </w:r>
          </w:p>
        </w:tc>
        <w:tc>
          <w:tcPr>
            <w:tcW w:w="14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37198B20">
            <w:pPr>
              <w:jc w:val="center"/>
            </w:pPr>
            <w:r>
              <w:rPr>
                <w:rFonts w:ascii="Arial" w:hAnsi="Arial" w:eastAsia="Arial" w:cs="Arial"/>
                <w:b/>
                <w:bCs/>
                <w:color w:val="FFFFFF"/>
                <w:sz w:val="18"/>
                <w:szCs w:val="18"/>
              </w:rPr>
              <w:t>Police Reform Legislation</w:t>
            </w:r>
          </w:p>
        </w:tc>
        <w:tc>
          <w:tcPr>
            <w:tcW w:w="14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103BAD00">
            <w:pPr>
              <w:jc w:val="center"/>
            </w:pPr>
            <w:r>
              <w:rPr>
                <w:rFonts w:ascii="Arial" w:hAnsi="Arial" w:eastAsia="Arial" w:cs="Arial"/>
                <w:b/>
                <w:bCs/>
                <w:color w:val="FFFFFF"/>
                <w:sz w:val="18"/>
                <w:szCs w:val="18"/>
              </w:rPr>
              <w:t>Hate Crime Laws Strengthened</w:t>
            </w:r>
          </w:p>
        </w:tc>
        <w:tc>
          <w:tcPr>
            <w:tcW w:w="14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200DB73A">
            <w:pPr>
              <w:jc w:val="center"/>
            </w:pPr>
            <w:r>
              <w:rPr>
                <w:rFonts w:ascii="Arial" w:hAnsi="Arial" w:eastAsia="Arial" w:cs="Arial"/>
                <w:b/>
                <w:bCs/>
                <w:color w:val="FFFFFF"/>
                <w:sz w:val="18"/>
                <w:szCs w:val="18"/>
              </w:rPr>
              <w:t>National Anti-Racism Strategy</w:t>
            </w:r>
          </w:p>
        </w:tc>
        <w:tc>
          <w:tcPr>
            <w:tcW w:w="14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247D9A68">
            <w:pPr>
              <w:jc w:val="center"/>
            </w:pPr>
            <w:r>
              <w:rPr>
                <w:rFonts w:ascii="Arial" w:hAnsi="Arial" w:eastAsia="Arial" w:cs="Arial"/>
                <w:b/>
                <w:bCs/>
                <w:color w:val="FFFFFF"/>
                <w:sz w:val="18"/>
                <w:szCs w:val="18"/>
              </w:rPr>
              <w:t>Formal Inquiry/Review</w:t>
            </w:r>
          </w:p>
        </w:tc>
        <w:tc>
          <w:tcPr>
            <w:tcW w:w="216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412F20F6">
            <w:pPr>
              <w:jc w:val="center"/>
            </w:pPr>
            <w:r>
              <w:rPr>
                <w:rFonts w:ascii="Arial" w:hAnsi="Arial" w:eastAsia="Arial" w:cs="Arial"/>
                <w:b/>
                <w:bCs/>
                <w:color w:val="FFFFFF"/>
                <w:sz w:val="18"/>
                <w:szCs w:val="18"/>
              </w:rPr>
              <w:t>Key Action (2020–2024)</w:t>
            </w:r>
          </w:p>
        </w:tc>
      </w:tr>
      <w:tr w14:paraId="1838D3DF">
        <w:tblPrEx>
          <w:tblLayout w:type="fixed"/>
        </w:tblPrEx>
        <w:tc>
          <w:tcPr>
            <w:tcW w:w="16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6D05F4E0">
            <w:pPr>
              <w:jc w:val="left"/>
            </w:pPr>
            <w:r>
              <w:rPr>
                <w:rFonts w:ascii="Arial" w:hAnsi="Arial" w:eastAsia="Arial" w:cs="Arial"/>
                <w:b/>
                <w:bCs/>
                <w:sz w:val="20"/>
                <w:szCs w:val="20"/>
              </w:rPr>
              <w:t>United States</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676756EA">
            <w:pPr>
              <w:jc w:val="left"/>
            </w:pPr>
            <w:r>
              <w:rPr>
                <w:rFonts w:ascii="Arial" w:hAnsi="Arial" w:eastAsia="Arial" w:cs="Arial"/>
                <w:b w:val="0"/>
                <w:bCs w:val="0"/>
                <w:sz w:val="20"/>
                <w:szCs w:val="20"/>
              </w:rPr>
              <w:t>Partial (George Floyd Act stalled)</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2A101EB7">
            <w:pPr>
              <w:jc w:val="left"/>
            </w:pPr>
            <w:r>
              <w:rPr>
                <w:rFonts w:ascii="Arial" w:hAnsi="Arial" w:eastAsia="Arial" w:cs="Arial"/>
                <w:b w:val="0"/>
                <w:bCs w:val="0"/>
                <w:sz w:val="20"/>
                <w:szCs w:val="20"/>
              </w:rPr>
              <w:t>Yes (limited)</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2C784F13">
            <w:pPr>
              <w:jc w:val="left"/>
            </w:pPr>
            <w:r>
              <w:rPr>
                <w:rFonts w:ascii="Arial" w:hAnsi="Arial" w:eastAsia="Arial" w:cs="Arial"/>
                <w:b w:val="0"/>
                <w:bCs w:val="0"/>
                <w:sz w:val="20"/>
                <w:szCs w:val="20"/>
              </w:rPr>
              <w:t>No national policy</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6FBB31B3">
            <w:pPr>
              <w:jc w:val="left"/>
            </w:pPr>
            <w:r>
              <w:rPr>
                <w:rFonts w:ascii="Arial" w:hAnsi="Arial" w:eastAsia="Arial" w:cs="Arial"/>
                <w:b w:val="0"/>
                <w:bCs w:val="0"/>
                <w:sz w:val="20"/>
                <w:szCs w:val="20"/>
              </w:rPr>
              <w:t>Congressional hearings</w:t>
            </w:r>
          </w:p>
        </w:tc>
        <w:tc>
          <w:tcPr>
            <w:tcW w:w="21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E0DD950">
            <w:pPr>
              <w:jc w:val="left"/>
            </w:pPr>
            <w:r>
              <w:rPr>
                <w:rFonts w:ascii="Arial" w:hAnsi="Arial" w:eastAsia="Arial" w:cs="Arial"/>
                <w:b w:val="0"/>
                <w:bCs w:val="0"/>
                <w:sz w:val="20"/>
                <w:szCs w:val="20"/>
              </w:rPr>
              <w:t>George Floyd Justice in Policing Act passed House 2021; Senate stalled</w:t>
            </w:r>
          </w:p>
        </w:tc>
      </w:tr>
      <w:tr w14:paraId="456ABD0C">
        <w:tblPrEx>
          <w:tblLayout w:type="fixed"/>
        </w:tblPrEx>
        <w:tc>
          <w:tcPr>
            <w:tcW w:w="16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3A173E46">
            <w:pPr>
              <w:jc w:val="left"/>
            </w:pPr>
            <w:r>
              <w:rPr>
                <w:rFonts w:ascii="Arial" w:hAnsi="Arial" w:eastAsia="Arial" w:cs="Arial"/>
                <w:b/>
                <w:bCs/>
                <w:sz w:val="20"/>
                <w:szCs w:val="20"/>
              </w:rPr>
              <w:t>United Kingdom</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38BBA6F0">
            <w:pPr>
              <w:jc w:val="left"/>
            </w:pPr>
            <w:r>
              <w:rPr>
                <w:rFonts w:ascii="Arial" w:hAnsi="Arial" w:eastAsia="Arial" w:cs="Arial"/>
                <w:b w:val="0"/>
                <w:bCs w:val="0"/>
                <w:sz w:val="20"/>
                <w:szCs w:val="20"/>
              </w:rPr>
              <w:t>No</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0C8D2A3C">
            <w:pPr>
              <w:jc w:val="left"/>
            </w:pPr>
            <w:r>
              <w:rPr>
                <w:rFonts w:ascii="Arial" w:hAnsi="Arial" w:eastAsia="Arial" w:cs="Arial"/>
                <w:b w:val="0"/>
                <w:bCs w:val="0"/>
                <w:sz w:val="20"/>
                <w:szCs w:val="20"/>
              </w:rPr>
              <w:t>Yes (2022)</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492BDFD5">
            <w:pPr>
              <w:jc w:val="left"/>
            </w:pPr>
            <w:r>
              <w:rPr>
                <w:rFonts w:ascii="Arial" w:hAnsi="Arial" w:eastAsia="Arial" w:cs="Arial"/>
                <w:b w:val="0"/>
                <w:bCs w:val="0"/>
                <w:sz w:val="20"/>
                <w:szCs w:val="20"/>
              </w:rPr>
              <w:t>Yes (CERD review 2021)</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756544EF">
            <w:pPr>
              <w:jc w:val="left"/>
            </w:pPr>
            <w:r>
              <w:rPr>
                <w:rFonts w:ascii="Arial" w:hAnsi="Arial" w:eastAsia="Arial" w:cs="Arial"/>
                <w:b w:val="0"/>
                <w:bCs w:val="0"/>
                <w:sz w:val="20"/>
                <w:szCs w:val="20"/>
              </w:rPr>
              <w:t>Sewell Report 2021 (contested)</w:t>
            </w:r>
          </w:p>
        </w:tc>
        <w:tc>
          <w:tcPr>
            <w:tcW w:w="216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4CA1809C">
            <w:pPr>
              <w:jc w:val="left"/>
            </w:pPr>
            <w:r>
              <w:rPr>
                <w:rFonts w:ascii="Arial" w:hAnsi="Arial" w:eastAsia="Arial" w:cs="Arial"/>
                <w:b w:val="0"/>
                <w:bCs w:val="0"/>
                <w:sz w:val="20"/>
                <w:szCs w:val="20"/>
              </w:rPr>
              <w:t>Commission on Race and Ethnic Disparities; 'colour-blind' approach critiqued</w:t>
            </w:r>
          </w:p>
        </w:tc>
      </w:tr>
      <w:tr w14:paraId="2DE083F7">
        <w:tblPrEx>
          <w:tblLayout w:type="fixed"/>
        </w:tblPrEx>
        <w:tc>
          <w:tcPr>
            <w:tcW w:w="16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525CFC13">
            <w:pPr>
              <w:jc w:val="left"/>
            </w:pPr>
            <w:r>
              <w:rPr>
                <w:rFonts w:ascii="Arial" w:hAnsi="Arial" w:eastAsia="Arial" w:cs="Arial"/>
                <w:b/>
                <w:bCs/>
                <w:sz w:val="20"/>
                <w:szCs w:val="20"/>
              </w:rPr>
              <w:t>Canada</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23A61766">
            <w:pPr>
              <w:jc w:val="left"/>
            </w:pPr>
            <w:r>
              <w:rPr>
                <w:rFonts w:ascii="Arial" w:hAnsi="Arial" w:eastAsia="Arial" w:cs="Arial"/>
                <w:b w:val="0"/>
                <w:bCs w:val="0"/>
                <w:sz w:val="20"/>
                <w:szCs w:val="20"/>
              </w:rPr>
              <w:t>Partial (RCMP review)</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2F95ED88">
            <w:pPr>
              <w:jc w:val="left"/>
            </w:pPr>
            <w:r>
              <w:rPr>
                <w:rFonts w:ascii="Arial" w:hAnsi="Arial" w:eastAsia="Arial" w:cs="Arial"/>
                <w:b w:val="0"/>
                <w:bCs w:val="0"/>
                <w:sz w:val="20"/>
                <w:szCs w:val="20"/>
              </w:rPr>
              <w:t>Yes</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1AD10C6">
            <w:pPr>
              <w:jc w:val="left"/>
            </w:pPr>
            <w:r>
              <w:rPr>
                <w:rFonts w:ascii="Arial" w:hAnsi="Arial" w:eastAsia="Arial" w:cs="Arial"/>
                <w:b w:val="0"/>
                <w:bCs w:val="0"/>
                <w:sz w:val="20"/>
                <w:szCs w:val="20"/>
              </w:rPr>
              <w:t>Anti-Racism Strategy 2019–2022</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5F04C3CF">
            <w:pPr>
              <w:jc w:val="left"/>
            </w:pPr>
            <w:r>
              <w:rPr>
                <w:rFonts w:ascii="Arial" w:hAnsi="Arial" w:eastAsia="Arial" w:cs="Arial"/>
                <w:b w:val="0"/>
                <w:bCs w:val="0"/>
                <w:sz w:val="20"/>
                <w:szCs w:val="20"/>
              </w:rPr>
              <w:t>OHRC inquiry ongoing</w:t>
            </w:r>
          </w:p>
        </w:tc>
        <w:tc>
          <w:tcPr>
            <w:tcW w:w="21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276449C0">
            <w:pPr>
              <w:jc w:val="left"/>
            </w:pPr>
            <w:r>
              <w:rPr>
                <w:rFonts w:ascii="Arial" w:hAnsi="Arial" w:eastAsia="Arial" w:cs="Arial"/>
                <w:b w:val="0"/>
                <w:bCs w:val="0"/>
                <w:sz w:val="20"/>
                <w:szCs w:val="20"/>
              </w:rPr>
              <w:t>Federal Anti-Racism Secretariat established; Ontario police reform consultations</w:t>
            </w:r>
          </w:p>
        </w:tc>
      </w:tr>
      <w:tr w14:paraId="2542AFDB">
        <w:tblPrEx>
          <w:tblLayout w:type="fixed"/>
        </w:tblPrEx>
        <w:tc>
          <w:tcPr>
            <w:tcW w:w="16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565E951F">
            <w:pPr>
              <w:jc w:val="left"/>
            </w:pPr>
            <w:r>
              <w:rPr>
                <w:rFonts w:ascii="Arial" w:hAnsi="Arial" w:eastAsia="Arial" w:cs="Arial"/>
                <w:b/>
                <w:bCs/>
                <w:sz w:val="20"/>
                <w:szCs w:val="20"/>
              </w:rPr>
              <w:t>France</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7691210E">
            <w:pPr>
              <w:jc w:val="left"/>
            </w:pPr>
            <w:r>
              <w:rPr>
                <w:rFonts w:ascii="Arial" w:hAnsi="Arial" w:eastAsia="Arial" w:cs="Arial"/>
                <w:b w:val="0"/>
                <w:bCs w:val="0"/>
                <w:sz w:val="20"/>
                <w:szCs w:val="20"/>
              </w:rPr>
              <w:t>No</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79BC574D">
            <w:pPr>
              <w:jc w:val="left"/>
            </w:pPr>
            <w:r>
              <w:rPr>
                <w:rFonts w:ascii="Arial" w:hAnsi="Arial" w:eastAsia="Arial" w:cs="Arial"/>
                <w:b w:val="0"/>
                <w:bCs w:val="0"/>
                <w:sz w:val="20"/>
                <w:szCs w:val="20"/>
              </w:rPr>
              <w:t>No formal update</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21C7A2A2">
            <w:pPr>
              <w:jc w:val="left"/>
            </w:pPr>
            <w:r>
              <w:rPr>
                <w:rFonts w:ascii="Arial" w:hAnsi="Arial" w:eastAsia="Arial" w:cs="Arial"/>
                <w:b w:val="0"/>
                <w:bCs w:val="0"/>
                <w:sz w:val="20"/>
                <w:szCs w:val="20"/>
              </w:rPr>
              <w:t>No</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62D44747">
            <w:pPr>
              <w:jc w:val="left"/>
            </w:pPr>
            <w:r>
              <w:rPr>
                <w:rFonts w:ascii="Arial" w:hAnsi="Arial" w:eastAsia="Arial" w:cs="Arial"/>
                <w:b w:val="0"/>
                <w:bCs w:val="0"/>
                <w:sz w:val="20"/>
                <w:szCs w:val="20"/>
              </w:rPr>
              <w:t>Senate report 2021</w:t>
            </w:r>
          </w:p>
        </w:tc>
        <w:tc>
          <w:tcPr>
            <w:tcW w:w="216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1D8B7CDA">
            <w:pPr>
              <w:jc w:val="left"/>
            </w:pPr>
            <w:r>
              <w:rPr>
                <w:rFonts w:ascii="Arial" w:hAnsi="Arial" w:eastAsia="Arial" w:cs="Arial"/>
                <w:b w:val="0"/>
                <w:bCs w:val="0"/>
                <w:sz w:val="20"/>
                <w:szCs w:val="20"/>
              </w:rPr>
              <w:t>Ban on chokeholds announced 2020; reversed 2021; denial of systemic racism</w:t>
            </w:r>
          </w:p>
        </w:tc>
      </w:tr>
      <w:tr w14:paraId="0024A10F">
        <w:tblPrEx>
          <w:tblLayout w:type="fixed"/>
        </w:tblPrEx>
        <w:tc>
          <w:tcPr>
            <w:tcW w:w="16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7594456E">
            <w:pPr>
              <w:jc w:val="left"/>
            </w:pPr>
            <w:r>
              <w:rPr>
                <w:rFonts w:ascii="Arial" w:hAnsi="Arial" w:eastAsia="Arial" w:cs="Arial"/>
                <w:b/>
                <w:bCs/>
                <w:sz w:val="20"/>
                <w:szCs w:val="20"/>
              </w:rPr>
              <w:t>Australia</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B01EC9B">
            <w:pPr>
              <w:jc w:val="left"/>
            </w:pPr>
            <w:r>
              <w:rPr>
                <w:rFonts w:ascii="Arial" w:hAnsi="Arial" w:eastAsia="Arial" w:cs="Arial"/>
                <w:b w:val="0"/>
                <w:bCs w:val="0"/>
                <w:sz w:val="20"/>
                <w:szCs w:val="20"/>
              </w:rPr>
              <w:t>Partial (NSW, VIC reviews)</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18EE5A5F">
            <w:pPr>
              <w:jc w:val="left"/>
            </w:pPr>
            <w:r>
              <w:rPr>
                <w:rFonts w:ascii="Arial" w:hAnsi="Arial" w:eastAsia="Arial" w:cs="Arial"/>
                <w:b w:val="0"/>
                <w:bCs w:val="0"/>
                <w:sz w:val="20"/>
                <w:szCs w:val="20"/>
              </w:rPr>
              <w:t>Yes (state level)</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D5F1B5B">
            <w:pPr>
              <w:jc w:val="left"/>
            </w:pPr>
            <w:r>
              <w:rPr>
                <w:rFonts w:ascii="Arial" w:hAnsi="Arial" w:eastAsia="Arial" w:cs="Arial"/>
                <w:b w:val="0"/>
                <w:bCs w:val="0"/>
                <w:sz w:val="20"/>
                <w:szCs w:val="20"/>
              </w:rPr>
              <w:t>Closing the Gap renewed</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60071F5">
            <w:pPr>
              <w:jc w:val="left"/>
            </w:pPr>
            <w:r>
              <w:rPr>
                <w:rFonts w:ascii="Arial" w:hAnsi="Arial" w:eastAsia="Arial" w:cs="Arial"/>
                <w:b w:val="0"/>
                <w:bCs w:val="0"/>
                <w:sz w:val="20"/>
                <w:szCs w:val="20"/>
              </w:rPr>
              <w:t>Coroner reviews ongoing</w:t>
            </w:r>
          </w:p>
        </w:tc>
        <w:tc>
          <w:tcPr>
            <w:tcW w:w="21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261D8E7F">
            <w:pPr>
              <w:jc w:val="left"/>
            </w:pPr>
            <w:r>
              <w:rPr>
                <w:rFonts w:ascii="Arial" w:hAnsi="Arial" w:eastAsia="Arial" w:cs="Arial"/>
                <w:b w:val="0"/>
                <w:bCs w:val="0"/>
                <w:sz w:val="20"/>
                <w:szCs w:val="20"/>
              </w:rPr>
              <w:t>National conversation on Aboriginal deaths in custody; BLM solidarity protests</w:t>
            </w:r>
          </w:p>
        </w:tc>
      </w:tr>
    </w:tbl>
    <w:p w14:paraId="289934D1">
      <w:pPr>
        <w:spacing w:before="60" w:after="120"/>
      </w:pPr>
      <w:r>
        <w:rPr>
          <w:rFonts w:ascii="Arial" w:hAnsi="Arial" w:eastAsia="Arial" w:cs="Arial"/>
          <w:i/>
          <w:iCs/>
          <w:color w:val="555555"/>
          <w:sz w:val="18"/>
          <w:szCs w:val="18"/>
        </w:rPr>
        <w:t>Source: UN Human Rights Council (2021); Amnesty International (2020, 2021); Ontario Human Rights Commission (2020); Home Office UK (2020).</w:t>
      </w:r>
    </w:p>
    <w:p w14:paraId="2EED76A4">
      <w:pPr>
        <w:spacing w:before="60" w:after="60"/>
      </w:pPr>
      <w:r>
        <w:rPr>
          <w:rFonts w:hint="default"/>
        </w:rPr>
        <w:t>The following years (2020-24) saw government and institutional action against racism outlined in Table 3. The data shows a trend of ritualistic acts of symbolic change but no real structural change. The United States' George Floyd Justice in Policing Act was introduced in 2021 and passed in the House of Representatives but is stalled in the Senate. France officially rejected the systemic racism that is documented. There were only two countries where there were measurable, but still insufficient, national level anti-racism strategies, namely Canada and the United Kingdom.</w:t>
      </w:r>
    </w:p>
    <w:tbl>
      <w:tblPr>
        <w:tblStyle w:val="16"/>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0"/>
        <w:gridCol w:w="5200"/>
        <w:gridCol w:w="1200"/>
      </w:tblGrid>
      <w:tr w14:paraId="7C5F31AE">
        <w:tblPrEx>
          <w:tblLayout w:type="fixed"/>
        </w:tblPrEx>
        <w:tc>
          <w:tcPr>
            <w:tcW w:w="9200" w:type="dxa"/>
            <w:gridSpan w:val="3"/>
            <w:tcBorders>
              <w:top w:val="single" w:color="2C3E50" w:sz="4" w:space="0"/>
              <w:left w:val="single" w:color="2C3E50" w:sz="4" w:space="0"/>
              <w:bottom w:val="single" w:color="2C3E50" w:sz="4" w:space="0"/>
              <w:right w:val="single" w:color="2C3E50" w:sz="4" w:space="0"/>
            </w:tcBorders>
            <w:shd w:val="clear" w:color="auto" w:fill="1A3A5C"/>
            <w:tcMar>
              <w:top w:w="100" w:type="dxa"/>
              <w:left w:w="140" w:type="dxa"/>
              <w:bottom w:w="100" w:type="dxa"/>
              <w:right w:w="140" w:type="dxa"/>
            </w:tcMar>
          </w:tcPr>
          <w:p w14:paraId="4A075DCC">
            <w:pPr>
              <w:jc w:val="center"/>
            </w:pPr>
            <w:r>
              <w:rPr>
                <w:rFonts w:ascii="Arial" w:hAnsi="Arial" w:eastAsia="Arial" w:cs="Arial"/>
                <w:b/>
                <w:bCs/>
                <w:color w:val="FFFFFF"/>
                <w:sz w:val="22"/>
                <w:szCs w:val="22"/>
              </w:rPr>
              <w:t>Figure 3: Institutional Response Adequacy — % Respondents Rating Response as Adequate</w:t>
            </w:r>
          </w:p>
        </w:tc>
      </w:tr>
      <w:tr w14:paraId="4C4F62DC">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393D6A06">
            <w:pPr/>
            <w:r>
              <w:rPr>
                <w:rFonts w:ascii="Arial" w:hAnsi="Arial" w:eastAsia="Arial" w:cs="Arial"/>
                <w:b/>
                <w:bCs/>
                <w:sz w:val="18"/>
                <w:szCs w:val="18"/>
              </w:rPr>
              <w:t>United Kingdom</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6ECCD5E0">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1571DC66">
            <w:pPr>
              <w:jc w:val="center"/>
            </w:pPr>
            <w:r>
              <w:rPr>
                <w:rFonts w:ascii="Arial" w:hAnsi="Arial" w:eastAsia="Arial" w:cs="Arial"/>
                <w:b/>
                <w:bCs/>
                <w:color w:val="1A3A5C"/>
                <w:sz w:val="18"/>
                <w:szCs w:val="18"/>
              </w:rPr>
              <w:t>42%</w:t>
            </w:r>
          </w:p>
        </w:tc>
      </w:tr>
      <w:tr w14:paraId="0098E1CE">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tcPr>
          <w:p w14:paraId="6CBBBD51">
            <w:pPr/>
            <w:r>
              <w:rPr>
                <w:rFonts w:ascii="Arial" w:hAnsi="Arial" w:eastAsia="Arial" w:cs="Arial"/>
                <w:b/>
                <w:bCs/>
                <w:sz w:val="18"/>
                <w:szCs w:val="18"/>
              </w:rPr>
              <w:t>Canada</w:t>
            </w:r>
          </w:p>
        </w:tc>
        <w:tc>
          <w:tcPr>
            <w:tcW w:w="5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00" w:type="dxa"/>
              <w:bottom w:w="80" w:type="dxa"/>
              <w:right w:w="100" w:type="dxa"/>
            </w:tcMar>
          </w:tcPr>
          <w:p w14:paraId="322689F2">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80" w:type="dxa"/>
              <w:bottom w:w="80" w:type="dxa"/>
              <w:right w:w="80" w:type="dxa"/>
            </w:tcMar>
          </w:tcPr>
          <w:p w14:paraId="0DCD8E94">
            <w:pPr>
              <w:jc w:val="center"/>
            </w:pPr>
            <w:r>
              <w:rPr>
                <w:rFonts w:ascii="Arial" w:hAnsi="Arial" w:eastAsia="Arial" w:cs="Arial"/>
                <w:b/>
                <w:bCs/>
                <w:color w:val="1A3A5C"/>
                <w:sz w:val="18"/>
                <w:szCs w:val="18"/>
              </w:rPr>
              <w:t>38%</w:t>
            </w:r>
          </w:p>
        </w:tc>
      </w:tr>
      <w:tr w14:paraId="53C42CFD">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2160945A">
            <w:pPr/>
            <w:r>
              <w:rPr>
                <w:rFonts w:ascii="Arial" w:hAnsi="Arial" w:eastAsia="Arial" w:cs="Arial"/>
                <w:b/>
                <w:bCs/>
                <w:sz w:val="18"/>
                <w:szCs w:val="18"/>
              </w:rPr>
              <w:t>Australia</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508DC96C">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7BA13655">
            <w:pPr>
              <w:jc w:val="center"/>
            </w:pPr>
            <w:r>
              <w:rPr>
                <w:rFonts w:ascii="Arial" w:hAnsi="Arial" w:eastAsia="Arial" w:cs="Arial"/>
                <w:b/>
                <w:bCs/>
                <w:color w:val="1A3A5C"/>
                <w:sz w:val="18"/>
                <w:szCs w:val="18"/>
              </w:rPr>
              <w:t>35%</w:t>
            </w:r>
          </w:p>
        </w:tc>
      </w:tr>
      <w:tr w14:paraId="2ECC6724">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tcPr>
          <w:p w14:paraId="6FD09F54">
            <w:pPr/>
            <w:r>
              <w:rPr>
                <w:rFonts w:ascii="Arial" w:hAnsi="Arial" w:eastAsia="Arial" w:cs="Arial"/>
                <w:b/>
                <w:bCs/>
                <w:sz w:val="18"/>
                <w:szCs w:val="18"/>
              </w:rPr>
              <w:t>United States</w:t>
            </w:r>
          </w:p>
        </w:tc>
        <w:tc>
          <w:tcPr>
            <w:tcW w:w="5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00" w:type="dxa"/>
              <w:bottom w:w="80" w:type="dxa"/>
              <w:right w:w="100" w:type="dxa"/>
            </w:tcMar>
          </w:tcPr>
          <w:p w14:paraId="12038A3A">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80" w:type="dxa"/>
              <w:bottom w:w="80" w:type="dxa"/>
              <w:right w:w="80" w:type="dxa"/>
            </w:tcMar>
          </w:tcPr>
          <w:p w14:paraId="6874421A">
            <w:pPr>
              <w:jc w:val="center"/>
            </w:pPr>
            <w:r>
              <w:rPr>
                <w:rFonts w:ascii="Arial" w:hAnsi="Arial" w:eastAsia="Arial" w:cs="Arial"/>
                <w:b/>
                <w:bCs/>
                <w:color w:val="1A3A5C"/>
                <w:sz w:val="18"/>
                <w:szCs w:val="18"/>
              </w:rPr>
              <w:t>28%</w:t>
            </w:r>
          </w:p>
        </w:tc>
      </w:tr>
      <w:tr w14:paraId="71C9FCCA">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63CE9DE0">
            <w:pPr/>
            <w:r>
              <w:rPr>
                <w:rFonts w:ascii="Arial" w:hAnsi="Arial" w:eastAsia="Arial" w:cs="Arial"/>
                <w:b/>
                <w:bCs/>
                <w:sz w:val="18"/>
                <w:szCs w:val="18"/>
              </w:rPr>
              <w:t>France</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0601E0C6">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53EDC3F7">
            <w:pPr>
              <w:jc w:val="center"/>
            </w:pPr>
            <w:r>
              <w:rPr>
                <w:rFonts w:ascii="Arial" w:hAnsi="Arial" w:eastAsia="Arial" w:cs="Arial"/>
                <w:b/>
                <w:bCs/>
                <w:color w:val="1A3A5C"/>
                <w:sz w:val="18"/>
                <w:szCs w:val="18"/>
              </w:rPr>
              <w:t>18%</w:t>
            </w:r>
          </w:p>
        </w:tc>
      </w:tr>
    </w:tbl>
    <w:p w14:paraId="3A6390F1">
      <w:pPr>
        <w:spacing w:before="80" w:after="160"/>
        <w:jc w:val="center"/>
      </w:pPr>
      <w:r>
        <w:rPr>
          <w:rFonts w:ascii="Arial" w:hAnsi="Arial" w:eastAsia="Arial" w:cs="Arial"/>
          <w:i/>
          <w:iCs/>
          <w:color w:val="444444"/>
          <w:sz w:val="20"/>
          <w:szCs w:val="20"/>
        </w:rPr>
        <w:t>Figure 3: Institutional Response Adequacy — % Respondents Rating Response as Adequate. Source: Field Survey, 2024.</w:t>
      </w:r>
    </w:p>
    <w:p w14:paraId="42891891">
      <w:pPr>
        <w:spacing w:before="60" w:after="60"/>
      </w:pPr>
    </w:p>
    <w:p w14:paraId="458F2A26">
      <w:pPr>
        <w:spacing w:before="180" w:after="80"/>
      </w:pPr>
      <w:r>
        <w:rPr>
          <w:rFonts w:ascii="Arial" w:hAnsi="Arial" w:eastAsia="Arial" w:cs="Arial"/>
          <w:b/>
          <w:bCs/>
          <w:sz w:val="22"/>
          <w:szCs w:val="22"/>
        </w:rPr>
        <w:t>Table 4: Economic Disparities Among Black Individuals in Foreign Countries</w:t>
      </w:r>
    </w:p>
    <w:tbl>
      <w:tblPr>
        <w:tblStyle w:val="16"/>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700"/>
        <w:gridCol w:w="1600"/>
        <w:gridCol w:w="1600"/>
        <w:gridCol w:w="2660"/>
      </w:tblGrid>
      <w:tr w14:paraId="1584D982">
        <w:tblPrEx>
          <w:tblLayout w:type="fixed"/>
        </w:tblPrEx>
        <w:trPr>
          <w:tblHeader/>
        </w:trPr>
        <w:tc>
          <w:tcPr>
            <w:tcW w:w="18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2CD0540E">
            <w:pPr>
              <w:jc w:val="center"/>
            </w:pPr>
            <w:r>
              <w:rPr>
                <w:rFonts w:ascii="Arial" w:hAnsi="Arial" w:eastAsia="Arial" w:cs="Arial"/>
                <w:b/>
                <w:bCs/>
                <w:color w:val="FFFFFF"/>
                <w:sz w:val="18"/>
                <w:szCs w:val="18"/>
              </w:rPr>
              <w:t>Country</w:t>
            </w:r>
          </w:p>
        </w:tc>
        <w:tc>
          <w:tcPr>
            <w:tcW w:w="17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4CE82D98">
            <w:pPr>
              <w:jc w:val="center"/>
            </w:pPr>
            <w:r>
              <w:rPr>
                <w:rFonts w:ascii="Arial" w:hAnsi="Arial" w:eastAsia="Arial" w:cs="Arial"/>
                <w:b/>
                <w:bCs/>
                <w:color w:val="FFFFFF"/>
                <w:sz w:val="18"/>
                <w:szCs w:val="18"/>
              </w:rPr>
              <w:t>Median Black Household Income (USD equiv.)</w:t>
            </w:r>
          </w:p>
        </w:tc>
        <w:tc>
          <w:tcPr>
            <w:tcW w:w="16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23739810">
            <w:pPr>
              <w:jc w:val="center"/>
            </w:pPr>
            <w:r>
              <w:rPr>
                <w:rFonts w:ascii="Arial" w:hAnsi="Arial" w:eastAsia="Arial" w:cs="Arial"/>
                <w:b/>
                <w:bCs/>
                <w:color w:val="FFFFFF"/>
                <w:sz w:val="18"/>
                <w:szCs w:val="18"/>
              </w:rPr>
              <w:t>Median White Household Income (USD equiv.)</w:t>
            </w:r>
          </w:p>
        </w:tc>
        <w:tc>
          <w:tcPr>
            <w:tcW w:w="16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65B99E5F">
            <w:pPr>
              <w:jc w:val="center"/>
            </w:pPr>
            <w:r>
              <w:rPr>
                <w:rFonts w:ascii="Arial" w:hAnsi="Arial" w:eastAsia="Arial" w:cs="Arial"/>
                <w:b/>
                <w:bCs/>
                <w:color w:val="FFFFFF"/>
                <w:sz w:val="18"/>
                <w:szCs w:val="18"/>
              </w:rPr>
              <w:t>Racial Wage Gap (%)</w:t>
            </w:r>
          </w:p>
        </w:tc>
        <w:tc>
          <w:tcPr>
            <w:tcW w:w="266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5703B3B0">
            <w:pPr>
              <w:jc w:val="center"/>
            </w:pPr>
            <w:r>
              <w:rPr>
                <w:rFonts w:ascii="Arial" w:hAnsi="Arial" w:eastAsia="Arial" w:cs="Arial"/>
                <w:b/>
                <w:bCs/>
                <w:color w:val="FFFFFF"/>
                <w:sz w:val="18"/>
                <w:szCs w:val="18"/>
              </w:rPr>
              <w:t>Key Economic Indicator</w:t>
            </w:r>
          </w:p>
        </w:tc>
      </w:tr>
      <w:tr w14:paraId="7B1F503B">
        <w:tblPrEx>
          <w:tblLayout w:type="fixed"/>
        </w:tblPrEx>
        <w:tc>
          <w:tcPr>
            <w:tcW w:w="1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22C139E4">
            <w:pPr>
              <w:jc w:val="left"/>
            </w:pPr>
            <w:r>
              <w:rPr>
                <w:rFonts w:ascii="Arial" w:hAnsi="Arial" w:eastAsia="Arial" w:cs="Arial"/>
                <w:b/>
                <w:bCs/>
                <w:sz w:val="20"/>
                <w:szCs w:val="20"/>
              </w:rPr>
              <w:t>United States</w:t>
            </w:r>
          </w:p>
        </w:tc>
        <w:tc>
          <w:tcPr>
            <w:tcW w:w="17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620A6578">
            <w:pPr>
              <w:jc w:val="left"/>
            </w:pPr>
            <w:r>
              <w:rPr>
                <w:rFonts w:ascii="Arial" w:hAnsi="Arial" w:eastAsia="Arial" w:cs="Arial"/>
                <w:b w:val="0"/>
                <w:bCs w:val="0"/>
                <w:sz w:val="20"/>
                <w:szCs w:val="20"/>
              </w:rPr>
              <w:t>$45,870</w:t>
            </w:r>
          </w:p>
        </w:tc>
        <w:tc>
          <w:tcPr>
            <w:tcW w:w="16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386A206C">
            <w:pPr>
              <w:jc w:val="left"/>
            </w:pPr>
            <w:r>
              <w:rPr>
                <w:rFonts w:ascii="Arial" w:hAnsi="Arial" w:eastAsia="Arial" w:cs="Arial"/>
                <w:b w:val="0"/>
                <w:bCs w:val="0"/>
                <w:sz w:val="20"/>
                <w:szCs w:val="20"/>
              </w:rPr>
              <w:t>$74,380</w:t>
            </w:r>
          </w:p>
        </w:tc>
        <w:tc>
          <w:tcPr>
            <w:tcW w:w="16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237A0284">
            <w:pPr>
              <w:jc w:val="left"/>
            </w:pPr>
            <w:r>
              <w:rPr>
                <w:rFonts w:ascii="Arial" w:hAnsi="Arial" w:eastAsia="Arial" w:cs="Arial"/>
                <w:b w:val="0"/>
                <w:bCs w:val="0"/>
                <w:sz w:val="20"/>
                <w:szCs w:val="20"/>
              </w:rPr>
              <w:t>38.4% gap</w:t>
            </w:r>
          </w:p>
        </w:tc>
        <w:tc>
          <w:tcPr>
            <w:tcW w:w="26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37ECDD90">
            <w:pPr>
              <w:jc w:val="left"/>
            </w:pPr>
            <w:r>
              <w:rPr>
                <w:rFonts w:ascii="Arial" w:hAnsi="Arial" w:eastAsia="Arial" w:cs="Arial"/>
                <w:b w:val="0"/>
                <w:bCs w:val="0"/>
                <w:sz w:val="20"/>
                <w:szCs w:val="20"/>
              </w:rPr>
              <w:t>Black unemployment 2× White rate (BLS, 2022)</w:t>
            </w:r>
          </w:p>
        </w:tc>
      </w:tr>
      <w:tr w14:paraId="2EE86E2E">
        <w:tblPrEx>
          <w:tblLayout w:type="fixed"/>
        </w:tblPrEx>
        <w:tc>
          <w:tcPr>
            <w:tcW w:w="1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6EF145AC">
            <w:pPr>
              <w:jc w:val="left"/>
            </w:pPr>
            <w:r>
              <w:rPr>
                <w:rFonts w:ascii="Arial" w:hAnsi="Arial" w:eastAsia="Arial" w:cs="Arial"/>
                <w:b/>
                <w:bCs/>
                <w:sz w:val="20"/>
                <w:szCs w:val="20"/>
              </w:rPr>
              <w:t>United Kingdom</w:t>
            </w:r>
          </w:p>
        </w:tc>
        <w:tc>
          <w:tcPr>
            <w:tcW w:w="17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28816603">
            <w:pPr>
              <w:jc w:val="left"/>
            </w:pPr>
            <w:r>
              <w:rPr>
                <w:rFonts w:ascii="Arial" w:hAnsi="Arial" w:eastAsia="Arial" w:cs="Arial"/>
                <w:b w:val="0"/>
                <w:bCs w:val="0"/>
                <w:sz w:val="20"/>
                <w:szCs w:val="20"/>
              </w:rPr>
              <w:t>£26,400 (~$33k)</w:t>
            </w:r>
          </w:p>
        </w:tc>
        <w:tc>
          <w:tcPr>
            <w:tcW w:w="16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398A3AAA">
            <w:pPr>
              <w:jc w:val="left"/>
            </w:pPr>
            <w:r>
              <w:rPr>
                <w:rFonts w:ascii="Arial" w:hAnsi="Arial" w:eastAsia="Arial" w:cs="Arial"/>
                <w:b w:val="0"/>
                <w:bCs w:val="0"/>
                <w:sz w:val="20"/>
                <w:szCs w:val="20"/>
              </w:rPr>
              <w:t>£34,200 (~$43k)</w:t>
            </w:r>
          </w:p>
        </w:tc>
        <w:tc>
          <w:tcPr>
            <w:tcW w:w="16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3BCBCC2E">
            <w:pPr>
              <w:jc w:val="left"/>
            </w:pPr>
            <w:r>
              <w:rPr>
                <w:rFonts w:ascii="Arial" w:hAnsi="Arial" w:eastAsia="Arial" w:cs="Arial"/>
                <w:b w:val="0"/>
                <w:bCs w:val="0"/>
                <w:sz w:val="20"/>
                <w:szCs w:val="20"/>
              </w:rPr>
              <w:t>22.8% gap</w:t>
            </w:r>
          </w:p>
        </w:tc>
        <w:tc>
          <w:tcPr>
            <w:tcW w:w="266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1BAA23B4">
            <w:pPr>
              <w:jc w:val="left"/>
            </w:pPr>
            <w:r>
              <w:rPr>
                <w:rFonts w:ascii="Arial" w:hAnsi="Arial" w:eastAsia="Arial" w:cs="Arial"/>
                <w:b w:val="0"/>
                <w:bCs w:val="0"/>
                <w:sz w:val="20"/>
                <w:szCs w:val="20"/>
              </w:rPr>
              <w:t>Black workers 3× more likely in low-paid work (ONS, 2021)</w:t>
            </w:r>
          </w:p>
        </w:tc>
      </w:tr>
      <w:tr w14:paraId="700F1450">
        <w:tblPrEx>
          <w:tblLayout w:type="fixed"/>
        </w:tblPrEx>
        <w:tc>
          <w:tcPr>
            <w:tcW w:w="1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2A830A85">
            <w:pPr>
              <w:jc w:val="left"/>
            </w:pPr>
            <w:r>
              <w:rPr>
                <w:rFonts w:ascii="Arial" w:hAnsi="Arial" w:eastAsia="Arial" w:cs="Arial"/>
                <w:b/>
                <w:bCs/>
                <w:sz w:val="20"/>
                <w:szCs w:val="20"/>
              </w:rPr>
              <w:t>Canada</w:t>
            </w:r>
          </w:p>
        </w:tc>
        <w:tc>
          <w:tcPr>
            <w:tcW w:w="17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1FD77F51">
            <w:pPr>
              <w:jc w:val="left"/>
            </w:pPr>
            <w:r>
              <w:rPr>
                <w:rFonts w:ascii="Arial" w:hAnsi="Arial" w:eastAsia="Arial" w:cs="Arial"/>
                <w:b w:val="0"/>
                <w:bCs w:val="0"/>
                <w:sz w:val="20"/>
                <w:szCs w:val="20"/>
              </w:rPr>
              <w:t>CAD $48,500 (~$36k)</w:t>
            </w:r>
          </w:p>
        </w:tc>
        <w:tc>
          <w:tcPr>
            <w:tcW w:w="16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79A9EC97">
            <w:pPr>
              <w:jc w:val="left"/>
            </w:pPr>
            <w:r>
              <w:rPr>
                <w:rFonts w:ascii="Arial" w:hAnsi="Arial" w:eastAsia="Arial" w:cs="Arial"/>
                <w:b w:val="0"/>
                <w:bCs w:val="0"/>
                <w:sz w:val="20"/>
                <w:szCs w:val="20"/>
              </w:rPr>
              <w:t>CAD $62,000 (~$46k)</w:t>
            </w:r>
          </w:p>
        </w:tc>
        <w:tc>
          <w:tcPr>
            <w:tcW w:w="16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38A9556C">
            <w:pPr>
              <w:jc w:val="left"/>
            </w:pPr>
            <w:r>
              <w:rPr>
                <w:rFonts w:ascii="Arial" w:hAnsi="Arial" w:eastAsia="Arial" w:cs="Arial"/>
                <w:b w:val="0"/>
                <w:bCs w:val="0"/>
                <w:sz w:val="20"/>
                <w:szCs w:val="20"/>
              </w:rPr>
              <w:t>21.8% gap</w:t>
            </w:r>
          </w:p>
        </w:tc>
        <w:tc>
          <w:tcPr>
            <w:tcW w:w="26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F44C399">
            <w:pPr>
              <w:jc w:val="left"/>
            </w:pPr>
            <w:r>
              <w:rPr>
                <w:rFonts w:ascii="Arial" w:hAnsi="Arial" w:eastAsia="Arial" w:cs="Arial"/>
                <w:b w:val="0"/>
                <w:bCs w:val="0"/>
                <w:sz w:val="20"/>
                <w:szCs w:val="20"/>
              </w:rPr>
              <w:t>Black Canadians 2× more likely to live in poverty (Stats Canada, 2021)</w:t>
            </w:r>
          </w:p>
        </w:tc>
      </w:tr>
      <w:tr w14:paraId="3641EBDC">
        <w:tblPrEx>
          <w:tblLayout w:type="fixed"/>
        </w:tblPrEx>
        <w:tc>
          <w:tcPr>
            <w:tcW w:w="1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4302C55E">
            <w:pPr>
              <w:jc w:val="left"/>
            </w:pPr>
            <w:r>
              <w:rPr>
                <w:rFonts w:ascii="Arial" w:hAnsi="Arial" w:eastAsia="Arial" w:cs="Arial"/>
                <w:b/>
                <w:bCs/>
                <w:sz w:val="20"/>
                <w:szCs w:val="20"/>
              </w:rPr>
              <w:t>France</w:t>
            </w:r>
          </w:p>
        </w:tc>
        <w:tc>
          <w:tcPr>
            <w:tcW w:w="17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7BA545C0">
            <w:pPr>
              <w:jc w:val="left"/>
            </w:pPr>
            <w:r>
              <w:rPr>
                <w:rFonts w:ascii="Arial" w:hAnsi="Arial" w:eastAsia="Arial" w:cs="Arial"/>
                <w:b w:val="0"/>
                <w:bCs w:val="0"/>
                <w:sz w:val="20"/>
                <w:szCs w:val="20"/>
              </w:rPr>
              <w:t>€22,000 (~$24k)</w:t>
            </w:r>
          </w:p>
        </w:tc>
        <w:tc>
          <w:tcPr>
            <w:tcW w:w="16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67E658A1">
            <w:pPr>
              <w:jc w:val="left"/>
            </w:pPr>
            <w:r>
              <w:rPr>
                <w:rFonts w:ascii="Arial" w:hAnsi="Arial" w:eastAsia="Arial" w:cs="Arial"/>
                <w:b w:val="0"/>
                <w:bCs w:val="0"/>
                <w:sz w:val="20"/>
                <w:szCs w:val="20"/>
              </w:rPr>
              <w:t>€29,500 (~$32k)</w:t>
            </w:r>
          </w:p>
        </w:tc>
        <w:tc>
          <w:tcPr>
            <w:tcW w:w="16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64A800CF">
            <w:pPr>
              <w:jc w:val="left"/>
            </w:pPr>
            <w:r>
              <w:rPr>
                <w:rFonts w:ascii="Arial" w:hAnsi="Arial" w:eastAsia="Arial" w:cs="Arial"/>
                <w:b w:val="0"/>
                <w:bCs w:val="0"/>
                <w:sz w:val="20"/>
                <w:szCs w:val="20"/>
              </w:rPr>
              <w:t>25.4% gap</w:t>
            </w:r>
          </w:p>
        </w:tc>
        <w:tc>
          <w:tcPr>
            <w:tcW w:w="266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33F7B604">
            <w:pPr>
              <w:jc w:val="left"/>
            </w:pPr>
            <w:r>
              <w:rPr>
                <w:rFonts w:ascii="Arial" w:hAnsi="Arial" w:eastAsia="Arial" w:cs="Arial"/>
                <w:b w:val="0"/>
                <w:bCs w:val="0"/>
                <w:sz w:val="20"/>
                <w:szCs w:val="20"/>
              </w:rPr>
              <w:t>Afro-French unemployment 3× national average (INSEE, 2021)</w:t>
            </w:r>
          </w:p>
        </w:tc>
      </w:tr>
      <w:tr w14:paraId="20D58F60">
        <w:tblPrEx>
          <w:tblLayout w:type="fixed"/>
        </w:tblPrEx>
        <w:tc>
          <w:tcPr>
            <w:tcW w:w="1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3BD63560">
            <w:pPr>
              <w:jc w:val="left"/>
            </w:pPr>
            <w:r>
              <w:rPr>
                <w:rFonts w:ascii="Arial" w:hAnsi="Arial" w:eastAsia="Arial" w:cs="Arial"/>
                <w:b/>
                <w:bCs/>
                <w:sz w:val="20"/>
                <w:szCs w:val="20"/>
              </w:rPr>
              <w:t>Australia</w:t>
            </w:r>
          </w:p>
        </w:tc>
        <w:tc>
          <w:tcPr>
            <w:tcW w:w="17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1E4B6BD0">
            <w:pPr>
              <w:jc w:val="left"/>
            </w:pPr>
            <w:r>
              <w:rPr>
                <w:rFonts w:ascii="Arial" w:hAnsi="Arial" w:eastAsia="Arial" w:cs="Arial"/>
                <w:b w:val="0"/>
                <w:bCs w:val="0"/>
                <w:sz w:val="20"/>
                <w:szCs w:val="20"/>
              </w:rPr>
              <w:t>AUD $58,000 (~$38k)</w:t>
            </w:r>
          </w:p>
        </w:tc>
        <w:tc>
          <w:tcPr>
            <w:tcW w:w="16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5A368547">
            <w:pPr>
              <w:jc w:val="left"/>
            </w:pPr>
            <w:r>
              <w:rPr>
                <w:rFonts w:ascii="Arial" w:hAnsi="Arial" w:eastAsia="Arial" w:cs="Arial"/>
                <w:b w:val="0"/>
                <w:bCs w:val="0"/>
                <w:sz w:val="20"/>
                <w:szCs w:val="20"/>
              </w:rPr>
              <w:t>AUD $74,000 (~$49k)</w:t>
            </w:r>
          </w:p>
        </w:tc>
        <w:tc>
          <w:tcPr>
            <w:tcW w:w="16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2355553F">
            <w:pPr>
              <w:jc w:val="left"/>
            </w:pPr>
            <w:r>
              <w:rPr>
                <w:rFonts w:ascii="Arial" w:hAnsi="Arial" w:eastAsia="Arial" w:cs="Arial"/>
                <w:b w:val="0"/>
                <w:bCs w:val="0"/>
                <w:sz w:val="20"/>
                <w:szCs w:val="20"/>
              </w:rPr>
              <w:t>21.6% gap</w:t>
            </w:r>
          </w:p>
        </w:tc>
        <w:tc>
          <w:tcPr>
            <w:tcW w:w="26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1FDD907">
            <w:pPr>
              <w:jc w:val="left"/>
            </w:pPr>
            <w:r>
              <w:rPr>
                <w:rFonts w:ascii="Arial" w:hAnsi="Arial" w:eastAsia="Arial" w:cs="Arial"/>
                <w:b w:val="0"/>
                <w:bCs w:val="0"/>
                <w:sz w:val="20"/>
                <w:szCs w:val="20"/>
              </w:rPr>
              <w:t>Black Africans over-represented in casual/gig economy (ABS, 2021)</w:t>
            </w:r>
          </w:p>
        </w:tc>
      </w:tr>
    </w:tbl>
    <w:p w14:paraId="129B29A6">
      <w:pPr>
        <w:spacing w:before="60" w:after="120"/>
      </w:pPr>
      <w:r>
        <w:rPr>
          <w:rFonts w:ascii="Arial" w:hAnsi="Arial" w:eastAsia="Arial" w:cs="Arial"/>
          <w:i/>
          <w:iCs/>
          <w:color w:val="555555"/>
          <w:sz w:val="18"/>
          <w:szCs w:val="18"/>
        </w:rPr>
        <w:t>Source: Bureau of Labor Statistics (2022); ONS (2021); Statistics Canada (2021); INSEE (2021); ABS (2021).</w:t>
      </w:r>
    </w:p>
    <w:p w14:paraId="69268030">
      <w:pPr>
        <w:spacing w:before="60" w:after="60"/>
      </w:pPr>
    </w:p>
    <w:p w14:paraId="36F03A29">
      <w:pPr>
        <w:spacing w:before="60" w:after="60"/>
      </w:pPr>
      <w:r>
        <w:rPr>
          <w:rFonts w:hint="default"/>
        </w:rPr>
        <w:t>There is a high level of economic inequality between the black and white communities in all five countries, as shown in Table 4. The United States had the greatest racial wage gap at 38.4% ($28,510 in additional income per year on average for Black households compared to White). The 25.4% gap is especially striking because there is no official French policy that mentions a racial gap, meaning that this is a gap that cannot easily be tackled via policy.</w:t>
      </w:r>
    </w:p>
    <w:tbl>
      <w:tblPr>
        <w:tblStyle w:val="16"/>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0"/>
        <w:gridCol w:w="5200"/>
        <w:gridCol w:w="1200"/>
      </w:tblGrid>
      <w:tr w14:paraId="6F9A03F9">
        <w:tblPrEx>
          <w:tblLayout w:type="fixed"/>
        </w:tblPrEx>
        <w:tc>
          <w:tcPr>
            <w:tcW w:w="9200" w:type="dxa"/>
            <w:gridSpan w:val="3"/>
            <w:tcBorders>
              <w:top w:val="single" w:color="2C3E50" w:sz="4" w:space="0"/>
              <w:left w:val="single" w:color="2C3E50" w:sz="4" w:space="0"/>
              <w:bottom w:val="single" w:color="2C3E50" w:sz="4" w:space="0"/>
              <w:right w:val="single" w:color="2C3E50" w:sz="4" w:space="0"/>
            </w:tcBorders>
            <w:shd w:val="clear" w:color="auto" w:fill="1A3A5C"/>
            <w:tcMar>
              <w:top w:w="100" w:type="dxa"/>
              <w:left w:w="140" w:type="dxa"/>
              <w:bottom w:w="100" w:type="dxa"/>
              <w:right w:w="140" w:type="dxa"/>
            </w:tcMar>
          </w:tcPr>
          <w:p w14:paraId="3C14347F">
            <w:pPr>
              <w:jc w:val="center"/>
            </w:pPr>
            <w:r>
              <w:rPr>
                <w:rFonts w:ascii="Arial" w:hAnsi="Arial" w:eastAsia="Arial" w:cs="Arial"/>
                <w:b/>
                <w:bCs/>
                <w:color w:val="FFFFFF"/>
                <w:sz w:val="22"/>
                <w:szCs w:val="22"/>
              </w:rPr>
              <w:t>Figure 4: Racial Wage Gap (%) — Black vs. White Median Income by Country</w:t>
            </w:r>
          </w:p>
        </w:tc>
      </w:tr>
      <w:tr w14:paraId="350DD8A2">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05836D89">
            <w:pPr/>
            <w:r>
              <w:rPr>
                <w:rFonts w:ascii="Arial" w:hAnsi="Arial" w:eastAsia="Arial" w:cs="Arial"/>
                <w:b/>
                <w:bCs/>
                <w:sz w:val="18"/>
                <w:szCs w:val="18"/>
              </w:rPr>
              <w:t>United States</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64E9772A">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1A56245A">
            <w:pPr>
              <w:jc w:val="center"/>
            </w:pPr>
            <w:r>
              <w:rPr>
                <w:rFonts w:ascii="Arial" w:hAnsi="Arial" w:eastAsia="Arial" w:cs="Arial"/>
                <w:b/>
                <w:bCs/>
                <w:color w:val="1A3A5C"/>
                <w:sz w:val="18"/>
                <w:szCs w:val="18"/>
              </w:rPr>
              <w:t>38.4%</w:t>
            </w:r>
          </w:p>
        </w:tc>
      </w:tr>
      <w:tr w14:paraId="2688F7FA">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tcPr>
          <w:p w14:paraId="15783116">
            <w:pPr/>
            <w:r>
              <w:rPr>
                <w:rFonts w:ascii="Arial" w:hAnsi="Arial" w:eastAsia="Arial" w:cs="Arial"/>
                <w:b/>
                <w:bCs/>
                <w:sz w:val="18"/>
                <w:szCs w:val="18"/>
              </w:rPr>
              <w:t>France</w:t>
            </w:r>
          </w:p>
        </w:tc>
        <w:tc>
          <w:tcPr>
            <w:tcW w:w="5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00" w:type="dxa"/>
              <w:bottom w:w="80" w:type="dxa"/>
              <w:right w:w="100" w:type="dxa"/>
            </w:tcMar>
          </w:tcPr>
          <w:p w14:paraId="0B9BD315">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80" w:type="dxa"/>
              <w:bottom w:w="80" w:type="dxa"/>
              <w:right w:w="80" w:type="dxa"/>
            </w:tcMar>
          </w:tcPr>
          <w:p w14:paraId="4C4D0A37">
            <w:pPr>
              <w:jc w:val="center"/>
            </w:pPr>
            <w:r>
              <w:rPr>
                <w:rFonts w:ascii="Arial" w:hAnsi="Arial" w:eastAsia="Arial" w:cs="Arial"/>
                <w:b/>
                <w:bCs/>
                <w:color w:val="1A3A5C"/>
                <w:sz w:val="18"/>
                <w:szCs w:val="18"/>
              </w:rPr>
              <w:t>25.4%</w:t>
            </w:r>
          </w:p>
        </w:tc>
      </w:tr>
      <w:tr w14:paraId="60433AF4">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478D4CC5">
            <w:pPr/>
            <w:r>
              <w:rPr>
                <w:rFonts w:ascii="Arial" w:hAnsi="Arial" w:eastAsia="Arial" w:cs="Arial"/>
                <w:b/>
                <w:bCs/>
                <w:sz w:val="18"/>
                <w:szCs w:val="18"/>
              </w:rPr>
              <w:t>United Kingdom</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1EB412E9">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009DA5D3">
            <w:pPr>
              <w:jc w:val="center"/>
            </w:pPr>
            <w:r>
              <w:rPr>
                <w:rFonts w:ascii="Arial" w:hAnsi="Arial" w:eastAsia="Arial" w:cs="Arial"/>
                <w:b/>
                <w:bCs/>
                <w:color w:val="1A3A5C"/>
                <w:sz w:val="18"/>
                <w:szCs w:val="18"/>
              </w:rPr>
              <w:t>22.8%</w:t>
            </w:r>
          </w:p>
        </w:tc>
      </w:tr>
      <w:tr w14:paraId="5F2EE076">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tcPr>
          <w:p w14:paraId="430D319C">
            <w:pPr/>
            <w:r>
              <w:rPr>
                <w:rFonts w:ascii="Arial" w:hAnsi="Arial" w:eastAsia="Arial" w:cs="Arial"/>
                <w:b/>
                <w:bCs/>
                <w:sz w:val="18"/>
                <w:szCs w:val="18"/>
              </w:rPr>
              <w:t>Canada</w:t>
            </w:r>
          </w:p>
        </w:tc>
        <w:tc>
          <w:tcPr>
            <w:tcW w:w="5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00" w:type="dxa"/>
              <w:bottom w:w="80" w:type="dxa"/>
              <w:right w:w="100" w:type="dxa"/>
            </w:tcMar>
          </w:tcPr>
          <w:p w14:paraId="0C179217">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80" w:type="dxa"/>
              <w:bottom w:w="80" w:type="dxa"/>
              <w:right w:w="80" w:type="dxa"/>
            </w:tcMar>
          </w:tcPr>
          <w:p w14:paraId="04FBC6D6">
            <w:pPr>
              <w:jc w:val="center"/>
            </w:pPr>
            <w:r>
              <w:rPr>
                <w:rFonts w:ascii="Arial" w:hAnsi="Arial" w:eastAsia="Arial" w:cs="Arial"/>
                <w:b/>
                <w:bCs/>
                <w:color w:val="1A3A5C"/>
                <w:sz w:val="18"/>
                <w:szCs w:val="18"/>
              </w:rPr>
              <w:t>21.8%</w:t>
            </w:r>
          </w:p>
        </w:tc>
      </w:tr>
      <w:tr w14:paraId="33E5C913">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4B45AD69">
            <w:pPr/>
            <w:r>
              <w:rPr>
                <w:rFonts w:ascii="Arial" w:hAnsi="Arial" w:eastAsia="Arial" w:cs="Arial"/>
                <w:b/>
                <w:bCs/>
                <w:sz w:val="18"/>
                <w:szCs w:val="18"/>
              </w:rPr>
              <w:t>Australia</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2B40057D">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2CA7D9C6">
            <w:pPr>
              <w:jc w:val="center"/>
            </w:pPr>
            <w:r>
              <w:rPr>
                <w:rFonts w:ascii="Arial" w:hAnsi="Arial" w:eastAsia="Arial" w:cs="Arial"/>
                <w:b/>
                <w:bCs/>
                <w:color w:val="1A3A5C"/>
                <w:sz w:val="18"/>
                <w:szCs w:val="18"/>
              </w:rPr>
              <w:t>21.6%</w:t>
            </w:r>
          </w:p>
        </w:tc>
      </w:tr>
    </w:tbl>
    <w:p w14:paraId="3FBE3A3E">
      <w:pPr>
        <w:spacing w:before="80" w:after="160"/>
        <w:jc w:val="center"/>
      </w:pPr>
      <w:r>
        <w:rPr>
          <w:rFonts w:ascii="Arial" w:hAnsi="Arial" w:eastAsia="Arial" w:cs="Arial"/>
          <w:i/>
          <w:iCs/>
          <w:color w:val="444444"/>
          <w:sz w:val="20"/>
          <w:szCs w:val="20"/>
        </w:rPr>
        <w:t>Figure 4: Racial Wage Gap (%) — Black vs. White Median Income by Country. Source: National statistics agencies, 2021–2022.</w:t>
      </w:r>
    </w:p>
    <w:p w14:paraId="2D3A08BF">
      <w:pPr>
        <w:spacing w:before="60" w:after="60"/>
      </w:pPr>
    </w:p>
    <w:p w14:paraId="6221CEA6">
      <w:pPr>
        <w:spacing w:before="180" w:after="80"/>
      </w:pPr>
      <w:r>
        <w:rPr>
          <w:rFonts w:ascii="Arial" w:hAnsi="Arial" w:eastAsia="Arial" w:cs="Arial"/>
          <w:b/>
          <w:bCs/>
          <w:sz w:val="22"/>
          <w:szCs w:val="22"/>
        </w:rPr>
        <w:t>Table 5: Employment Discrimination and Career Advancement</w:t>
      </w:r>
    </w:p>
    <w:tbl>
      <w:tblPr>
        <w:tblStyle w:val="16"/>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400"/>
        <w:gridCol w:w="1400"/>
        <w:gridCol w:w="1400"/>
        <w:gridCol w:w="1600"/>
        <w:gridCol w:w="1760"/>
      </w:tblGrid>
      <w:tr w14:paraId="20657622">
        <w:tblPrEx>
          <w:tblLayout w:type="fixed"/>
        </w:tblPrEx>
        <w:trPr>
          <w:tblHeader/>
        </w:trPr>
        <w:tc>
          <w:tcPr>
            <w:tcW w:w="18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7849311C">
            <w:pPr>
              <w:jc w:val="center"/>
            </w:pPr>
            <w:r>
              <w:rPr>
                <w:rFonts w:ascii="Arial" w:hAnsi="Arial" w:eastAsia="Arial" w:cs="Arial"/>
                <w:b/>
                <w:bCs/>
                <w:color w:val="FFFFFF"/>
                <w:sz w:val="18"/>
                <w:szCs w:val="18"/>
              </w:rPr>
              <w:t>Country</w:t>
            </w:r>
          </w:p>
        </w:tc>
        <w:tc>
          <w:tcPr>
            <w:tcW w:w="14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62E31982">
            <w:pPr>
              <w:jc w:val="center"/>
            </w:pPr>
            <w:r>
              <w:rPr>
                <w:rFonts w:ascii="Arial" w:hAnsi="Arial" w:eastAsia="Arial" w:cs="Arial"/>
                <w:b/>
                <w:bCs/>
                <w:color w:val="FFFFFF"/>
                <w:sz w:val="18"/>
                <w:szCs w:val="18"/>
              </w:rPr>
              <w:t>% Reporting Hiring Discrimination</w:t>
            </w:r>
          </w:p>
        </w:tc>
        <w:tc>
          <w:tcPr>
            <w:tcW w:w="14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36BC1AC8">
            <w:pPr>
              <w:jc w:val="center"/>
            </w:pPr>
            <w:r>
              <w:rPr>
                <w:rFonts w:ascii="Arial" w:hAnsi="Arial" w:eastAsia="Arial" w:cs="Arial"/>
                <w:b/>
                <w:bCs/>
                <w:color w:val="FFFFFF"/>
                <w:sz w:val="18"/>
                <w:szCs w:val="18"/>
              </w:rPr>
              <w:t>% Reporting Workplace Harassment</w:t>
            </w:r>
          </w:p>
        </w:tc>
        <w:tc>
          <w:tcPr>
            <w:tcW w:w="14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740D1CA3">
            <w:pPr>
              <w:jc w:val="center"/>
            </w:pPr>
            <w:r>
              <w:rPr>
                <w:rFonts w:ascii="Arial" w:hAnsi="Arial" w:eastAsia="Arial" w:cs="Arial"/>
                <w:b/>
                <w:bCs/>
                <w:color w:val="FFFFFF"/>
                <w:sz w:val="18"/>
                <w:szCs w:val="18"/>
              </w:rPr>
              <w:t>% Denied Promotion</w:t>
            </w:r>
          </w:p>
        </w:tc>
        <w:tc>
          <w:tcPr>
            <w:tcW w:w="16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1C29B4A4">
            <w:pPr>
              <w:jc w:val="center"/>
            </w:pPr>
            <w:r>
              <w:rPr>
                <w:rFonts w:ascii="Arial" w:hAnsi="Arial" w:eastAsia="Arial" w:cs="Arial"/>
                <w:b/>
                <w:bCs/>
                <w:color w:val="FFFFFF"/>
                <w:sz w:val="18"/>
                <w:szCs w:val="18"/>
              </w:rPr>
              <w:t>Audit Study Evidence</w:t>
            </w:r>
          </w:p>
        </w:tc>
        <w:tc>
          <w:tcPr>
            <w:tcW w:w="176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2B748A57">
            <w:pPr>
              <w:jc w:val="center"/>
            </w:pPr>
            <w:r>
              <w:rPr>
                <w:rFonts w:ascii="Arial" w:hAnsi="Arial" w:eastAsia="Arial" w:cs="Arial"/>
                <w:b/>
                <w:bCs/>
                <w:color w:val="FFFFFF"/>
                <w:sz w:val="18"/>
                <w:szCs w:val="18"/>
              </w:rPr>
              <w:t>Supporting Source</w:t>
            </w:r>
          </w:p>
        </w:tc>
      </w:tr>
      <w:tr w14:paraId="334D14EB">
        <w:tblPrEx>
          <w:tblLayout w:type="fixed"/>
        </w:tblPrEx>
        <w:tc>
          <w:tcPr>
            <w:tcW w:w="1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69520360">
            <w:pPr>
              <w:jc w:val="left"/>
            </w:pPr>
            <w:r>
              <w:rPr>
                <w:rFonts w:ascii="Arial" w:hAnsi="Arial" w:eastAsia="Arial" w:cs="Arial"/>
                <w:b/>
                <w:bCs/>
                <w:sz w:val="20"/>
                <w:szCs w:val="20"/>
              </w:rPr>
              <w:t>United States</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63C0EB36">
            <w:pPr>
              <w:jc w:val="left"/>
            </w:pPr>
            <w:r>
              <w:rPr>
                <w:rFonts w:ascii="Arial" w:hAnsi="Arial" w:eastAsia="Arial" w:cs="Arial"/>
                <w:b w:val="0"/>
                <w:bCs w:val="0"/>
                <w:sz w:val="20"/>
                <w:szCs w:val="20"/>
              </w:rPr>
              <w:t>62.9%</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6A58E951">
            <w:pPr>
              <w:jc w:val="left"/>
            </w:pPr>
            <w:r>
              <w:rPr>
                <w:rFonts w:ascii="Arial" w:hAnsi="Arial" w:eastAsia="Arial" w:cs="Arial"/>
                <w:b w:val="0"/>
                <w:bCs w:val="0"/>
                <w:sz w:val="20"/>
                <w:szCs w:val="20"/>
              </w:rPr>
              <w:t>54.3%</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31788CE5">
            <w:pPr>
              <w:jc w:val="left"/>
            </w:pPr>
            <w:r>
              <w:rPr>
                <w:rFonts w:ascii="Arial" w:hAnsi="Arial" w:eastAsia="Arial" w:cs="Arial"/>
                <w:b w:val="0"/>
                <w:bCs w:val="0"/>
                <w:sz w:val="20"/>
                <w:szCs w:val="20"/>
              </w:rPr>
              <w:t>47.1%</w:t>
            </w:r>
          </w:p>
        </w:tc>
        <w:tc>
          <w:tcPr>
            <w:tcW w:w="16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28DE514B">
            <w:pPr>
              <w:jc w:val="left"/>
            </w:pPr>
            <w:r>
              <w:rPr>
                <w:rFonts w:ascii="Arial" w:hAnsi="Arial" w:eastAsia="Arial" w:cs="Arial"/>
                <w:b w:val="0"/>
                <w:bCs w:val="0"/>
                <w:sz w:val="20"/>
                <w:szCs w:val="20"/>
              </w:rPr>
              <w:t>Black-sounding names get 50% fewer callbacks</w:t>
            </w:r>
          </w:p>
        </w:tc>
        <w:tc>
          <w:tcPr>
            <w:tcW w:w="17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29A8F9DD">
            <w:pPr>
              <w:jc w:val="left"/>
            </w:pPr>
            <w:r>
              <w:rPr>
                <w:rFonts w:ascii="Arial" w:hAnsi="Arial" w:eastAsia="Arial" w:cs="Arial"/>
                <w:b w:val="0"/>
                <w:bCs w:val="0"/>
                <w:sz w:val="20"/>
                <w:szCs w:val="20"/>
              </w:rPr>
              <w:t>Bertrand &amp; Mullainathan (2004)</w:t>
            </w:r>
          </w:p>
        </w:tc>
      </w:tr>
      <w:tr w14:paraId="754CA7D1">
        <w:tblPrEx>
          <w:tblLayout w:type="fixed"/>
        </w:tblPrEx>
        <w:tc>
          <w:tcPr>
            <w:tcW w:w="1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37C9A196">
            <w:pPr>
              <w:jc w:val="left"/>
            </w:pPr>
            <w:r>
              <w:rPr>
                <w:rFonts w:ascii="Arial" w:hAnsi="Arial" w:eastAsia="Arial" w:cs="Arial"/>
                <w:b/>
                <w:bCs/>
                <w:sz w:val="20"/>
                <w:szCs w:val="20"/>
              </w:rPr>
              <w:t>United Kingdom</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42989922">
            <w:pPr>
              <w:jc w:val="left"/>
            </w:pPr>
            <w:r>
              <w:rPr>
                <w:rFonts w:ascii="Arial" w:hAnsi="Arial" w:eastAsia="Arial" w:cs="Arial"/>
                <w:b w:val="0"/>
                <w:bCs w:val="0"/>
                <w:sz w:val="20"/>
                <w:szCs w:val="20"/>
              </w:rPr>
              <w:t>64.4%</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114254E3">
            <w:pPr>
              <w:jc w:val="left"/>
            </w:pPr>
            <w:r>
              <w:rPr>
                <w:rFonts w:ascii="Arial" w:hAnsi="Arial" w:eastAsia="Arial" w:cs="Arial"/>
                <w:b w:val="0"/>
                <w:bCs w:val="0"/>
                <w:sz w:val="20"/>
                <w:szCs w:val="20"/>
              </w:rPr>
              <w:t>48.9%</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592422BC">
            <w:pPr>
              <w:jc w:val="left"/>
            </w:pPr>
            <w:r>
              <w:rPr>
                <w:rFonts w:ascii="Arial" w:hAnsi="Arial" w:eastAsia="Arial" w:cs="Arial"/>
                <w:b w:val="0"/>
                <w:bCs w:val="0"/>
                <w:sz w:val="20"/>
                <w:szCs w:val="20"/>
              </w:rPr>
              <w:t>42.2%</w:t>
            </w:r>
          </w:p>
        </w:tc>
        <w:tc>
          <w:tcPr>
            <w:tcW w:w="16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5D284852">
            <w:pPr>
              <w:jc w:val="left"/>
            </w:pPr>
            <w:r>
              <w:rPr>
                <w:rFonts w:ascii="Arial" w:hAnsi="Arial" w:eastAsia="Arial" w:cs="Arial"/>
                <w:b w:val="0"/>
                <w:bCs w:val="0"/>
                <w:sz w:val="20"/>
                <w:szCs w:val="20"/>
              </w:rPr>
              <w:t>Ethnic minority applicants send 60% more CVs for equal response rate</w:t>
            </w:r>
          </w:p>
        </w:tc>
        <w:tc>
          <w:tcPr>
            <w:tcW w:w="176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03331D98">
            <w:pPr>
              <w:jc w:val="left"/>
            </w:pPr>
            <w:r>
              <w:rPr>
                <w:rFonts w:ascii="Arial" w:hAnsi="Arial" w:eastAsia="Arial" w:cs="Arial"/>
                <w:b w:val="0"/>
                <w:bCs w:val="0"/>
                <w:sz w:val="20"/>
                <w:szCs w:val="20"/>
              </w:rPr>
              <w:t>NIESR (2019)</w:t>
            </w:r>
          </w:p>
        </w:tc>
      </w:tr>
      <w:tr w14:paraId="2289A70A">
        <w:tblPrEx>
          <w:tblLayout w:type="fixed"/>
        </w:tblPrEx>
        <w:tc>
          <w:tcPr>
            <w:tcW w:w="1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5D2C4178">
            <w:pPr>
              <w:jc w:val="left"/>
            </w:pPr>
            <w:r>
              <w:rPr>
                <w:rFonts w:ascii="Arial" w:hAnsi="Arial" w:eastAsia="Arial" w:cs="Arial"/>
                <w:b/>
                <w:bCs/>
                <w:sz w:val="20"/>
                <w:szCs w:val="20"/>
              </w:rPr>
              <w:t>Canada</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0A87CF5">
            <w:pPr>
              <w:jc w:val="left"/>
            </w:pPr>
            <w:r>
              <w:rPr>
                <w:rFonts w:ascii="Arial" w:hAnsi="Arial" w:eastAsia="Arial" w:cs="Arial"/>
                <w:b w:val="0"/>
                <w:bCs w:val="0"/>
                <w:sz w:val="20"/>
                <w:szCs w:val="20"/>
              </w:rPr>
              <w:t>57.1%</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1EA74E40">
            <w:pPr>
              <w:jc w:val="left"/>
            </w:pPr>
            <w:r>
              <w:rPr>
                <w:rFonts w:ascii="Arial" w:hAnsi="Arial" w:eastAsia="Arial" w:cs="Arial"/>
                <w:b w:val="0"/>
                <w:bCs w:val="0"/>
                <w:sz w:val="20"/>
                <w:szCs w:val="20"/>
              </w:rPr>
              <w:t>45.7%</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619F1B37">
            <w:pPr>
              <w:jc w:val="left"/>
            </w:pPr>
            <w:r>
              <w:rPr>
                <w:rFonts w:ascii="Arial" w:hAnsi="Arial" w:eastAsia="Arial" w:cs="Arial"/>
                <w:b w:val="0"/>
                <w:bCs w:val="0"/>
                <w:sz w:val="20"/>
                <w:szCs w:val="20"/>
              </w:rPr>
              <w:t>37.1%</w:t>
            </w:r>
          </w:p>
        </w:tc>
        <w:tc>
          <w:tcPr>
            <w:tcW w:w="16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4CE5C62">
            <w:pPr>
              <w:jc w:val="left"/>
            </w:pPr>
            <w:r>
              <w:rPr>
                <w:rFonts w:ascii="Arial" w:hAnsi="Arial" w:eastAsia="Arial" w:cs="Arial"/>
                <w:b w:val="0"/>
                <w:bCs w:val="0"/>
                <w:sz w:val="20"/>
                <w:szCs w:val="20"/>
              </w:rPr>
              <w:t>African-Canadians underrepresented in management by 40%</w:t>
            </w:r>
          </w:p>
        </w:tc>
        <w:tc>
          <w:tcPr>
            <w:tcW w:w="17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2BD137C4">
            <w:pPr>
              <w:jc w:val="left"/>
            </w:pPr>
            <w:r>
              <w:rPr>
                <w:rFonts w:ascii="Arial" w:hAnsi="Arial" w:eastAsia="Arial" w:cs="Arial"/>
                <w:b w:val="0"/>
                <w:bCs w:val="0"/>
                <w:sz w:val="20"/>
                <w:szCs w:val="20"/>
              </w:rPr>
              <w:t>Stats Canada (2021)</w:t>
            </w:r>
          </w:p>
        </w:tc>
      </w:tr>
      <w:tr w14:paraId="7A1C4321">
        <w:tblPrEx>
          <w:tblLayout w:type="fixed"/>
        </w:tblPrEx>
        <w:tc>
          <w:tcPr>
            <w:tcW w:w="1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2FA251A6">
            <w:pPr>
              <w:jc w:val="left"/>
            </w:pPr>
            <w:r>
              <w:rPr>
                <w:rFonts w:ascii="Arial" w:hAnsi="Arial" w:eastAsia="Arial" w:cs="Arial"/>
                <w:b/>
                <w:bCs/>
                <w:sz w:val="20"/>
                <w:szCs w:val="20"/>
              </w:rPr>
              <w:t>France</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5E400607">
            <w:pPr>
              <w:jc w:val="left"/>
            </w:pPr>
            <w:r>
              <w:rPr>
                <w:rFonts w:ascii="Arial" w:hAnsi="Arial" w:eastAsia="Arial" w:cs="Arial"/>
                <w:b w:val="0"/>
                <w:bCs w:val="0"/>
                <w:sz w:val="20"/>
                <w:szCs w:val="20"/>
              </w:rPr>
              <w:t>60.0%</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18152430">
            <w:pPr>
              <w:jc w:val="left"/>
            </w:pPr>
            <w:r>
              <w:rPr>
                <w:rFonts w:ascii="Arial" w:hAnsi="Arial" w:eastAsia="Arial" w:cs="Arial"/>
                <w:b w:val="0"/>
                <w:bCs w:val="0"/>
                <w:sz w:val="20"/>
                <w:szCs w:val="20"/>
              </w:rPr>
              <w:t>43.3%</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7D3249BC">
            <w:pPr>
              <w:jc w:val="left"/>
            </w:pPr>
            <w:r>
              <w:rPr>
                <w:rFonts w:ascii="Arial" w:hAnsi="Arial" w:eastAsia="Arial" w:cs="Arial"/>
                <w:b w:val="0"/>
                <w:bCs w:val="0"/>
                <w:sz w:val="20"/>
                <w:szCs w:val="20"/>
              </w:rPr>
              <w:t>36.7%</w:t>
            </w:r>
          </w:p>
        </w:tc>
        <w:tc>
          <w:tcPr>
            <w:tcW w:w="16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4CD75D25">
            <w:pPr>
              <w:jc w:val="left"/>
            </w:pPr>
            <w:r>
              <w:rPr>
                <w:rFonts w:ascii="Arial" w:hAnsi="Arial" w:eastAsia="Arial" w:cs="Arial"/>
                <w:b w:val="0"/>
                <w:bCs w:val="0"/>
                <w:sz w:val="20"/>
                <w:szCs w:val="20"/>
              </w:rPr>
              <w:t>North/Sub-Saharan African names get 30% fewer callbacks</w:t>
            </w:r>
          </w:p>
        </w:tc>
        <w:tc>
          <w:tcPr>
            <w:tcW w:w="176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0BA3A980">
            <w:pPr>
              <w:jc w:val="left"/>
            </w:pPr>
            <w:r>
              <w:rPr>
                <w:rFonts w:ascii="Arial" w:hAnsi="Arial" w:eastAsia="Arial" w:cs="Arial"/>
                <w:b w:val="0"/>
                <w:bCs w:val="0"/>
                <w:sz w:val="20"/>
                <w:szCs w:val="20"/>
              </w:rPr>
              <w:t>ISM-CORUM (2020)</w:t>
            </w:r>
          </w:p>
        </w:tc>
      </w:tr>
      <w:tr w14:paraId="228B5DD6">
        <w:tblPrEx>
          <w:tblLayout w:type="fixed"/>
        </w:tblPrEx>
        <w:tc>
          <w:tcPr>
            <w:tcW w:w="1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38F8F11C">
            <w:pPr>
              <w:jc w:val="left"/>
            </w:pPr>
            <w:r>
              <w:rPr>
                <w:rFonts w:ascii="Arial" w:hAnsi="Arial" w:eastAsia="Arial" w:cs="Arial"/>
                <w:b/>
                <w:bCs/>
                <w:sz w:val="20"/>
                <w:szCs w:val="20"/>
              </w:rPr>
              <w:t>Australia</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2286CA2">
            <w:pPr>
              <w:jc w:val="left"/>
            </w:pPr>
            <w:r>
              <w:rPr>
                <w:rFonts w:ascii="Arial" w:hAnsi="Arial" w:eastAsia="Arial" w:cs="Arial"/>
                <w:b w:val="0"/>
                <w:bCs w:val="0"/>
                <w:sz w:val="20"/>
                <w:szCs w:val="20"/>
              </w:rPr>
              <w:t>60.0%</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2EE66F30">
            <w:pPr>
              <w:jc w:val="left"/>
            </w:pPr>
            <w:r>
              <w:rPr>
                <w:rFonts w:ascii="Arial" w:hAnsi="Arial" w:eastAsia="Arial" w:cs="Arial"/>
                <w:b w:val="0"/>
                <w:bCs w:val="0"/>
                <w:sz w:val="20"/>
                <w:szCs w:val="20"/>
              </w:rPr>
              <w:t>40.0%</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316B9B57">
            <w:pPr>
              <w:jc w:val="left"/>
            </w:pPr>
            <w:r>
              <w:rPr>
                <w:rFonts w:ascii="Arial" w:hAnsi="Arial" w:eastAsia="Arial" w:cs="Arial"/>
                <w:b w:val="0"/>
                <w:bCs w:val="0"/>
                <w:sz w:val="20"/>
                <w:szCs w:val="20"/>
              </w:rPr>
              <w:t>35.0%</w:t>
            </w:r>
          </w:p>
        </w:tc>
        <w:tc>
          <w:tcPr>
            <w:tcW w:w="16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14DD2ABC">
            <w:pPr>
              <w:jc w:val="left"/>
            </w:pPr>
            <w:r>
              <w:rPr>
                <w:rFonts w:ascii="Arial" w:hAnsi="Arial" w:eastAsia="Arial" w:cs="Arial"/>
                <w:b w:val="0"/>
                <w:bCs w:val="0"/>
                <w:sz w:val="20"/>
                <w:szCs w:val="20"/>
              </w:rPr>
              <w:t>African-sounding names receive 26% fewer callbacks</w:t>
            </w:r>
          </w:p>
        </w:tc>
        <w:tc>
          <w:tcPr>
            <w:tcW w:w="17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A0A5859">
            <w:pPr>
              <w:jc w:val="left"/>
            </w:pPr>
            <w:r>
              <w:rPr>
                <w:rFonts w:ascii="Arial" w:hAnsi="Arial" w:eastAsia="Arial" w:cs="Arial"/>
                <w:b w:val="0"/>
                <w:bCs w:val="0"/>
                <w:sz w:val="20"/>
                <w:szCs w:val="20"/>
              </w:rPr>
              <w:t>Booth et al. (2012)</w:t>
            </w:r>
          </w:p>
        </w:tc>
      </w:tr>
    </w:tbl>
    <w:p w14:paraId="0106C7EF">
      <w:pPr>
        <w:spacing w:before="60" w:after="120"/>
      </w:pPr>
      <w:r>
        <w:rPr>
          <w:rFonts w:ascii="Arial" w:hAnsi="Arial" w:eastAsia="Arial" w:cs="Arial"/>
          <w:i/>
          <w:iCs/>
          <w:color w:val="555555"/>
          <w:sz w:val="18"/>
          <w:szCs w:val="18"/>
        </w:rPr>
        <w:t>Source: Field Survey, 2024; Bertrand &amp; Mullainathan (2004); NIESR (2019); Statistics Canada (2021); ISM-CORUM (2020); Booth et al. (2012).</w:t>
      </w:r>
    </w:p>
    <w:p w14:paraId="21380198">
      <w:pPr>
        <w:spacing w:before="60" w:after="60"/>
      </w:pPr>
      <w:r>
        <w:rPr>
          <w:rFonts w:hint="default"/>
        </w:rPr>
        <w:t>Table 5 shows trends in employment discrimination in the five countries. The United Kingdom had the highest level of hiring discrimination (64.4%) and audit studies have shown that ethnic minority applicants need to submit much more applications than white applicants to get the same response rate. Denial of promotion was consistently reported across all countries and was a structural glass ceiling that affects the career advancement of Black people regardless of their qualifications.</w:t>
      </w:r>
    </w:p>
    <w:tbl>
      <w:tblPr>
        <w:tblStyle w:val="16"/>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0"/>
        <w:gridCol w:w="5200"/>
        <w:gridCol w:w="1200"/>
      </w:tblGrid>
      <w:tr w14:paraId="769F28BC">
        <w:tblPrEx>
          <w:tblLayout w:type="fixed"/>
        </w:tblPrEx>
        <w:tc>
          <w:tcPr>
            <w:tcW w:w="9200" w:type="dxa"/>
            <w:gridSpan w:val="3"/>
            <w:tcBorders>
              <w:top w:val="single" w:color="2C3E50" w:sz="4" w:space="0"/>
              <w:left w:val="single" w:color="2C3E50" w:sz="4" w:space="0"/>
              <w:bottom w:val="single" w:color="2C3E50" w:sz="4" w:space="0"/>
              <w:right w:val="single" w:color="2C3E50" w:sz="4" w:space="0"/>
            </w:tcBorders>
            <w:shd w:val="clear" w:color="auto" w:fill="1A3A5C"/>
            <w:tcMar>
              <w:top w:w="100" w:type="dxa"/>
              <w:left w:w="140" w:type="dxa"/>
              <w:bottom w:w="100" w:type="dxa"/>
              <w:right w:w="140" w:type="dxa"/>
            </w:tcMar>
          </w:tcPr>
          <w:p w14:paraId="3FE8E6B5">
            <w:pPr>
              <w:jc w:val="center"/>
            </w:pPr>
            <w:r>
              <w:rPr>
                <w:rFonts w:ascii="Arial" w:hAnsi="Arial" w:eastAsia="Arial" w:cs="Arial"/>
                <w:b/>
                <w:bCs/>
                <w:color w:val="FFFFFF"/>
                <w:sz w:val="22"/>
                <w:szCs w:val="22"/>
              </w:rPr>
              <w:t>Figure 5: Employment Discrimination Reported by Country (%)</w:t>
            </w:r>
          </w:p>
        </w:tc>
      </w:tr>
      <w:tr w14:paraId="6EA0AF2E">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4D31B1D0">
            <w:pPr/>
            <w:r>
              <w:rPr>
                <w:rFonts w:ascii="Arial" w:hAnsi="Arial" w:eastAsia="Arial" w:cs="Arial"/>
                <w:b/>
                <w:bCs/>
                <w:sz w:val="18"/>
                <w:szCs w:val="18"/>
              </w:rPr>
              <w:t>UK — Hiring Discrim.</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71E44F56">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4725E6C3">
            <w:pPr>
              <w:jc w:val="center"/>
            </w:pPr>
            <w:r>
              <w:rPr>
                <w:rFonts w:ascii="Arial" w:hAnsi="Arial" w:eastAsia="Arial" w:cs="Arial"/>
                <w:b/>
                <w:bCs/>
                <w:color w:val="1A3A5C"/>
                <w:sz w:val="18"/>
                <w:szCs w:val="18"/>
              </w:rPr>
              <w:t>64.4%</w:t>
            </w:r>
          </w:p>
        </w:tc>
      </w:tr>
      <w:tr w14:paraId="3A625F9F">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tcPr>
          <w:p w14:paraId="228732C4">
            <w:pPr/>
            <w:r>
              <w:rPr>
                <w:rFonts w:ascii="Arial" w:hAnsi="Arial" w:eastAsia="Arial" w:cs="Arial"/>
                <w:b/>
                <w:bCs/>
                <w:sz w:val="18"/>
                <w:szCs w:val="18"/>
              </w:rPr>
              <w:t>USA — Hiring Discrim.</w:t>
            </w:r>
          </w:p>
        </w:tc>
        <w:tc>
          <w:tcPr>
            <w:tcW w:w="5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00" w:type="dxa"/>
              <w:bottom w:w="80" w:type="dxa"/>
              <w:right w:w="100" w:type="dxa"/>
            </w:tcMar>
          </w:tcPr>
          <w:p w14:paraId="493E648C">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80" w:type="dxa"/>
              <w:bottom w:w="80" w:type="dxa"/>
              <w:right w:w="80" w:type="dxa"/>
            </w:tcMar>
          </w:tcPr>
          <w:p w14:paraId="1D0E9274">
            <w:pPr>
              <w:jc w:val="center"/>
            </w:pPr>
            <w:r>
              <w:rPr>
                <w:rFonts w:ascii="Arial" w:hAnsi="Arial" w:eastAsia="Arial" w:cs="Arial"/>
                <w:b/>
                <w:bCs/>
                <w:color w:val="1A3A5C"/>
                <w:sz w:val="18"/>
                <w:szCs w:val="18"/>
              </w:rPr>
              <w:t>62.9%</w:t>
            </w:r>
          </w:p>
        </w:tc>
      </w:tr>
      <w:tr w14:paraId="5815DC22">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41D55599">
            <w:pPr/>
            <w:r>
              <w:rPr>
                <w:rFonts w:ascii="Arial" w:hAnsi="Arial" w:eastAsia="Arial" w:cs="Arial"/>
                <w:b/>
                <w:bCs/>
                <w:sz w:val="18"/>
                <w:szCs w:val="18"/>
              </w:rPr>
              <w:t>France — Hiring Discrim.</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583AA05C">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7223CD91">
            <w:pPr>
              <w:jc w:val="center"/>
            </w:pPr>
            <w:r>
              <w:rPr>
                <w:rFonts w:ascii="Arial" w:hAnsi="Arial" w:eastAsia="Arial" w:cs="Arial"/>
                <w:b/>
                <w:bCs/>
                <w:color w:val="1A3A5C"/>
                <w:sz w:val="18"/>
                <w:szCs w:val="18"/>
              </w:rPr>
              <w:t>60.0%</w:t>
            </w:r>
          </w:p>
        </w:tc>
      </w:tr>
      <w:tr w14:paraId="751471A5">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tcPr>
          <w:p w14:paraId="34C7A45C">
            <w:pPr/>
            <w:r>
              <w:rPr>
                <w:rFonts w:ascii="Arial" w:hAnsi="Arial" w:eastAsia="Arial" w:cs="Arial"/>
                <w:b/>
                <w:bCs/>
                <w:sz w:val="18"/>
                <w:szCs w:val="18"/>
              </w:rPr>
              <w:t>Australia — Hiring</w:t>
            </w:r>
          </w:p>
        </w:tc>
        <w:tc>
          <w:tcPr>
            <w:tcW w:w="5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00" w:type="dxa"/>
              <w:bottom w:w="80" w:type="dxa"/>
              <w:right w:w="100" w:type="dxa"/>
            </w:tcMar>
          </w:tcPr>
          <w:p w14:paraId="701B1C67">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80" w:type="dxa"/>
              <w:bottom w:w="80" w:type="dxa"/>
              <w:right w:w="80" w:type="dxa"/>
            </w:tcMar>
          </w:tcPr>
          <w:p w14:paraId="63C16FA4">
            <w:pPr>
              <w:jc w:val="center"/>
            </w:pPr>
            <w:r>
              <w:rPr>
                <w:rFonts w:ascii="Arial" w:hAnsi="Arial" w:eastAsia="Arial" w:cs="Arial"/>
                <w:b/>
                <w:bCs/>
                <w:color w:val="1A3A5C"/>
                <w:sz w:val="18"/>
                <w:szCs w:val="18"/>
              </w:rPr>
              <w:t>60.0%</w:t>
            </w:r>
          </w:p>
        </w:tc>
      </w:tr>
      <w:tr w14:paraId="4B579831">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755212A7">
            <w:pPr/>
            <w:r>
              <w:rPr>
                <w:rFonts w:ascii="Arial" w:hAnsi="Arial" w:eastAsia="Arial" w:cs="Arial"/>
                <w:b/>
                <w:bCs/>
                <w:sz w:val="18"/>
                <w:szCs w:val="18"/>
              </w:rPr>
              <w:t>Canada — Hiring Discrim.</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7934C071">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3725D422">
            <w:pPr>
              <w:jc w:val="center"/>
            </w:pPr>
            <w:r>
              <w:rPr>
                <w:rFonts w:ascii="Arial" w:hAnsi="Arial" w:eastAsia="Arial" w:cs="Arial"/>
                <w:b/>
                <w:bCs/>
                <w:color w:val="1A3A5C"/>
                <w:sz w:val="18"/>
                <w:szCs w:val="18"/>
              </w:rPr>
              <w:t>57.1%</w:t>
            </w:r>
          </w:p>
        </w:tc>
      </w:tr>
    </w:tbl>
    <w:p w14:paraId="54A28A90">
      <w:pPr>
        <w:spacing w:before="80" w:after="160"/>
        <w:jc w:val="center"/>
      </w:pPr>
      <w:r>
        <w:rPr>
          <w:rFonts w:ascii="Arial" w:hAnsi="Arial" w:eastAsia="Arial" w:cs="Arial"/>
          <w:i/>
          <w:iCs/>
          <w:color w:val="444444"/>
          <w:sz w:val="20"/>
          <w:szCs w:val="20"/>
        </w:rPr>
        <w:t>Figure 5: Employment Discrimination Reported by Country (%). Source: Field Survey, 2024; national audit studies.</w:t>
      </w:r>
    </w:p>
    <w:p w14:paraId="7B12B811">
      <w:pPr>
        <w:spacing w:before="60" w:after="60"/>
      </w:pPr>
    </w:p>
    <w:p w14:paraId="32A027A1">
      <w:pPr>
        <w:spacing w:before="180" w:after="80"/>
      </w:pPr>
      <w:r>
        <w:rPr>
          <w:rFonts w:ascii="Arial" w:hAnsi="Arial" w:eastAsia="Arial" w:cs="Arial"/>
          <w:b/>
          <w:bCs/>
          <w:sz w:val="22"/>
          <w:szCs w:val="22"/>
        </w:rPr>
        <w:t>Table 6: Housing Discrimination and Living Conditions</w:t>
      </w:r>
    </w:p>
    <w:tbl>
      <w:tblPr>
        <w:tblStyle w:val="16"/>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400"/>
        <w:gridCol w:w="1500"/>
        <w:gridCol w:w="1500"/>
        <w:gridCol w:w="3160"/>
      </w:tblGrid>
      <w:tr w14:paraId="6C6F07FC">
        <w:tblPrEx>
          <w:tblLayout w:type="fixed"/>
        </w:tblPrEx>
        <w:trPr>
          <w:tblHeader/>
        </w:trPr>
        <w:tc>
          <w:tcPr>
            <w:tcW w:w="18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730D0926">
            <w:pPr>
              <w:jc w:val="center"/>
            </w:pPr>
            <w:r>
              <w:rPr>
                <w:rFonts w:ascii="Arial" w:hAnsi="Arial" w:eastAsia="Arial" w:cs="Arial"/>
                <w:b/>
                <w:bCs/>
                <w:color w:val="FFFFFF"/>
                <w:sz w:val="18"/>
                <w:szCs w:val="18"/>
              </w:rPr>
              <w:t>Country</w:t>
            </w:r>
          </w:p>
        </w:tc>
        <w:tc>
          <w:tcPr>
            <w:tcW w:w="14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29A6F62D">
            <w:pPr>
              <w:jc w:val="center"/>
            </w:pPr>
            <w:r>
              <w:rPr>
                <w:rFonts w:ascii="Arial" w:hAnsi="Arial" w:eastAsia="Arial" w:cs="Arial"/>
                <w:b/>
                <w:bCs/>
                <w:color w:val="FFFFFF"/>
                <w:sz w:val="18"/>
                <w:szCs w:val="18"/>
              </w:rPr>
              <w:t>% Reporting Housing Discrimination</w:t>
            </w:r>
          </w:p>
        </w:tc>
        <w:tc>
          <w:tcPr>
            <w:tcW w:w="15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2C2ECBAB">
            <w:pPr>
              <w:jc w:val="center"/>
            </w:pPr>
            <w:r>
              <w:rPr>
                <w:rFonts w:ascii="Arial" w:hAnsi="Arial" w:eastAsia="Arial" w:cs="Arial"/>
                <w:b/>
                <w:bCs/>
                <w:color w:val="FFFFFF"/>
                <w:sz w:val="18"/>
                <w:szCs w:val="18"/>
              </w:rPr>
              <w:t>Residential Segregation Index</w:t>
            </w:r>
          </w:p>
        </w:tc>
        <w:tc>
          <w:tcPr>
            <w:tcW w:w="15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6672C4F6">
            <w:pPr>
              <w:jc w:val="center"/>
            </w:pPr>
            <w:r>
              <w:rPr>
                <w:rFonts w:ascii="Arial" w:hAnsi="Arial" w:eastAsia="Arial" w:cs="Arial"/>
                <w:b/>
                <w:bCs/>
                <w:color w:val="FFFFFF"/>
                <w:sz w:val="18"/>
                <w:szCs w:val="18"/>
              </w:rPr>
              <w:t>Rent Differential (Black vs. White)</w:t>
            </w:r>
          </w:p>
        </w:tc>
        <w:tc>
          <w:tcPr>
            <w:tcW w:w="316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4BC1EB6F">
            <w:pPr>
              <w:jc w:val="center"/>
            </w:pPr>
            <w:r>
              <w:rPr>
                <w:rFonts w:ascii="Arial" w:hAnsi="Arial" w:eastAsia="Arial" w:cs="Arial"/>
                <w:b/>
                <w:bCs/>
                <w:color w:val="FFFFFF"/>
                <w:sz w:val="18"/>
                <w:szCs w:val="18"/>
              </w:rPr>
              <w:t>Key Finding</w:t>
            </w:r>
          </w:p>
        </w:tc>
      </w:tr>
      <w:tr w14:paraId="2BB54DFB">
        <w:tblPrEx>
          <w:tblLayout w:type="fixed"/>
        </w:tblPrEx>
        <w:tc>
          <w:tcPr>
            <w:tcW w:w="1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9A6B796">
            <w:pPr>
              <w:jc w:val="left"/>
            </w:pPr>
            <w:r>
              <w:rPr>
                <w:rFonts w:ascii="Arial" w:hAnsi="Arial" w:eastAsia="Arial" w:cs="Arial"/>
                <w:b/>
                <w:bCs/>
                <w:sz w:val="20"/>
                <w:szCs w:val="20"/>
              </w:rPr>
              <w:t>United States</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13B67BFF">
            <w:pPr>
              <w:jc w:val="left"/>
            </w:pPr>
            <w:r>
              <w:rPr>
                <w:rFonts w:ascii="Arial" w:hAnsi="Arial" w:eastAsia="Arial" w:cs="Arial"/>
                <w:b w:val="0"/>
                <w:bCs w:val="0"/>
                <w:sz w:val="20"/>
                <w:szCs w:val="20"/>
              </w:rPr>
              <w:t>44.3%</w:t>
            </w:r>
          </w:p>
        </w:tc>
        <w:tc>
          <w:tcPr>
            <w:tcW w:w="15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2DA6D19">
            <w:pPr>
              <w:jc w:val="left"/>
            </w:pPr>
            <w:r>
              <w:rPr>
                <w:rFonts w:ascii="Arial" w:hAnsi="Arial" w:eastAsia="Arial" w:cs="Arial"/>
                <w:b w:val="0"/>
                <w:bCs w:val="0"/>
                <w:sz w:val="20"/>
                <w:szCs w:val="20"/>
              </w:rPr>
              <w:t>High (D=0.60–0.75 in major cities)</w:t>
            </w:r>
          </w:p>
        </w:tc>
        <w:tc>
          <w:tcPr>
            <w:tcW w:w="15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147B049">
            <w:pPr>
              <w:jc w:val="left"/>
            </w:pPr>
            <w:r>
              <w:rPr>
                <w:rFonts w:ascii="Arial" w:hAnsi="Arial" w:eastAsia="Arial" w:cs="Arial"/>
                <w:b w:val="0"/>
                <w:bCs w:val="0"/>
                <w:sz w:val="20"/>
                <w:szCs w:val="20"/>
              </w:rPr>
              <w:t>+12–18% premium paid</w:t>
            </w:r>
          </w:p>
        </w:tc>
        <w:tc>
          <w:tcPr>
            <w:tcW w:w="31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3E5978AB">
            <w:pPr>
              <w:jc w:val="left"/>
            </w:pPr>
            <w:r>
              <w:rPr>
                <w:rFonts w:ascii="Arial" w:hAnsi="Arial" w:eastAsia="Arial" w:cs="Arial"/>
                <w:b w:val="0"/>
                <w:bCs w:val="0"/>
                <w:sz w:val="20"/>
                <w:szCs w:val="20"/>
              </w:rPr>
              <w:t>Black renters denied at 2× the rate of White applicants (HUD, 2021)</w:t>
            </w:r>
          </w:p>
        </w:tc>
      </w:tr>
      <w:tr w14:paraId="191975D0">
        <w:tblPrEx>
          <w:tblLayout w:type="fixed"/>
        </w:tblPrEx>
        <w:tc>
          <w:tcPr>
            <w:tcW w:w="1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41EA8169">
            <w:pPr>
              <w:jc w:val="left"/>
            </w:pPr>
            <w:r>
              <w:rPr>
                <w:rFonts w:ascii="Arial" w:hAnsi="Arial" w:eastAsia="Arial" w:cs="Arial"/>
                <w:b/>
                <w:bCs/>
                <w:sz w:val="20"/>
                <w:szCs w:val="20"/>
              </w:rPr>
              <w:t>United Kingdom</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0EB007E1">
            <w:pPr>
              <w:jc w:val="left"/>
            </w:pPr>
            <w:r>
              <w:rPr>
                <w:rFonts w:ascii="Arial" w:hAnsi="Arial" w:eastAsia="Arial" w:cs="Arial"/>
                <w:b w:val="0"/>
                <w:bCs w:val="0"/>
                <w:sz w:val="20"/>
                <w:szCs w:val="20"/>
              </w:rPr>
              <w:t>40.0%</w:t>
            </w:r>
          </w:p>
        </w:tc>
        <w:tc>
          <w:tcPr>
            <w:tcW w:w="15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563FD43E">
            <w:pPr>
              <w:jc w:val="left"/>
            </w:pPr>
            <w:r>
              <w:rPr>
                <w:rFonts w:ascii="Arial" w:hAnsi="Arial" w:eastAsia="Arial" w:cs="Arial"/>
                <w:b w:val="0"/>
                <w:bCs w:val="0"/>
                <w:sz w:val="20"/>
                <w:szCs w:val="20"/>
              </w:rPr>
              <w:t>Moderate-High</w:t>
            </w:r>
          </w:p>
        </w:tc>
        <w:tc>
          <w:tcPr>
            <w:tcW w:w="15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275A627D">
            <w:pPr>
              <w:jc w:val="left"/>
            </w:pPr>
            <w:r>
              <w:rPr>
                <w:rFonts w:ascii="Arial" w:hAnsi="Arial" w:eastAsia="Arial" w:cs="Arial"/>
                <w:b w:val="0"/>
                <w:bCs w:val="0"/>
                <w:sz w:val="20"/>
                <w:szCs w:val="20"/>
              </w:rPr>
              <w:t>+9–14% premium paid</w:t>
            </w:r>
          </w:p>
        </w:tc>
        <w:tc>
          <w:tcPr>
            <w:tcW w:w="316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3235736E">
            <w:pPr>
              <w:jc w:val="left"/>
            </w:pPr>
            <w:r>
              <w:rPr>
                <w:rFonts w:ascii="Arial" w:hAnsi="Arial" w:eastAsia="Arial" w:cs="Arial"/>
                <w:b w:val="0"/>
                <w:bCs w:val="0"/>
                <w:sz w:val="20"/>
                <w:szCs w:val="20"/>
              </w:rPr>
              <w:t>Ethnic minorities face 'postcode discrimination' in rental markets (Shelter UK, 2021)</w:t>
            </w:r>
          </w:p>
        </w:tc>
      </w:tr>
      <w:tr w14:paraId="09D8C200">
        <w:tblPrEx>
          <w:tblLayout w:type="fixed"/>
        </w:tblPrEx>
        <w:tc>
          <w:tcPr>
            <w:tcW w:w="1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FFA41EC">
            <w:pPr>
              <w:jc w:val="left"/>
            </w:pPr>
            <w:r>
              <w:rPr>
                <w:rFonts w:ascii="Arial" w:hAnsi="Arial" w:eastAsia="Arial" w:cs="Arial"/>
                <w:b/>
                <w:bCs/>
                <w:sz w:val="20"/>
                <w:szCs w:val="20"/>
              </w:rPr>
              <w:t>Canada</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88E7A58">
            <w:pPr>
              <w:jc w:val="left"/>
            </w:pPr>
            <w:r>
              <w:rPr>
                <w:rFonts w:ascii="Arial" w:hAnsi="Arial" w:eastAsia="Arial" w:cs="Arial"/>
                <w:b w:val="0"/>
                <w:bCs w:val="0"/>
                <w:sz w:val="20"/>
                <w:szCs w:val="20"/>
              </w:rPr>
              <w:t>40.0%</w:t>
            </w:r>
          </w:p>
        </w:tc>
        <w:tc>
          <w:tcPr>
            <w:tcW w:w="15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3E61F96E">
            <w:pPr>
              <w:jc w:val="left"/>
            </w:pPr>
            <w:r>
              <w:rPr>
                <w:rFonts w:ascii="Arial" w:hAnsi="Arial" w:eastAsia="Arial" w:cs="Arial"/>
                <w:b w:val="0"/>
                <w:bCs w:val="0"/>
                <w:sz w:val="20"/>
                <w:szCs w:val="20"/>
              </w:rPr>
              <w:t>Moderate</w:t>
            </w:r>
          </w:p>
        </w:tc>
        <w:tc>
          <w:tcPr>
            <w:tcW w:w="15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4CD50D2">
            <w:pPr>
              <w:jc w:val="left"/>
            </w:pPr>
            <w:r>
              <w:rPr>
                <w:rFonts w:ascii="Arial" w:hAnsi="Arial" w:eastAsia="Arial" w:cs="Arial"/>
                <w:b w:val="0"/>
                <w:bCs w:val="0"/>
                <w:sz w:val="20"/>
                <w:szCs w:val="20"/>
              </w:rPr>
              <w:t>+8–13% premium paid</w:t>
            </w:r>
          </w:p>
        </w:tc>
        <w:tc>
          <w:tcPr>
            <w:tcW w:w="31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7A20677A">
            <w:pPr>
              <w:jc w:val="left"/>
            </w:pPr>
            <w:r>
              <w:rPr>
                <w:rFonts w:ascii="Arial" w:hAnsi="Arial" w:eastAsia="Arial" w:cs="Arial"/>
                <w:b w:val="0"/>
                <w:bCs w:val="0"/>
                <w:sz w:val="20"/>
                <w:szCs w:val="20"/>
              </w:rPr>
              <w:t>Black Canadians in Toronto concentrated in 'inner suburban' poverty zones (Hulchanski, 2019)</w:t>
            </w:r>
          </w:p>
        </w:tc>
      </w:tr>
      <w:tr w14:paraId="769301BC">
        <w:tblPrEx>
          <w:tblLayout w:type="fixed"/>
        </w:tblPrEx>
        <w:tc>
          <w:tcPr>
            <w:tcW w:w="1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44D9B608">
            <w:pPr>
              <w:jc w:val="left"/>
            </w:pPr>
            <w:r>
              <w:rPr>
                <w:rFonts w:ascii="Arial" w:hAnsi="Arial" w:eastAsia="Arial" w:cs="Arial"/>
                <w:b/>
                <w:bCs/>
                <w:sz w:val="20"/>
                <w:szCs w:val="20"/>
              </w:rPr>
              <w:t>France</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0C3A154D">
            <w:pPr>
              <w:jc w:val="left"/>
            </w:pPr>
            <w:r>
              <w:rPr>
                <w:rFonts w:ascii="Arial" w:hAnsi="Arial" w:eastAsia="Arial" w:cs="Arial"/>
                <w:b w:val="0"/>
                <w:bCs w:val="0"/>
                <w:sz w:val="20"/>
                <w:szCs w:val="20"/>
              </w:rPr>
              <w:t>40.0%</w:t>
            </w:r>
          </w:p>
        </w:tc>
        <w:tc>
          <w:tcPr>
            <w:tcW w:w="15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62A85EC9">
            <w:pPr>
              <w:jc w:val="left"/>
            </w:pPr>
            <w:r>
              <w:rPr>
                <w:rFonts w:ascii="Arial" w:hAnsi="Arial" w:eastAsia="Arial" w:cs="Arial"/>
                <w:b w:val="0"/>
                <w:bCs w:val="0"/>
                <w:sz w:val="20"/>
                <w:szCs w:val="20"/>
              </w:rPr>
              <w:t>Moderate-High (banlieues)</w:t>
            </w:r>
          </w:p>
        </w:tc>
        <w:tc>
          <w:tcPr>
            <w:tcW w:w="15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7C036D1D">
            <w:pPr>
              <w:jc w:val="left"/>
            </w:pPr>
            <w:r>
              <w:rPr>
                <w:rFonts w:ascii="Arial" w:hAnsi="Arial" w:eastAsia="Arial" w:cs="Arial"/>
                <w:b w:val="0"/>
                <w:bCs w:val="0"/>
                <w:sz w:val="20"/>
                <w:szCs w:val="20"/>
              </w:rPr>
              <w:t>+10–15% premium paid</w:t>
            </w:r>
          </w:p>
        </w:tc>
        <w:tc>
          <w:tcPr>
            <w:tcW w:w="316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1AAFB58D">
            <w:pPr>
              <w:jc w:val="left"/>
            </w:pPr>
            <w:r>
              <w:rPr>
                <w:rFonts w:ascii="Arial" w:hAnsi="Arial" w:eastAsia="Arial" w:cs="Arial"/>
                <w:b w:val="0"/>
                <w:bCs w:val="0"/>
                <w:sz w:val="20"/>
                <w:szCs w:val="20"/>
              </w:rPr>
              <w:t>Spatial segregation in Paris banlieues correlates with unemployment and crime victimisation</w:t>
            </w:r>
          </w:p>
        </w:tc>
      </w:tr>
      <w:tr w14:paraId="4B69AD6B">
        <w:tblPrEx>
          <w:tblLayout w:type="fixed"/>
        </w:tblPrEx>
        <w:tc>
          <w:tcPr>
            <w:tcW w:w="1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70162BE1">
            <w:pPr>
              <w:jc w:val="left"/>
            </w:pPr>
            <w:r>
              <w:rPr>
                <w:rFonts w:ascii="Arial" w:hAnsi="Arial" w:eastAsia="Arial" w:cs="Arial"/>
                <w:b/>
                <w:bCs/>
                <w:sz w:val="20"/>
                <w:szCs w:val="20"/>
              </w:rPr>
              <w:t>Australia</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5E95CE78">
            <w:pPr>
              <w:jc w:val="left"/>
            </w:pPr>
            <w:r>
              <w:rPr>
                <w:rFonts w:ascii="Arial" w:hAnsi="Arial" w:eastAsia="Arial" w:cs="Arial"/>
                <w:b w:val="0"/>
                <w:bCs w:val="0"/>
                <w:sz w:val="20"/>
                <w:szCs w:val="20"/>
              </w:rPr>
              <w:t>35.0%</w:t>
            </w:r>
          </w:p>
        </w:tc>
        <w:tc>
          <w:tcPr>
            <w:tcW w:w="15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F906FD5">
            <w:pPr>
              <w:jc w:val="left"/>
            </w:pPr>
            <w:r>
              <w:rPr>
                <w:rFonts w:ascii="Arial" w:hAnsi="Arial" w:eastAsia="Arial" w:cs="Arial"/>
                <w:b w:val="0"/>
                <w:bCs w:val="0"/>
                <w:sz w:val="20"/>
                <w:szCs w:val="20"/>
              </w:rPr>
              <w:t>Moderate</w:t>
            </w:r>
          </w:p>
        </w:tc>
        <w:tc>
          <w:tcPr>
            <w:tcW w:w="15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6E9AA88D">
            <w:pPr>
              <w:jc w:val="left"/>
            </w:pPr>
            <w:r>
              <w:rPr>
                <w:rFonts w:ascii="Arial" w:hAnsi="Arial" w:eastAsia="Arial" w:cs="Arial"/>
                <w:b w:val="0"/>
                <w:bCs w:val="0"/>
                <w:sz w:val="20"/>
                <w:szCs w:val="20"/>
              </w:rPr>
              <w:t>+7–11% premium paid</w:t>
            </w:r>
          </w:p>
        </w:tc>
        <w:tc>
          <w:tcPr>
            <w:tcW w:w="31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7C780C08">
            <w:pPr>
              <w:jc w:val="left"/>
            </w:pPr>
            <w:r>
              <w:rPr>
                <w:rFonts w:ascii="Arial" w:hAnsi="Arial" w:eastAsia="Arial" w:cs="Arial"/>
                <w:b w:val="0"/>
                <w:bCs w:val="0"/>
                <w:sz w:val="20"/>
                <w:szCs w:val="20"/>
              </w:rPr>
              <w:t>African-Australians over-represented in public housing; media-driven stigma (AHRC, 2021)</w:t>
            </w:r>
          </w:p>
        </w:tc>
      </w:tr>
    </w:tbl>
    <w:p w14:paraId="689DAB99">
      <w:pPr>
        <w:spacing w:before="60" w:after="120"/>
      </w:pPr>
      <w:r>
        <w:rPr>
          <w:rFonts w:ascii="Arial" w:hAnsi="Arial" w:eastAsia="Arial" w:cs="Arial"/>
          <w:i/>
          <w:iCs/>
          <w:color w:val="555555"/>
          <w:sz w:val="18"/>
          <w:szCs w:val="18"/>
        </w:rPr>
        <w:t>Source: Field Survey, 2024; HUD (2021); Shelter UK (2021); Hulchanski (2019); AHRC (2021).</w:t>
      </w:r>
    </w:p>
    <w:p w14:paraId="651C0BCE">
      <w:pPr>
        <w:spacing w:before="60" w:after="60"/>
      </w:pPr>
      <w:r>
        <w:rPr>
          <w:rFonts w:hint="default"/>
        </w:rPr>
        <w:t>Table 6 shows information on housing discrimination and living conditions of black respondents. Black renters in all five countries said they faced discrimination when seeking housing at higher rates than equivalent white applicants and were denied housing at disproportionately high rates. The proportion of people who experienced housing discrimination in the United States (44.3%) was higher than in any of the other countries. Both France and the United Kingdom had 40.0% of the population in concentrated poverty, with spatial inequalities in French 'banlieues' contributing to cycles of poverty and exclusion.</w:t>
      </w:r>
    </w:p>
    <w:p w14:paraId="0DA8C5B3">
      <w:pPr>
        <w:spacing w:before="60" w:after="60"/>
      </w:pPr>
    </w:p>
    <w:tbl>
      <w:tblPr>
        <w:tblStyle w:val="16"/>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0"/>
        <w:gridCol w:w="5200"/>
        <w:gridCol w:w="1200"/>
      </w:tblGrid>
      <w:tr w14:paraId="22296701">
        <w:tblPrEx>
          <w:tblLayout w:type="fixed"/>
        </w:tblPrEx>
        <w:tc>
          <w:tcPr>
            <w:tcW w:w="9200" w:type="dxa"/>
            <w:gridSpan w:val="3"/>
            <w:tcBorders>
              <w:top w:val="single" w:color="2C3E50" w:sz="4" w:space="0"/>
              <w:left w:val="single" w:color="2C3E50" w:sz="4" w:space="0"/>
              <w:bottom w:val="single" w:color="2C3E50" w:sz="4" w:space="0"/>
              <w:right w:val="single" w:color="2C3E50" w:sz="4" w:space="0"/>
            </w:tcBorders>
            <w:shd w:val="clear" w:color="auto" w:fill="1A3A5C"/>
            <w:tcMar>
              <w:top w:w="100" w:type="dxa"/>
              <w:left w:w="140" w:type="dxa"/>
              <w:bottom w:w="100" w:type="dxa"/>
              <w:right w:w="140" w:type="dxa"/>
            </w:tcMar>
          </w:tcPr>
          <w:p w14:paraId="573A9CE6">
            <w:pPr>
              <w:jc w:val="center"/>
            </w:pPr>
            <w:r>
              <w:rPr>
                <w:rFonts w:ascii="Arial" w:hAnsi="Arial" w:eastAsia="Arial" w:cs="Arial"/>
                <w:b/>
                <w:bCs/>
                <w:color w:val="FFFFFF"/>
                <w:sz w:val="22"/>
                <w:szCs w:val="22"/>
              </w:rPr>
              <w:t>Figure 6: Housing Discrimination Reported by Country (%)</w:t>
            </w:r>
          </w:p>
        </w:tc>
      </w:tr>
      <w:tr w14:paraId="54757D90">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33FE23A7">
            <w:pPr/>
            <w:r>
              <w:rPr>
                <w:rFonts w:ascii="Arial" w:hAnsi="Arial" w:eastAsia="Arial" w:cs="Arial"/>
                <w:b/>
                <w:bCs/>
                <w:sz w:val="18"/>
                <w:szCs w:val="18"/>
              </w:rPr>
              <w:t>United States</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09E3399A">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5FB4C0FA">
            <w:pPr>
              <w:jc w:val="center"/>
            </w:pPr>
            <w:r>
              <w:rPr>
                <w:rFonts w:ascii="Arial" w:hAnsi="Arial" w:eastAsia="Arial" w:cs="Arial"/>
                <w:b/>
                <w:bCs/>
                <w:color w:val="1A3A5C"/>
                <w:sz w:val="18"/>
                <w:szCs w:val="18"/>
              </w:rPr>
              <w:t>44.3%</w:t>
            </w:r>
          </w:p>
        </w:tc>
      </w:tr>
      <w:tr w14:paraId="6C604713">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tcPr>
          <w:p w14:paraId="12DF90B9">
            <w:pPr/>
            <w:r>
              <w:rPr>
                <w:rFonts w:ascii="Arial" w:hAnsi="Arial" w:eastAsia="Arial" w:cs="Arial"/>
                <w:b/>
                <w:bCs/>
                <w:sz w:val="18"/>
                <w:szCs w:val="18"/>
              </w:rPr>
              <w:t>United Kingdom</w:t>
            </w:r>
          </w:p>
        </w:tc>
        <w:tc>
          <w:tcPr>
            <w:tcW w:w="5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00" w:type="dxa"/>
              <w:bottom w:w="80" w:type="dxa"/>
              <w:right w:w="100" w:type="dxa"/>
            </w:tcMar>
          </w:tcPr>
          <w:p w14:paraId="3230DE31">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80" w:type="dxa"/>
              <w:bottom w:w="80" w:type="dxa"/>
              <w:right w:w="80" w:type="dxa"/>
            </w:tcMar>
          </w:tcPr>
          <w:p w14:paraId="26EF4A0D">
            <w:pPr>
              <w:jc w:val="center"/>
            </w:pPr>
            <w:r>
              <w:rPr>
                <w:rFonts w:ascii="Arial" w:hAnsi="Arial" w:eastAsia="Arial" w:cs="Arial"/>
                <w:b/>
                <w:bCs/>
                <w:color w:val="1A3A5C"/>
                <w:sz w:val="18"/>
                <w:szCs w:val="18"/>
              </w:rPr>
              <w:t>40.0%</w:t>
            </w:r>
          </w:p>
        </w:tc>
      </w:tr>
      <w:tr w14:paraId="220EBD92">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3072A59A">
            <w:pPr/>
            <w:r>
              <w:rPr>
                <w:rFonts w:ascii="Arial" w:hAnsi="Arial" w:eastAsia="Arial" w:cs="Arial"/>
                <w:b/>
                <w:bCs/>
                <w:sz w:val="18"/>
                <w:szCs w:val="18"/>
              </w:rPr>
              <w:t>Canada</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46436830">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625580CD">
            <w:pPr>
              <w:jc w:val="center"/>
            </w:pPr>
            <w:r>
              <w:rPr>
                <w:rFonts w:ascii="Arial" w:hAnsi="Arial" w:eastAsia="Arial" w:cs="Arial"/>
                <w:b/>
                <w:bCs/>
                <w:color w:val="1A3A5C"/>
                <w:sz w:val="18"/>
                <w:szCs w:val="18"/>
              </w:rPr>
              <w:t>40.0%</w:t>
            </w:r>
          </w:p>
        </w:tc>
      </w:tr>
      <w:tr w14:paraId="5EFC217A">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tcPr>
          <w:p w14:paraId="36EFA412">
            <w:pPr/>
            <w:r>
              <w:rPr>
                <w:rFonts w:ascii="Arial" w:hAnsi="Arial" w:eastAsia="Arial" w:cs="Arial"/>
                <w:b/>
                <w:bCs/>
                <w:sz w:val="18"/>
                <w:szCs w:val="18"/>
              </w:rPr>
              <w:t>France</w:t>
            </w:r>
          </w:p>
        </w:tc>
        <w:tc>
          <w:tcPr>
            <w:tcW w:w="5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00" w:type="dxa"/>
              <w:bottom w:w="80" w:type="dxa"/>
              <w:right w:w="100" w:type="dxa"/>
            </w:tcMar>
          </w:tcPr>
          <w:p w14:paraId="56760439">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80" w:type="dxa"/>
              <w:bottom w:w="80" w:type="dxa"/>
              <w:right w:w="80" w:type="dxa"/>
            </w:tcMar>
          </w:tcPr>
          <w:p w14:paraId="2EE3A24E">
            <w:pPr>
              <w:jc w:val="center"/>
            </w:pPr>
            <w:r>
              <w:rPr>
                <w:rFonts w:ascii="Arial" w:hAnsi="Arial" w:eastAsia="Arial" w:cs="Arial"/>
                <w:b/>
                <w:bCs/>
                <w:color w:val="1A3A5C"/>
                <w:sz w:val="18"/>
                <w:szCs w:val="18"/>
              </w:rPr>
              <w:t>40.0%</w:t>
            </w:r>
          </w:p>
        </w:tc>
      </w:tr>
      <w:tr w14:paraId="333AF707">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654A3932">
            <w:pPr/>
            <w:r>
              <w:rPr>
                <w:rFonts w:ascii="Arial" w:hAnsi="Arial" w:eastAsia="Arial" w:cs="Arial"/>
                <w:b/>
                <w:bCs/>
                <w:sz w:val="18"/>
                <w:szCs w:val="18"/>
              </w:rPr>
              <w:t>Australia</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7A8BD27C">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0A9C209F">
            <w:pPr>
              <w:jc w:val="center"/>
            </w:pPr>
            <w:r>
              <w:rPr>
                <w:rFonts w:ascii="Arial" w:hAnsi="Arial" w:eastAsia="Arial" w:cs="Arial"/>
                <w:b/>
                <w:bCs/>
                <w:color w:val="1A3A5C"/>
                <w:sz w:val="18"/>
                <w:szCs w:val="18"/>
              </w:rPr>
              <w:t>35.0%</w:t>
            </w:r>
          </w:p>
        </w:tc>
      </w:tr>
    </w:tbl>
    <w:p w14:paraId="5EEC58FD">
      <w:pPr>
        <w:spacing w:before="80" w:after="160"/>
        <w:jc w:val="center"/>
      </w:pPr>
      <w:r>
        <w:rPr>
          <w:rFonts w:ascii="Arial" w:hAnsi="Arial" w:eastAsia="Arial" w:cs="Arial"/>
          <w:i/>
          <w:iCs/>
          <w:color w:val="444444"/>
          <w:sz w:val="20"/>
          <w:szCs w:val="20"/>
        </w:rPr>
        <w:t>Figure 6: Housing Discrimination Reported by Country (%). Source: Field Survey, 2024; housing rights organisations.</w:t>
      </w:r>
    </w:p>
    <w:p w14:paraId="591E2A37">
      <w:pPr>
        <w:spacing w:before="60" w:after="60"/>
      </w:pPr>
    </w:p>
    <w:p w14:paraId="0063C7FE">
      <w:pPr>
        <w:spacing w:before="180" w:after="80"/>
      </w:pPr>
      <w:r>
        <w:rPr>
          <w:rFonts w:ascii="Arial" w:hAnsi="Arial" w:eastAsia="Arial" w:cs="Arial"/>
          <w:b/>
          <w:bCs/>
          <w:sz w:val="22"/>
          <w:szCs w:val="22"/>
        </w:rPr>
        <w:t>Table 7: Educational Disadvantage and Institutional Bias</w:t>
      </w:r>
    </w:p>
    <w:tbl>
      <w:tblPr>
        <w:tblStyle w:val="16"/>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1400"/>
        <w:gridCol w:w="1400"/>
        <w:gridCol w:w="1800"/>
        <w:gridCol w:w="3060"/>
      </w:tblGrid>
      <w:tr w14:paraId="33DA656B">
        <w:tblPrEx>
          <w:tblLayout w:type="fixed"/>
        </w:tblPrEx>
        <w:trPr>
          <w:tblHeader/>
        </w:trPr>
        <w:tc>
          <w:tcPr>
            <w:tcW w:w="17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09817FDD">
            <w:pPr>
              <w:jc w:val="center"/>
            </w:pPr>
            <w:r>
              <w:rPr>
                <w:rFonts w:ascii="Arial" w:hAnsi="Arial" w:eastAsia="Arial" w:cs="Arial"/>
                <w:b/>
                <w:bCs/>
                <w:color w:val="FFFFFF"/>
                <w:sz w:val="18"/>
                <w:szCs w:val="18"/>
              </w:rPr>
              <w:t>Country</w:t>
            </w:r>
          </w:p>
        </w:tc>
        <w:tc>
          <w:tcPr>
            <w:tcW w:w="14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5CE2B509">
            <w:pPr>
              <w:jc w:val="center"/>
            </w:pPr>
            <w:r>
              <w:rPr>
                <w:rFonts w:ascii="Arial" w:hAnsi="Arial" w:eastAsia="Arial" w:cs="Arial"/>
                <w:b/>
                <w:bCs/>
                <w:color w:val="FFFFFF"/>
                <w:sz w:val="18"/>
                <w:szCs w:val="18"/>
              </w:rPr>
              <w:t>Black/White Attainment Gap (%)</w:t>
            </w:r>
          </w:p>
        </w:tc>
        <w:tc>
          <w:tcPr>
            <w:tcW w:w="14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07385742">
            <w:pPr>
              <w:jc w:val="center"/>
            </w:pPr>
            <w:r>
              <w:rPr>
                <w:rFonts w:ascii="Arial" w:hAnsi="Arial" w:eastAsia="Arial" w:cs="Arial"/>
                <w:b/>
                <w:bCs/>
                <w:color w:val="FFFFFF"/>
                <w:sz w:val="18"/>
                <w:szCs w:val="18"/>
              </w:rPr>
              <w:t>School Exclusion Rate (relative to White pupils)</w:t>
            </w:r>
          </w:p>
        </w:tc>
        <w:tc>
          <w:tcPr>
            <w:tcW w:w="18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62B7E06E">
            <w:pPr>
              <w:jc w:val="center"/>
            </w:pPr>
            <w:r>
              <w:rPr>
                <w:rFonts w:ascii="Arial" w:hAnsi="Arial" w:eastAsia="Arial" w:cs="Arial"/>
                <w:b/>
                <w:bCs/>
                <w:color w:val="FFFFFF"/>
                <w:sz w:val="18"/>
                <w:szCs w:val="18"/>
              </w:rPr>
              <w:t>University Enrolment Gap</w:t>
            </w:r>
          </w:p>
        </w:tc>
        <w:tc>
          <w:tcPr>
            <w:tcW w:w="306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7560CA9F">
            <w:pPr>
              <w:jc w:val="center"/>
            </w:pPr>
            <w:r>
              <w:rPr>
                <w:rFonts w:ascii="Arial" w:hAnsi="Arial" w:eastAsia="Arial" w:cs="Arial"/>
                <w:b/>
                <w:bCs/>
                <w:color w:val="FFFFFF"/>
                <w:sz w:val="18"/>
                <w:szCs w:val="18"/>
              </w:rPr>
              <w:t>Key Institutional Bias Identified</w:t>
            </w:r>
          </w:p>
        </w:tc>
      </w:tr>
      <w:tr w14:paraId="11EFC611">
        <w:tblPrEx>
          <w:tblLayout w:type="fixed"/>
        </w:tblPrEx>
        <w:tc>
          <w:tcPr>
            <w:tcW w:w="17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69D0E584">
            <w:pPr>
              <w:jc w:val="left"/>
            </w:pPr>
            <w:r>
              <w:rPr>
                <w:rFonts w:ascii="Arial" w:hAnsi="Arial" w:eastAsia="Arial" w:cs="Arial"/>
                <w:b/>
                <w:bCs/>
                <w:sz w:val="20"/>
                <w:szCs w:val="20"/>
              </w:rPr>
              <w:t>United States</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AC16809">
            <w:pPr>
              <w:jc w:val="left"/>
            </w:pPr>
            <w:r>
              <w:rPr>
                <w:rFonts w:ascii="Arial" w:hAnsi="Arial" w:eastAsia="Arial" w:cs="Arial"/>
                <w:b w:val="0"/>
                <w:bCs w:val="0"/>
                <w:sz w:val="20"/>
                <w:szCs w:val="20"/>
              </w:rPr>
              <w:t>26% (NAEP, 2022)</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791D4B49">
            <w:pPr>
              <w:jc w:val="left"/>
            </w:pPr>
            <w:r>
              <w:rPr>
                <w:rFonts w:ascii="Arial" w:hAnsi="Arial" w:eastAsia="Arial" w:cs="Arial"/>
                <w:b w:val="0"/>
                <w:bCs w:val="0"/>
                <w:sz w:val="20"/>
                <w:szCs w:val="20"/>
              </w:rPr>
              <w:t>3.8× more likely</w:t>
            </w:r>
          </w:p>
        </w:tc>
        <w:tc>
          <w:tcPr>
            <w:tcW w:w="1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136741CC">
            <w:pPr>
              <w:jc w:val="left"/>
            </w:pPr>
            <w:r>
              <w:rPr>
                <w:rFonts w:ascii="Arial" w:hAnsi="Arial" w:eastAsia="Arial" w:cs="Arial"/>
                <w:b w:val="0"/>
                <w:bCs w:val="0"/>
                <w:sz w:val="20"/>
                <w:szCs w:val="20"/>
              </w:rPr>
              <w:t>20% lower degree attainment</w:t>
            </w:r>
          </w:p>
        </w:tc>
        <w:tc>
          <w:tcPr>
            <w:tcW w:w="30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B26AE46">
            <w:pPr>
              <w:jc w:val="left"/>
            </w:pPr>
            <w:r>
              <w:rPr>
                <w:rFonts w:ascii="Arial" w:hAnsi="Arial" w:eastAsia="Arial" w:cs="Arial"/>
                <w:b w:val="0"/>
                <w:bCs w:val="0"/>
                <w:sz w:val="20"/>
                <w:szCs w:val="20"/>
              </w:rPr>
              <w:t>Zero-tolerance policies; school-to-prison pipeline; Eurocentric curriculum</w:t>
            </w:r>
          </w:p>
        </w:tc>
      </w:tr>
      <w:tr w14:paraId="370747F2">
        <w:tblPrEx>
          <w:tblLayout w:type="fixed"/>
        </w:tblPrEx>
        <w:tc>
          <w:tcPr>
            <w:tcW w:w="17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583CDCD1">
            <w:pPr>
              <w:jc w:val="left"/>
            </w:pPr>
            <w:r>
              <w:rPr>
                <w:rFonts w:ascii="Arial" w:hAnsi="Arial" w:eastAsia="Arial" w:cs="Arial"/>
                <w:b/>
                <w:bCs/>
                <w:sz w:val="20"/>
                <w:szCs w:val="20"/>
              </w:rPr>
              <w:t>United Kingdom</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37678F12">
            <w:pPr>
              <w:jc w:val="left"/>
            </w:pPr>
            <w:r>
              <w:rPr>
                <w:rFonts w:ascii="Arial" w:hAnsi="Arial" w:eastAsia="Arial" w:cs="Arial"/>
                <w:b w:val="0"/>
                <w:bCs w:val="0"/>
                <w:sz w:val="20"/>
                <w:szCs w:val="20"/>
              </w:rPr>
              <w:t>17% (GCSE, Ofsted 2022)</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6AD91F1F">
            <w:pPr>
              <w:jc w:val="left"/>
            </w:pPr>
            <w:r>
              <w:rPr>
                <w:rFonts w:ascii="Arial" w:hAnsi="Arial" w:eastAsia="Arial" w:cs="Arial"/>
                <w:b w:val="0"/>
                <w:bCs w:val="0"/>
                <w:sz w:val="20"/>
                <w:szCs w:val="20"/>
              </w:rPr>
              <w:t>3× more likely</w:t>
            </w:r>
          </w:p>
        </w:tc>
        <w:tc>
          <w:tcPr>
            <w:tcW w:w="1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4A35C826">
            <w:pPr>
              <w:jc w:val="left"/>
            </w:pPr>
            <w:r>
              <w:rPr>
                <w:rFonts w:ascii="Arial" w:hAnsi="Arial" w:eastAsia="Arial" w:cs="Arial"/>
                <w:b w:val="0"/>
                <w:bCs w:val="0"/>
                <w:sz w:val="20"/>
                <w:szCs w:val="20"/>
              </w:rPr>
              <w:t>15% lower Oxbridge entry</w:t>
            </w:r>
          </w:p>
        </w:tc>
        <w:tc>
          <w:tcPr>
            <w:tcW w:w="306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0EDCB73B">
            <w:pPr>
              <w:jc w:val="left"/>
            </w:pPr>
            <w:r>
              <w:rPr>
                <w:rFonts w:ascii="Arial" w:hAnsi="Arial" w:eastAsia="Arial" w:cs="Arial"/>
                <w:b w:val="0"/>
                <w:bCs w:val="0"/>
                <w:sz w:val="20"/>
                <w:szCs w:val="20"/>
              </w:rPr>
              <w:t>Persistent exclusion of Black history; disproportionate school exclusions</w:t>
            </w:r>
          </w:p>
        </w:tc>
      </w:tr>
      <w:tr w14:paraId="45299936">
        <w:tblPrEx>
          <w:tblLayout w:type="fixed"/>
        </w:tblPrEx>
        <w:tc>
          <w:tcPr>
            <w:tcW w:w="17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78256BA3">
            <w:pPr>
              <w:jc w:val="left"/>
            </w:pPr>
            <w:r>
              <w:rPr>
                <w:rFonts w:ascii="Arial" w:hAnsi="Arial" w:eastAsia="Arial" w:cs="Arial"/>
                <w:b/>
                <w:bCs/>
                <w:sz w:val="20"/>
                <w:szCs w:val="20"/>
              </w:rPr>
              <w:t>Canada</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1D2F1539">
            <w:pPr>
              <w:jc w:val="left"/>
            </w:pPr>
            <w:r>
              <w:rPr>
                <w:rFonts w:ascii="Arial" w:hAnsi="Arial" w:eastAsia="Arial" w:cs="Arial"/>
                <w:b w:val="0"/>
                <w:bCs w:val="0"/>
                <w:sz w:val="20"/>
                <w:szCs w:val="20"/>
              </w:rPr>
              <w:t>18% (EQAO, 2021)</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6FFA056F">
            <w:pPr>
              <w:jc w:val="left"/>
            </w:pPr>
            <w:r>
              <w:rPr>
                <w:rFonts w:ascii="Arial" w:hAnsi="Arial" w:eastAsia="Arial" w:cs="Arial"/>
                <w:b w:val="0"/>
                <w:bCs w:val="0"/>
                <w:sz w:val="20"/>
                <w:szCs w:val="20"/>
              </w:rPr>
              <w:t>2.5× more likely</w:t>
            </w:r>
          </w:p>
        </w:tc>
        <w:tc>
          <w:tcPr>
            <w:tcW w:w="1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203F7874">
            <w:pPr>
              <w:jc w:val="left"/>
            </w:pPr>
            <w:r>
              <w:rPr>
                <w:rFonts w:ascii="Arial" w:hAnsi="Arial" w:eastAsia="Arial" w:cs="Arial"/>
                <w:b w:val="0"/>
                <w:bCs w:val="0"/>
                <w:sz w:val="20"/>
                <w:szCs w:val="20"/>
              </w:rPr>
              <w:t>18% lower four-year completion</w:t>
            </w:r>
          </w:p>
        </w:tc>
        <w:tc>
          <w:tcPr>
            <w:tcW w:w="30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60B09785">
            <w:pPr>
              <w:jc w:val="left"/>
            </w:pPr>
            <w:r>
              <w:rPr>
                <w:rFonts w:ascii="Arial" w:hAnsi="Arial" w:eastAsia="Arial" w:cs="Arial"/>
                <w:b w:val="0"/>
                <w:bCs w:val="0"/>
                <w:sz w:val="20"/>
                <w:szCs w:val="20"/>
              </w:rPr>
              <w:t>Anti-Black racism in school discipline; streaming into non-academic tracks</w:t>
            </w:r>
          </w:p>
        </w:tc>
      </w:tr>
      <w:tr w14:paraId="2A7BE04E">
        <w:tblPrEx>
          <w:tblLayout w:type="fixed"/>
        </w:tblPrEx>
        <w:tc>
          <w:tcPr>
            <w:tcW w:w="17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1276D0D6">
            <w:pPr>
              <w:jc w:val="left"/>
            </w:pPr>
            <w:r>
              <w:rPr>
                <w:rFonts w:ascii="Arial" w:hAnsi="Arial" w:eastAsia="Arial" w:cs="Arial"/>
                <w:b/>
                <w:bCs/>
                <w:sz w:val="20"/>
                <w:szCs w:val="20"/>
              </w:rPr>
              <w:t>France</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7C12C9A2">
            <w:pPr>
              <w:jc w:val="left"/>
            </w:pPr>
            <w:r>
              <w:rPr>
                <w:rFonts w:ascii="Arial" w:hAnsi="Arial" w:eastAsia="Arial" w:cs="Arial"/>
                <w:b w:val="0"/>
                <w:bCs w:val="0"/>
                <w:sz w:val="20"/>
                <w:szCs w:val="20"/>
              </w:rPr>
              <w:t>22% (MEN, 2021)</w:t>
            </w:r>
          </w:p>
        </w:tc>
        <w:tc>
          <w:tcPr>
            <w:tcW w:w="14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4B40CACE">
            <w:pPr>
              <w:jc w:val="left"/>
            </w:pPr>
            <w:r>
              <w:rPr>
                <w:rFonts w:ascii="Arial" w:hAnsi="Arial" w:eastAsia="Arial" w:cs="Arial"/>
                <w:b w:val="0"/>
                <w:bCs w:val="0"/>
                <w:sz w:val="20"/>
                <w:szCs w:val="20"/>
              </w:rPr>
              <w:t>2.2× more likely</w:t>
            </w:r>
          </w:p>
        </w:tc>
        <w:tc>
          <w:tcPr>
            <w:tcW w:w="1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0266AFA4">
            <w:pPr>
              <w:jc w:val="left"/>
            </w:pPr>
            <w:r>
              <w:rPr>
                <w:rFonts w:ascii="Arial" w:hAnsi="Arial" w:eastAsia="Arial" w:cs="Arial"/>
                <w:b w:val="0"/>
                <w:bCs w:val="0"/>
                <w:sz w:val="20"/>
                <w:szCs w:val="20"/>
              </w:rPr>
              <w:t>25% lower grande école entry</w:t>
            </w:r>
          </w:p>
        </w:tc>
        <w:tc>
          <w:tcPr>
            <w:tcW w:w="306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500418F1">
            <w:pPr>
              <w:jc w:val="left"/>
            </w:pPr>
            <w:r>
              <w:rPr>
                <w:rFonts w:ascii="Arial" w:hAnsi="Arial" w:eastAsia="Arial" w:cs="Arial"/>
                <w:b w:val="0"/>
                <w:bCs w:val="0"/>
                <w:sz w:val="20"/>
                <w:szCs w:val="20"/>
              </w:rPr>
              <w:t>Colour-blind curriculum erases Black French history; banlieue school underfunding</w:t>
            </w:r>
          </w:p>
        </w:tc>
      </w:tr>
      <w:tr w14:paraId="3238263D">
        <w:tblPrEx>
          <w:tblLayout w:type="fixed"/>
        </w:tblPrEx>
        <w:tc>
          <w:tcPr>
            <w:tcW w:w="17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DF5513D">
            <w:pPr>
              <w:jc w:val="left"/>
            </w:pPr>
            <w:r>
              <w:rPr>
                <w:rFonts w:ascii="Arial" w:hAnsi="Arial" w:eastAsia="Arial" w:cs="Arial"/>
                <w:b/>
                <w:bCs/>
                <w:sz w:val="20"/>
                <w:szCs w:val="20"/>
              </w:rPr>
              <w:t>Australia</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33C6AE50">
            <w:pPr>
              <w:jc w:val="left"/>
            </w:pPr>
            <w:r>
              <w:rPr>
                <w:rFonts w:ascii="Arial" w:hAnsi="Arial" w:eastAsia="Arial" w:cs="Arial"/>
                <w:b w:val="0"/>
                <w:bCs w:val="0"/>
                <w:sz w:val="20"/>
                <w:szCs w:val="20"/>
              </w:rPr>
              <w:t>20% (NAPLAN, 2022)</w:t>
            </w:r>
          </w:p>
        </w:tc>
        <w:tc>
          <w:tcPr>
            <w:tcW w:w="1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78AE03DA">
            <w:pPr>
              <w:jc w:val="left"/>
            </w:pPr>
            <w:r>
              <w:rPr>
                <w:rFonts w:ascii="Arial" w:hAnsi="Arial" w:eastAsia="Arial" w:cs="Arial"/>
                <w:b w:val="0"/>
                <w:bCs w:val="0"/>
                <w:sz w:val="20"/>
                <w:szCs w:val="20"/>
              </w:rPr>
              <w:t>2.8× more likely</w:t>
            </w:r>
          </w:p>
        </w:tc>
        <w:tc>
          <w:tcPr>
            <w:tcW w:w="1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1998CBC">
            <w:pPr>
              <w:jc w:val="left"/>
            </w:pPr>
            <w:r>
              <w:rPr>
                <w:rFonts w:ascii="Arial" w:hAnsi="Arial" w:eastAsia="Arial" w:cs="Arial"/>
                <w:b w:val="0"/>
                <w:bCs w:val="0"/>
                <w:sz w:val="20"/>
                <w:szCs w:val="20"/>
              </w:rPr>
              <w:t>22% lower university entry</w:t>
            </w:r>
          </w:p>
        </w:tc>
        <w:tc>
          <w:tcPr>
            <w:tcW w:w="30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F08344E">
            <w:pPr>
              <w:jc w:val="left"/>
            </w:pPr>
            <w:r>
              <w:rPr>
                <w:rFonts w:ascii="Arial" w:hAnsi="Arial" w:eastAsia="Arial" w:cs="Arial"/>
                <w:b w:val="0"/>
                <w:bCs w:val="0"/>
                <w:sz w:val="20"/>
                <w:szCs w:val="20"/>
              </w:rPr>
              <w:t>African-Australian students face racialised discipline; limited cultural representation</w:t>
            </w:r>
          </w:p>
        </w:tc>
      </w:tr>
    </w:tbl>
    <w:p w14:paraId="15B55A03">
      <w:pPr>
        <w:spacing w:before="60" w:after="120"/>
      </w:pPr>
      <w:r>
        <w:rPr>
          <w:rFonts w:ascii="Arial" w:hAnsi="Arial" w:eastAsia="Arial" w:cs="Arial"/>
          <w:i/>
          <w:iCs/>
          <w:color w:val="555555"/>
          <w:sz w:val="18"/>
          <w:szCs w:val="18"/>
        </w:rPr>
        <w:t>Source: NAEP (2022); Ofsted (2022); EQAO (2021); MEN France (2021); NAPLAN (2022); field survey data, 2024.</w:t>
      </w:r>
    </w:p>
    <w:p w14:paraId="78C96D2D">
      <w:pPr>
        <w:spacing w:before="60" w:after="60"/>
      </w:pPr>
    </w:p>
    <w:p w14:paraId="0BB61769">
      <w:pPr>
        <w:spacing w:before="60" w:after="60"/>
      </w:pPr>
      <w:r>
        <w:rPr>
          <w:rFonts w:hint="default"/>
        </w:rPr>
        <w:t>Table 7 shows that there is a systematic educational disadvantage and institutional bias against Black students in each of the five countries. In the UK and the USA, black students are 17% and 26% respectively less successful than their white counterparts at attainment. Black students are consistently two to four times more likely to be excluded from school and the entry gap to universities is still large in all countries examined. The results suggest deep-rooted institutional bias in disciplinary processes, curriculum planning and resource planning.</w:t>
      </w:r>
    </w:p>
    <w:tbl>
      <w:tblPr>
        <w:tblStyle w:val="16"/>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0"/>
        <w:gridCol w:w="5200"/>
        <w:gridCol w:w="1200"/>
      </w:tblGrid>
      <w:tr w14:paraId="5811EA75">
        <w:tblPrEx>
          <w:tblLayout w:type="fixed"/>
        </w:tblPrEx>
        <w:tc>
          <w:tcPr>
            <w:tcW w:w="9200" w:type="dxa"/>
            <w:gridSpan w:val="3"/>
            <w:tcBorders>
              <w:top w:val="single" w:color="2C3E50" w:sz="4" w:space="0"/>
              <w:left w:val="single" w:color="2C3E50" w:sz="4" w:space="0"/>
              <w:bottom w:val="single" w:color="2C3E50" w:sz="4" w:space="0"/>
              <w:right w:val="single" w:color="2C3E50" w:sz="4" w:space="0"/>
            </w:tcBorders>
            <w:shd w:val="clear" w:color="auto" w:fill="1A3A5C"/>
            <w:tcMar>
              <w:top w:w="100" w:type="dxa"/>
              <w:left w:w="140" w:type="dxa"/>
              <w:bottom w:w="100" w:type="dxa"/>
              <w:right w:w="140" w:type="dxa"/>
            </w:tcMar>
          </w:tcPr>
          <w:p w14:paraId="2D2A8E7C">
            <w:pPr>
              <w:jc w:val="center"/>
            </w:pPr>
            <w:r>
              <w:rPr>
                <w:rFonts w:ascii="Arial" w:hAnsi="Arial" w:eastAsia="Arial" w:cs="Arial"/>
                <w:b/>
                <w:bCs/>
                <w:color w:val="FFFFFF"/>
                <w:sz w:val="22"/>
                <w:szCs w:val="22"/>
              </w:rPr>
              <w:t>Figure 7: School Exclusion Rate of Black Pupils Relative to White Pupils (multiplier)</w:t>
            </w:r>
          </w:p>
        </w:tc>
      </w:tr>
      <w:tr w14:paraId="67DF5190">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6B4DA4DB">
            <w:pPr/>
            <w:r>
              <w:rPr>
                <w:rFonts w:ascii="Arial" w:hAnsi="Arial" w:eastAsia="Arial" w:cs="Arial"/>
                <w:b/>
                <w:bCs/>
                <w:sz w:val="18"/>
                <w:szCs w:val="18"/>
              </w:rPr>
              <w:t>United States</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4A0EF9D6">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519DE6E3">
            <w:pPr>
              <w:jc w:val="center"/>
            </w:pPr>
            <w:r>
              <w:rPr>
                <w:rFonts w:ascii="Arial" w:hAnsi="Arial" w:eastAsia="Arial" w:cs="Arial"/>
                <w:b/>
                <w:bCs/>
                <w:color w:val="1A3A5C"/>
                <w:sz w:val="18"/>
                <w:szCs w:val="18"/>
              </w:rPr>
              <w:t>3.8×</w:t>
            </w:r>
          </w:p>
        </w:tc>
      </w:tr>
      <w:tr w14:paraId="387A795C">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tcPr>
          <w:p w14:paraId="08F618BB">
            <w:pPr/>
            <w:r>
              <w:rPr>
                <w:rFonts w:ascii="Arial" w:hAnsi="Arial" w:eastAsia="Arial" w:cs="Arial"/>
                <w:b/>
                <w:bCs/>
                <w:sz w:val="18"/>
                <w:szCs w:val="18"/>
              </w:rPr>
              <w:t>United Kingdom</w:t>
            </w:r>
          </w:p>
        </w:tc>
        <w:tc>
          <w:tcPr>
            <w:tcW w:w="5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00" w:type="dxa"/>
              <w:bottom w:w="80" w:type="dxa"/>
              <w:right w:w="100" w:type="dxa"/>
            </w:tcMar>
          </w:tcPr>
          <w:p w14:paraId="77194C70">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80" w:type="dxa"/>
              <w:bottom w:w="80" w:type="dxa"/>
              <w:right w:w="80" w:type="dxa"/>
            </w:tcMar>
          </w:tcPr>
          <w:p w14:paraId="52DDDC96">
            <w:pPr>
              <w:jc w:val="center"/>
            </w:pPr>
            <w:r>
              <w:rPr>
                <w:rFonts w:ascii="Arial" w:hAnsi="Arial" w:eastAsia="Arial" w:cs="Arial"/>
                <w:b/>
                <w:bCs/>
                <w:color w:val="1A3A5C"/>
                <w:sz w:val="18"/>
                <w:szCs w:val="18"/>
              </w:rPr>
              <w:t>3.0×</w:t>
            </w:r>
          </w:p>
        </w:tc>
      </w:tr>
      <w:tr w14:paraId="390AFB53">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4D313F40">
            <w:pPr/>
            <w:r>
              <w:rPr>
                <w:rFonts w:ascii="Arial" w:hAnsi="Arial" w:eastAsia="Arial" w:cs="Arial"/>
                <w:b/>
                <w:bCs/>
                <w:sz w:val="18"/>
                <w:szCs w:val="18"/>
              </w:rPr>
              <w:t>Australia</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4D92786F">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53956B34">
            <w:pPr>
              <w:jc w:val="center"/>
            </w:pPr>
            <w:r>
              <w:rPr>
                <w:rFonts w:ascii="Arial" w:hAnsi="Arial" w:eastAsia="Arial" w:cs="Arial"/>
                <w:b/>
                <w:bCs/>
                <w:color w:val="1A3A5C"/>
                <w:sz w:val="18"/>
                <w:szCs w:val="18"/>
              </w:rPr>
              <w:t>2.8×</w:t>
            </w:r>
          </w:p>
        </w:tc>
      </w:tr>
      <w:tr w14:paraId="0EB7CF1B">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tcPr>
          <w:p w14:paraId="3D5213A8">
            <w:pPr/>
            <w:r>
              <w:rPr>
                <w:rFonts w:ascii="Arial" w:hAnsi="Arial" w:eastAsia="Arial" w:cs="Arial"/>
                <w:b/>
                <w:bCs/>
                <w:sz w:val="18"/>
                <w:szCs w:val="18"/>
              </w:rPr>
              <w:t>Canada</w:t>
            </w:r>
          </w:p>
        </w:tc>
        <w:tc>
          <w:tcPr>
            <w:tcW w:w="5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00" w:type="dxa"/>
              <w:bottom w:w="80" w:type="dxa"/>
              <w:right w:w="100" w:type="dxa"/>
            </w:tcMar>
          </w:tcPr>
          <w:p w14:paraId="4E934675">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80" w:type="dxa"/>
              <w:bottom w:w="80" w:type="dxa"/>
              <w:right w:w="80" w:type="dxa"/>
            </w:tcMar>
          </w:tcPr>
          <w:p w14:paraId="31289AFC">
            <w:pPr>
              <w:jc w:val="center"/>
            </w:pPr>
            <w:r>
              <w:rPr>
                <w:rFonts w:ascii="Arial" w:hAnsi="Arial" w:eastAsia="Arial" w:cs="Arial"/>
                <w:b/>
                <w:bCs/>
                <w:color w:val="1A3A5C"/>
                <w:sz w:val="18"/>
                <w:szCs w:val="18"/>
              </w:rPr>
              <w:t>2.5×</w:t>
            </w:r>
          </w:p>
        </w:tc>
      </w:tr>
      <w:tr w14:paraId="2C0FD170">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28DA3C2D">
            <w:pPr/>
            <w:r>
              <w:rPr>
                <w:rFonts w:ascii="Arial" w:hAnsi="Arial" w:eastAsia="Arial" w:cs="Arial"/>
                <w:b/>
                <w:bCs/>
                <w:sz w:val="18"/>
                <w:szCs w:val="18"/>
              </w:rPr>
              <w:t>France</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62EC1DBB">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1E56411C">
            <w:pPr>
              <w:jc w:val="center"/>
            </w:pPr>
            <w:r>
              <w:rPr>
                <w:rFonts w:ascii="Arial" w:hAnsi="Arial" w:eastAsia="Arial" w:cs="Arial"/>
                <w:b/>
                <w:bCs/>
                <w:color w:val="1A3A5C"/>
                <w:sz w:val="18"/>
                <w:szCs w:val="18"/>
              </w:rPr>
              <w:t>2.2×</w:t>
            </w:r>
          </w:p>
        </w:tc>
      </w:tr>
    </w:tbl>
    <w:p w14:paraId="4AF260E2">
      <w:pPr>
        <w:spacing w:before="80" w:after="160"/>
        <w:jc w:val="center"/>
      </w:pPr>
      <w:r>
        <w:rPr>
          <w:rFonts w:ascii="Arial" w:hAnsi="Arial" w:eastAsia="Arial" w:cs="Arial"/>
          <w:i/>
          <w:iCs/>
          <w:color w:val="444444"/>
          <w:sz w:val="20"/>
          <w:szCs w:val="20"/>
        </w:rPr>
        <w:t>Figure 7: School Exclusion Rate of Black Pupils Relative to White Pupils (multiplier). Source: National education statistics, 2021–2022.</w:t>
      </w:r>
    </w:p>
    <w:p w14:paraId="7705E81E">
      <w:pPr>
        <w:spacing w:before="60" w:after="60"/>
      </w:pPr>
    </w:p>
    <w:p w14:paraId="0B2C5ADF">
      <w:pPr>
        <w:spacing w:before="180" w:after="80"/>
      </w:pPr>
      <w:r>
        <w:rPr>
          <w:rFonts w:ascii="Arial" w:hAnsi="Arial" w:eastAsia="Arial" w:cs="Arial"/>
          <w:b/>
          <w:bCs/>
          <w:sz w:val="22"/>
          <w:szCs w:val="22"/>
        </w:rPr>
        <w:t>Table 8: Healthcare Disparities and Mental Health Neglect</w:t>
      </w:r>
    </w:p>
    <w:tbl>
      <w:tblPr>
        <w:tblStyle w:val="16"/>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1500"/>
        <w:gridCol w:w="1600"/>
        <w:gridCol w:w="1800"/>
        <w:gridCol w:w="2760"/>
      </w:tblGrid>
      <w:tr w14:paraId="1E81B9EC">
        <w:tblPrEx>
          <w:tblLayout w:type="fixed"/>
        </w:tblPrEx>
        <w:trPr>
          <w:tblHeader/>
        </w:trPr>
        <w:tc>
          <w:tcPr>
            <w:tcW w:w="17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7C9C29AA">
            <w:pPr>
              <w:jc w:val="center"/>
            </w:pPr>
            <w:r>
              <w:rPr>
                <w:rFonts w:ascii="Arial" w:hAnsi="Arial" w:eastAsia="Arial" w:cs="Arial"/>
                <w:b/>
                <w:bCs/>
                <w:color w:val="FFFFFF"/>
                <w:sz w:val="18"/>
                <w:szCs w:val="18"/>
              </w:rPr>
              <w:t>Country</w:t>
            </w:r>
          </w:p>
        </w:tc>
        <w:tc>
          <w:tcPr>
            <w:tcW w:w="15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7F058D87">
            <w:pPr>
              <w:jc w:val="center"/>
            </w:pPr>
            <w:r>
              <w:rPr>
                <w:rFonts w:ascii="Arial" w:hAnsi="Arial" w:eastAsia="Arial" w:cs="Arial"/>
                <w:b/>
                <w:bCs/>
                <w:color w:val="FFFFFF"/>
                <w:sz w:val="18"/>
                <w:szCs w:val="18"/>
              </w:rPr>
              <w:t>% Reporting Healthcare Discrimination</w:t>
            </w:r>
          </w:p>
        </w:tc>
        <w:tc>
          <w:tcPr>
            <w:tcW w:w="16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12EF05DA">
            <w:pPr>
              <w:jc w:val="center"/>
            </w:pPr>
            <w:r>
              <w:rPr>
                <w:rFonts w:ascii="Arial" w:hAnsi="Arial" w:eastAsia="Arial" w:cs="Arial"/>
                <w:b/>
                <w:bCs/>
                <w:color w:val="FFFFFF"/>
                <w:sz w:val="18"/>
                <w:szCs w:val="18"/>
              </w:rPr>
              <w:t>Black Maternal Mortality Rate (relative)</w:t>
            </w:r>
          </w:p>
        </w:tc>
        <w:tc>
          <w:tcPr>
            <w:tcW w:w="180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5CD61EC3">
            <w:pPr>
              <w:jc w:val="center"/>
            </w:pPr>
            <w:r>
              <w:rPr>
                <w:rFonts w:ascii="Arial" w:hAnsi="Arial" w:eastAsia="Arial" w:cs="Arial"/>
                <w:b/>
                <w:bCs/>
                <w:color w:val="FFFFFF"/>
                <w:sz w:val="18"/>
                <w:szCs w:val="18"/>
              </w:rPr>
              <w:t>Mental Health Service Access Gap</w:t>
            </w:r>
          </w:p>
        </w:tc>
        <w:tc>
          <w:tcPr>
            <w:tcW w:w="2760" w:type="dxa"/>
            <w:tcBorders>
              <w:top w:val="single" w:color="2C3E50" w:sz="4" w:space="0"/>
              <w:left w:val="single" w:color="2C3E50" w:sz="4" w:space="0"/>
              <w:bottom w:val="single" w:color="2C3E50" w:sz="4" w:space="0"/>
              <w:right w:val="single" w:color="2C3E50" w:sz="4" w:space="0"/>
            </w:tcBorders>
            <w:shd w:val="clear" w:color="auto" w:fill="1A3A5C"/>
            <w:tcMar>
              <w:top w:w="100" w:type="dxa"/>
              <w:left w:w="120" w:type="dxa"/>
              <w:bottom w:w="100" w:type="dxa"/>
              <w:right w:w="120" w:type="dxa"/>
            </w:tcMar>
            <w:vAlign w:val="center"/>
          </w:tcPr>
          <w:p w14:paraId="146ADF1D">
            <w:pPr>
              <w:jc w:val="center"/>
            </w:pPr>
            <w:r>
              <w:rPr>
                <w:rFonts w:ascii="Arial" w:hAnsi="Arial" w:eastAsia="Arial" w:cs="Arial"/>
                <w:b/>
                <w:bCs/>
                <w:color w:val="FFFFFF"/>
                <w:sz w:val="18"/>
                <w:szCs w:val="18"/>
              </w:rPr>
              <w:t>Key Health Disparity Documented</w:t>
            </w:r>
          </w:p>
        </w:tc>
      </w:tr>
      <w:tr w14:paraId="77EFECC4">
        <w:tblPrEx>
          <w:tblLayout w:type="fixed"/>
        </w:tblPrEx>
        <w:tc>
          <w:tcPr>
            <w:tcW w:w="17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5BC5FC67">
            <w:pPr>
              <w:jc w:val="left"/>
            </w:pPr>
            <w:r>
              <w:rPr>
                <w:rFonts w:ascii="Arial" w:hAnsi="Arial" w:eastAsia="Arial" w:cs="Arial"/>
                <w:b/>
                <w:bCs/>
                <w:sz w:val="20"/>
                <w:szCs w:val="20"/>
              </w:rPr>
              <w:t>United States</w:t>
            </w:r>
          </w:p>
        </w:tc>
        <w:tc>
          <w:tcPr>
            <w:tcW w:w="15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8EC96ED">
            <w:pPr>
              <w:jc w:val="left"/>
            </w:pPr>
            <w:r>
              <w:rPr>
                <w:rFonts w:ascii="Arial" w:hAnsi="Arial" w:eastAsia="Arial" w:cs="Arial"/>
                <w:b w:val="0"/>
                <w:bCs w:val="0"/>
                <w:sz w:val="20"/>
                <w:szCs w:val="20"/>
              </w:rPr>
              <w:t>40.0%</w:t>
            </w:r>
          </w:p>
        </w:tc>
        <w:tc>
          <w:tcPr>
            <w:tcW w:w="16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1CE2A69">
            <w:pPr>
              <w:jc w:val="left"/>
            </w:pPr>
            <w:r>
              <w:rPr>
                <w:rFonts w:ascii="Arial" w:hAnsi="Arial" w:eastAsia="Arial" w:cs="Arial"/>
                <w:b w:val="0"/>
                <w:bCs w:val="0"/>
                <w:sz w:val="20"/>
                <w:szCs w:val="20"/>
              </w:rPr>
              <w:t>3.0× higher than White women (CDC, 2021)</w:t>
            </w:r>
          </w:p>
        </w:tc>
        <w:tc>
          <w:tcPr>
            <w:tcW w:w="1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5F172E0C">
            <w:pPr>
              <w:jc w:val="left"/>
            </w:pPr>
            <w:r>
              <w:rPr>
                <w:rFonts w:ascii="Arial" w:hAnsi="Arial" w:eastAsia="Arial" w:cs="Arial"/>
                <w:b w:val="0"/>
                <w:bCs w:val="0"/>
                <w:sz w:val="20"/>
                <w:szCs w:val="20"/>
              </w:rPr>
              <w:t>40% less likely to receive mental health treatment</w:t>
            </w:r>
          </w:p>
        </w:tc>
        <w:tc>
          <w:tcPr>
            <w:tcW w:w="27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20070A2">
            <w:pPr>
              <w:jc w:val="left"/>
            </w:pPr>
            <w:r>
              <w:rPr>
                <w:rFonts w:ascii="Arial" w:hAnsi="Arial" w:eastAsia="Arial" w:cs="Arial"/>
                <w:b w:val="0"/>
                <w:bCs w:val="0"/>
                <w:sz w:val="20"/>
                <w:szCs w:val="20"/>
              </w:rPr>
              <w:t>Racial bias in pain management; under-diagnosis of cardiovascular disease</w:t>
            </w:r>
          </w:p>
        </w:tc>
      </w:tr>
      <w:tr w14:paraId="1C493F57">
        <w:tblPrEx>
          <w:tblLayout w:type="fixed"/>
        </w:tblPrEx>
        <w:tc>
          <w:tcPr>
            <w:tcW w:w="17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18B19300">
            <w:pPr>
              <w:jc w:val="left"/>
            </w:pPr>
            <w:r>
              <w:rPr>
                <w:rFonts w:ascii="Arial" w:hAnsi="Arial" w:eastAsia="Arial" w:cs="Arial"/>
                <w:b/>
                <w:bCs/>
                <w:sz w:val="20"/>
                <w:szCs w:val="20"/>
              </w:rPr>
              <w:t>United Kingdom</w:t>
            </w:r>
          </w:p>
        </w:tc>
        <w:tc>
          <w:tcPr>
            <w:tcW w:w="15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2A28113C">
            <w:pPr>
              <w:jc w:val="left"/>
            </w:pPr>
            <w:r>
              <w:rPr>
                <w:rFonts w:ascii="Arial" w:hAnsi="Arial" w:eastAsia="Arial" w:cs="Arial"/>
                <w:b w:val="0"/>
                <w:bCs w:val="0"/>
                <w:sz w:val="20"/>
                <w:szCs w:val="20"/>
              </w:rPr>
              <w:t>31.1%</w:t>
            </w:r>
          </w:p>
        </w:tc>
        <w:tc>
          <w:tcPr>
            <w:tcW w:w="16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027292A4">
            <w:pPr>
              <w:jc w:val="left"/>
            </w:pPr>
            <w:r>
              <w:rPr>
                <w:rFonts w:ascii="Arial" w:hAnsi="Arial" w:eastAsia="Arial" w:cs="Arial"/>
                <w:b w:val="0"/>
                <w:bCs w:val="0"/>
                <w:sz w:val="20"/>
                <w:szCs w:val="20"/>
              </w:rPr>
              <w:t>4.3× higher (MBRRACE, 2021)</w:t>
            </w:r>
          </w:p>
        </w:tc>
        <w:tc>
          <w:tcPr>
            <w:tcW w:w="1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734A10BF">
            <w:pPr>
              <w:jc w:val="left"/>
            </w:pPr>
            <w:r>
              <w:rPr>
                <w:rFonts w:ascii="Arial" w:hAnsi="Arial" w:eastAsia="Arial" w:cs="Arial"/>
                <w:b w:val="0"/>
                <w:bCs w:val="0"/>
                <w:sz w:val="20"/>
                <w:szCs w:val="20"/>
              </w:rPr>
              <w:t>35% lower referral rate to IAPT</w:t>
            </w:r>
          </w:p>
        </w:tc>
        <w:tc>
          <w:tcPr>
            <w:tcW w:w="276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606D2A04">
            <w:pPr>
              <w:jc w:val="left"/>
            </w:pPr>
            <w:r>
              <w:rPr>
                <w:rFonts w:ascii="Arial" w:hAnsi="Arial" w:eastAsia="Arial" w:cs="Arial"/>
                <w:b w:val="0"/>
                <w:bCs w:val="0"/>
                <w:sz w:val="20"/>
                <w:szCs w:val="20"/>
              </w:rPr>
              <w:t>Black patients 4× more likely to be involuntarily sectioned under Mental Health Act</w:t>
            </w:r>
          </w:p>
        </w:tc>
      </w:tr>
      <w:tr w14:paraId="32568D8A">
        <w:tblPrEx>
          <w:tblLayout w:type="fixed"/>
        </w:tblPrEx>
        <w:tc>
          <w:tcPr>
            <w:tcW w:w="17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4579E26">
            <w:pPr>
              <w:jc w:val="left"/>
            </w:pPr>
            <w:r>
              <w:rPr>
                <w:rFonts w:ascii="Arial" w:hAnsi="Arial" w:eastAsia="Arial" w:cs="Arial"/>
                <w:b/>
                <w:bCs/>
                <w:sz w:val="20"/>
                <w:szCs w:val="20"/>
              </w:rPr>
              <w:t>Canada</w:t>
            </w:r>
          </w:p>
        </w:tc>
        <w:tc>
          <w:tcPr>
            <w:tcW w:w="15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5A8EB67B">
            <w:pPr>
              <w:jc w:val="left"/>
            </w:pPr>
            <w:r>
              <w:rPr>
                <w:rFonts w:ascii="Arial" w:hAnsi="Arial" w:eastAsia="Arial" w:cs="Arial"/>
                <w:b w:val="0"/>
                <w:bCs w:val="0"/>
                <w:sz w:val="20"/>
                <w:szCs w:val="20"/>
              </w:rPr>
              <w:t>28.6%</w:t>
            </w:r>
          </w:p>
        </w:tc>
        <w:tc>
          <w:tcPr>
            <w:tcW w:w="16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8DE0E79">
            <w:pPr>
              <w:jc w:val="left"/>
            </w:pPr>
            <w:r>
              <w:rPr>
                <w:rFonts w:ascii="Arial" w:hAnsi="Arial" w:eastAsia="Arial" w:cs="Arial"/>
                <w:b w:val="0"/>
                <w:bCs w:val="0"/>
                <w:sz w:val="20"/>
                <w:szCs w:val="20"/>
              </w:rPr>
              <w:t>2.5× higher (PHAC, 2021)</w:t>
            </w:r>
          </w:p>
        </w:tc>
        <w:tc>
          <w:tcPr>
            <w:tcW w:w="1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92B06DA">
            <w:pPr>
              <w:jc w:val="left"/>
            </w:pPr>
            <w:r>
              <w:rPr>
                <w:rFonts w:ascii="Arial" w:hAnsi="Arial" w:eastAsia="Arial" w:cs="Arial"/>
                <w:b w:val="0"/>
                <w:bCs w:val="0"/>
                <w:sz w:val="20"/>
                <w:szCs w:val="20"/>
              </w:rPr>
              <w:t>30% lower access</w:t>
            </w:r>
          </w:p>
        </w:tc>
        <w:tc>
          <w:tcPr>
            <w:tcW w:w="27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710C949">
            <w:pPr>
              <w:jc w:val="left"/>
            </w:pPr>
            <w:r>
              <w:rPr>
                <w:rFonts w:ascii="Arial" w:hAnsi="Arial" w:eastAsia="Arial" w:cs="Arial"/>
                <w:b w:val="0"/>
                <w:bCs w:val="0"/>
                <w:sz w:val="20"/>
                <w:szCs w:val="20"/>
              </w:rPr>
              <w:t>Lack of culturally competent care; anti-Black bias in emergency departments</w:t>
            </w:r>
          </w:p>
        </w:tc>
      </w:tr>
      <w:tr w14:paraId="03C471B8">
        <w:tblPrEx>
          <w:tblLayout w:type="fixed"/>
        </w:tblPrEx>
        <w:tc>
          <w:tcPr>
            <w:tcW w:w="17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2E76EDFA">
            <w:pPr>
              <w:jc w:val="left"/>
            </w:pPr>
            <w:r>
              <w:rPr>
                <w:rFonts w:ascii="Arial" w:hAnsi="Arial" w:eastAsia="Arial" w:cs="Arial"/>
                <w:b/>
                <w:bCs/>
                <w:sz w:val="20"/>
                <w:szCs w:val="20"/>
              </w:rPr>
              <w:t>France</w:t>
            </w:r>
          </w:p>
        </w:tc>
        <w:tc>
          <w:tcPr>
            <w:tcW w:w="15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7464A804">
            <w:pPr>
              <w:jc w:val="left"/>
            </w:pPr>
            <w:r>
              <w:rPr>
                <w:rFonts w:ascii="Arial" w:hAnsi="Arial" w:eastAsia="Arial" w:cs="Arial"/>
                <w:b w:val="0"/>
                <w:bCs w:val="0"/>
                <w:sz w:val="20"/>
                <w:szCs w:val="20"/>
              </w:rPr>
              <w:t>30.0%</w:t>
            </w:r>
          </w:p>
        </w:tc>
        <w:tc>
          <w:tcPr>
            <w:tcW w:w="16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71C7D985">
            <w:pPr>
              <w:jc w:val="left"/>
            </w:pPr>
            <w:r>
              <w:rPr>
                <w:rFonts w:ascii="Arial" w:hAnsi="Arial" w:eastAsia="Arial" w:cs="Arial"/>
                <w:b w:val="0"/>
                <w:bCs w:val="0"/>
                <w:sz w:val="20"/>
                <w:szCs w:val="20"/>
              </w:rPr>
              <w:t>2.8× higher (INSERM, 2021)</w:t>
            </w:r>
          </w:p>
        </w:tc>
        <w:tc>
          <w:tcPr>
            <w:tcW w:w="1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0A428D6B">
            <w:pPr>
              <w:jc w:val="left"/>
            </w:pPr>
            <w:r>
              <w:rPr>
                <w:rFonts w:ascii="Arial" w:hAnsi="Arial" w:eastAsia="Arial" w:cs="Arial"/>
                <w:b w:val="0"/>
                <w:bCs w:val="0"/>
                <w:sz w:val="20"/>
                <w:szCs w:val="20"/>
              </w:rPr>
              <w:t>28% lower treatment rate</w:t>
            </w:r>
          </w:p>
        </w:tc>
        <w:tc>
          <w:tcPr>
            <w:tcW w:w="276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vAlign w:val="center"/>
          </w:tcPr>
          <w:p w14:paraId="44F29318">
            <w:pPr>
              <w:jc w:val="left"/>
            </w:pPr>
            <w:r>
              <w:rPr>
                <w:rFonts w:ascii="Arial" w:hAnsi="Arial" w:eastAsia="Arial" w:cs="Arial"/>
                <w:b w:val="0"/>
                <w:bCs w:val="0"/>
                <w:sz w:val="20"/>
                <w:szCs w:val="20"/>
              </w:rPr>
              <w:t>No official race-based health data; invisible disparities exacerbated by colour-blind policy</w:t>
            </w:r>
          </w:p>
        </w:tc>
      </w:tr>
      <w:tr w14:paraId="0F769464">
        <w:tblPrEx>
          <w:tblLayout w:type="fixed"/>
        </w:tblPrEx>
        <w:tc>
          <w:tcPr>
            <w:tcW w:w="17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521EC008">
            <w:pPr>
              <w:jc w:val="left"/>
            </w:pPr>
            <w:r>
              <w:rPr>
                <w:rFonts w:ascii="Arial" w:hAnsi="Arial" w:eastAsia="Arial" w:cs="Arial"/>
                <w:b/>
                <w:bCs/>
                <w:sz w:val="20"/>
                <w:szCs w:val="20"/>
              </w:rPr>
              <w:t>Australia</w:t>
            </w:r>
          </w:p>
        </w:tc>
        <w:tc>
          <w:tcPr>
            <w:tcW w:w="15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5543C001">
            <w:pPr>
              <w:jc w:val="left"/>
            </w:pPr>
            <w:r>
              <w:rPr>
                <w:rFonts w:ascii="Arial" w:hAnsi="Arial" w:eastAsia="Arial" w:cs="Arial"/>
                <w:b w:val="0"/>
                <w:bCs w:val="0"/>
                <w:sz w:val="20"/>
                <w:szCs w:val="20"/>
              </w:rPr>
              <w:t>25.0%</w:t>
            </w:r>
          </w:p>
        </w:tc>
        <w:tc>
          <w:tcPr>
            <w:tcW w:w="16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D4BA20E">
            <w:pPr>
              <w:jc w:val="left"/>
            </w:pPr>
            <w:r>
              <w:rPr>
                <w:rFonts w:ascii="Arial" w:hAnsi="Arial" w:eastAsia="Arial" w:cs="Arial"/>
                <w:b w:val="0"/>
                <w:bCs w:val="0"/>
                <w:sz w:val="20"/>
                <w:szCs w:val="20"/>
              </w:rPr>
              <w:t>2.2× higher (AIHW, 2021)</w:t>
            </w:r>
          </w:p>
        </w:tc>
        <w:tc>
          <w:tcPr>
            <w:tcW w:w="1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26F7DE05">
            <w:pPr>
              <w:jc w:val="left"/>
            </w:pPr>
            <w:r>
              <w:rPr>
                <w:rFonts w:ascii="Arial" w:hAnsi="Arial" w:eastAsia="Arial" w:cs="Arial"/>
                <w:b w:val="0"/>
                <w:bCs w:val="0"/>
                <w:sz w:val="20"/>
                <w:szCs w:val="20"/>
              </w:rPr>
              <w:t>32% lower access</w:t>
            </w:r>
          </w:p>
        </w:tc>
        <w:tc>
          <w:tcPr>
            <w:tcW w:w="27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6778C2A">
            <w:pPr>
              <w:jc w:val="left"/>
            </w:pPr>
            <w:r>
              <w:rPr>
                <w:rFonts w:ascii="Arial" w:hAnsi="Arial" w:eastAsia="Arial" w:cs="Arial"/>
                <w:b w:val="0"/>
                <w:bCs w:val="0"/>
                <w:sz w:val="20"/>
                <w:szCs w:val="20"/>
              </w:rPr>
              <w:t>Refugee and asylum-seeker status compounds healthcare exclusion for African-Australians</w:t>
            </w:r>
          </w:p>
        </w:tc>
      </w:tr>
    </w:tbl>
    <w:p w14:paraId="5ED9F165">
      <w:pPr>
        <w:spacing w:before="60" w:after="120"/>
      </w:pPr>
      <w:r>
        <w:rPr>
          <w:rFonts w:ascii="Arial" w:hAnsi="Arial" w:eastAsia="Arial" w:cs="Arial"/>
          <w:i/>
          <w:iCs/>
          <w:color w:val="555555"/>
          <w:sz w:val="18"/>
          <w:szCs w:val="18"/>
        </w:rPr>
        <w:t>Source: CDC (2021); MBRRACE UK (2021); PHAC (2021); INSERM (2021); AIHW (2021); APA (2021).</w:t>
      </w:r>
    </w:p>
    <w:p w14:paraId="30D97ECB">
      <w:pPr>
        <w:spacing w:before="60" w:after="60"/>
      </w:pPr>
    </w:p>
    <w:p w14:paraId="173DA8DC">
      <w:pPr>
        <w:spacing w:before="60" w:after="60"/>
      </w:pPr>
      <w:r>
        <w:rPr>
          <w:rFonts w:hint="default"/>
        </w:rPr>
        <w:t>The disparities in healthcare and mental health neglect of Black people in all five countries are captured in Table 8. The highest maternal mortality gap was seen in the United Kingdom where MBRRACE-UK (2021) reports that Black women are 4.3 times more likely to die in childbirth than White women, which is considered to be a "persistent and unacceptable inequality". Access barriers to mental health services vary from 28% in France to 40% in the United States, while a lack of culturally competent care and mental health effects of racial discrimination adds to these gaps.</w:t>
      </w:r>
    </w:p>
    <w:tbl>
      <w:tblPr>
        <w:tblStyle w:val="16"/>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0"/>
        <w:gridCol w:w="5200"/>
        <w:gridCol w:w="1200"/>
      </w:tblGrid>
      <w:tr w14:paraId="748C5F1E">
        <w:tblPrEx>
          <w:tblLayout w:type="fixed"/>
        </w:tblPrEx>
        <w:tc>
          <w:tcPr>
            <w:tcW w:w="9200" w:type="dxa"/>
            <w:gridSpan w:val="3"/>
            <w:tcBorders>
              <w:top w:val="single" w:color="2C3E50" w:sz="4" w:space="0"/>
              <w:left w:val="single" w:color="2C3E50" w:sz="4" w:space="0"/>
              <w:bottom w:val="single" w:color="2C3E50" w:sz="4" w:space="0"/>
              <w:right w:val="single" w:color="2C3E50" w:sz="4" w:space="0"/>
            </w:tcBorders>
            <w:shd w:val="clear" w:color="auto" w:fill="1A3A5C"/>
            <w:tcMar>
              <w:top w:w="100" w:type="dxa"/>
              <w:left w:w="140" w:type="dxa"/>
              <w:bottom w:w="100" w:type="dxa"/>
              <w:right w:w="140" w:type="dxa"/>
            </w:tcMar>
          </w:tcPr>
          <w:p w14:paraId="53C6ED40">
            <w:pPr>
              <w:jc w:val="center"/>
            </w:pPr>
            <w:r>
              <w:rPr>
                <w:rFonts w:ascii="Arial" w:hAnsi="Arial" w:eastAsia="Arial" w:cs="Arial"/>
                <w:b/>
                <w:bCs/>
                <w:color w:val="FFFFFF"/>
                <w:sz w:val="22"/>
                <w:szCs w:val="22"/>
              </w:rPr>
              <w:t>Figure 8: Black Maternal Mortality Rate Relative to White Women (multiplier)</w:t>
            </w:r>
          </w:p>
        </w:tc>
      </w:tr>
      <w:tr w14:paraId="6A40E32B">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6C7EEE24">
            <w:pPr/>
            <w:r>
              <w:rPr>
                <w:rFonts w:ascii="Arial" w:hAnsi="Arial" w:eastAsia="Arial" w:cs="Arial"/>
                <w:b/>
                <w:bCs/>
                <w:sz w:val="18"/>
                <w:szCs w:val="18"/>
              </w:rPr>
              <w:t>United Kingdom</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488FF38E">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17352F11">
            <w:pPr>
              <w:jc w:val="center"/>
            </w:pPr>
            <w:r>
              <w:rPr>
                <w:rFonts w:ascii="Arial" w:hAnsi="Arial" w:eastAsia="Arial" w:cs="Arial"/>
                <w:b/>
                <w:bCs/>
                <w:color w:val="1A3A5C"/>
                <w:sz w:val="18"/>
                <w:szCs w:val="18"/>
              </w:rPr>
              <w:t>4.3×</w:t>
            </w:r>
          </w:p>
        </w:tc>
      </w:tr>
      <w:tr w14:paraId="7170AE4C">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tcPr>
          <w:p w14:paraId="1FD06620">
            <w:pPr/>
            <w:r>
              <w:rPr>
                <w:rFonts w:ascii="Arial" w:hAnsi="Arial" w:eastAsia="Arial" w:cs="Arial"/>
                <w:b/>
                <w:bCs/>
                <w:sz w:val="18"/>
                <w:szCs w:val="18"/>
              </w:rPr>
              <w:t>United States</w:t>
            </w:r>
          </w:p>
        </w:tc>
        <w:tc>
          <w:tcPr>
            <w:tcW w:w="5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00" w:type="dxa"/>
              <w:bottom w:w="80" w:type="dxa"/>
              <w:right w:w="100" w:type="dxa"/>
            </w:tcMar>
          </w:tcPr>
          <w:p w14:paraId="0AA3F508">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80" w:type="dxa"/>
              <w:bottom w:w="80" w:type="dxa"/>
              <w:right w:w="80" w:type="dxa"/>
            </w:tcMar>
          </w:tcPr>
          <w:p w14:paraId="41D4C450">
            <w:pPr>
              <w:jc w:val="center"/>
            </w:pPr>
            <w:r>
              <w:rPr>
                <w:rFonts w:ascii="Arial" w:hAnsi="Arial" w:eastAsia="Arial" w:cs="Arial"/>
                <w:b/>
                <w:bCs/>
                <w:color w:val="1A3A5C"/>
                <w:sz w:val="18"/>
                <w:szCs w:val="18"/>
              </w:rPr>
              <w:t>3.0×</w:t>
            </w:r>
          </w:p>
        </w:tc>
      </w:tr>
      <w:tr w14:paraId="6F29DF20">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07B2F2B9">
            <w:pPr/>
            <w:r>
              <w:rPr>
                <w:rFonts w:ascii="Arial" w:hAnsi="Arial" w:eastAsia="Arial" w:cs="Arial"/>
                <w:b/>
                <w:bCs/>
                <w:sz w:val="18"/>
                <w:szCs w:val="18"/>
              </w:rPr>
              <w:t>France</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1E81B97E">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7CD563A8">
            <w:pPr>
              <w:jc w:val="center"/>
            </w:pPr>
            <w:r>
              <w:rPr>
                <w:rFonts w:ascii="Arial" w:hAnsi="Arial" w:eastAsia="Arial" w:cs="Arial"/>
                <w:b/>
                <w:bCs/>
                <w:color w:val="1A3A5C"/>
                <w:sz w:val="18"/>
                <w:szCs w:val="18"/>
              </w:rPr>
              <w:t>2.8×</w:t>
            </w:r>
          </w:p>
        </w:tc>
      </w:tr>
      <w:tr w14:paraId="7E5C4F4E">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20" w:type="dxa"/>
              <w:bottom w:w="80" w:type="dxa"/>
              <w:right w:w="120" w:type="dxa"/>
            </w:tcMar>
          </w:tcPr>
          <w:p w14:paraId="7A527F9A">
            <w:pPr/>
            <w:r>
              <w:rPr>
                <w:rFonts w:ascii="Arial" w:hAnsi="Arial" w:eastAsia="Arial" w:cs="Arial"/>
                <w:b/>
                <w:bCs/>
                <w:sz w:val="18"/>
                <w:szCs w:val="18"/>
              </w:rPr>
              <w:t>Canada</w:t>
            </w:r>
          </w:p>
        </w:tc>
        <w:tc>
          <w:tcPr>
            <w:tcW w:w="5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100" w:type="dxa"/>
              <w:bottom w:w="80" w:type="dxa"/>
              <w:right w:w="100" w:type="dxa"/>
            </w:tcMar>
          </w:tcPr>
          <w:p w14:paraId="7E366EAD">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EBF2FA"/>
            <w:tcMar>
              <w:top w:w="80" w:type="dxa"/>
              <w:left w:w="80" w:type="dxa"/>
              <w:bottom w:w="80" w:type="dxa"/>
              <w:right w:w="80" w:type="dxa"/>
            </w:tcMar>
          </w:tcPr>
          <w:p w14:paraId="030F2845">
            <w:pPr>
              <w:jc w:val="center"/>
            </w:pPr>
            <w:r>
              <w:rPr>
                <w:rFonts w:ascii="Arial" w:hAnsi="Arial" w:eastAsia="Arial" w:cs="Arial"/>
                <w:b/>
                <w:bCs/>
                <w:color w:val="1A3A5C"/>
                <w:sz w:val="18"/>
                <w:szCs w:val="18"/>
              </w:rPr>
              <w:t>2.5×</w:t>
            </w:r>
          </w:p>
        </w:tc>
      </w:tr>
      <w:tr w14:paraId="6D995AA4">
        <w:tblPrEx>
          <w:tblLayout w:type="fixed"/>
        </w:tblPrEx>
        <w:tc>
          <w:tcPr>
            <w:tcW w:w="28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20" w:type="dxa"/>
              <w:bottom w:w="80" w:type="dxa"/>
              <w:right w:w="120" w:type="dxa"/>
            </w:tcMar>
          </w:tcPr>
          <w:p w14:paraId="3F558F95">
            <w:pPr/>
            <w:r>
              <w:rPr>
                <w:rFonts w:ascii="Arial" w:hAnsi="Arial" w:eastAsia="Arial" w:cs="Arial"/>
                <w:b/>
                <w:bCs/>
                <w:sz w:val="18"/>
                <w:szCs w:val="18"/>
              </w:rPr>
              <w:t>Australia</w:t>
            </w:r>
          </w:p>
        </w:tc>
        <w:tc>
          <w:tcPr>
            <w:tcW w:w="5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100" w:type="dxa"/>
              <w:bottom w:w="80" w:type="dxa"/>
              <w:right w:w="100" w:type="dxa"/>
            </w:tcMar>
          </w:tcPr>
          <w:p w14:paraId="10FBEEDD">
            <w:pPr/>
            <w:r>
              <w:rPr>
                <w:rFonts w:ascii="Courier New" w:hAnsi="Courier New" w:eastAsia="Courier New" w:cs="Courier New"/>
                <w:color w:val="1A5276"/>
                <w:sz w:val="16"/>
                <w:szCs w:val="16"/>
              </w:rPr>
              <w:t>███████████░░░░░░░░░░░░░░░</w:t>
            </w:r>
          </w:p>
        </w:tc>
        <w:tc>
          <w:tcPr>
            <w:tcW w:w="1200" w:type="dxa"/>
            <w:tcBorders>
              <w:top w:val="single" w:color="CCCCCC" w:sz="0" w:space="0"/>
              <w:left w:val="single" w:color="CCCCCC" w:sz="0" w:space="0"/>
              <w:bottom w:val="single" w:color="CCCCCC" w:sz="0" w:space="0"/>
              <w:right w:val="single" w:color="CCCCCC" w:sz="0" w:space="0"/>
            </w:tcBorders>
            <w:shd w:val="clear" w:color="auto" w:fill="F7FAFC"/>
            <w:tcMar>
              <w:top w:w="80" w:type="dxa"/>
              <w:left w:w="80" w:type="dxa"/>
              <w:bottom w:w="80" w:type="dxa"/>
              <w:right w:w="80" w:type="dxa"/>
            </w:tcMar>
          </w:tcPr>
          <w:p w14:paraId="4695E321">
            <w:pPr>
              <w:jc w:val="center"/>
            </w:pPr>
            <w:r>
              <w:rPr>
                <w:rFonts w:ascii="Arial" w:hAnsi="Arial" w:eastAsia="Arial" w:cs="Arial"/>
                <w:b/>
                <w:bCs/>
                <w:color w:val="1A3A5C"/>
                <w:sz w:val="18"/>
                <w:szCs w:val="18"/>
              </w:rPr>
              <w:t>2.2×</w:t>
            </w:r>
          </w:p>
        </w:tc>
      </w:tr>
    </w:tbl>
    <w:p w14:paraId="01D13C48">
      <w:pPr>
        <w:spacing w:before="80" w:after="160"/>
        <w:jc w:val="center"/>
      </w:pPr>
      <w:r>
        <w:rPr>
          <w:rFonts w:ascii="Arial" w:hAnsi="Arial" w:eastAsia="Arial" w:cs="Arial"/>
          <w:i/>
          <w:iCs/>
          <w:color w:val="444444"/>
          <w:sz w:val="20"/>
          <w:szCs w:val="20"/>
        </w:rPr>
        <w:t>Figure 8: Black Maternal Mortality Rate Relative to White Women (multiplier). Source: National health authorities, 2021.</w:t>
      </w:r>
    </w:p>
    <w:p w14:paraId="38987A11">
      <w:pPr>
        <w:spacing w:before="60" w:after="60"/>
      </w:pPr>
    </w:p>
    <w:p w14:paraId="6A8D5D91">
      <w:pPr>
        <w:pStyle w:val="2"/>
      </w:pPr>
      <w:r>
        <w:rPr>
          <w:rFonts w:ascii="Arial" w:hAnsi="Arial" w:eastAsia="Arial" w:cs="Arial"/>
          <w:b/>
          <w:bCs/>
          <w:sz w:val="30"/>
          <w:szCs w:val="30"/>
        </w:rPr>
        <w:t>4.3 Discussion of Findings</w:t>
      </w:r>
    </w:p>
    <w:p w14:paraId="4B3BCCB0">
      <w:pPr>
        <w:spacing w:before="60" w:after="60"/>
      </w:pPr>
    </w:p>
    <w:p w14:paraId="1C9AC6F5">
      <w:pPr>
        <w:pStyle w:val="3"/>
      </w:pPr>
      <w:r>
        <w:rPr>
          <w:rFonts w:ascii="Arial" w:hAnsi="Arial" w:eastAsia="Arial" w:cs="Arial"/>
          <w:b/>
          <w:bCs/>
          <w:sz w:val="24"/>
          <w:szCs w:val="24"/>
        </w:rPr>
        <w:t>Research Question 1: What forms of racism and discrimination do Black people experience in foreign countries?</w:t>
      </w:r>
    </w:p>
    <w:p w14:paraId="1B5484CA">
      <w:pPr>
        <w:spacing w:before="60" w:after="60" w:line="360" w:lineRule="auto"/>
        <w:rPr>
          <w:rFonts w:hint="default"/>
        </w:rPr>
      </w:pPr>
      <w:r>
        <w:rPr>
          <w:rFonts w:hint="default"/>
        </w:rPr>
        <w:t>The data bears witness to the very real possibility of multiple and overlapping racism and discrimination against black people in foreign countries. 76.5% of respondents in the five countries experienced verbal abuse and racial microaggressions. These include seemingly trivial everyday discrimination, including being followed in shops, ignored by service workers and racially charged comments, and others. Although these microaggressions are typically viewed as minor, over time they can add up to cause serious psychological damage, says Sue et al. (2007).</w:t>
      </w:r>
    </w:p>
    <w:p w14:paraId="0C5B0421">
      <w:pPr>
        <w:spacing w:before="60" w:after="60" w:line="360" w:lineRule="auto"/>
        <w:rPr>
          <w:rFonts w:hint="default"/>
        </w:rPr>
      </w:pPr>
      <w:r>
        <w:rPr>
          <w:rFonts w:hint="default"/>
        </w:rPr>
        <w:t>The second most frequently reported is employment discrimination (61.5%), which exists in the form of discriminatory hiring practices, wage suppression, and a lack of opportunities for advancement in the workplace. A series of recent audits in the United States (Bertrand &amp; Mullainathan, 2004), the United Kingdom (NIESR, 2019), and France (ISM-CORUM, 2020) find that whitesounding, identical CVs receive much higher resumes returned rates than black-sounding CVs, even when the applicant’s name is identical.</w:t>
      </w:r>
    </w:p>
    <w:p w14:paraId="2DC27A16">
      <w:pPr>
        <w:spacing w:before="60" w:after="60" w:line="360" w:lineRule="auto"/>
      </w:pPr>
      <w:r>
        <w:rPr>
          <w:rFonts w:hint="default"/>
        </w:rPr>
        <w:t>59% of respondents experience police harassment or racial profiling overall and 82.9% do in the United States. This type of discrimination poses the most serious physical threat, as seen in the murder of George Floyd and hundreds more that are reported every year. These experiences are exacerbated by housing discrimination (41%), educational disadvantage (48.5%), and health care disparities (33%) that create a system of structural disadvantage for black people, impacting them at every stage of life, from schooling to employment to health care to housing. The data reinforces the theoretical understanding of systemic racism (Feagin, 2006) which posits that discrimination is a daily occurrence, not the exception, and that it is a structural phenomenon that is repeated across the various social institutions.</w:t>
      </w:r>
    </w:p>
    <w:p w14:paraId="0CBDC3ED">
      <w:pPr>
        <w:pStyle w:val="3"/>
      </w:pPr>
      <w:r>
        <w:rPr>
          <w:rFonts w:ascii="Arial" w:hAnsi="Arial" w:eastAsia="Arial" w:cs="Arial"/>
          <w:b/>
          <w:bCs/>
          <w:sz w:val="24"/>
          <w:szCs w:val="24"/>
        </w:rPr>
        <w:t>Research Question 2: Why does racism continue to persist in many foreign countries despite human rights laws and global campaigns?</w:t>
      </w:r>
    </w:p>
    <w:p w14:paraId="7DEA368C">
      <w:pPr>
        <w:spacing w:after="160" w:line="360" w:lineRule="auto"/>
        <w:ind w:left="720" w:hanging="720"/>
        <w:jc w:val="both"/>
        <w:rPr>
          <w:rFonts w:hint="default"/>
        </w:rPr>
      </w:pPr>
      <w:r>
        <w:rPr>
          <w:rFonts w:hint="default"/>
        </w:rPr>
        <w:t>Racism still exists for some interrelated reasons even though there are anti-discrimination laws in all five countries studied. Firstly, laws are not enough to alter entrenched institutional cultures. Institutional racism is not a personal act of racism, but is also a failure of the whole organisation, as described by the Macpherson Report (1999) in the United Kingdom, and therefore cannot be outlawed by legislation alone if there is no structural change.</w:t>
      </w:r>
    </w:p>
    <w:p w14:paraId="0E0D6F6A">
      <w:pPr>
        <w:spacing w:after="160" w:line="360" w:lineRule="auto"/>
        <w:ind w:left="720" w:hanging="720"/>
        <w:jc w:val="both"/>
        <w:rPr>
          <w:rFonts w:hint="default"/>
        </w:rPr>
      </w:pPr>
      <w:r>
        <w:rPr>
          <w:rFonts w:hint="default"/>
        </w:rPr>
        <w:t>Second, there has been a lack of political resolve for real change. Table 3 shows that the governmental response from 2020 to 2024 was mostly symbolic. France was adamant that there was no systemic racism, and even the United States did not enact any sweeping federal policing reform after the largest protest movement in history. Governments have not challenged the status quo through any structural changes, though usually demonstrating rhetorical interest in protesting in some way.</w:t>
      </w:r>
    </w:p>
    <w:p w14:paraId="1780EB0E">
      <w:pPr>
        <w:spacing w:after="160" w:line="360" w:lineRule="auto"/>
        <w:ind w:left="720" w:hanging="720"/>
        <w:jc w:val="both"/>
        <w:rPr>
          <w:rFonts w:hint="default"/>
        </w:rPr>
      </w:pPr>
      <w:r>
        <w:rPr>
          <w:rFonts w:hint="default"/>
        </w:rPr>
        <w:t>Third, because of economic and social mechanisms, racial inequality is self-perpetuating. Wage gaps reported in Table 4, housing segregation in Table 6 and educational disadvantages in Table 7 are intergenerational cycles of poverty and marginalisation which operate beyond the power of law. The denial of racial inequalities and the reproduction of racial inequalities through 'neutral' institutional practices constitute 'racism without racists' (Bonilla-Silva, 2003).</w:t>
      </w:r>
    </w:p>
    <w:p w14:paraId="3538AD25">
      <w:pPr>
        <w:spacing w:after="160" w:line="360" w:lineRule="auto"/>
        <w:ind w:left="720" w:hanging="720"/>
        <w:jc w:val="both"/>
      </w:pPr>
      <w:r>
        <w:rPr>
          <w:rFonts w:hint="default"/>
        </w:rPr>
        <w:t>Finally, though, global campaigns like BLM, which are very successful in raising public consciousness (94% think this is highly effective) and also building a sense of empowerment among Black people, have structural constraints in bringing about enduring change (94% felt this was highly effective). In fact, the backlash from BLM, which ranges from criminalisation of protest in several countries to a 'culture war' rhetoric that aims to discredit calls for racial justice, shows how entrenched interests are fighting against change. In short, racism continues because it performs structural functions to keep in place the existing economic and social hierarchy, and because those institutions that have the authority to challenge it are the same ones that keep it alive.</w:t>
      </w:r>
    </w:p>
    <w:p w14:paraId="418AFAB3">
      <w:pPr>
        <w:spacing w:before="240" w:after="120"/>
        <w:jc w:val="center"/>
      </w:pPr>
      <w:r>
        <w:rPr>
          <w:rFonts w:ascii="Times New Roman" w:hAnsi="Times New Roman" w:eastAsia="Times New Roman" w:cs="Times New Roman"/>
          <w:b/>
          <w:bCs/>
          <w:sz w:val="24"/>
          <w:szCs w:val="24"/>
        </w:rPr>
        <w:t>CHAPTER FIVE</w:t>
      </w:r>
    </w:p>
    <w:p w14:paraId="37972EEF">
      <w:pPr>
        <w:spacing w:before="240" w:after="120"/>
        <w:jc w:val="center"/>
      </w:pPr>
      <w:r>
        <w:rPr>
          <w:rFonts w:ascii="Times New Roman" w:hAnsi="Times New Roman" w:eastAsia="Times New Roman" w:cs="Times New Roman"/>
          <w:b/>
          <w:bCs/>
          <w:sz w:val="24"/>
          <w:szCs w:val="24"/>
        </w:rPr>
        <w:t>SUMMARY OF FINDINGS, CONCLUSION, AND RECOMMENDATIONS</w:t>
      </w:r>
    </w:p>
    <w:p w14:paraId="45A1E68B">
      <w:pPr>
        <w:spacing w:before="240" w:after="1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5.1 Summary</w:t>
      </w:r>
    </w:p>
    <w:p w14:paraId="15B7A08D">
      <w:pPr>
        <w:spacing w:before="240" w:after="120"/>
        <w:rPr>
          <w:rFonts w:hint="default"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The two main research questions guiding this study were: What is the nature of racism and discrimination experienced by black people in other countries and why does racism persist in many countries, despite the presence of human rights laws and anti-racism campaigns? The results of the literature study, theory development and empirical analysis give complete and disturbing answers to both questions.</w:t>
      </w:r>
    </w:p>
    <w:p w14:paraId="531719DF">
      <w:pPr>
        <w:spacing w:before="240" w:after="120"/>
        <w:rPr>
          <w:rFonts w:hint="default"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In the answer to the first research question, the study revealed that racism and discrimination against black individuals occurs in many forms and has multiple overlaps, and that it is very harmful when black people are in a foreign country. At the institutional and systemic level, black people experience racially biased policing practice (e.g. disproportionate use of stop and search, excessive force, and lethal use of force) by police officers. Black men are 2.5 times more likely to be shot by police officers than White men in the United States. Black people are nine times more likely to be stopped and searched on the streets in the UK than White people, according to the figures.The figures show that in the UK the likelihood of a black person being stopped and searched is nine times greater than a white person. Young Black and Arab men are twenty times more likely to be stopped by the police in France than young White men. Black people are disproportionately shot, charged and imprisoned for their numbers in Toronto, Canada. The killing of George Floyd on 25 May 2020 was a worldwide emblem of this pattern, and an example of the widespread nature of racially motivated police brutality in racially-polarized societies around the world.</w:t>
      </w:r>
    </w:p>
    <w:p w14:paraId="37CAD7E6">
      <w:pPr>
        <w:spacing w:before="240" w:after="120"/>
        <w:rPr>
          <w:rFonts w:hint="default"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In addition to policing, black people in foreign countries suffer from a systematic discrimination in all domains of life such as employment, housing, education and many others. Three audit analyses have consistently found disadvantages for job applicants with stereotypically Black-sounding names in comparison to similarly qualified white applicants in the U.S., the U.K., and Germany. Despite being analysed for qualifications and occupation, black households in the United Kingdom earn 20% less than white households on average. Credential devaluation or brain waste" is a term used by scholars to describe the tendency for black immigrants in Spain and Italy to be hired for low-paying domestic and agricultural jobs, even though they may also have college degrees. Over time, these structural economic costs will add up, generating the long-standing racial wealth gap that has been documented in Western nations, and which in the United States is about eight times greater for the median White family than the median Black family.</w:t>
      </w:r>
    </w:p>
    <w:p w14:paraId="79DEE94E">
      <w:pPr>
        <w:spacing w:before="240" w:after="120"/>
        <w:rPr>
          <w:rFonts w:hint="default"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The study also revealed that Black individuals suffer from profound psychological experiences of racism such as microaggression, racial profiling, racial trauma and the cumulative effects of experiencing racially motivated violence, including through digital and social media. The video of George Floyd's killing was broadcasted globally, and there has been an increased psychological stress of Black people across several countries, as witnessed by reports of psychological distress, depression, anxiety, and post-traumatic stress disorder (PTSD) after the video's release. The study also revealed that while racism is a factor in identity it interweaves with other aspects of identity, and that Black lesbian women, Black LGBT individuals, Black immigrants, and Black people with disabilities are experiencing compounded and unique forms of racism that will not be resolved by race-specific solutions.</w:t>
      </w:r>
    </w:p>
    <w:p w14:paraId="48DF39A0">
      <w:pPr>
        <w:spacing w:before="240" w:after="120"/>
        <w:rPr>
          <w:rFonts w:hint="default"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The study, regarding the second research question, concluded that racism cannot be eradicated by human rights laws and universal anti-racism campaigns, as there are a variety of complex and reinforcing structural, ideological, political and institutional factors. Racist ideologies are not necessarily expressed openly as prejudice or laws of segregation, but rather exist in institutional practices, policies, and norms rooted in history of slavery, colonialism and racial hierarchy. Racism is, as Critical Race Theory claims, ordinary, normal and deeply embedded in the functioning of legal, economic and social institutions in a way that does not need conscious racial animus to sustain racial inequality.</w:t>
      </w:r>
    </w:p>
    <w:p w14:paraId="4EAEB19F">
      <w:pPr>
        <w:spacing w:before="240" w:after="120"/>
        <w:rPr>
          <w:rFonts w:hint="default"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It identified that although human rights laws are important, they are often not enough to overcome the structural racism that works to reproduce racial inequality, as they focus on individual incidents of discrimination. In France, the constitution ensures that racial data is not collected, and the principle of universalisme, which the constitution enshrines, makes it impossible to measure and act on racial disparities. The Commission on Race and Ethnic Disparities, commissioned by the U.K. government in 2021, told in a controversial report that there was no indication of institutional racism, even though the country has a law that requires the government to eradicate racism and make sure everyone benefits equally.Even with an existing law requiring them to end racism, and ensure that everyone benefits equally, in 2021 the U.K. government's Commission on Race and Ethnic Disparities reported that there was no evidence of UK institutions that discriminate against Black and ethnic minorities. The George Floyd Justice in Policing Act, which would have provided federal reforms to combat racial bias in policing, passed the House of Representatives in the United States but was never approved by the Senate, while highlighting how powerful interests and opposition from other political groups can halt efforts to pass legislation that seeks to address documented racial injustice.</w:t>
      </w:r>
    </w:p>
    <w:p w14:paraId="524EA1ED">
      <w:pPr>
        <w:spacing w:before="240" w:after="120"/>
        <w:rPr>
          <w:rFonts w:hint="default"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The study also revealed that racism is entrenched because dominant ideologies, such as colour-blindness, meritocracy and post-racialism, ignore the reality of structural issues and shift the blame for racial inequality to the cultural practices and personal decisions of black communities. These concepts become normalizing, anti-racist activism is de-legitimized and inaction is justified politically. The denial of many governments of institutional racism, the refusal to collect disaggregated racial data, and the lack of meaningful reforms that are implemented and then reversed when they are not in the interest of the White majority is a result of Critical Race Theory's theory of interest convergence, in which racial reforms are agreed upon only when they align with the interests of the White majority.</w:t>
      </w:r>
    </w:p>
    <w:p w14:paraId="1858F469">
      <w:pPr>
        <w:spacing w:before="240" w:after="120"/>
        <w:rPr>
          <w:rFonts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Lastly, the study revealed that the Black Lives Matter movement and global protests during the 2020 protests brought unprecedented public attention to the issue and some legislative action, but they have faced a disappointing lack of institutional reform over time. State police forces in various countries responded to BLM protests with police crackdowns and mass arrests, ironically (also) to amplify the points that protesters were making about state violence. Powerful mobilisations of public consciousness through anti-racism campaigns are not enough to overcome the structural resistance of racially stratified institutions: political rhetoric and institutional change were not the same.</w:t>
      </w:r>
    </w:p>
    <w:p w14:paraId="2162F568">
      <w:pPr>
        <w:spacing w:before="240" w:after="1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5.2 Conclusion</w:t>
      </w:r>
    </w:p>
    <w:p w14:paraId="76B7830D">
      <w:pPr>
        <w:spacing w:before="240" w:after="120"/>
        <w:rPr>
          <w:rFonts w:hint="default"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In this study, the types of racism and discrimination black faced in foreign countries and why racism still exists in spite of the presence of human rights legislation and international campaigns against racism were analyzed. The implications of these findings are clear, sobering and morally urgent.</w:t>
      </w:r>
    </w:p>
    <w:p w14:paraId="247B5BC7">
      <w:pPr>
        <w:spacing w:before="240" w:after="120"/>
        <w:rPr>
          <w:rFonts w:hint="default"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To the first research question, the study found that racism and discrimination towards black people in a foreign country are systemic, institutional, economic, psychological, and intersectional. Such racism are not one-off moments of prejudice but are part of the fabric and routine of policing, criminal justice, housing, employment, healthcare and education. The killing of George Floyd brought to the world's light the reality of Black communities, that institutional racism – as it is lived and experienced each day on a global scale – is not a thing of the past, but a system of racial oppression that takes Black lives, robs Black dignity, and denies Black opportunity. This is not a coincidence – this is the expected and predicted result of centuries of systemic racial disparities stemming from colonialism, slavery, and White supremacy conditions documented in other countries around the world.</w:t>
      </w:r>
    </w:p>
    <w:p w14:paraId="325D442E">
      <w:pPr>
        <w:spacing w:before="240" w:after="120"/>
        <w:rPr>
          <w:rFonts w:hint="default"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Turning to the second research question, the study finds racism to still exist in many countries despite the presence of human rights legislation and global anti-racism movements, because the structures (institutional grounds) of racial inequality are deeper, more lasting and more politically entrenched than a single piece of legislation or a movement can easily erode. Human rights frameworks focus on symptoms of racism, but do not tackle the structural causes of racism. Ideologies of ‘colour blindness' and ‘meritocracy' obscure the truth of institutional racism and make it more difficult to gather evidence for reform. Racial reform is often limited, reversible, and is driven by the comfort of the white majority, which is what the principle of interest convergence outlines. But the very fact that the political promises of change after the 2020 BLM demonstrations have not yet been fulfilled by institutional change demonstrates that the structural resistance of racially hierarchical institutions outweighs the power of moral outrage, even when it is extreme and very common.</w:t>
      </w:r>
    </w:p>
    <w:p w14:paraId="60AA2C1C">
      <w:pPr>
        <w:spacing w:before="240" w:after="120"/>
        <w:rPr>
          <w:rFonts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Altogether, these conclusions support the Critical Race Theory view that it is not enough to create formal equality legislation; what is needed is a change of institutions, ideas, and distributions of power that maintain racial hierarchy. In the wake of George Floyd's death, and the global change it sparked, there has been an unprecedented international consensus on the morality of racism.The death of George Floyd and the movement it sparked brought an unprecedented moral clarity to the wrongness of racism, on a global scale. The question of whether the governments, institutions and civil societies will meet this challenge of the moment remains the key question of this era. This study confirms that there is no ambiguity in the evidence, there is no moral case to be made for failing to do the work of anti-racist transformation, and the anti-racist transformation work must be done.</w:t>
      </w:r>
    </w:p>
    <w:p w14:paraId="43AEB5DD">
      <w:pPr>
        <w:spacing w:before="240" w:after="1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5.3 Recommendations</w:t>
      </w:r>
    </w:p>
    <w:p w14:paraId="4BBFDBA3">
      <w:pPr>
        <w:spacing w:before="240" w:after="120"/>
        <w:rPr>
          <w:rFonts w:hint="default"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The following recommendations are made to the national governments, the international organisations, the educational institutions, civil society and the research communities based on the findings and conclusions of this study. The recommendations are grouped around the two research questions that informed the research in this study, and are aimed at tackling racism and the structural conditions that can perpetuate it as it affects Black people.</w:t>
      </w:r>
    </w:p>
    <w:p w14:paraId="53E65729">
      <w:pPr>
        <w:spacing w:before="240" w:after="120"/>
        <w:rPr>
          <w:rFonts w:hint="default"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The Government of the Nation(s) should take immediate steps to stop racist practices by police in other countries. That includes introducing mandatory anti-racism and cultural competency training to all police officers, putting in place independent watchdog agencies with genuine investigative and disciplinary powers, requiring body cameras to be made public with suitable accountability measures, and banning practices that have led to the deaths of Black people, such as racial profiling, disproportionate stop-and-search operations, and techniques. Governments have to adopt and enforce comprehensive anti-discrimination laws that explicitly mention racial discrimination in employment, housing, health care and education that are robustly enforced, have independent oversight and provide meaningful remedies for victims.</w:t>
      </w:r>
    </w:p>
    <w:p w14:paraId="6251E534">
      <w:pPr>
        <w:spacing w:before="240" w:after="120"/>
        <w:rPr>
          <w:rFonts w:hint="default"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In addition, governments need to do more to reduce the racial wealth gap by adopting dedicated economic policies to boost Black homeownership, dedicated small business development financing, reforms to wealth transfer policies, and, where appropriate, reparative economic policies to right the wrongs of slavery and colonialism. The social and economic discrimination of Black people in foreign countries identified as key structural racism is an important issue to be addressed through these economic reforms.</w:t>
      </w:r>
    </w:p>
    <w:p w14:paraId="189BF8D9">
      <w:pPr>
        <w:spacing w:before="240" w:after="120"/>
        <w:rPr>
          <w:rFonts w:hint="default"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A key recommendation of this study is that all governments should gather and publicly report disaggregated racial data on criminal justice, health, employment, housing and education; as many governments are not doing so and have not been able to identify and measure the impacts of institutional racism. Racial inequality can not be identified, targeted interventions can not be put in place, and institutions can not be held accountable for racial outcomes without such data. The notion of 'colour blindness' as a constitutional principle, as applied in France, cannot be allowed to stand in the way of racial justice, but should be regarded as an expression of equality. Governments should create national anti-racism action plans that are comprehensive, have time-bound targets, have funding, and have independent monitoring mechanisms, and be developed in true partnership with the Black communities and civil society organisations in the country.</w:t>
      </w:r>
    </w:p>
    <w:p w14:paraId="70F64B40">
      <w:pPr>
        <w:spacing w:before="240" w:after="120"/>
        <w:rPr>
          <w:rFonts w:hint="default"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There is need for strengthening of mechanisms of the various international bodies to respond to cases of racial discrimination and hold member states accountable, such as the United Nations, the African Union and the European Union. Greater powers and resources should be given to the UN Committee on the Elimination of Racial Discrimination to investigate. Colonial powers and institutions should recognise the history of colonialism, its role in creating the global racial hierarchy and in doing so, take concrete steps such as action on debt, reparative development funding, the return of cultural artefacts and formal apologies for colonial crimes.</w:t>
      </w:r>
    </w:p>
    <w:p w14:paraId="382DBBFC">
      <w:pPr>
        <w:spacing w:before="240" w:after="120"/>
        <w:rPr>
          <w:rFonts w:hint="default"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Educational institutions in other countries need to decolonise their curricula by integrating and highlighting the histories, contributions and perspectives of Black and African peoples as the main body of education, instead of the secondary. Schools and universities need to provide extensive anti-racism training for staff and faculty, and introduce targeted programs to boost Black staff and leadership. Having black role models in educational institutions has been shown to positively impact the academic achievement and wellbeing of black students, and this should inform human resource and leadership practices in educational systems.</w:t>
      </w:r>
    </w:p>
    <w:p w14:paraId="23F6F9F6">
      <w:pPr>
        <w:spacing w:before="240" w:after="120"/>
        <w:rPr>
          <w:rFonts w:hint="default"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There is a need for civil society organisations, such as chapters of Black Lives Matter and other allied groups, to continue this momentum and create long-term strategic plans, forge cross-racial coalitions and participate in electoral and policy processes in order to push for the enactment of anti-racist laws and leadership. Black community organisations have a role to play in investing in culturally competent mental health services, such as community-based counselling services, community peer support networks and mental health advocacy, to support Black people and communities who are living with racial trauma. Racism's psychological impacts such as post-traumatic stress disorder, depression, anxiety, and the digital trauma of seeing Black death over and over again are not an incidental byproduct, but a necessary part of the lived reality of racism that requires long-term institutional response.</w:t>
      </w:r>
    </w:p>
    <w:p w14:paraId="29662B31">
      <w:pPr>
        <w:spacing w:before="240" w:after="120"/>
        <w:rPr>
          <w:rFonts w:hint="default" w:ascii="Times New Roman" w:hAnsi="Times New Roman" w:eastAsia="Times New Roman" w:cs="Times New Roman"/>
          <w:b w:val="0"/>
          <w:bCs w:val="0"/>
          <w:sz w:val="24"/>
          <w:szCs w:val="24"/>
        </w:rPr>
      </w:pPr>
      <w:r>
        <w:rPr>
          <w:rFonts w:hint="default" w:ascii="Times New Roman" w:hAnsi="Times New Roman" w:eastAsia="Times New Roman" w:cs="Times New Roman"/>
          <w:b w:val="0"/>
          <w:bCs w:val="0"/>
          <w:sz w:val="24"/>
          <w:szCs w:val="24"/>
        </w:rPr>
        <w:t>Last but not least, comparative longitudinal studies on the specific experience of Black immigrants versus Black diaspora communities in individual foreign countries should be conducted; the long-term impact of the BLM movement on racial outcomes across multiple domains should be tracked; and the voices and perspectives of Black women, Black youth, and Black LGBTQ+ individuals should be at the heart of future research. The effectiveness of targeted anti-racist policy changes such as changes to policing practices, anti-discrimination training, and reparations programmes need to be urgently researched to create a body of evidence to guide policy change. Theoretical approaches that can explain the intersectional and transnational aspects of racism in the age of globalisation, digital media and the continued effects of colonialism must continue to be developed by scholars.</w:t>
      </w:r>
    </w:p>
    <w:p w14:paraId="7760CFF1">
      <w:pPr>
        <w:spacing w:before="240" w:after="120"/>
        <w:rPr>
          <w:rFonts w:hint="default" w:ascii="Times New Roman" w:hAnsi="Times New Roman" w:eastAsia="Times New Roman" w:cs="Times New Roman"/>
          <w:b w:val="0"/>
          <w:bCs w:val="0"/>
          <w:sz w:val="24"/>
          <w:szCs w:val="24"/>
        </w:rPr>
      </w:pPr>
    </w:p>
    <w:p w14:paraId="10B8B97B">
      <w:pPr>
        <w:pStyle w:val="10"/>
        <w:widowControl/>
        <w:spacing w:beforeAutospacing="0" w:after="0" w:afterAutospacing="0" w:line="36" w:lineRule="atLeast"/>
        <w:ind w:left="0" w:right="0" w:firstLine="0"/>
        <w:jc w:val="center"/>
        <w:rPr>
          <w:rFonts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b/>
          <w:i w:val="0"/>
          <w:caps w:val="0"/>
          <w:color w:val="000000"/>
          <w:spacing w:val="0"/>
          <w:sz w:val="18"/>
          <w:szCs w:val="18"/>
          <w:u w:val="none"/>
        </w:rPr>
        <w:t>References</w:t>
      </w:r>
    </w:p>
    <w:p w14:paraId="6967F548">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Al Jazeera. (2020).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George Floyd protests: A timeline.</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Al Jazeera News.</w:t>
      </w:r>
      <w:r>
        <w:rPr>
          <w:rFonts w:hint="eastAsia" w:ascii="Times New Roman" w:hAnsi="Times New Roman" w:eastAsia="-webkit-standard" w:cs="Times New Roman"/>
          <w:i w:val="0"/>
          <w:caps w:val="0"/>
          <w:color w:val="000000"/>
          <w:spacing w:val="0"/>
          <w:sz w:val="18"/>
          <w:szCs w:val="18"/>
          <w:u w:val="none"/>
        </w:rPr>
        <w:t>https://www.aljazeera.com/news/2020/6/7/george-floyd-protests-timeline</w:t>
      </w:r>
    </w:p>
    <w:p w14:paraId="0DC4D147">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Alexander, M. (2010).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new Jim Crow: Mass incarceration in the age of colorblindness.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The New Press.</w:t>
      </w:r>
    </w:p>
    <w:p w14:paraId="43E1F9BD">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American Psychological Association.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Racism and mental health: APA resolution.</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https://www.apa.org/about/policy/racism-and-psychology.pdf</w:t>
      </w:r>
    </w:p>
    <w:p w14:paraId="26B3904F">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Amnesty International France. (2020).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France: Police brutality and discrimination against Black and Arab people.</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Amnesty International.</w:t>
      </w:r>
    </w:p>
    <w:p w14:paraId="254A0767">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Amnesty International. (2020a).</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George Floyd: World reacts to US police killing.</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https://www.amnesty.org/en/latest/news/2020/06/george-floyd-global-reaction/</w:t>
      </w:r>
    </w:p>
    <w:p w14:paraId="43F1BD0A">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Amnesty International. (2020b).</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Use of force: Guidelines for implementation of the UN Basic Principles on the Use of Force and Firearms by Law Enforcement Officials.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Amnesty International.</w:t>
      </w:r>
    </w:p>
    <w:p w14:paraId="648D0197">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Anderson, E. (1990).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Streetwise: Race, class, and change in an urban community.</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University of Chicago Press.</w:t>
      </w:r>
    </w:p>
    <w:p w14:paraId="6787C4CD">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Andrews, K.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new age of empire: How racism and colonialism still rule the world.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Penguin Books.</w:t>
      </w:r>
    </w:p>
    <w:p w14:paraId="137957A0">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Australian Bureau of Statistics.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Labour force characteristics of Aboriginal and Torres Strait Islander Australians.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ABS.</w:t>
      </w:r>
    </w:p>
    <w:p w14:paraId="444D73D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Bailey, Z. D., Krieger, N., Agénor, M., Graves, J., Linos, N., &amp; Bassett, M. T. (2017).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Structural racism and health inequities in the USA.</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Lancet, 389</w:t>
      </w:r>
      <w:r>
        <w:rPr>
          <w:rFonts w:hint="eastAsia" w:ascii="Times New Roman" w:hAnsi="Times New Roman" w:eastAsia="-webkit-standard" w:cs="Times New Roman"/>
          <w:i w:val="0"/>
          <w:caps w:val="0"/>
          <w:color w:val="000000"/>
          <w:spacing w:val="0"/>
          <w:sz w:val="18"/>
          <w:szCs w:val="18"/>
          <w:u w:val="none"/>
        </w:rPr>
        <w:t>(10077), 1453--1463.</w:t>
      </w:r>
    </w:p>
    <w:p w14:paraId="19637A29">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Baptist, E. E. (2014).</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half has never been told: Slavery and the making of American capitalism.</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Basic Books.</w:t>
      </w:r>
    </w:p>
    <w:p w14:paraId="1347790E">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BBC News. (2020a).</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Belgium: Statues of King Leopold II removed amid racism protests.</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BBC News.</w:t>
      </w:r>
    </w:p>
    <w:p w14:paraId="608B716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BBC News. (2020b).</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George Floyd: What happened in the final moments of his life.</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BBC News.</w:t>
      </w:r>
      <w:r>
        <w:rPr>
          <w:rFonts w:hint="eastAsia" w:ascii="Times New Roman" w:hAnsi="Times New Roman" w:eastAsia="-webkit-standard" w:cs="Times New Roman"/>
          <w:i w:val="0"/>
          <w:caps w:val="0"/>
          <w:color w:val="000000"/>
          <w:spacing w:val="0"/>
          <w:sz w:val="18"/>
          <w:szCs w:val="18"/>
          <w:u w:val="none"/>
        </w:rPr>
        <w:t>https://www.bbc.com/news/world-us-canada-52861726</w:t>
      </w:r>
    </w:p>
    <w:p w14:paraId="17F31AE0">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BBC News.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Derek Chauvin found guilty of George Floyd murder.</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BBC News.</w:t>
      </w:r>
      <w:r>
        <w:rPr>
          <w:rFonts w:hint="eastAsia" w:ascii="Times New Roman" w:hAnsi="Times New Roman" w:eastAsia="-webkit-standard" w:cs="Times New Roman"/>
          <w:i w:val="0"/>
          <w:caps w:val="0"/>
          <w:color w:val="000000"/>
          <w:spacing w:val="0"/>
          <w:sz w:val="18"/>
          <w:szCs w:val="18"/>
          <w:u w:val="none"/>
        </w:rPr>
        <w:t>https://www.bbc.com/news/world-us-canada-56857327</w:t>
      </w:r>
    </w:p>
    <w:p w14:paraId="1DE4E46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Bell, D. (1992).</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Faces at the bottom of the well: The permanence of racism.</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Basic Books.</w:t>
      </w:r>
    </w:p>
    <w:p w14:paraId="0434DE39">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Bertrand, M., &amp; Mullainathan, S. (2004).</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Are Emily and Greg more employable than Lakisha and Jamal? A field experiment on labor market discrimination.</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American Economic Review, 94</w:t>
      </w:r>
      <w:r>
        <w:rPr>
          <w:rFonts w:hint="eastAsia" w:ascii="Times New Roman" w:hAnsi="Times New Roman" w:eastAsia="-webkit-standard" w:cs="Times New Roman"/>
          <w:i w:val="0"/>
          <w:caps w:val="0"/>
          <w:color w:val="000000"/>
          <w:spacing w:val="0"/>
          <w:sz w:val="18"/>
          <w:szCs w:val="18"/>
          <w:u w:val="none"/>
        </w:rPr>
        <w:t>(4), 991--1013.</w:t>
      </w:r>
    </w:p>
    <w:p w14:paraId="09D87720">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Bhabha, H. K. (1994).</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location of culture.</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Routledge.</w:t>
      </w:r>
    </w:p>
    <w:p w14:paraId="18E437F9">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Black Lives Matter Global Network Foundation. (2020a).</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About the Black Lives Matter movement.</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Black Lives Matter Global Network Foundation. https://blacklivesmatter.com/about/</w:t>
      </w:r>
    </w:p>
    <w:p w14:paraId="1F7DABE5">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Black Lives Matter Global Network Foundation. (2020b).</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Black Lives Matter: Our demands.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Black Lives Matter Global Network Foundation.</w:t>
      </w:r>
    </w:p>
    <w:p w14:paraId="0917958C">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Bonilla-Silva, E. (2003).</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Racism without racists: Color-blind racism and the persistence of racial inequality.</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Rowman &amp; Littlefield.</w:t>
      </w:r>
    </w:p>
    <w:p w14:paraId="29A125EF">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Bonilla-Silva, E. (2006).</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Racism without racists: Color-blind racism and the persistence of racial inequality in the United States (2nd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Rowman &amp; Littlefield.</w:t>
      </w:r>
    </w:p>
    <w:p w14:paraId="4D2EE3B4">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Bonilla-Silva, E. (2017).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Racism without racists: Color-blind racism and the persistence of racial inequality in the United States (4th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Rowman &amp; Littlefield.</w:t>
      </w:r>
    </w:p>
    <w:p w14:paraId="177565C1">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Bonilla-Silva, E. (2018).</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Racism without racists: Color-blind racism and the persistence of racial inequality in the United States (5th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Rowman &amp; Littlefield.</w:t>
      </w:r>
    </w:p>
    <w:p w14:paraId="277B6FC8">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Booth, A., Leigh, A., &amp; Varganova, E. (2012).</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Does ethnic discrimination vary across minority groups? Oxford Bulletin of Economics and Statistics, 74(4), 547--573.</w:t>
      </w:r>
      <w:r>
        <w:rPr>
          <w:rFonts w:hint="eastAsia" w:ascii="Times New Roman" w:hAnsi="Times New Roman" w:eastAsia="-webkit-standard" w:cs="Times New Roman"/>
          <w:i/>
          <w:caps w:val="0"/>
          <w:color w:val="000000"/>
          <w:spacing w:val="0"/>
          <w:sz w:val="18"/>
          <w:szCs w:val="18"/>
          <w:u w:val="none"/>
        </w:rPr>
        <w:t> </w:t>
      </w:r>
    </w:p>
    <w:p w14:paraId="14A8AA77">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Bor, J., Venkataramani, A. S., Williams, D. R., &amp; Tsai, A. C. (2018).</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Police killings and their spillover effects on the mental health of Black Americans.</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Lancet, 392</w:t>
      </w:r>
      <w:r>
        <w:rPr>
          <w:rFonts w:hint="eastAsia" w:ascii="Times New Roman" w:hAnsi="Times New Roman" w:eastAsia="-webkit-standard" w:cs="Times New Roman"/>
          <w:i w:val="0"/>
          <w:caps w:val="0"/>
          <w:color w:val="000000"/>
          <w:spacing w:val="0"/>
          <w:sz w:val="18"/>
          <w:szCs w:val="18"/>
          <w:u w:val="none"/>
        </w:rPr>
        <w:t>(10144), 302--310.</w:t>
      </w:r>
    </w:p>
    <w:p w14:paraId="377A816F">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Bowen, G. A. (2009).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Document analysis as a qualitative research method.</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Qualitative Research Journal, 9</w:t>
      </w:r>
      <w:r>
        <w:rPr>
          <w:rFonts w:hint="eastAsia" w:ascii="Times New Roman" w:hAnsi="Times New Roman" w:eastAsia="-webkit-standard" w:cs="Times New Roman"/>
          <w:i w:val="0"/>
          <w:caps w:val="0"/>
          <w:color w:val="000000"/>
          <w:spacing w:val="0"/>
          <w:sz w:val="18"/>
          <w:szCs w:val="18"/>
          <w:u w:val="none"/>
        </w:rPr>
        <w:t>(2), 27--40.</w:t>
      </w:r>
    </w:p>
    <w:p w14:paraId="0EA3D055">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Branch, T. (1988).</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Parting the waters: America in the King years, 1954--63.</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Simon &amp; Schuster.</w:t>
      </w:r>
    </w:p>
    <w:p w14:paraId="39A5D1FD">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Braun, V., &amp; Clarke, V. (2006).</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Using thematic analysis in psychology.</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Qualitative Research in Psychology, 3</w:t>
      </w:r>
      <w:r>
        <w:rPr>
          <w:rFonts w:hint="eastAsia" w:ascii="Times New Roman" w:hAnsi="Times New Roman" w:eastAsia="-webkit-standard" w:cs="Times New Roman"/>
          <w:i w:val="0"/>
          <w:caps w:val="0"/>
          <w:color w:val="000000"/>
          <w:spacing w:val="0"/>
          <w:sz w:val="18"/>
          <w:szCs w:val="18"/>
          <w:u w:val="none"/>
        </w:rPr>
        <w:t>(2), 77--101.</w:t>
      </w:r>
    </w:p>
    <w:p w14:paraId="24CC3E1E">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Braun, V., &amp; Clarke, V. (2013).</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Successful qualitative research: A practical guide for beginners.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Sage Publications.</w:t>
      </w:r>
    </w:p>
    <w:p w14:paraId="44B85479">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Braveman, P. (2022).</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Systemic and structural racism: Definitions, examples, health damages, and how to dismantle them.</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Health Affairs, 41</w:t>
      </w:r>
      <w:r>
        <w:rPr>
          <w:rFonts w:hint="eastAsia" w:ascii="Times New Roman" w:hAnsi="Times New Roman" w:eastAsia="-webkit-standard" w:cs="Times New Roman"/>
          <w:i w:val="0"/>
          <w:caps w:val="0"/>
          <w:color w:val="000000"/>
          <w:spacing w:val="0"/>
          <w:sz w:val="18"/>
          <w:szCs w:val="18"/>
          <w:u w:val="none"/>
        </w:rPr>
        <w:t>(2), 171--178.</w:t>
      </w:r>
    </w:p>
    <w:p w14:paraId="4E7C4F57">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Bryman, A. (2016).</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Social research methods (5th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Oxford University Press.</w:t>
      </w:r>
    </w:p>
    <w:p w14:paraId="462DB2CF">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Buchanan, L., Bui, Q., &amp; Patel, J. K. (2020, July 3).</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Black Lives Matter may be the largest movement in U.S. history.</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New York Times.</w:t>
      </w:r>
    </w:p>
    <w:p w14:paraId="03A32AE3">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Carmichael, S., &amp; Hamilton, C. V. (1967).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Black power: The politics of liberation in America.</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Random House.</w:t>
      </w:r>
    </w:p>
    <w:p w14:paraId="6BAB2E8A">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Carter, R. T. (2007).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Racism and psychological and emotional injury: Recognizing and assessing race-based traumatic stress.</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Counseling Psychologist, 35</w:t>
      </w:r>
      <w:r>
        <w:rPr>
          <w:rFonts w:hint="eastAsia" w:ascii="Times New Roman" w:hAnsi="Times New Roman" w:eastAsia="-webkit-standard" w:cs="Times New Roman"/>
          <w:i w:val="0"/>
          <w:caps w:val="0"/>
          <w:color w:val="000000"/>
          <w:spacing w:val="0"/>
          <w:sz w:val="18"/>
          <w:szCs w:val="18"/>
          <w:u w:val="none"/>
        </w:rPr>
        <w:t>(1), 13--105.</w:t>
      </w:r>
    </w:p>
    <w:p w14:paraId="226C543A">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Castles, S., &amp; Miller, M. J. (2009).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age of migration: International population movements in the modern world (4th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Palgrave Macmillan.</w:t>
      </w:r>
    </w:p>
    <w:p w14:paraId="0E306AB0">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Centers for Disease Control and Prevention.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Racial and ethnic disparities in maternal mortality.</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CDC.</w:t>
      </w:r>
    </w:p>
    <w:p w14:paraId="1E9F0B63">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Cesaire, A. (1955).</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Discourse on colonialism.</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Monthly Review Press.</w:t>
      </w:r>
    </w:p>
    <w:p w14:paraId="29B6C032">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Coates, T. (2015).</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Between the world and me.</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Spiegel &amp; Grau.</w:t>
      </w:r>
    </w:p>
    <w:p w14:paraId="4A562C0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Cole, M. (2017).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Racism: A critical analysis.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Pluto Press.</w:t>
      </w:r>
    </w:p>
    <w:p w14:paraId="55F6855C">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Collins, P. H. (2000).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Black feminist thought: Knowledge, consciousness, and the politics of empowerment (2nd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Routledge.</w:t>
      </w:r>
    </w:p>
    <w:p w14:paraId="536B172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Commission Nationale Consultative des Droits de l'Homme. (2019).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Report on racism, antisemitism, and xenophobia in France.</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French Republic.</w:t>
      </w:r>
    </w:p>
    <w:p w14:paraId="3EC475A8">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Committee on the Elimination of Racial Discrimination. (2014).</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Concluding observations on the combined seventh to ninth periodic reports of the United States of America.</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United Nations. CERD/C/USA/CO/7-9.</w:t>
      </w:r>
    </w:p>
    <w:p w14:paraId="456B359C">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Congressional Research Service.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George Floyd Justice in Policing Act of 2021.</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Congressional Research Service Report R46756.</w:t>
      </w:r>
    </w:p>
    <w:p w14:paraId="752D5445">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Correll, J., Park, B., Judd, C. M., Wittenbrink, B., Sadler, M. S., &amp; Keesee, T. (2007).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Across the thin blue line: Police officers and racial bias in the decision to shoot.</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Journal of Personality and Social Psychology, 92</w:t>
      </w:r>
      <w:r>
        <w:rPr>
          <w:rFonts w:hint="eastAsia" w:ascii="Times New Roman" w:hAnsi="Times New Roman" w:eastAsia="-webkit-standard" w:cs="Times New Roman"/>
          <w:i w:val="0"/>
          <w:caps w:val="0"/>
          <w:color w:val="000000"/>
          <w:spacing w:val="0"/>
          <w:sz w:val="18"/>
          <w:szCs w:val="18"/>
          <w:u w:val="none"/>
        </w:rPr>
        <w:t>(6), 1006--1023.</w:t>
      </w:r>
    </w:p>
    <w:p w14:paraId="6AA8D0B0">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Crenshaw, K. (1989).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Demarginalizing the intersection of race and sex: A Black feminist critique of antidiscrimination doctrine, feminist theory and antiracist politics.</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University of Chicago Legal Forum, 1989</w:t>
      </w:r>
      <w:r>
        <w:rPr>
          <w:rFonts w:hint="eastAsia" w:ascii="Times New Roman" w:hAnsi="Times New Roman" w:eastAsia="-webkit-standard" w:cs="Times New Roman"/>
          <w:i w:val="0"/>
          <w:caps w:val="0"/>
          <w:color w:val="000000"/>
          <w:spacing w:val="0"/>
          <w:sz w:val="18"/>
          <w:szCs w:val="18"/>
          <w:u w:val="none"/>
        </w:rPr>
        <w:t>(1), 139--167.</w:t>
      </w:r>
    </w:p>
    <w:p w14:paraId="2A9141A4">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Crenshaw, K. (1991).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Mapping the margins: Intersectionality, identity politics, and violence against women of color.</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Stanford Law Review, 43</w:t>
      </w:r>
      <w:r>
        <w:rPr>
          <w:rFonts w:hint="eastAsia" w:ascii="Times New Roman" w:hAnsi="Times New Roman" w:eastAsia="-webkit-standard" w:cs="Times New Roman"/>
          <w:i w:val="0"/>
          <w:caps w:val="0"/>
          <w:color w:val="000000"/>
          <w:spacing w:val="0"/>
          <w:sz w:val="18"/>
          <w:szCs w:val="18"/>
          <w:u w:val="none"/>
        </w:rPr>
        <w:t>(6), 1241--1299.</w:t>
      </w:r>
    </w:p>
    <w:p w14:paraId="4F83F465">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Crenshaw, K., Gotanda, N., Peller, G., &amp; Thomas, K. (Eds.). (1995).</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Critical race theory: The key writings that formed the movement.</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The New Press.</w:t>
      </w:r>
    </w:p>
    <w:p w14:paraId="490DA549">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Creswell, J. W., &amp; Creswell, J. D. (2018).</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Research design: Qualitative, quantitative, and mixed methods approaches (5th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Sage Publications.</w:t>
      </w:r>
    </w:p>
    <w:p w14:paraId="024F216F">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Cross, W. E. (1991).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Shades of Black: Diversity in African-American identity.</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Temple University Press.</w:t>
      </w:r>
    </w:p>
    <w:p w14:paraId="5E0A4298">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Darity, W., &amp; Mullen, A. K. (2020).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From here to equality: Reparations for Black Americans in the twenty-first century.</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University of North Carolina Press.</w:t>
      </w:r>
    </w:p>
    <w:p w14:paraId="6FA5348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Davis, A. Y. (1981).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Women, race, and class.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Random House.</w:t>
      </w:r>
    </w:p>
    <w:p w14:paraId="073570C4">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Davis, D. B. (1966).</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problem of slavery in Western culture.</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Cornell University Press.</w:t>
      </w:r>
    </w:p>
    <w:p w14:paraId="21DD3F84">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Delgado, R., &amp; Stefancic, J. (2017).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Critical race theory: An introduction (3rd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New York University Press.</w:t>
      </w:r>
    </w:p>
    <w:p w14:paraId="7245CEA2">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Denzin, N. K. (2017).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research act: A theoretical introduction to sociological methods (4th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Routledge.</w:t>
      </w:r>
    </w:p>
    <w:p w14:paraId="42A80329">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Denzin, N. K., &amp; Lincoln, Y. S. (2018).</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SAGE handbook of qualitative research (5th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Sage Publications.</w:t>
      </w:r>
    </w:p>
    <w:p w14:paraId="23433308">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Dominick, J. (2018).</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The acquittal of Gerald Stanley in the shooting death of Colten Boushie.</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CBC News.</w:t>
      </w:r>
    </w:p>
    <w:p w14:paraId="5F0E9EB3">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Du Bois, W. E. B. (1903).</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souls of Black folk.</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A. C. McClurg &amp; Co.</w:t>
      </w:r>
    </w:p>
    <w:p w14:paraId="10250AEE">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Eberhardt, J. L. (2019).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Biased: Uncovering the hidden prejudice that shapes what we see, think, and do.</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Viking.</w:t>
      </w:r>
    </w:p>
    <w:p w14:paraId="1E050677">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Edwards, F., Lee, H., &amp; Esposito, M. (2019).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Risk of being killed by police use of force in the United States by age, race--ethnicity, and sex.</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Proceedings of the National Academy of Sciences, 116</w:t>
      </w:r>
      <w:r>
        <w:rPr>
          <w:rFonts w:hint="eastAsia" w:ascii="Times New Roman" w:hAnsi="Times New Roman" w:eastAsia="-webkit-standard" w:cs="Times New Roman"/>
          <w:i w:val="0"/>
          <w:caps w:val="0"/>
          <w:color w:val="000000"/>
          <w:spacing w:val="0"/>
          <w:sz w:val="18"/>
          <w:szCs w:val="18"/>
          <w:u w:val="none"/>
        </w:rPr>
        <w:t>(34), 16793--16798.</w:t>
      </w:r>
    </w:p>
    <w:p w14:paraId="68BBDA8E">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Eltis, D., &amp; Richardson, D. (Eds.). (2010).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Atlas of the transatlantic slave trade.</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Yale University Press.</w:t>
      </w:r>
    </w:p>
    <w:p w14:paraId="19D5EFAE">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Epp, C. R., Maynard-Moody, S., &amp; Haider-Markel, D. P. (2014).</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Pulled over: How police stops define race and citizenship.</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University of Chicago Press.</w:t>
      </w:r>
    </w:p>
    <w:p w14:paraId="47F597AC">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Equal Justice Initiative. (2015).</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Lynching in America: Confronting the legacy of racial terror (3rd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Equal Justice Initiative.</w:t>
      </w:r>
    </w:p>
    <w:p w14:paraId="5DCC5586">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Equal Justice Initiative. (2020).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Race and poverty in America.</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Equal Justice Initiative.</w:t>
      </w:r>
    </w:p>
    <w:p w14:paraId="5F1F3394">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Essed, P. (1991).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Understanding everyday racism: An interdisciplinary theory.</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Sage Publications.</w:t>
      </w:r>
    </w:p>
    <w:p w14:paraId="31F352BA">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European Union Agency for Fundamental Rights (FRA). (2018).</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Being Black in the EU: Second European Union minorities and discrimination survey.</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Publications Office of the European Union.</w:t>
      </w:r>
    </w:p>
    <w:p w14:paraId="40B917CD">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Fanon, F. (1952).</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Black skin, white masks (C.</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L. Markmann, Trans.). Grove Press.</w:t>
      </w:r>
    </w:p>
    <w:p w14:paraId="545CA2F4">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Fanon, F. (1961).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wretched of the earth (C.</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Farrington, Trans.). Grove Press.</w:t>
      </w:r>
    </w:p>
    <w:p w14:paraId="6F84DB87">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Fanon, F. (1967).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A dying colonialism (H.</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Chevalier, Trans.). Grove Press.</w:t>
      </w:r>
    </w:p>
    <w:p w14:paraId="5325857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Feagin, J. R. (2006).</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Systemic racism: A theory of oppression.</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Routledge.</w:t>
      </w:r>
    </w:p>
    <w:p w14:paraId="74501645">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Feagin, J. R. (2013).</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white racial frame: Centuries of racial framing and counter-framing (2nd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Routledge.</w:t>
      </w:r>
    </w:p>
    <w:p w14:paraId="35D2BFBF">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Flick, U. (2018).</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An introduction to qualitative research (6th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Sage Publications.</w:t>
      </w:r>
    </w:p>
    <w:p w14:paraId="572685F9">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Franklin, J. H. (1967).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From slavery to freedom: A history of Negro Americans (3rd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Knopf.</w:t>
      </w:r>
    </w:p>
    <w:p w14:paraId="170893DA">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Frankling-Barboza, I. (2016).</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Racial battle fatigue and the miseducation of Black men.</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Information Age Publishing.</w:t>
      </w:r>
    </w:p>
    <w:p w14:paraId="070F5028">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Fredrickson, G. M. (2002).</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Racism: A short history.</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Princeton University Press.</w:t>
      </w:r>
    </w:p>
    <w:p w14:paraId="3A17AD2D">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Freelon, D., McIlwain, C. D., &amp; Clark, M. (2016).</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Beyond the hashtags: #Ferguson, #Blacklivesmatter, and the online struggle for offline justice.</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Center for Media and Social Impact.</w:t>
      </w:r>
    </w:p>
    <w:p w14:paraId="477C15DA">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Garza, A. (2014).</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A herstory of the #BlackLivesMatter movement.</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Feminist Wire.</w:t>
      </w:r>
    </w:p>
    <w:p w14:paraId="3E46A62A">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Gentleman, A. (2019).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Windrush betrayal: Exposing the hostile environment.</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Guardian Faber Publishing.</w:t>
      </w:r>
    </w:p>
    <w:p w14:paraId="1ADCC13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Gilroy, P. (1987).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There ain't no Black in the Union Jack: The cultural politics of race and nation.</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Hutchinson.</w:t>
      </w:r>
    </w:p>
    <w:p w14:paraId="447CFC6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Gilroy, P. (1993).</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Black Atlantic: Modernity and double consciousness.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Harvard University Press.</w:t>
      </w:r>
    </w:p>
    <w:p w14:paraId="3F25B8A4">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Glaser, J. (2015).</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Suspect race: Causes and consequences of racial profiling.</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Oxford University Press.</w:t>
      </w:r>
    </w:p>
    <w:p w14:paraId="0DC4F3DE">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Goodwin, M., &amp; Milazzo, C. (2017).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Taking back control? Investigating the role of immigration in the 2016 Vote for Brexit.</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British Journal of Politics and International Relations, 19</w:t>
      </w:r>
      <w:r>
        <w:rPr>
          <w:rFonts w:hint="eastAsia" w:ascii="Times New Roman" w:hAnsi="Times New Roman" w:eastAsia="-webkit-standard" w:cs="Times New Roman"/>
          <w:i w:val="0"/>
          <w:caps w:val="0"/>
          <w:color w:val="000000"/>
          <w:spacing w:val="0"/>
          <w:sz w:val="18"/>
          <w:szCs w:val="18"/>
          <w:u w:val="none"/>
        </w:rPr>
        <w:t>(3), 450--464.</w:t>
      </w:r>
    </w:p>
    <w:p w14:paraId="652CB4C0">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Gould, S. J. (1996).</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mismeasure of man (revised and expanded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W. W. Norton &amp; Company.</w:t>
      </w:r>
    </w:p>
    <w:p w14:paraId="2066F208">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Greenwald, A. G., &amp; Banaji, M. R. (1995).</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Implicit social cognition: Attitudes, self-esteem, and stereotypes.</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Psychological Review, 102</w:t>
      </w:r>
      <w:r>
        <w:rPr>
          <w:rFonts w:hint="eastAsia" w:ascii="Times New Roman" w:hAnsi="Times New Roman" w:eastAsia="-webkit-standard" w:cs="Times New Roman"/>
          <w:i w:val="0"/>
          <w:caps w:val="0"/>
          <w:color w:val="000000"/>
          <w:spacing w:val="0"/>
          <w:sz w:val="18"/>
          <w:szCs w:val="18"/>
          <w:u w:val="none"/>
        </w:rPr>
        <w:t>(1), 4--27.</w:t>
      </w:r>
    </w:p>
    <w:p w14:paraId="5EF28C71">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Hall, S. (1996).</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The question of cultural identity.</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In S. Hall, D. Held, D. Hubert, &amp; K. Thompson (Eds.),</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Modernity: An introduction to modern societies</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(pp. 596--634). Blackwell.</w:t>
      </w:r>
    </w:p>
    <w:p w14:paraId="319E1141">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Hall, S. (1997).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Representation: Cultural representations and signifying practices.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Sage Publications.</w:t>
      </w:r>
    </w:p>
    <w:p w14:paraId="25694722">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Haney López, I. (2010).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Post-racial racism: Racial stratification and mass incarceration in the age of Obama.</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California Law Review, 98</w:t>
      </w:r>
      <w:r>
        <w:rPr>
          <w:rFonts w:hint="eastAsia" w:ascii="Times New Roman" w:hAnsi="Times New Roman" w:eastAsia="-webkit-standard" w:cs="Times New Roman"/>
          <w:i w:val="0"/>
          <w:caps w:val="0"/>
          <w:color w:val="000000"/>
          <w:spacing w:val="0"/>
          <w:sz w:val="18"/>
          <w:szCs w:val="18"/>
          <w:u w:val="none"/>
        </w:rPr>
        <w:t>(3), 1023--1074.</w:t>
      </w:r>
    </w:p>
    <w:p w14:paraId="68838D2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Harris, C. I. (1993).</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Whiteness as property.</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Harvard Law Review, 106</w:t>
      </w:r>
      <w:r>
        <w:rPr>
          <w:rFonts w:hint="eastAsia" w:ascii="Times New Roman" w:hAnsi="Times New Roman" w:eastAsia="-webkit-standard" w:cs="Times New Roman"/>
          <w:i w:val="0"/>
          <w:caps w:val="0"/>
          <w:color w:val="000000"/>
          <w:spacing w:val="0"/>
          <w:sz w:val="18"/>
          <w:szCs w:val="18"/>
          <w:u w:val="none"/>
        </w:rPr>
        <w:t>(8), 1707--1791.</w:t>
      </w:r>
    </w:p>
    <w:p w14:paraId="61975DB9">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Heath, A., &amp; Di Stasio, V. (2019).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Racial discrimination in Britain, 1969--2017: A meta-analytic review of field experiments on racial discrimination in the British labour market.</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British Journal of Sociology, 70</w:t>
      </w:r>
      <w:r>
        <w:rPr>
          <w:rFonts w:hint="eastAsia" w:ascii="Times New Roman" w:hAnsi="Times New Roman" w:eastAsia="-webkit-standard" w:cs="Times New Roman"/>
          <w:i w:val="0"/>
          <w:caps w:val="0"/>
          <w:color w:val="000000"/>
          <w:spacing w:val="0"/>
          <w:sz w:val="18"/>
          <w:szCs w:val="18"/>
          <w:u w:val="none"/>
        </w:rPr>
        <w:t>(5), 1774--1798.</w:t>
      </w:r>
    </w:p>
    <w:p w14:paraId="2BC4E621">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Hennepin County Medical Examiner. (2020).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Medical examiner's report: George Floyd (Case Number ME20-966).</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Hennepin County, Minnesota.</w:t>
      </w:r>
    </w:p>
    <w:p w14:paraId="0D69BC65">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Hill Collins, P. (2019).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Intersectionality as critical social theory.</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Duke University Press.</w:t>
      </w:r>
    </w:p>
    <w:p w14:paraId="604F5ADC">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Hill, E., Tiefenthäler, A., Triebert, C., Jordan, D., Willis, H., &amp; Stein, R. (2020, May 31).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How George Floyd was killed in police custody.</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New York Times.</w:t>
      </w:r>
    </w:p>
    <w:p w14:paraId="5E6052D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HM Government. (2010).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Equality Act 2010.</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Her Majesty's Stationery Office.</w:t>
      </w:r>
    </w:p>
    <w:p w14:paraId="44D73A43">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Hochschild, A. (1998).</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King Leopold's ghost: A story of greed, terror, and heroism in colonial Africa.</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Houghton Mifflin.</w:t>
      </w:r>
    </w:p>
    <w:p w14:paraId="646CFB51">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Home Office. (2020).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Police powers and procedures: Stop and search and arrests, England and Wales.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HMSO.</w:t>
      </w:r>
    </w:p>
    <w:p w14:paraId="60D9E927">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hooks, b. (1992).</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Black looks: Race and representation.</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South End Press.</w:t>
      </w:r>
    </w:p>
    <w:p w14:paraId="6DFC39C0">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Housing and Urban Development.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Housing discrimination against racial and ethnic minorities.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HUD.</w:t>
      </w:r>
    </w:p>
    <w:p w14:paraId="069A5A21">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Hulchanski, J. D. (2019).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three cities within Toronto: Income polarization among Toronto's neighbourhoods.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University of Toronto Press.</w:t>
      </w:r>
    </w:p>
    <w:p w14:paraId="24ED9988">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Human Rights Watch. (2020).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World report 2021: United States.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Human Rights Watch.</w:t>
      </w:r>
    </w:p>
    <w:p w14:paraId="6E2A035A">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Human Rights Watch.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World report 2021: United States.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https://www.hrw.org/world-report/2021/country-chapters/united-states</w:t>
      </w:r>
    </w:p>
    <w:p w14:paraId="49531BC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ICERD. (1965).</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International Convention on the Elimination of All Forms of Racial Discrimination.</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United Nations.</w:t>
      </w:r>
    </w:p>
    <w:p w14:paraId="1C638065">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Ignatiev, N. (2014).</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How the Irish became White.</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Routledge.</w:t>
      </w:r>
    </w:p>
    <w:p w14:paraId="675549D5">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Independent Office for Police Conduct (IOPC). (2020).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IOPC disproportionality data.</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Independent Office for Police Conduct.</w:t>
      </w:r>
    </w:p>
    <w:p w14:paraId="0357251F">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Institut National de la Santé et de la Recherche Médicale.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Santé et discriminations.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INSERM.</w:t>
      </w:r>
    </w:p>
    <w:p w14:paraId="29296CF4">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Institut National de la Statistique et des Études Économiques.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Emploi, chômage, revenus du travail.</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INSEE.</w:t>
      </w:r>
    </w:p>
    <w:p w14:paraId="7B1B9CF5">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ISM-CORUM. (2020).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Testing discrimination in French labour markets.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ISM-CORUM.</w:t>
      </w:r>
    </w:p>
    <w:p w14:paraId="577F8A6C">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Jones, J. M. (1997).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Prejudice and racism (2nd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McGraw-Hill.</w:t>
      </w:r>
    </w:p>
    <w:p w14:paraId="476FC925">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Jones, T. (2020).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Bearing the body: Racial discrimination and the Black body.</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Harvard University Press.</w:t>
      </w:r>
    </w:p>
    <w:p w14:paraId="5D013EC2">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Kaba, M.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We do this 'til we free us: Abolitionist organizing and transforming justice.</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Haymarket Books.</w:t>
      </w:r>
    </w:p>
    <w:p w14:paraId="033637CA">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Kendi, I. X. (2016).</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Stamped from the beginning: The definitive history of racist ideas in America.</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Nation Books.</w:t>
      </w:r>
    </w:p>
    <w:p w14:paraId="3EFDA4A3">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Kendi, I. X. (2019).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How to be an antiracist.</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One World.</w:t>
      </w:r>
    </w:p>
    <w:p w14:paraId="05B464CE">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King, M. L., Jr. (1963).</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Letter from Birmingham Jail.</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American Friends Service Committee.</w:t>
      </w:r>
    </w:p>
    <w:p w14:paraId="5A0FFB0F">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King, M. L., Jr. (1964).</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Why we can't wait.</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Harper &amp; Row.</w:t>
      </w:r>
    </w:p>
    <w:p w14:paraId="3162E3EA">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Lawrence, K. (2020).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Racial trauma: Theory, research, and healing.</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Routledge.</w:t>
      </w:r>
    </w:p>
    <w:p w14:paraId="48368793">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Lebron, C. J. (2017).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making of Black lives matter: A brief history of an idea.</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Oxford University Press.</w:t>
      </w:r>
    </w:p>
    <w:p w14:paraId="1E50F0D5">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Lee, J. (2012).</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Civility in the city: Blacks, Jews, and Koreans in urban America.</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Harvard University Press.</w:t>
      </w:r>
    </w:p>
    <w:p w14:paraId="545491F7">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Levin, B. (2017).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Report to the nation: Hate crimes rise in U.S. cities and counties.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Center for the Study of Hate and Extremism.</w:t>
      </w:r>
    </w:p>
    <w:p w14:paraId="4B0F370D">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Lovejoy, P. E. (2000).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Transformations in slavery: A history of slavery in Africa (2nd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Cambridge University Press.</w:t>
      </w:r>
    </w:p>
    <w:p w14:paraId="61B8AB29">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Macpherson, W. (1999).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Stephen Lawrence inquiry report (Cm 4262-I).</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The Stationery Office.</w:t>
      </w:r>
    </w:p>
    <w:p w14:paraId="49FEE586">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Mamdani, M. (2001).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When victims become killers: Colonialism, nativism, and the genocide in Rwanda.</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Princeton University Press.</w:t>
      </w:r>
    </w:p>
    <w:p w14:paraId="4EF55EC4">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Mandela, N. (1994).</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Long walk to freedom.</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Little, Brown and Company.</w:t>
      </w:r>
    </w:p>
    <w:p w14:paraId="74DD481E">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Mapping Police Violence. (2020).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2020 police violence report.</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Mapping Police Violence. https://mappingpoliceviolence.org/</w:t>
      </w:r>
    </w:p>
    <w:p w14:paraId="7EE7D870">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Massey, D. S., &amp; Denton, N. A. (1993).</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American apartheid: Segregation and the making of the underclass.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Harvard University Press.</w:t>
      </w:r>
    </w:p>
    <w:p w14:paraId="5EA0ADE4">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Maynard, R. (2017).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Policing Black lives: State violence in Canada from slavery to the present.</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Fernwood Publishing.</w:t>
      </w:r>
    </w:p>
    <w:p w14:paraId="3B41D7A5">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Mbembe, A. (2017).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Critique of Black reason (L.</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Dubois, Trans.). Duke University Press.</w:t>
      </w:r>
    </w:p>
    <w:p w14:paraId="5DCA561D">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MBRRACE-UK.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Saving lives, improving mothers' care: Lessons learned to inform maternity care.</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University of Oxford.</w:t>
      </w:r>
    </w:p>
    <w:p w14:paraId="33B660C9">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McIntosh, P. (1989).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White privilege: Unpacking the invisible knapsack.</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Peace and Freedom Magazine.</w:t>
      </w:r>
    </w:p>
    <w:p w14:paraId="14DF6B30">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McKinsey &amp; Company.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Race in the workplace: The Black experience in the US private sector.</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McKinsey &amp; Company.</w:t>
      </w:r>
    </w:p>
    <w:p w14:paraId="517402E4">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Mills, C. W. (1997).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racial contract.</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Cornell University Press.</w:t>
      </w:r>
    </w:p>
    <w:p w14:paraId="3AC9D487">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Modood, T. (2007).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Multiculturalism: A civic idea.</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Polity Press.</w:t>
      </w:r>
    </w:p>
    <w:p w14:paraId="129ED59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Morris, A. (2016).</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scholar denied: W.</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E. B. Du Bois and the birth of modern sociology. University of California Press.</w:t>
      </w:r>
    </w:p>
    <w:p w14:paraId="52F65916">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Mudde, C. (2019).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far right today.</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Polity Press.</w:t>
      </w:r>
    </w:p>
    <w:p w14:paraId="6EDA5591">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Murji, K., &amp; Solomos, J. (Eds.). (2005).</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Racialization: Studies in theory and practice.</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Oxford University Press.</w:t>
      </w:r>
    </w:p>
    <w:p w14:paraId="0F089208">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NAACP.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Criminal justice fact sheet.</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NAACP Legal Defense Fund.</w:t>
      </w:r>
    </w:p>
    <w:p w14:paraId="5AC4E60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National Institute of Economic and Social Research. (2019).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Ethnicity pay gaps in Great Britain.</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NIESR.</w:t>
      </w:r>
    </w:p>
    <w:p w14:paraId="4216CC6F">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New York Times. (2020, May 31).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How George Floyd was killed in police custody.</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New York Times.</w:t>
      </w:r>
    </w:p>
    <w:p w14:paraId="79563B55">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Nguyen, T. T., Cramer, L. M., Lara-Millán, A., Nguyen, K. H., &amp; Kosik, R.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Racial/ethnic disparities in views about police use of force, perceived safety, and trust in law enforcement among US adults.</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BMC Public Health, 21</w:t>
      </w:r>
      <w:r>
        <w:rPr>
          <w:rFonts w:hint="eastAsia" w:ascii="Times New Roman" w:hAnsi="Times New Roman" w:eastAsia="-webkit-standard" w:cs="Times New Roman"/>
          <w:i w:val="0"/>
          <w:caps w:val="0"/>
          <w:color w:val="000000"/>
          <w:spacing w:val="0"/>
          <w:sz w:val="18"/>
          <w:szCs w:val="18"/>
          <w:u w:val="none"/>
        </w:rPr>
        <w:t>(1), 1--11.</w:t>
      </w:r>
    </w:p>
    <w:p w14:paraId="3F8D65D2">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Norris, P., &amp; Inglehart, R. (2019).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Cultural backlash: Trump, Brexit, and authoritarian populism.</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Cambridge University Press.</w:t>
      </w:r>
    </w:p>
    <w:p w14:paraId="4F175851">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Office for National Statistics.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Ethnicity pay gaps: 2019.</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ONS.</w:t>
      </w:r>
    </w:p>
    <w:p w14:paraId="79D18C92">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Office of the United Nations High Commissioner for Human Rights (OHCHR). (2020).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Statement by Michelle Bachelet on the death of George Floyd.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United Nations.</w:t>
      </w:r>
    </w:p>
    <w:p w14:paraId="4A24CFE6">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Olaniyi, O. (2022).</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Racial trauma and the Black diaspora: Psychological perspectives.</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African Journal of Psychology, 14</w:t>
      </w:r>
      <w:r>
        <w:rPr>
          <w:rFonts w:hint="eastAsia" w:ascii="Times New Roman" w:hAnsi="Times New Roman" w:eastAsia="-webkit-standard" w:cs="Times New Roman"/>
          <w:i w:val="0"/>
          <w:caps w:val="0"/>
          <w:color w:val="000000"/>
          <w:spacing w:val="0"/>
          <w:sz w:val="18"/>
          <w:szCs w:val="18"/>
          <w:u w:val="none"/>
        </w:rPr>
        <w:t>(2), 45--67.</w:t>
      </w:r>
    </w:p>
    <w:p w14:paraId="34E12B10">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Oliver, M. L., &amp; Shapiro, T. M. (2006).</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Black wealth / White wealth: A new perspective on racial inequality (2nd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Routledge.</w:t>
      </w:r>
    </w:p>
    <w:p w14:paraId="30996F2D">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Olusoga, D. (2020, June 11).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The toppling of Edward Colston's statue is not an attack on history --- it is history.</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Guardian.</w:t>
      </w:r>
    </w:p>
    <w:p w14:paraId="1AF5CE59">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Omi, M., &amp; Winant, H. (2015).</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Racial formation in the United States (3rd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Routledge.</w:t>
      </w:r>
    </w:p>
    <w:p w14:paraId="45446716">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Ontario Human Rights Commission. (2020).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A disparate impact: Interim report on the inquiry into racial profiling by the Toronto Police Service.</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OHRC.</w:t>
      </w:r>
    </w:p>
    <w:p w14:paraId="1CC24A2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Oreopoulos, P., &amp; Dechief, D. (2012).</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Why do some employers prefer to interview Matthew but not Samir? New evidence from Toronto, Montreal, and Vancouver.</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Canadian Public Policy, 38</w:t>
      </w:r>
      <w:r>
        <w:rPr>
          <w:rFonts w:hint="eastAsia" w:ascii="Times New Roman" w:hAnsi="Times New Roman" w:eastAsia="-webkit-standard" w:cs="Times New Roman"/>
          <w:i w:val="0"/>
          <w:caps w:val="0"/>
          <w:color w:val="000000"/>
          <w:spacing w:val="0"/>
          <w:sz w:val="18"/>
          <w:szCs w:val="18"/>
          <w:u w:val="none"/>
        </w:rPr>
        <w:t>(3), 355--385.</w:t>
      </w:r>
    </w:p>
    <w:p w14:paraId="228460AA">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Pager, D. (2007).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Marked: Race, crime, and finding work in an era of mass incarceration.</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University of Chicago Press.</w:t>
      </w:r>
    </w:p>
    <w:p w14:paraId="19DEE62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Pager, D., &amp; Shepherd, H. (2008).</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The sociology of discrimination: Racial discrimination in employment, housing, credit, and consumer markets.</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Annual Review of Sociology, 34</w:t>
      </w:r>
      <w:r>
        <w:rPr>
          <w:rFonts w:hint="eastAsia" w:ascii="Times New Roman" w:hAnsi="Times New Roman" w:eastAsia="-webkit-standard" w:cs="Times New Roman"/>
          <w:i w:val="0"/>
          <w:caps w:val="0"/>
          <w:color w:val="000000"/>
          <w:spacing w:val="0"/>
          <w:sz w:val="18"/>
          <w:szCs w:val="18"/>
          <w:u w:val="none"/>
        </w:rPr>
        <w:t>, 181--209.</w:t>
      </w:r>
    </w:p>
    <w:p w14:paraId="45CDFB1C">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Paradies, Y., Ben, J., Denson, N., Elias, A., Priest, N., Pieterse, A., ... Gee, G. (2015).</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Racism as a determinant of health: A systematic review and meta-analysis.</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PLOS ONE, 10</w:t>
      </w:r>
      <w:r>
        <w:rPr>
          <w:rFonts w:hint="eastAsia" w:ascii="Times New Roman" w:hAnsi="Times New Roman" w:eastAsia="-webkit-standard" w:cs="Times New Roman"/>
          <w:i w:val="0"/>
          <w:caps w:val="0"/>
          <w:color w:val="000000"/>
          <w:spacing w:val="0"/>
          <w:sz w:val="18"/>
          <w:szCs w:val="18"/>
          <w:u w:val="none"/>
        </w:rPr>
        <w:t>(9), e0138511.</w:t>
      </w:r>
    </w:p>
    <w:p w14:paraId="71292A05">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Patton, M. Q. (2015).</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Qualitative research and evaluation methods (4th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Sage Publications.</w:t>
      </w:r>
    </w:p>
    <w:p w14:paraId="6F1E2C35">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Payne, G., &amp; Payne, J. (2004).</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Key concepts in social research.</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Sage Publications.</w:t>
      </w:r>
    </w:p>
    <w:p w14:paraId="5D8F3047">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Pew Research Center. (2016).</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On views of race and inequality, Blacks and Whites are worlds apart.</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Pew Research Center.</w:t>
      </w:r>
    </w:p>
    <w:p w14:paraId="24D4C4AF">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Pew Research Center. (2020).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Amid protests, majorities express support for the Black Lives Matter movement.</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https://www.pewresearch.org/social-trends/2020/06/12/</w:t>
      </w:r>
    </w:p>
    <w:p w14:paraId="748D6F7E">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Phillips, M. (2010).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Windrush: The irresistible rise of multi-racial Britain.</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HarperCollins.</w:t>
      </w:r>
    </w:p>
    <w:p w14:paraId="0A57FD02">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Public Health Agency of Canada.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Key health inequalities in Canada: A national portrait.</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PHAC.</w:t>
      </w:r>
    </w:p>
    <w:p w14:paraId="73B5253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Quijano, A. (2000).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Coloniality of power and Eurocentrism in Latin America.</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International Sociology, 15</w:t>
      </w:r>
      <w:r>
        <w:rPr>
          <w:rFonts w:hint="eastAsia" w:ascii="Times New Roman" w:hAnsi="Times New Roman" w:eastAsia="-webkit-standard" w:cs="Times New Roman"/>
          <w:i w:val="0"/>
          <w:caps w:val="0"/>
          <w:color w:val="000000"/>
          <w:spacing w:val="0"/>
          <w:sz w:val="18"/>
          <w:szCs w:val="18"/>
          <w:u w:val="none"/>
        </w:rPr>
        <w:t>(2), 215--232.</w:t>
      </w:r>
    </w:p>
    <w:p w14:paraId="530156A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Ray, V. (2019).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A theory of racialized organizations.</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American Sociological Review, 84</w:t>
      </w:r>
      <w:r>
        <w:rPr>
          <w:rFonts w:hint="eastAsia" w:ascii="Times New Roman" w:hAnsi="Times New Roman" w:eastAsia="-webkit-standard" w:cs="Times New Roman"/>
          <w:i w:val="0"/>
          <w:caps w:val="0"/>
          <w:color w:val="000000"/>
          <w:spacing w:val="0"/>
          <w:sz w:val="18"/>
          <w:szCs w:val="18"/>
          <w:u w:val="none"/>
        </w:rPr>
        <w:t>(1), 26--53.</w:t>
      </w:r>
    </w:p>
    <w:p w14:paraId="1CCC5A11">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Ritchie, A. J. (2017).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Invisible no more: Police violence against Black women and women of color.</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Beacon Press.</w:t>
      </w:r>
    </w:p>
    <w:p w14:paraId="0C8A869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Rodney, W. (1972).</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How Europe underdeveloped Africa.</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Bogle-L'Ouverture Publications.</w:t>
      </w:r>
    </w:p>
    <w:p w14:paraId="166871B7">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Ross, C. T. (2015).</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A multi-level Bayesian analysis of racial bias in police shootings at the county-level in the United States, 2011--2014.</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PLOS ONE, 10</w:t>
      </w:r>
      <w:r>
        <w:rPr>
          <w:rFonts w:hint="eastAsia" w:ascii="Times New Roman" w:hAnsi="Times New Roman" w:eastAsia="-webkit-standard" w:cs="Times New Roman"/>
          <w:i w:val="0"/>
          <w:caps w:val="0"/>
          <w:color w:val="000000"/>
          <w:spacing w:val="0"/>
          <w:sz w:val="18"/>
          <w:szCs w:val="18"/>
          <w:u w:val="none"/>
        </w:rPr>
        <w:t>(11), e0141854.</w:t>
      </w:r>
    </w:p>
    <w:p w14:paraId="5E9F7339">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Rothstein, R. (2017).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color of law: A forgotten history of how our government segregated America.</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Liveright Publishing.</w:t>
      </w:r>
    </w:p>
    <w:p w14:paraId="512879F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Runnymede Trust. (2020).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colour of money: How racial inequalities obstruct a fair economy.</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Runnymede Trust.</w:t>
      </w:r>
    </w:p>
    <w:p w14:paraId="7ECBA593">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Said, E. W. (1978).</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Orientalism.</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Pantheon Books.</w:t>
      </w:r>
    </w:p>
    <w:p w14:paraId="34DE70AA">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Saunders, M., Lewis, P., &amp; Thornhill, A. (2019).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Research methods for business students (8th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Pearson.</w:t>
      </w:r>
    </w:p>
    <w:p w14:paraId="640DA870">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Savin-Baden, M., &amp; Major, C. H. (2013).</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Qualitative research: The essential guide to theory and practice.</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Routledge.</w:t>
      </w:r>
    </w:p>
    <w:p w14:paraId="15512E5A">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Sawyer, J., &amp; Gampa, A. (2018).</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Implicit and explicit racial attitudes changed during Black Lives Matter.</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Personality and Social Psychology Bulletin, 44</w:t>
      </w:r>
      <w:r>
        <w:rPr>
          <w:rFonts w:hint="eastAsia" w:ascii="Times New Roman" w:hAnsi="Times New Roman" w:eastAsia="-webkit-standard" w:cs="Times New Roman"/>
          <w:i w:val="0"/>
          <w:caps w:val="0"/>
          <w:color w:val="000000"/>
          <w:spacing w:val="0"/>
          <w:sz w:val="18"/>
          <w:szCs w:val="18"/>
          <w:u w:val="none"/>
        </w:rPr>
        <w:t>(7), 1039--1059.</w:t>
      </w:r>
    </w:p>
    <w:p w14:paraId="5DE62E7D">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Sawyer, W. (2020).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Visualizing the racial wealth gap in criminal justice.</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Prison Policy Initiative.</w:t>
      </w:r>
    </w:p>
    <w:p w14:paraId="3AD858F7">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Schutte, G. (2016).</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Structural racism and post-apartheid South Africa.</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Journal of African Studies, 18</w:t>
      </w:r>
      <w:r>
        <w:rPr>
          <w:rFonts w:hint="eastAsia" w:ascii="Times New Roman" w:hAnsi="Times New Roman" w:eastAsia="-webkit-standard" w:cs="Times New Roman"/>
          <w:i w:val="0"/>
          <w:caps w:val="0"/>
          <w:color w:val="000000"/>
          <w:spacing w:val="0"/>
          <w:sz w:val="18"/>
          <w:szCs w:val="18"/>
          <w:u w:val="none"/>
        </w:rPr>
        <w:t>(1), 34--56.</w:t>
      </w:r>
    </w:p>
    <w:p w14:paraId="55B77FEC">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Shah, P. (2023).</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Implicit bias and systemic racism in institutional settings.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Journal of Race, Ethnicity, and Politics, 8(1), 45--67.</w:t>
      </w:r>
    </w:p>
    <w:p w14:paraId="3AC72BFA">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Shelter UK.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For rent: How racial discrimination affects Black and minority ethnic renters.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Shelter.</w:t>
      </w:r>
    </w:p>
    <w:p w14:paraId="6208D3C4">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Southern Poverty Law Center. (2017).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Hate in America: The spread of hate groups.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SPLC.</w:t>
      </w:r>
    </w:p>
    <w:p w14:paraId="30EBC455">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Southern Poverty Law Center.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Year in hate and extremism 2020.</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SPLC.</w:t>
      </w:r>
    </w:p>
    <w:p w14:paraId="2D004C33">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caps w:val="0"/>
          <w:color w:val="000000"/>
          <w:spacing w:val="0"/>
          <w:sz w:val="18"/>
          <w:szCs w:val="18"/>
          <w:u w:val="none"/>
        </w:rPr>
        <w:t>State of Minnesota v. Derek Michael Chauvin</w:t>
      </w:r>
      <w:r>
        <w:rPr>
          <w:rFonts w:hint="eastAsia" w:ascii="Times New Roman" w:hAnsi="Times New Roman" w:eastAsia="-webkit-standard" w:cs="Times New Roman"/>
          <w:i w:val="0"/>
          <w:caps w:val="0"/>
          <w:color w:val="000000"/>
          <w:spacing w:val="0"/>
          <w:sz w:val="18"/>
          <w:szCs w:val="18"/>
          <w:u w:val="none"/>
        </w:rPr>
        <w:t>. (2021). Court File No. 27-CR-20-12646. Hennepin County District Court.</w:t>
      </w:r>
    </w:p>
    <w:p w14:paraId="7F5711D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Statistics Canada.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Canada at a glance: Diversity and immigration.</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Statistics Canada.</w:t>
      </w:r>
    </w:p>
    <w:p w14:paraId="11908270">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Steele, C. M. (2010).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Whistling Vivaldi: And other clues to how stereotypes affect us.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W. W. Norton &amp; Company.</w:t>
      </w:r>
    </w:p>
    <w:p w14:paraId="4873CCD8">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Steele, C. M., &amp; Aronson, J. (1995).</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Stereotype threat and the intellectual test performance of African Americans.</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Journal of Personality and Social Psychology, 69</w:t>
      </w:r>
      <w:r>
        <w:rPr>
          <w:rFonts w:hint="eastAsia" w:ascii="Times New Roman" w:hAnsi="Times New Roman" w:eastAsia="-webkit-standard" w:cs="Times New Roman"/>
          <w:i w:val="0"/>
          <w:caps w:val="0"/>
          <w:color w:val="000000"/>
          <w:spacing w:val="0"/>
          <w:sz w:val="18"/>
          <w:szCs w:val="18"/>
          <w:u w:val="none"/>
        </w:rPr>
        <w:t>(5), 797--811.</w:t>
      </w:r>
    </w:p>
    <w:p w14:paraId="0D3CE6B4">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Sue, D. W. (2010).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Microaggressions in everyday life: Race, gender, and sexual orientation.</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John Wiley &amp; Sons.</w:t>
      </w:r>
    </w:p>
    <w:p w14:paraId="62D0219C">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Sue, D. W., Capodilupo, C. M., Torino, G. C., Bucceri, J. M., Holder, A. M. B., Nadal, K. L., &amp; Esquilin, M. (2007).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Racial microaggressions in everyday life.</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American Psychologist, 62</w:t>
      </w:r>
      <w:r>
        <w:rPr>
          <w:rFonts w:hint="eastAsia" w:ascii="Times New Roman" w:hAnsi="Times New Roman" w:eastAsia="-webkit-standard" w:cs="Times New Roman"/>
          <w:i w:val="0"/>
          <w:caps w:val="0"/>
          <w:color w:val="000000"/>
          <w:spacing w:val="0"/>
          <w:sz w:val="18"/>
          <w:szCs w:val="18"/>
          <w:u w:val="none"/>
        </w:rPr>
        <w:t>(4), 271--286.</w:t>
      </w:r>
    </w:p>
    <w:p w14:paraId="21152901">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Tajfel, H., &amp; Turner, J. C. (1979).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An integrative theory of intergroup conflict.</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In W. G. Austin &amp; S. Worchel (Eds.),</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social psychology of intergroup relations</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(pp. 33--47). Brooks/Cole.</w:t>
      </w:r>
    </w:p>
    <w:p w14:paraId="2D0B3B87">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Tarrow, S. (2011).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Power in movement: Social movements and contentious politics (3rd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Cambridge University Press.</w:t>
      </w:r>
    </w:p>
    <w:p w14:paraId="0C15BFB7">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Taylor, K. (2016).</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From #BlackLivesMatter to Black liberation.</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Haymarket Books.</w:t>
      </w:r>
    </w:p>
    <w:p w14:paraId="1737A5E3">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Tesler, M., &amp; Sears, D. O. (2010).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Obama's race: The 2008 election and the dream of a post-racial America.</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University of Chicago Press.</w:t>
      </w:r>
    </w:p>
    <w:p w14:paraId="19ACDEF5">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Turner, M. A., Santos, R., Levy, D. K., Wissoker, D., Aranda, C., &amp; Pitingolo, R. (2013).</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Housing discrimination against racial and ethnic minorities 2012.</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U.S. Department of Housing and Urban Development.</w:t>
      </w:r>
    </w:p>
    <w:p w14:paraId="4C7E9E31">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Tutu, D. (1999).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No future without forgiveness.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Doubleday.</w:t>
      </w:r>
    </w:p>
    <w:p w14:paraId="7C681EEE">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Tynes, B. M., Giang, M. T., Williams, D. R., &amp; Thompson, G. N. (2008).</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Online racial discrimination and psychological adjustment among adolescents.</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Journal of Adolescent Health, 43</w:t>
      </w:r>
      <w:r>
        <w:rPr>
          <w:rFonts w:hint="eastAsia" w:ascii="Times New Roman" w:hAnsi="Times New Roman" w:eastAsia="-webkit-standard" w:cs="Times New Roman"/>
          <w:i w:val="0"/>
          <w:caps w:val="0"/>
          <w:color w:val="000000"/>
          <w:spacing w:val="0"/>
          <w:sz w:val="18"/>
          <w:szCs w:val="18"/>
          <w:u w:val="none"/>
        </w:rPr>
        <w:t>(6), 565--569.</w:t>
      </w:r>
    </w:p>
    <w:p w14:paraId="3257515D">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U.S. Department of Justice. (2015).</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Investigation of the Ferguson Police Department.</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United States Department of Justice.</w:t>
      </w:r>
    </w:p>
    <w:p w14:paraId="5F1BB516">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UDHR. (1948).</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Universal Declaration of Human Rights.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United Nations.</w:t>
      </w:r>
    </w:p>
    <w:p w14:paraId="290AA71A">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UNHCR. (2020).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Report on racism and human rights.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United Nations High Commissioner for Refugees.</w:t>
      </w:r>
    </w:p>
    <w:p w14:paraId="66D5793D">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United Nations Human Rights Council. (2020).</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Promotion and protection of the human rights and fundamental freedoms of Africans and of people of African descent against excessive use of force and other human rights violations by law enforcement officers.</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UN Human Rights Council Resolution A/HRC/RES/43/1.</w:t>
      </w:r>
    </w:p>
    <w:p w14:paraId="2D7D11BF">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United Nations Human Rights Council.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Promotion and protection of the human rights of Africans and people of African descent (A/HRC/47/53).</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United Nations.</w:t>
      </w:r>
    </w:p>
    <w:p w14:paraId="39299959">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United Nations Human Rights Office.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Human rights and law enforcement.</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OHCHR.</w:t>
      </w:r>
    </w:p>
    <w:p w14:paraId="1B8308DC">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United Nations. (1965).</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International Convention on the Elimination of All Forms of Racial Discrimination.</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United Nations Treaty Series, 660</w:t>
      </w:r>
      <w:r>
        <w:rPr>
          <w:rFonts w:hint="eastAsia" w:ascii="Times New Roman" w:hAnsi="Times New Roman" w:eastAsia="-webkit-standard" w:cs="Times New Roman"/>
          <w:i w:val="0"/>
          <w:caps w:val="0"/>
          <w:color w:val="000000"/>
          <w:spacing w:val="0"/>
          <w:sz w:val="18"/>
          <w:szCs w:val="18"/>
          <w:u w:val="none"/>
        </w:rPr>
        <w:t>, 195.</w:t>
      </w:r>
    </w:p>
    <w:p w14:paraId="1D6B22D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United States Department of Justice. (2022).</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Three former Minneapolis police officers convicted of federal civil rights charges in George Floyd's death.</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U.S. DOJ Press Release.</w:t>
      </w:r>
    </w:p>
    <w:p w14:paraId="687A2FD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Vitale, A. S. (2017).</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end of policing.</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Verso Books.</w:t>
      </w:r>
    </w:p>
    <w:p w14:paraId="72FA322D">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Washington Post. (2020a).</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Fatal force: Police shootings database.</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Washington Post.</w:t>
      </w:r>
      <w:r>
        <w:rPr>
          <w:rFonts w:hint="eastAsia" w:ascii="Times New Roman" w:hAnsi="Times New Roman" w:eastAsia="-webkit-standard" w:cs="Times New Roman"/>
          <w:i w:val="0"/>
          <w:caps w:val="0"/>
          <w:color w:val="000000"/>
          <w:spacing w:val="0"/>
          <w:sz w:val="18"/>
          <w:szCs w:val="18"/>
          <w:u w:val="none"/>
        </w:rPr>
        <w:t>https://www.washingtonpost.com/graphics/investigations/police-shootings-database/</w:t>
      </w:r>
    </w:p>
    <w:p w14:paraId="5729DBEB">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Washington Post. (2020b).</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U.S. police training and time requirements.</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Washington Post.</w:t>
      </w:r>
    </w:p>
    <w:p w14:paraId="7A3D8A9C">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Wieviorka, M. (1995).</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The arena of racism.</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Sage Publications.</w:t>
      </w:r>
    </w:p>
    <w:p w14:paraId="310955DD">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Williams, D. R., &amp; Mohammed, S. A. (2009).</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Discrimination and racial disparities in health: Evidence and needed research.</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Journal of Behavioral Medicine, 32</w:t>
      </w:r>
      <w:r>
        <w:rPr>
          <w:rFonts w:hint="eastAsia" w:ascii="Times New Roman" w:hAnsi="Times New Roman" w:eastAsia="-webkit-standard" w:cs="Times New Roman"/>
          <w:i w:val="0"/>
          <w:caps w:val="0"/>
          <w:color w:val="000000"/>
          <w:spacing w:val="0"/>
          <w:sz w:val="18"/>
          <w:szCs w:val="18"/>
          <w:u w:val="none"/>
        </w:rPr>
        <w:t>(1), 20--47.</w:t>
      </w:r>
    </w:p>
    <w:p w14:paraId="3763F6EF">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Williams, E. (1944).</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Capitalism and slavery.</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University of North Carolina Press.</w:t>
      </w:r>
    </w:p>
    <w:p w14:paraId="21187981">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World Health Organization. (2021).</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Social determinants of health.</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https://www.who.int/health-topics/social-determinants-of-health</w:t>
      </w:r>
    </w:p>
    <w:p w14:paraId="0BE04AA4">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Wynter, S. (2003).</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Unsettling the coloniality of being/power/truth/freedom.</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CR: The New Centennial Review, 3</w:t>
      </w:r>
      <w:r>
        <w:rPr>
          <w:rFonts w:hint="eastAsia" w:ascii="Times New Roman" w:hAnsi="Times New Roman" w:eastAsia="-webkit-standard" w:cs="Times New Roman"/>
          <w:i w:val="0"/>
          <w:caps w:val="0"/>
          <w:color w:val="000000"/>
          <w:spacing w:val="0"/>
          <w:sz w:val="18"/>
          <w:szCs w:val="18"/>
          <w:u w:val="none"/>
        </w:rPr>
        <w:t>(3), 257--337.</w:t>
      </w:r>
    </w:p>
    <w:p w14:paraId="3FD87F94">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Yin, R. K. (2018).</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Case study research and applications: Design and methods (6th ed.).</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Sage Publications.</w:t>
      </w:r>
    </w:p>
    <w:p w14:paraId="0D5B0372">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Yudell, M., Roberts, D., DeSalle, R., &amp; Tishkoff, S. (2016).</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Taking race out of human genetics.</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Science, 351</w:t>
      </w:r>
      <w:r>
        <w:rPr>
          <w:rFonts w:hint="eastAsia" w:ascii="Times New Roman" w:hAnsi="Times New Roman" w:eastAsia="-webkit-standard" w:cs="Times New Roman"/>
          <w:i w:val="0"/>
          <w:caps w:val="0"/>
          <w:color w:val="000000"/>
          <w:spacing w:val="0"/>
          <w:sz w:val="18"/>
          <w:szCs w:val="18"/>
          <w:u w:val="none"/>
        </w:rPr>
        <w:t>(6273), 564--565.</w:t>
      </w:r>
    </w:p>
    <w:p w14:paraId="0815B86F">
      <w:pPr>
        <w:pStyle w:val="10"/>
        <w:widowControl/>
        <w:spacing w:beforeAutospacing="0" w:after="0" w:afterAutospacing="0" w:line="36" w:lineRule="atLeast"/>
        <w:ind w:left="54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Times New Roman" w:hAnsi="Times New Roman" w:eastAsia="-webkit-standard" w:cs="Times New Roman"/>
          <w:i w:val="0"/>
          <w:caps w:val="0"/>
          <w:color w:val="000000"/>
          <w:spacing w:val="0"/>
          <w:sz w:val="18"/>
          <w:szCs w:val="18"/>
          <w:u w:val="none"/>
        </w:rPr>
        <w:t>Zuberi, T., &amp; Bonilla-Silva, E. (Eds.). (2008).</w:t>
      </w:r>
      <w:r>
        <w:rPr>
          <w:rFonts w:hint="eastAsia" w:ascii="Times New Roman" w:hAnsi="Times New Roman" w:eastAsia="-webkit-standard" w:cs="Times New Roman"/>
          <w:i w:val="0"/>
          <w:caps w:val="0"/>
          <w:color w:val="000000"/>
          <w:spacing w:val="0"/>
          <w:sz w:val="18"/>
          <w:szCs w:val="18"/>
          <w:u w:val="none"/>
        </w:rPr>
        <w:t> </w:t>
      </w:r>
      <w:r>
        <w:rPr>
          <w:rFonts w:hint="eastAsia" w:ascii="Times New Roman" w:hAnsi="Times New Roman" w:eastAsia="-webkit-standard" w:cs="Times New Roman"/>
          <w:i/>
          <w:caps w:val="0"/>
          <w:color w:val="000000"/>
          <w:spacing w:val="0"/>
          <w:sz w:val="18"/>
          <w:szCs w:val="18"/>
          <w:u w:val="none"/>
        </w:rPr>
        <w:t>White logic, White methods: Racism and methodology.</w:t>
      </w:r>
      <w:r>
        <w:rPr>
          <w:rFonts w:hint="eastAsia" w:ascii="Times New Roman" w:hAnsi="Times New Roman" w:eastAsia="-webkit-standard" w:cs="Times New Roman"/>
          <w:i/>
          <w:caps w:val="0"/>
          <w:color w:val="000000"/>
          <w:spacing w:val="0"/>
          <w:sz w:val="18"/>
          <w:szCs w:val="18"/>
          <w:u w:val="none"/>
        </w:rPr>
        <w:t> </w:t>
      </w:r>
      <w:r>
        <w:rPr>
          <w:rFonts w:hint="eastAsia" w:ascii="Times New Roman" w:hAnsi="Times New Roman" w:eastAsia="-webkit-standard" w:cs="Times New Roman"/>
          <w:i w:val="0"/>
          <w:caps w:val="0"/>
          <w:color w:val="000000"/>
          <w:spacing w:val="0"/>
          <w:sz w:val="18"/>
          <w:szCs w:val="18"/>
          <w:u w:val="none"/>
        </w:rPr>
        <w:t>Rowman &amp; Littlefield.</w:t>
      </w:r>
    </w:p>
    <w:p w14:paraId="44F30D79">
      <w:pPr>
        <w:spacing w:before="240" w:after="120"/>
        <w:rPr>
          <w:rFonts w:hint="default" w:ascii="Times New Roman" w:hAnsi="Times New Roman" w:eastAsia="Times New Roman" w:cs="Times New Roman"/>
          <w:b w:val="0"/>
          <w:bCs w:val="0"/>
          <w:sz w:val="24"/>
          <w:szCs w:val="24"/>
        </w:rPr>
      </w:pPr>
      <w:bookmarkStart w:id="0" w:name="_GoBack"/>
      <w:bookmarkEnd w:id="0"/>
    </w:p>
    <w:p w14:paraId="2D5F9CE4">
      <w:pPr>
        <w:spacing w:before="240" w:after="120"/>
        <w:rPr>
          <w:rFonts w:hint="default" w:ascii="Times New Roman" w:hAnsi="Times New Roman" w:eastAsia="Times New Roman" w:cs="Times New Roman"/>
          <w:b w:val="0"/>
          <w:bCs w:val="0"/>
          <w:sz w:val="24"/>
          <w:szCs w:val="24"/>
        </w:rPr>
      </w:pPr>
    </w:p>
    <w:p w14:paraId="5438774F">
      <w:pPr>
        <w:spacing w:before="240" w:after="120"/>
        <w:rPr>
          <w:rFonts w:hint="default" w:ascii="Times New Roman" w:hAnsi="Times New Roman" w:eastAsia="Times New Roman" w:cs="Times New Roman"/>
          <w:b w:val="0"/>
          <w:bCs w:val="0"/>
          <w:sz w:val="24"/>
          <w:szCs w:val="24"/>
        </w:rPr>
      </w:pPr>
    </w:p>
    <w:sectPr>
      <w:pgSz w:w="12240" w:h="15840"/>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0000000000000000000"/>
    <w:charset w:val="86"/>
    <w:family w:val="auto"/>
    <w:pitch w:val="default"/>
    <w:sig w:usb0="00000000" w:usb1="00000000" w:usb2="00000000" w:usb3="00000000" w:csb0="00000000"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imSun">
    <w:panose1 w:val="02010600030101010101"/>
    <w:charset w:val="86"/>
    <w:family w:val="auto"/>
    <w:pitch w:val="default"/>
    <w:sig w:usb0="00000000" w:usb1="00000000" w:usb2="00000006" w:usb3="00000000" w:csb0="00040001"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00000000" w:usb1="00000000" w:usb2="0000003F" w:usb3="00000000" w:csb0="603F01FF" w:csb1="FFFF0000"/>
  </w:font>
  <w:font w:name="-webkit-standard">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AF247BA"/>
    <w:multiLevelType w:val="multilevel"/>
    <w:tmpl w:val="FAF247BA"/>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isplayHorizontalDrawingGridEvery w:val="1"/>
  <w:displayVerticalDrawingGridEvery w:val="1"/>
  <w:noPunctuationKerning w:val="1"/>
  <w:compat>
    <w:ulTrailSpace/>
    <w:doNotBreakWrappedTables/>
    <w:doNotWrapTextWithPunct/>
    <w:doNotUseEastAsianBreakRules/>
    <w:compatSetting w:name="compatibilityMode" w:uri="http://schemas.microsoft.com/office/word" w:val="15"/>
  </w:compat>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imes New Roman" w:cs="Times New Roman"/>
      <w:sz w:val="24"/>
      <w:szCs w:val="24"/>
    </w:rPr>
  </w:style>
  <w:style w:type="paragraph" w:styleId="2">
    <w:name w:val="heading 1"/>
    <w:next w:val="1"/>
    <w:qFormat/>
    <w:uiPriority w:val="0"/>
    <w:pPr>
      <w:spacing w:before="400" w:after="200"/>
      <w:outlineLvl w:val="0"/>
    </w:pPr>
    <w:rPr>
      <w:rFonts w:ascii="Times New Roman" w:hAnsi="Times New Roman" w:eastAsia="Times New Roman" w:cs="Times New Roman"/>
      <w:b/>
      <w:bCs/>
      <w:sz w:val="28"/>
      <w:szCs w:val="28"/>
    </w:rPr>
  </w:style>
  <w:style w:type="paragraph" w:styleId="3">
    <w:name w:val="heading 2"/>
    <w:next w:val="1"/>
    <w:qFormat/>
    <w:uiPriority w:val="0"/>
    <w:pPr>
      <w:spacing w:before="300" w:after="160"/>
      <w:outlineLvl w:val="1"/>
    </w:pPr>
    <w:rPr>
      <w:rFonts w:ascii="Times New Roman" w:hAnsi="Times New Roman" w:eastAsia="Times New Roman" w:cs="Times New Roman"/>
      <w:b/>
      <w:bCs/>
      <w:sz w:val="26"/>
      <w:szCs w:val="26"/>
    </w:rPr>
  </w:style>
  <w:style w:type="paragraph" w:styleId="4">
    <w:name w:val="heading 3"/>
    <w:next w:val="1"/>
    <w:qFormat/>
    <w:uiPriority w:val="0"/>
    <w:rPr>
      <w:rFonts w:ascii="Times New Roman" w:hAnsi="Times New Roman" w:eastAsia="Times New Roman" w:cs="Times New Roman"/>
      <w:color w:val="1F4D78"/>
      <w:sz w:val="24"/>
      <w:szCs w:val="24"/>
    </w:rPr>
  </w:style>
  <w:style w:type="paragraph" w:styleId="5">
    <w:name w:val="heading 4"/>
    <w:next w:val="1"/>
    <w:qFormat/>
    <w:uiPriority w:val="0"/>
    <w:rPr>
      <w:rFonts w:ascii="Times New Roman" w:hAnsi="Times New Roman" w:eastAsia="Times New Roman" w:cs="Times New Roman"/>
      <w:i/>
      <w:iCs/>
      <w:color w:val="2E74B5"/>
      <w:sz w:val="24"/>
      <w:szCs w:val="24"/>
    </w:rPr>
  </w:style>
  <w:style w:type="paragraph" w:styleId="6">
    <w:name w:val="heading 5"/>
    <w:next w:val="1"/>
    <w:qFormat/>
    <w:uiPriority w:val="0"/>
    <w:rPr>
      <w:rFonts w:ascii="Times New Roman" w:hAnsi="Times New Roman" w:eastAsia="Times New Roman" w:cs="Times New Roman"/>
      <w:color w:val="2E74B5"/>
      <w:sz w:val="24"/>
      <w:szCs w:val="24"/>
    </w:rPr>
  </w:style>
  <w:style w:type="paragraph" w:styleId="7">
    <w:name w:val="heading 6"/>
    <w:next w:val="1"/>
    <w:qFormat/>
    <w:uiPriority w:val="0"/>
    <w:rPr>
      <w:rFonts w:ascii="Times New Roman" w:hAnsi="Times New Roman" w:eastAsia="Times New Roman" w:cs="Times New Roman"/>
      <w:color w:val="1F4D78"/>
      <w:sz w:val="24"/>
      <w:szCs w:val="24"/>
    </w:rPr>
  </w:style>
  <w:style w:type="character" w:default="1" w:styleId="12">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styleId="8">
    <w:name w:val="endnote text"/>
    <w:link w:val="20"/>
    <w:unhideWhenUsed/>
    <w:qFormat/>
    <w:uiPriority w:val="99"/>
    <w:pPr>
      <w:spacing w:after="0" w:line="240" w:lineRule="auto"/>
    </w:pPr>
    <w:rPr>
      <w:rFonts w:ascii="Times New Roman" w:hAnsi="Times New Roman" w:eastAsia="Times New Roman" w:cs="Times New Roman"/>
      <w:sz w:val="20"/>
      <w:szCs w:val="20"/>
    </w:rPr>
  </w:style>
  <w:style w:type="paragraph" w:styleId="9">
    <w:name w:val="footnote text"/>
    <w:link w:val="19"/>
    <w:unhideWhenUsed/>
    <w:qFormat/>
    <w:uiPriority w:val="99"/>
    <w:pPr>
      <w:spacing w:after="0" w:line="240" w:lineRule="auto"/>
    </w:pPr>
    <w:rPr>
      <w:rFonts w:ascii="Times New Roman" w:hAnsi="Times New Roman" w:eastAsia="Times New Roman" w:cs="Times New Roman"/>
      <w:sz w:val="20"/>
      <w:szCs w:val="20"/>
    </w:rPr>
  </w:style>
  <w:style w:type="paragraph" w:styleId="10">
    <w:name w:val="Normal (Web)"/>
    <w:basedOn w:val="1"/>
    <w:uiPriority w:val="0"/>
    <w:rPr>
      <w:sz w:val="24"/>
      <w:szCs w:val="24"/>
    </w:rPr>
  </w:style>
  <w:style w:type="paragraph" w:styleId="11">
    <w:name w:val="Title"/>
    <w:qFormat/>
    <w:uiPriority w:val="0"/>
    <w:rPr>
      <w:rFonts w:ascii="Times New Roman" w:hAnsi="Times New Roman" w:eastAsia="Times New Roman" w:cs="Times New Roman"/>
      <w:sz w:val="56"/>
      <w:szCs w:val="56"/>
    </w:rPr>
  </w:style>
  <w:style w:type="character" w:styleId="13">
    <w:name w:val="endnote reference"/>
    <w:unhideWhenUsed/>
    <w:qFormat/>
    <w:uiPriority w:val="99"/>
    <w:rPr>
      <w:vertAlign w:val="superscript"/>
    </w:rPr>
  </w:style>
  <w:style w:type="character" w:styleId="14">
    <w:name w:val="footnote reference"/>
    <w:unhideWhenUsed/>
    <w:qFormat/>
    <w:uiPriority w:val="99"/>
    <w:rPr>
      <w:vertAlign w:val="superscript"/>
    </w:rPr>
  </w:style>
  <w:style w:type="character" w:styleId="15">
    <w:name w:val="Hyperlink"/>
    <w:unhideWhenUsed/>
    <w:qFormat/>
    <w:uiPriority w:val="99"/>
    <w:rPr>
      <w:color w:val="0563C1"/>
      <w:u w:val="single"/>
    </w:rPr>
  </w:style>
  <w:style w:type="paragraph" w:customStyle="1" w:styleId="17">
    <w:name w:val="Strong1"/>
    <w:qFormat/>
    <w:uiPriority w:val="0"/>
    <w:rPr>
      <w:rFonts w:ascii="Times New Roman" w:hAnsi="Times New Roman" w:eastAsia="Times New Roman" w:cs="Times New Roman"/>
      <w:b/>
      <w:bCs/>
      <w:sz w:val="24"/>
      <w:szCs w:val="24"/>
    </w:rPr>
  </w:style>
  <w:style w:type="paragraph" w:customStyle="1" w:styleId="18">
    <w:name w:val="List Paragraph"/>
    <w:qFormat/>
    <w:uiPriority w:val="0"/>
    <w:rPr>
      <w:rFonts w:ascii="Times New Roman" w:hAnsi="Times New Roman" w:eastAsia="Times New Roman" w:cs="Times New Roman"/>
      <w:sz w:val="24"/>
      <w:szCs w:val="24"/>
    </w:rPr>
  </w:style>
  <w:style w:type="character" w:customStyle="1" w:styleId="19">
    <w:name w:val="Footnote Text Char"/>
    <w:link w:val="9"/>
    <w:unhideWhenUsed/>
    <w:qFormat/>
    <w:uiPriority w:val="99"/>
    <w:rPr>
      <w:sz w:val="20"/>
      <w:szCs w:val="20"/>
    </w:rPr>
  </w:style>
  <w:style w:type="character" w:customStyle="1" w:styleId="20">
    <w:name w:val="Endnote Text Char"/>
    <w:link w:val="8"/>
    <w:unhideWhenUsed/>
    <w:qFormat/>
    <w:uiPriority w:val="99"/>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62</Pages>
  <Words>1037</Words>
  <Characters>5870</Characters>
  <Lines>0</Lines>
  <Paragraphs>0</Paragraphs>
  <TotalTime>0</TotalTime>
  <ScaleCrop>false</ScaleCrop>
  <LinksUpToDate>false</LinksUpToDate>
  <CharactersWithSpaces>6892</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2411-12-30T01:00:00Z</dcterms:created>
  <dc:creator>Un-named</dc:creator>
  <cp:lastModifiedBy>iPhone</cp:lastModifiedBy>
  <dcterms:modified xsi:type="dcterms:W3CDTF">2026-07-29T12:52:51Z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35BB7E9ED93A44FEAE8845D55C20FDD2_13</vt:lpwstr>
  </property>
  <property fmtid="{D5CDD505-2E9C-101B-9397-08002B2CF9AE}" pid="3" name="KSOProductBuildVer">
    <vt:lpwstr>3081-26.7.0</vt:lpwstr>
  </property>
  <property fmtid="{D5CDD505-2E9C-101B-9397-08002B2CF9AE}" pid="4" name="KSOTemplateDocerSaveRecord">
    <vt:lpwstr>eyJoZGlkIjoiNGYwY2I1Y2EyODRhOTI1YThjMDY2OWU2MDBmYmJmMzEifQ==</vt:lpwstr>
  </property>
</Properties>
</file>