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59743">
      <w:pPr>
        <w:pStyle w:val="2"/>
        <w:pageBreakBefore w:val="0"/>
        <w:widowControl/>
        <w:kinsoku/>
        <w:wordWrap/>
        <w:overflowPunct/>
        <w:topLinePunct w:val="0"/>
        <w:autoSpaceDE/>
        <w:autoSpaceDN/>
        <w:bidi w:val="0"/>
        <w:adjustRightInd/>
        <w:snapToGrid/>
        <w:spacing w:before="0" w:beforeAutospacing="0" w:after="0" w:afterAutospacing="0"/>
        <w:textAlignment w:val="auto"/>
      </w:pPr>
      <w:r>
        <w:rPr>
          <w:lang w:val="en-US"/>
        </w:rPr>
        <w:t xml:space="preserve">AN EVALUATION OF THE </w:t>
      </w:r>
      <w:r>
        <w:t>NATURE AND SCOPE OF TRESPASS UNDER THE NIGERIAN LAW</w:t>
      </w:r>
    </w:p>
    <w:p w14:paraId="312DDD52">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01BFD530">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0962AC2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1FC225AF">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2284F09D">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lang w:val="en-US"/>
        </w:rPr>
      </w:pPr>
      <w:r>
        <w:rPr>
          <w:rFonts w:cs="Times New Roman"/>
          <w:b/>
          <w:szCs w:val="24"/>
          <w:lang w:val="en-US"/>
        </w:rPr>
        <w:t>NNADI HELEN AJIAKO</w:t>
      </w:r>
    </w:p>
    <w:p w14:paraId="5F912B8E">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r>
        <w:rPr>
          <w:rFonts w:cs="Times New Roman"/>
          <w:b/>
          <w:szCs w:val="24"/>
        </w:rPr>
        <w:t>GOU/U21/LAW/395</w:t>
      </w:r>
    </w:p>
    <w:p w14:paraId="03A9512F">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78C5E98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48E67DA9">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3A231D16">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43B9EAFB">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r>
        <w:rPr>
          <w:rFonts w:cs="Times New Roman"/>
          <w:b/>
          <w:szCs w:val="24"/>
        </w:rPr>
        <w:t>A LONG ESSAY SUBMITTED TO THE FACULTY OF LAW, GODFREY OKOYE UNIVERSITY, ENUGU STATE, NIGERIA, IN PARTIAL FULFILMENT OF THE REQUIREMENTS FOR THE AWARD OF THE DEGREE OF BACHELOR OF LAW (LL. B) OF GODFREY OKOYE UNIVERSITY, ENUGU STATE, NIGERIA.</w:t>
      </w:r>
    </w:p>
    <w:p w14:paraId="40711444">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49A2C1F4">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55BFA0CA">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4812451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47569D03">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r>
        <w:rPr>
          <w:rFonts w:cs="Times New Roman"/>
          <w:b/>
          <w:szCs w:val="24"/>
        </w:rPr>
        <w:t>JU</w:t>
      </w:r>
      <w:r>
        <w:rPr>
          <w:rFonts w:hint="default" w:cs="Times New Roman"/>
          <w:b/>
          <w:szCs w:val="24"/>
          <w:lang w:val="en-US"/>
        </w:rPr>
        <w:t xml:space="preserve">LY, </w:t>
      </w:r>
      <w:r>
        <w:rPr>
          <w:rFonts w:cs="Times New Roman"/>
          <w:b/>
          <w:szCs w:val="24"/>
        </w:rPr>
        <w:t>2026</w:t>
      </w:r>
    </w:p>
    <w:p w14:paraId="5CB25E44">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szCs w:val="24"/>
        </w:rPr>
      </w:pPr>
    </w:p>
    <w:p w14:paraId="0D1D22F1">
      <w:pPr>
        <w:pStyle w:val="2"/>
        <w:pageBreakBefore w:val="0"/>
        <w:widowControl/>
        <w:kinsoku/>
        <w:wordWrap/>
        <w:overflowPunct/>
        <w:topLinePunct w:val="0"/>
        <w:autoSpaceDE/>
        <w:autoSpaceDN/>
        <w:bidi w:val="0"/>
        <w:adjustRightInd/>
        <w:snapToGrid/>
        <w:spacing w:before="0" w:beforeAutospacing="0" w:after="0" w:afterAutospacing="0"/>
        <w:textAlignment w:val="auto"/>
      </w:pPr>
      <w:r>
        <w:br w:type="page"/>
      </w:r>
      <w:bookmarkStart w:id="0" w:name="_Toc140834398"/>
      <w:r>
        <w:t>DECLARATION</w:t>
      </w:r>
      <w:bookmarkEnd w:id="0"/>
    </w:p>
    <w:p w14:paraId="1EBA0E84">
      <w:pPr>
        <w:pageBreakBefore w:val="0"/>
        <w:widowControl/>
        <w:kinsoku/>
        <w:wordWrap/>
        <w:overflowPunct/>
        <w:topLinePunct w:val="0"/>
        <w:autoSpaceDE/>
        <w:autoSpaceDN/>
        <w:bidi w:val="0"/>
        <w:adjustRightInd/>
        <w:snapToGrid/>
        <w:spacing w:beforeAutospacing="0" w:after="0" w:afterAutospacing="0"/>
        <w:textAlignment w:val="auto"/>
      </w:pPr>
      <w:r>
        <w:t>I hereby declare that this long essay is a product of my own research efforts undertaken under the supervision of Dr. Anthony Ifeanyi Onuigbo and has not been presented elsewhere for the award of a degree or certificate. All sources have been duly distinguished for the award of a degree or certificate and have been appropriately acknowledged.</w:t>
      </w:r>
    </w:p>
    <w:p w14:paraId="44B6F92A">
      <w:pPr>
        <w:pageBreakBefore w:val="0"/>
        <w:widowControl/>
        <w:kinsoku/>
        <w:wordWrap/>
        <w:overflowPunct/>
        <w:topLinePunct w:val="0"/>
        <w:autoSpaceDE/>
        <w:autoSpaceDN/>
        <w:bidi w:val="0"/>
        <w:adjustRightInd/>
        <w:snapToGrid/>
        <w:spacing w:beforeAutospacing="0" w:after="0" w:afterAutospacing="0"/>
        <w:textAlignment w:val="auto"/>
      </w:pPr>
    </w:p>
    <w:p w14:paraId="2F14C39E">
      <w:pPr>
        <w:pageBreakBefore w:val="0"/>
        <w:widowControl/>
        <w:kinsoku/>
        <w:wordWrap/>
        <w:overflowPunct/>
        <w:topLinePunct w:val="0"/>
        <w:autoSpaceDE/>
        <w:autoSpaceDN/>
        <w:bidi w:val="0"/>
        <w:adjustRightInd/>
        <w:snapToGrid/>
        <w:spacing w:beforeAutospacing="0" w:after="0" w:afterAutospacing="0"/>
        <w:textAlignment w:val="auto"/>
      </w:pPr>
    </w:p>
    <w:p w14:paraId="39EF379F">
      <w:pPr>
        <w:pageBreakBefore w:val="0"/>
        <w:widowControl/>
        <w:kinsoku/>
        <w:wordWrap/>
        <w:overflowPunct/>
        <w:topLinePunct w:val="0"/>
        <w:autoSpaceDE/>
        <w:autoSpaceDN/>
        <w:bidi w:val="0"/>
        <w:adjustRightInd/>
        <w:snapToGrid/>
        <w:spacing w:beforeAutospacing="0" w:after="0" w:afterAutospacing="0"/>
        <w:jc w:val="center"/>
        <w:textAlignment w:val="auto"/>
      </w:pPr>
    </w:p>
    <w:p w14:paraId="29315C80">
      <w:pPr>
        <w:pageBreakBefore w:val="0"/>
        <w:widowControl/>
        <w:kinsoku/>
        <w:wordWrap/>
        <w:overflowPunct/>
        <w:topLinePunct w:val="0"/>
        <w:autoSpaceDE/>
        <w:autoSpaceDN/>
        <w:bidi w:val="0"/>
        <w:adjustRightInd/>
        <w:snapToGrid/>
        <w:spacing w:beforeAutospacing="0" w:after="0" w:afterAutospacing="0"/>
        <w:jc w:val="center"/>
        <w:textAlignment w:val="auto"/>
      </w:pPr>
    </w:p>
    <w:p w14:paraId="3D77A28E">
      <w:pPr>
        <w:pageBreakBefore w:val="0"/>
        <w:widowControl/>
        <w:kinsoku/>
        <w:wordWrap/>
        <w:overflowPunct/>
        <w:topLinePunct w:val="0"/>
        <w:autoSpaceDE/>
        <w:autoSpaceDN/>
        <w:bidi w:val="0"/>
        <w:adjustRightInd/>
        <w:snapToGrid/>
        <w:spacing w:beforeAutospacing="0" w:after="0" w:afterAutospacing="0"/>
        <w:jc w:val="center"/>
        <w:textAlignment w:val="auto"/>
      </w:pPr>
    </w:p>
    <w:p w14:paraId="0A559D05">
      <w:pPr>
        <w:pageBreakBefore w:val="0"/>
        <w:widowControl/>
        <w:kinsoku/>
        <w:wordWrap/>
        <w:overflowPunct/>
        <w:topLinePunct w:val="0"/>
        <w:autoSpaceDE/>
        <w:autoSpaceDN/>
        <w:bidi w:val="0"/>
        <w:adjustRightInd/>
        <w:snapToGrid/>
        <w:spacing w:beforeAutospacing="0" w:after="0" w:afterAutospacing="0"/>
        <w:jc w:val="center"/>
        <w:textAlignment w:val="auto"/>
      </w:pPr>
    </w:p>
    <w:p w14:paraId="5AA274CB">
      <w:pPr>
        <w:pageBreakBefore w:val="0"/>
        <w:widowControl/>
        <w:kinsoku/>
        <w:wordWrap/>
        <w:overflowPunct/>
        <w:topLinePunct w:val="0"/>
        <w:autoSpaceDE/>
        <w:autoSpaceDN/>
        <w:bidi w:val="0"/>
        <w:adjustRightInd/>
        <w:snapToGrid/>
        <w:spacing w:beforeAutospacing="0" w:after="0" w:afterAutospacing="0"/>
        <w:jc w:val="center"/>
        <w:textAlignment w:val="auto"/>
      </w:pPr>
    </w:p>
    <w:p w14:paraId="461DD18E">
      <w:pPr>
        <w:pageBreakBefore w:val="0"/>
        <w:widowControl/>
        <w:kinsoku/>
        <w:wordWrap/>
        <w:overflowPunct/>
        <w:topLinePunct w:val="0"/>
        <w:autoSpaceDE/>
        <w:autoSpaceDN/>
        <w:bidi w:val="0"/>
        <w:adjustRightInd/>
        <w:snapToGrid/>
        <w:spacing w:beforeAutospacing="0" w:after="0" w:afterAutospacing="0"/>
        <w:jc w:val="center"/>
        <w:textAlignment w:val="auto"/>
      </w:pPr>
    </w:p>
    <w:p w14:paraId="60CA0ABB">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b/>
          <w:bCs/>
        </w:rPr>
      </w:pPr>
      <w:r>
        <w:rPr>
          <w:b/>
          <w:bCs/>
        </w:rPr>
        <w:t>________________________</w:t>
      </w:r>
    </w:p>
    <w:p w14:paraId="0CD7D3DF">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b/>
          <w:bCs/>
        </w:rPr>
      </w:pPr>
      <w:r>
        <w:rPr>
          <w:b/>
          <w:bCs/>
        </w:rPr>
        <w:t>JUNE 2026</w:t>
      </w:r>
    </w:p>
    <w:p w14:paraId="3D8834C9">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b/>
          <w:bCs/>
        </w:rPr>
      </w:pPr>
      <w:r>
        <w:rPr>
          <w:b/>
          <w:bCs/>
        </w:rPr>
        <w:t>NNADI HELEN AJIAKO</w:t>
      </w:r>
    </w:p>
    <w:p w14:paraId="16723B18">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b/>
          <w:bCs/>
        </w:rPr>
      </w:pPr>
    </w:p>
    <w:p w14:paraId="1B77B976">
      <w:pPr>
        <w:pageBreakBefore w:val="0"/>
        <w:widowControl/>
        <w:kinsoku/>
        <w:wordWrap/>
        <w:overflowPunct/>
        <w:topLinePunct w:val="0"/>
        <w:autoSpaceDE/>
        <w:autoSpaceDN/>
        <w:bidi w:val="0"/>
        <w:adjustRightInd/>
        <w:snapToGrid/>
        <w:spacing w:beforeAutospacing="0" w:after="0" w:afterAutospacing="0"/>
        <w:jc w:val="center"/>
        <w:textAlignment w:val="auto"/>
      </w:pPr>
    </w:p>
    <w:p w14:paraId="1AEA15D0">
      <w:pPr>
        <w:pageBreakBefore w:val="0"/>
        <w:widowControl/>
        <w:kinsoku/>
        <w:wordWrap/>
        <w:overflowPunct/>
        <w:topLinePunct w:val="0"/>
        <w:autoSpaceDE/>
        <w:autoSpaceDN/>
        <w:bidi w:val="0"/>
        <w:adjustRightInd/>
        <w:snapToGrid/>
        <w:spacing w:beforeAutospacing="0" w:after="0" w:afterAutospacing="0"/>
        <w:jc w:val="center"/>
        <w:textAlignment w:val="auto"/>
      </w:pPr>
    </w:p>
    <w:p w14:paraId="35126C28">
      <w:pPr>
        <w:pageBreakBefore w:val="0"/>
        <w:widowControl/>
        <w:kinsoku/>
        <w:wordWrap/>
        <w:overflowPunct/>
        <w:topLinePunct w:val="0"/>
        <w:autoSpaceDE/>
        <w:autoSpaceDN/>
        <w:bidi w:val="0"/>
        <w:adjustRightInd/>
        <w:snapToGrid/>
        <w:spacing w:beforeAutospacing="0" w:after="0" w:afterAutospacing="0"/>
        <w:jc w:val="center"/>
        <w:textAlignment w:val="auto"/>
      </w:pPr>
    </w:p>
    <w:p w14:paraId="21F604D9">
      <w:pPr>
        <w:pageBreakBefore w:val="0"/>
        <w:widowControl/>
        <w:kinsoku/>
        <w:wordWrap/>
        <w:overflowPunct/>
        <w:topLinePunct w:val="0"/>
        <w:autoSpaceDE/>
        <w:autoSpaceDN/>
        <w:bidi w:val="0"/>
        <w:adjustRightInd/>
        <w:snapToGrid/>
        <w:spacing w:beforeAutospacing="0" w:after="0" w:afterAutospacing="0"/>
        <w:jc w:val="center"/>
        <w:textAlignment w:val="auto"/>
      </w:pPr>
    </w:p>
    <w:p w14:paraId="0B633C32">
      <w:pPr>
        <w:pageBreakBefore w:val="0"/>
        <w:widowControl/>
        <w:kinsoku/>
        <w:wordWrap/>
        <w:overflowPunct/>
        <w:topLinePunct w:val="0"/>
        <w:autoSpaceDE/>
        <w:autoSpaceDN/>
        <w:bidi w:val="0"/>
        <w:adjustRightInd/>
        <w:snapToGrid/>
        <w:spacing w:beforeAutospacing="0" w:after="0" w:afterAutospacing="0"/>
        <w:jc w:val="center"/>
        <w:textAlignment w:val="auto"/>
      </w:pPr>
    </w:p>
    <w:p w14:paraId="3FEE79F6">
      <w:pPr>
        <w:pageBreakBefore w:val="0"/>
        <w:widowControl/>
        <w:kinsoku/>
        <w:wordWrap/>
        <w:overflowPunct/>
        <w:topLinePunct w:val="0"/>
        <w:autoSpaceDE/>
        <w:autoSpaceDN/>
        <w:bidi w:val="0"/>
        <w:adjustRightInd/>
        <w:snapToGrid/>
        <w:spacing w:beforeAutospacing="0" w:after="0" w:afterAutospacing="0"/>
        <w:jc w:val="center"/>
        <w:textAlignment w:val="auto"/>
      </w:pPr>
    </w:p>
    <w:p w14:paraId="6FC8EC0F">
      <w:pPr>
        <w:pageBreakBefore w:val="0"/>
        <w:widowControl/>
        <w:kinsoku/>
        <w:wordWrap/>
        <w:overflowPunct/>
        <w:topLinePunct w:val="0"/>
        <w:autoSpaceDE/>
        <w:autoSpaceDN/>
        <w:bidi w:val="0"/>
        <w:adjustRightInd/>
        <w:snapToGrid/>
        <w:spacing w:beforeAutospacing="0" w:after="0" w:afterAutospacing="0"/>
        <w:jc w:val="center"/>
        <w:textAlignment w:val="auto"/>
      </w:pPr>
    </w:p>
    <w:p w14:paraId="7D1CD65F">
      <w:pPr>
        <w:pageBreakBefore w:val="0"/>
        <w:widowControl/>
        <w:kinsoku/>
        <w:wordWrap/>
        <w:overflowPunct/>
        <w:topLinePunct w:val="0"/>
        <w:autoSpaceDE/>
        <w:autoSpaceDN/>
        <w:bidi w:val="0"/>
        <w:adjustRightInd/>
        <w:snapToGrid/>
        <w:spacing w:beforeAutospacing="0" w:after="0" w:afterAutospacing="0" w:line="240" w:lineRule="auto"/>
        <w:textAlignment w:val="auto"/>
      </w:pPr>
    </w:p>
    <w:p w14:paraId="5883352A">
      <w:pPr>
        <w:pStyle w:val="2"/>
        <w:pageBreakBefore w:val="0"/>
        <w:widowControl/>
        <w:kinsoku/>
        <w:wordWrap/>
        <w:overflowPunct/>
        <w:topLinePunct w:val="0"/>
        <w:autoSpaceDE/>
        <w:autoSpaceDN/>
        <w:bidi w:val="0"/>
        <w:adjustRightInd/>
        <w:snapToGrid/>
        <w:spacing w:before="0" w:beforeAutospacing="0" w:after="0" w:afterAutospacing="0"/>
        <w:textAlignment w:val="auto"/>
      </w:pPr>
      <w:bookmarkStart w:id="1" w:name="_Toc140834399"/>
      <w:r>
        <w:t>CERTIFICATION</w:t>
      </w:r>
      <w:bookmarkEnd w:id="1"/>
    </w:p>
    <w:p w14:paraId="520DF1D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This is to certify that this study titled ‘</w:t>
      </w:r>
      <w:r>
        <w:rPr>
          <w:rFonts w:cs="Times New Roman"/>
          <w:b/>
          <w:szCs w:val="24"/>
        </w:rPr>
        <w:t>The Nature and Scope of Trespass under the Nigeria Law’</w:t>
      </w:r>
      <w:r>
        <w:rPr>
          <w:rFonts w:cs="Times New Roman"/>
          <w:szCs w:val="24"/>
        </w:rPr>
        <w:t xml:space="preserve"> was carried out by </w:t>
      </w:r>
      <w:r>
        <w:rPr>
          <w:rFonts w:cs="Times New Roman"/>
          <w:b/>
          <w:szCs w:val="24"/>
        </w:rPr>
        <w:t>Nnadi Helen Ajiako</w:t>
      </w:r>
      <w:r>
        <w:rPr>
          <w:rFonts w:cs="Times New Roman"/>
          <w:b/>
          <w:szCs w:val="24"/>
          <w:lang w:val="en-US"/>
        </w:rPr>
        <w:t xml:space="preserve"> </w:t>
      </w:r>
      <w:r>
        <w:rPr>
          <w:rFonts w:hint="eastAsia"/>
        </w:rPr>
        <w:t>an</w:t>
      </w:r>
      <w:r>
        <w:rPr>
          <w:rFonts w:hint="default"/>
          <w:lang w:val="en-US"/>
        </w:rPr>
        <w:t xml:space="preserve"> </w:t>
      </w:r>
      <w:r>
        <w:rPr>
          <w:rFonts w:hint="eastAsia"/>
        </w:rPr>
        <w:t xml:space="preserve">undergraduate Student in the Faculty of Law, Godfrey Okoye University with </w:t>
      </w:r>
      <w:r>
        <w:rPr>
          <w:rFonts w:hint="default"/>
          <w:lang w:val="en-US"/>
        </w:rPr>
        <w:t xml:space="preserve">the </w:t>
      </w:r>
      <w:r>
        <w:rPr>
          <w:rFonts w:hint="eastAsia"/>
        </w:rPr>
        <w:t xml:space="preserve">Registration Number, </w:t>
      </w:r>
      <w:r>
        <w:rPr>
          <w:rFonts w:hint="default"/>
          <w:lang w:val="en-US"/>
        </w:rPr>
        <w:t>GOU/</w:t>
      </w:r>
      <w:r>
        <w:rPr>
          <w:rFonts w:hint="eastAsia"/>
        </w:rPr>
        <w:t>U</w:t>
      </w:r>
      <w:r>
        <w:rPr>
          <w:rFonts w:hint="default"/>
          <w:lang w:val="en-US"/>
        </w:rPr>
        <w:t>21/L</w:t>
      </w:r>
      <w:r>
        <w:rPr>
          <w:rFonts w:hint="eastAsia"/>
        </w:rPr>
        <w:t>AW/</w:t>
      </w:r>
      <w:r>
        <w:rPr>
          <w:rFonts w:hint="default"/>
          <w:lang w:val="en-US"/>
        </w:rPr>
        <w:t>395,</w:t>
      </w:r>
      <w:r>
        <w:rPr>
          <w:rFonts w:cs="Times New Roman"/>
          <w:b/>
          <w:szCs w:val="24"/>
        </w:rPr>
        <w:t xml:space="preserve"> </w:t>
      </w:r>
      <w:r>
        <w:rPr>
          <w:rFonts w:cs="Times New Roman"/>
          <w:szCs w:val="24"/>
        </w:rPr>
        <w:t xml:space="preserve">under </w:t>
      </w:r>
      <w:r>
        <w:rPr>
          <w:rFonts w:cs="Times New Roman"/>
          <w:szCs w:val="24"/>
          <w:lang w:val="en-US"/>
        </w:rPr>
        <w:t xml:space="preserve">the </w:t>
      </w:r>
      <w:r>
        <w:rPr>
          <w:rFonts w:cs="Times New Roman"/>
          <w:szCs w:val="24"/>
        </w:rPr>
        <w:t>supervision</w:t>
      </w:r>
      <w:r>
        <w:rPr>
          <w:rFonts w:cs="Times New Roman"/>
          <w:szCs w:val="24"/>
          <w:lang w:val="en-US"/>
        </w:rPr>
        <w:t xml:space="preserve"> of </w:t>
      </w:r>
      <w:r>
        <w:rPr>
          <w:rFonts w:cs="Times New Roman"/>
          <w:b/>
          <w:bCs/>
          <w:szCs w:val="24"/>
          <w:lang w:val="en-US"/>
        </w:rPr>
        <w:t xml:space="preserve"> </w:t>
      </w:r>
      <w:r>
        <w:rPr>
          <w:rFonts w:cs="Times New Roman"/>
          <w:b/>
          <w:bCs/>
          <w:szCs w:val="24"/>
        </w:rPr>
        <w:t xml:space="preserve">Dr. </w:t>
      </w:r>
      <w:r>
        <w:rPr>
          <w:b/>
          <w:bCs/>
        </w:rPr>
        <w:t>Anthony Ifeanyi Onuigbo</w:t>
      </w:r>
      <w:r>
        <w:rPr>
          <w:b/>
          <w:bCs/>
          <w:lang w:val="en-US"/>
        </w:rPr>
        <w:t xml:space="preserve">. </w:t>
      </w:r>
      <w:r>
        <w:rPr>
          <w:lang w:val="en-US"/>
        </w:rPr>
        <w:t xml:space="preserve">This </w:t>
      </w:r>
      <w:r>
        <w:rPr>
          <w:rFonts w:hint="eastAsia"/>
        </w:rPr>
        <w:t>work is original and has not been submitted in part or full for the Award of any Degree in this or any other Institution,</w:t>
      </w:r>
    </w:p>
    <w:p w14:paraId="2F6B628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4F0E48C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szCs w:val="24"/>
        </w:rPr>
      </w:pPr>
    </w:p>
    <w:p w14:paraId="77550327">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szCs w:val="24"/>
        </w:rPr>
      </w:pPr>
    </w:p>
    <w:p w14:paraId="7E7D4195">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r>
        <w:rPr>
          <w:rFonts w:cs="Times New Roman"/>
          <w:szCs w:val="24"/>
        </w:rPr>
        <w:t>_______________________</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_________________</w:t>
      </w:r>
      <w:r>
        <w:rPr>
          <w:rFonts w:cs="Times New Roman"/>
          <w:szCs w:val="24"/>
        </w:rPr>
        <w:tab/>
      </w:r>
      <w:r>
        <w:rPr>
          <w:rFonts w:cs="Times New Roman"/>
          <w:szCs w:val="24"/>
        </w:rPr>
        <w:tab/>
      </w:r>
      <w:r>
        <w:rPr>
          <w:rFonts w:cs="Times New Roman"/>
          <w:szCs w:val="24"/>
        </w:rPr>
        <w:tab/>
      </w:r>
    </w:p>
    <w:p w14:paraId="53BC77E6">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b/>
          <w:szCs w:val="24"/>
          <w:lang w:val="en-US"/>
        </w:rPr>
      </w:pPr>
      <w:r>
        <w:rPr>
          <w:rFonts w:cs="Times New Roman"/>
          <w:b/>
          <w:szCs w:val="24"/>
        </w:rPr>
        <w:t xml:space="preserve"> </w:t>
      </w:r>
      <w:r>
        <w:rPr>
          <w:rFonts w:cs="Times New Roman"/>
          <w:b/>
          <w:szCs w:val="24"/>
          <w:lang w:val="en-US"/>
        </w:rPr>
        <w:t>Dr. Anthony Ifeanyi Onuigbo</w:t>
      </w:r>
      <w:r>
        <w:rPr>
          <w:rFonts w:hint="default" w:cs="Times New Roman"/>
          <w:szCs w:val="24"/>
          <w:lang w:val="en-US"/>
        </w:rPr>
        <w:tab/>
      </w:r>
      <w:r>
        <w:rPr>
          <w:rFonts w:hint="default" w:cs="Times New Roman"/>
          <w:szCs w:val="24"/>
          <w:lang w:val="en-US"/>
        </w:rPr>
        <w:tab/>
      </w:r>
      <w:r>
        <w:rPr>
          <w:rFonts w:hint="default" w:cs="Times New Roman"/>
          <w:szCs w:val="24"/>
          <w:lang w:val="en-US"/>
        </w:rPr>
        <w:tab/>
      </w:r>
      <w:r>
        <w:rPr>
          <w:rFonts w:hint="default" w:cs="Times New Roman"/>
          <w:szCs w:val="24"/>
          <w:lang w:val="en-US"/>
        </w:rPr>
        <w:tab/>
      </w:r>
      <w:r>
        <w:rPr>
          <w:rFonts w:hint="default" w:cs="Times New Roman"/>
          <w:szCs w:val="24"/>
          <w:lang w:val="en-US"/>
        </w:rPr>
        <w:tab/>
      </w:r>
      <w:r>
        <w:rPr>
          <w:rFonts w:cs="Times New Roman"/>
          <w:szCs w:val="24"/>
        </w:rPr>
        <w:t xml:space="preserve">Date  </w:t>
      </w:r>
    </w:p>
    <w:p w14:paraId="272D1045">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r>
        <w:rPr>
          <w:rFonts w:cs="Times New Roman"/>
          <w:b/>
          <w:bCs/>
          <w:szCs w:val="24"/>
          <w:lang w:val="en-US"/>
        </w:rPr>
        <w:t>S</w:t>
      </w:r>
      <w:r>
        <w:rPr>
          <w:rFonts w:cs="Times New Roman"/>
          <w:b/>
          <w:bCs/>
          <w:szCs w:val="24"/>
        </w:rPr>
        <w:t>upervisor</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14:paraId="0B4AF2DD">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cs="Times New Roman"/>
          <w:szCs w:val="24"/>
        </w:rPr>
      </w:pPr>
    </w:p>
    <w:p w14:paraId="7376642A">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cs="Times New Roman"/>
          <w:szCs w:val="24"/>
        </w:rPr>
      </w:pPr>
    </w:p>
    <w:p w14:paraId="6DABC74A">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10D9A9CB">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354BEF74">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71948C2C">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r>
        <w:rPr>
          <w:rFonts w:cs="Times New Roman"/>
          <w:szCs w:val="24"/>
        </w:rPr>
        <w:t>______________________</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____________________</w:t>
      </w:r>
    </w:p>
    <w:p w14:paraId="7A33E5E0">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cs="Times New Roman"/>
          <w:b/>
          <w:szCs w:val="24"/>
          <w:lang w:val="en-US"/>
        </w:rPr>
      </w:pPr>
      <w:r>
        <w:rPr>
          <w:rFonts w:hint="default" w:cs="Times New Roman"/>
          <w:b/>
          <w:szCs w:val="24"/>
          <w:lang w:val="en-US"/>
        </w:rPr>
        <w:t xml:space="preserve"> Dr. G O Omeh</w:t>
      </w:r>
      <w:r>
        <w:rPr>
          <w:rFonts w:hint="default" w:cs="Times New Roman"/>
          <w:b/>
          <w:szCs w:val="24"/>
          <w:lang w:val="en-US"/>
        </w:rPr>
        <w:tab/>
      </w:r>
      <w:r>
        <w:rPr>
          <w:rFonts w:hint="default" w:cs="Times New Roman"/>
          <w:b/>
          <w:szCs w:val="24"/>
          <w:lang w:val="en-US"/>
        </w:rPr>
        <w:tab/>
      </w:r>
      <w:r>
        <w:rPr>
          <w:rFonts w:hint="default" w:cs="Times New Roman"/>
          <w:b/>
          <w:szCs w:val="24"/>
          <w:lang w:val="en-US"/>
        </w:rPr>
        <w:tab/>
      </w:r>
      <w:r>
        <w:rPr>
          <w:rFonts w:hint="default" w:cs="Times New Roman"/>
          <w:b/>
          <w:szCs w:val="24"/>
          <w:lang w:val="en-US"/>
        </w:rPr>
        <w:tab/>
      </w:r>
      <w:r>
        <w:rPr>
          <w:rFonts w:hint="default" w:cs="Times New Roman"/>
          <w:b/>
          <w:szCs w:val="24"/>
          <w:lang w:val="en-US"/>
        </w:rPr>
        <w:tab/>
      </w:r>
      <w:r>
        <w:rPr>
          <w:rFonts w:hint="default" w:cs="Times New Roman"/>
          <w:b/>
          <w:szCs w:val="24"/>
          <w:lang w:val="en-US"/>
        </w:rPr>
        <w:t xml:space="preserve">                           </w:t>
      </w:r>
      <w:r>
        <w:rPr>
          <w:rFonts w:cs="Times New Roman"/>
          <w:szCs w:val="24"/>
        </w:rPr>
        <w:t>Date</w:t>
      </w:r>
    </w:p>
    <w:p w14:paraId="2DC0DFD8">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r>
        <w:rPr>
          <w:rFonts w:cs="Times New Roman"/>
          <w:szCs w:val="24"/>
        </w:rPr>
        <w:t>Dean, Faculty of Law, GOU.</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w:t>
      </w:r>
    </w:p>
    <w:p w14:paraId="76909D62">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4F6CAFBB">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3BDA46F0">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09C513E9">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59FE13AB">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55BC5BBB">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cs="Times New Roman"/>
          <w:szCs w:val="24"/>
        </w:rPr>
      </w:pPr>
      <w:r>
        <w:rPr>
          <w:rFonts w:cs="Times New Roman"/>
          <w:szCs w:val="24"/>
        </w:rPr>
        <w:t>_________________________________</w:t>
      </w:r>
    </w:p>
    <w:p w14:paraId="0CB201C3">
      <w:pPr>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cs="Times New Roman"/>
          <w:szCs w:val="24"/>
        </w:rPr>
      </w:pPr>
      <w:r>
        <w:rPr>
          <w:rFonts w:cs="Times New Roman"/>
          <w:szCs w:val="24"/>
        </w:rPr>
        <w:t>(External Examiner)</w:t>
      </w:r>
    </w:p>
    <w:p w14:paraId="7D5F8F09">
      <w:pPr>
        <w:pageBreakBefore w:val="0"/>
        <w:widowControl/>
        <w:kinsoku/>
        <w:wordWrap/>
        <w:overflowPunct/>
        <w:topLinePunct w:val="0"/>
        <w:autoSpaceDE/>
        <w:autoSpaceDN/>
        <w:bidi w:val="0"/>
        <w:adjustRightInd/>
        <w:snapToGrid/>
        <w:spacing w:beforeAutospacing="0" w:after="0" w:afterAutospacing="0" w:line="240" w:lineRule="auto"/>
        <w:textAlignment w:val="auto"/>
        <w:rPr>
          <w:rFonts w:cs="Times New Roman"/>
          <w:szCs w:val="24"/>
        </w:rPr>
      </w:pPr>
    </w:p>
    <w:p w14:paraId="48EDCE36">
      <w:pPr>
        <w:pStyle w:val="2"/>
        <w:pageBreakBefore w:val="0"/>
        <w:widowControl/>
        <w:kinsoku/>
        <w:wordWrap/>
        <w:overflowPunct/>
        <w:topLinePunct w:val="0"/>
        <w:autoSpaceDE/>
        <w:autoSpaceDN/>
        <w:bidi w:val="0"/>
        <w:adjustRightInd/>
        <w:snapToGrid/>
        <w:spacing w:before="0" w:beforeAutospacing="0" w:after="0" w:afterAutospacing="0"/>
        <w:textAlignment w:val="auto"/>
      </w:pPr>
      <w:bookmarkStart w:id="2" w:name="_Toc140834400"/>
    </w:p>
    <w:p w14:paraId="7D64170B">
      <w:pPr/>
    </w:p>
    <w:p w14:paraId="7978DED6">
      <w:pPr/>
    </w:p>
    <w:p w14:paraId="11B87F9E">
      <w:pPr/>
    </w:p>
    <w:p w14:paraId="29E581B7">
      <w:pPr>
        <w:pStyle w:val="2"/>
        <w:pageBreakBefore w:val="0"/>
        <w:widowControl/>
        <w:kinsoku/>
        <w:wordWrap/>
        <w:overflowPunct/>
        <w:topLinePunct w:val="0"/>
        <w:autoSpaceDE/>
        <w:autoSpaceDN/>
        <w:bidi w:val="0"/>
        <w:adjustRightInd/>
        <w:snapToGrid/>
        <w:spacing w:before="0" w:beforeAutospacing="0" w:after="0" w:afterAutospacing="0"/>
        <w:textAlignment w:val="auto"/>
      </w:pPr>
      <w:r>
        <w:t>DEDICATION</w:t>
      </w:r>
      <w:bookmarkEnd w:id="2"/>
      <w:r>
        <w:t xml:space="preserve"> </w:t>
      </w:r>
    </w:p>
    <w:p w14:paraId="61F71497">
      <w:pPr>
        <w:pageBreakBefore w:val="0"/>
        <w:widowControl/>
        <w:kinsoku/>
        <w:wordWrap/>
        <w:overflowPunct/>
        <w:topLinePunct w:val="0"/>
        <w:autoSpaceDE/>
        <w:autoSpaceDN/>
        <w:bidi w:val="0"/>
        <w:adjustRightInd/>
        <w:snapToGrid/>
        <w:spacing w:beforeAutospacing="0" w:after="0" w:afterAutospacing="0" w:line="360" w:lineRule="auto"/>
        <w:jc w:val="center"/>
        <w:textAlignment w:val="auto"/>
        <w:rPr>
          <w:rFonts w:cs="Times New Roman"/>
          <w:szCs w:val="24"/>
          <w:lang w:val="en-US"/>
        </w:rPr>
      </w:pPr>
      <w:r>
        <w:rPr>
          <w:rFonts w:cs="Times New Roman"/>
          <w:szCs w:val="24"/>
        </w:rPr>
        <w:t>This research work is dedicated to</w:t>
      </w:r>
      <w:r>
        <w:rPr>
          <w:rFonts w:cs="Times New Roman"/>
          <w:szCs w:val="24"/>
          <w:lang w:val="en-US"/>
        </w:rPr>
        <w:t xml:space="preserve"> Almighty God.</w:t>
      </w:r>
    </w:p>
    <w:p w14:paraId="47E7879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1E47BA8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2753C961">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17B6EB8">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008D600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2DC59ED">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D173F35">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927B95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967764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164447A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7ECD94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71F1F28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1CEAE89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0750B3E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10F2DF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0B082DA2">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C41310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1E85BF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73BAA29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6E9E32E3">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rPr>
      </w:pPr>
    </w:p>
    <w:p w14:paraId="542BF11F">
      <w:pPr>
        <w:pStyle w:val="2"/>
        <w:pageBreakBefore w:val="0"/>
        <w:widowControl/>
        <w:kinsoku/>
        <w:wordWrap/>
        <w:overflowPunct/>
        <w:topLinePunct w:val="0"/>
        <w:autoSpaceDE/>
        <w:autoSpaceDN/>
        <w:bidi w:val="0"/>
        <w:adjustRightInd/>
        <w:snapToGrid/>
        <w:spacing w:before="0" w:beforeAutospacing="0" w:after="0" w:afterAutospacing="0"/>
        <w:textAlignment w:val="auto"/>
      </w:pPr>
      <w:bookmarkStart w:id="3" w:name="_Toc140834401"/>
      <w:r>
        <w:t>ACKNOWLEDGEMENTS</w:t>
      </w:r>
      <w:bookmarkEnd w:id="3"/>
    </w:p>
    <w:p w14:paraId="352E733A">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cs="Times New Roman"/>
          <w:szCs w:val="24"/>
        </w:rPr>
        <w:t>It is not possible to prepare a project without the assistance</w:t>
      </w:r>
      <w:r>
        <w:rPr>
          <w:rFonts w:cs="Times New Roman"/>
          <w:szCs w:val="24"/>
          <w:lang w:val="en-US"/>
        </w:rPr>
        <w:t xml:space="preserve"> and </w:t>
      </w:r>
      <w:r>
        <w:rPr>
          <w:rFonts w:cs="Times New Roman"/>
          <w:szCs w:val="24"/>
        </w:rPr>
        <w:t>encouragement of other people. This one is certainly no exception.</w:t>
      </w:r>
    </w:p>
    <w:p w14:paraId="105D2D12">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cs="Times New Roman"/>
          <w:szCs w:val="24"/>
        </w:rPr>
        <w:t>On this note, I would like to extend my sincere and heartfelt gratitude towards all who have helped me in this endeavour. Without their active guidance, help, support, cooperation and encouragement, I would not have made headway in this research work.</w:t>
      </w:r>
    </w:p>
    <w:p w14:paraId="2B3B6468">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cs="Times New Roman"/>
          <w:szCs w:val="24"/>
        </w:rPr>
        <w:t>Firstly, I would like to thank God, for letting me through all the difficulties. I experienced his guidance, love, care and grace. All glory belongs to him.</w:t>
      </w:r>
    </w:p>
    <w:p w14:paraId="586C6FB1">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cs="Times New Roman"/>
          <w:szCs w:val="24"/>
        </w:rPr>
        <w:t xml:space="preserve"> Secondly, I thank my supervisor, Dr. </w:t>
      </w:r>
      <w:r>
        <w:t xml:space="preserve">Anthony Ifeanyi Onuigbo </w:t>
      </w:r>
      <w:r>
        <w:rPr>
          <w:rFonts w:cs="Times New Roman"/>
          <w:szCs w:val="24"/>
        </w:rPr>
        <w:t>for the patience, support, correction, encouragement he showered on me. His advice carried me through all the stages of writing my project. God bless you sir.</w:t>
      </w:r>
    </w:p>
    <w:p w14:paraId="76FD074C">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hint="eastAsia"/>
        </w:rPr>
      </w:pPr>
      <w:r>
        <w:rPr>
          <w:rFonts w:cs="Times New Roman"/>
          <w:szCs w:val="24"/>
        </w:rPr>
        <w:t xml:space="preserve">In addition, my sincere gratitude goes to my </w:t>
      </w:r>
      <w:r>
        <w:rPr>
          <w:rFonts w:cs="Times New Roman"/>
          <w:szCs w:val="24"/>
          <w:lang w:val="en-US"/>
        </w:rPr>
        <w:t xml:space="preserve">dearest mother Hon Mrs Juliana Mgboyibo </w:t>
      </w:r>
      <w:r>
        <w:rPr>
          <w:rFonts w:hint="eastAsia"/>
        </w:rPr>
        <w:t>for her unwavering love, constant encouragement</w:t>
      </w:r>
      <w:r>
        <w:rPr>
          <w:rFonts w:hint="default"/>
          <w:lang w:val="en-US"/>
        </w:rPr>
        <w:t xml:space="preserve"> a</w:t>
      </w:r>
      <w:r>
        <w:rPr>
          <w:rFonts w:hint="eastAsia"/>
        </w:rPr>
        <w:t>nd immeasurable sacrifices throughout my academic journey. Your steadfast support, prayers, patience, and belief in my abilities have been my greatest source of strength and motivation.</w:t>
      </w:r>
    </w:p>
    <w:p w14:paraId="3CD472B0">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hint="eastAsia"/>
        </w:rPr>
      </w:pPr>
      <w:r>
        <w:rPr>
          <w:rFonts w:hint="eastAsia"/>
        </w:rPr>
        <w:t>Your resilience, selflessness, and commitment to my education have made this achievement possible. I am profoundly grateful for every sacrifice you have made and for standing by me through every challenge and triumph.</w:t>
      </w:r>
    </w:p>
    <w:p w14:paraId="133D3160">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hint="eastAsia"/>
        </w:rPr>
        <w:t>Words cannot adequately express my appreciation for your endless support. This accomplishment is as much yours as it is mine. Thank you for believing in me and inspiring me to strive for excellence. May God richly bless and reward you always.</w:t>
      </w:r>
    </w:p>
    <w:p w14:paraId="47514264">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cs="Times New Roman"/>
          <w:szCs w:val="24"/>
        </w:rPr>
        <w:t xml:space="preserve">Furthermore, I </w:t>
      </w:r>
      <w:r>
        <w:rPr>
          <w:rFonts w:cs="Times New Roman"/>
          <w:szCs w:val="24"/>
          <w:lang w:val="en-US"/>
        </w:rPr>
        <w:t xml:space="preserve">want to </w:t>
      </w:r>
      <w:r>
        <w:rPr>
          <w:rFonts w:cs="Times New Roman"/>
          <w:szCs w:val="24"/>
        </w:rPr>
        <w:t xml:space="preserve">appreciate </w:t>
      </w:r>
      <w:r>
        <w:rPr>
          <w:rFonts w:cs="Times New Roman"/>
          <w:szCs w:val="24"/>
          <w:lang w:val="en-US"/>
        </w:rPr>
        <w:t>my siblings and extended family who has contributed and ensured that my stay in university has been seamless.</w:t>
      </w:r>
    </w:p>
    <w:p w14:paraId="502B9248">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r>
        <w:rPr>
          <w:rFonts w:cs="Times New Roman"/>
          <w:szCs w:val="24"/>
        </w:rPr>
        <w:t xml:space="preserve">Lastly, I thank my </w:t>
      </w:r>
      <w:r>
        <w:rPr>
          <w:rFonts w:cs="Times New Roman"/>
          <w:szCs w:val="24"/>
          <w:lang w:val="en-US"/>
        </w:rPr>
        <w:t xml:space="preserve">friends </w:t>
      </w:r>
      <w:r>
        <w:rPr>
          <w:rFonts w:cs="Times New Roman"/>
          <w:szCs w:val="24"/>
        </w:rPr>
        <w:t>for helping to maintain a sane environment to help me write and complete my project. God bless you all.</w:t>
      </w:r>
    </w:p>
    <w:p w14:paraId="6D0FAA60">
      <w:pPr>
        <w:pageBreakBefore w:val="0"/>
        <w:widowControl/>
        <w:kinsoku/>
        <w:wordWrap/>
        <w:overflowPunct/>
        <w:topLinePunct w:val="0"/>
        <w:autoSpaceDE/>
        <w:autoSpaceDN/>
        <w:bidi w:val="0"/>
        <w:adjustRightInd/>
        <w:snapToGrid/>
        <w:spacing w:beforeAutospacing="0" w:after="0" w:afterAutospacing="0" w:line="360" w:lineRule="auto"/>
        <w:textAlignment w:val="auto"/>
        <w:rPr>
          <w:rFonts w:cs="Times New Roman"/>
          <w:szCs w:val="24"/>
        </w:rPr>
      </w:pPr>
    </w:p>
    <w:p w14:paraId="1FD17DB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33AE48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61FBA3ED">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9A2CDCD">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B5E392F">
      <w:pPr>
        <w:pStyle w:val="2"/>
        <w:pageBreakBefore w:val="0"/>
        <w:widowControl/>
        <w:kinsoku/>
        <w:wordWrap/>
        <w:overflowPunct/>
        <w:topLinePunct w:val="0"/>
        <w:autoSpaceDE/>
        <w:autoSpaceDN/>
        <w:bidi w:val="0"/>
        <w:adjustRightInd/>
        <w:snapToGrid/>
        <w:spacing w:before="0" w:beforeAutospacing="0" w:after="0" w:afterAutospacing="0"/>
        <w:textAlignment w:val="auto"/>
      </w:pPr>
      <w:bookmarkStart w:id="4" w:name="_Toc140834402"/>
      <w:r>
        <w:t>TABLE OF CONTENTS</w:t>
      </w:r>
      <w:bookmarkEnd w:id="4"/>
    </w:p>
    <w:p w14:paraId="5948D77F">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Title Page..............................................................................................................…</w:t>
      </w:r>
      <w:r>
        <w:rPr>
          <w:rFonts w:hint="default" w:eastAsia="Times New Roman" w:cs="Times New Roman"/>
          <w:szCs w:val="24"/>
          <w:lang w:val="en-US"/>
        </w:rPr>
        <w:tab/>
      </w:r>
      <w:r>
        <w:rPr>
          <w:rFonts w:eastAsia="Times New Roman" w:cs="Times New Roman"/>
          <w:szCs w:val="24"/>
          <w:lang w:val="en-US"/>
        </w:rPr>
        <w:t>..i</w:t>
      </w:r>
    </w:p>
    <w:p w14:paraId="65A35B1B">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Declaration…………………………………………………………………………</w:t>
      </w:r>
      <w:r>
        <w:rPr>
          <w:rFonts w:hint="default" w:eastAsia="Times New Roman" w:cs="Times New Roman"/>
          <w:szCs w:val="24"/>
          <w:lang w:val="en-US"/>
        </w:rPr>
        <w:tab/>
      </w:r>
      <w:r>
        <w:rPr>
          <w:rFonts w:eastAsia="Times New Roman" w:cs="Times New Roman"/>
          <w:szCs w:val="24"/>
          <w:lang w:val="en-US"/>
        </w:rPr>
        <w:t>ii</w:t>
      </w:r>
    </w:p>
    <w:p w14:paraId="78F8B830">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Certification.........................................................................................................…</w:t>
      </w:r>
      <w:r>
        <w:rPr>
          <w:rFonts w:hint="default" w:eastAsia="Times New Roman" w:cs="Times New Roman"/>
          <w:szCs w:val="24"/>
          <w:lang w:val="en-US"/>
        </w:rPr>
        <w:tab/>
      </w:r>
      <w:r>
        <w:rPr>
          <w:rFonts w:eastAsia="Times New Roman" w:cs="Times New Roman"/>
          <w:szCs w:val="24"/>
          <w:lang w:val="en-US"/>
        </w:rPr>
        <w:t>iii</w:t>
      </w:r>
    </w:p>
    <w:p w14:paraId="69C7807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Dedication............................................................................................................…</w:t>
      </w:r>
      <w:r>
        <w:rPr>
          <w:rFonts w:hint="default" w:eastAsia="Times New Roman" w:cs="Times New Roman"/>
          <w:szCs w:val="24"/>
          <w:lang w:val="en-US"/>
        </w:rPr>
        <w:tab/>
      </w:r>
      <w:r>
        <w:rPr>
          <w:rFonts w:eastAsia="Times New Roman" w:cs="Times New Roman"/>
          <w:szCs w:val="24"/>
          <w:lang w:val="en-US"/>
        </w:rPr>
        <w:t>iv</w:t>
      </w:r>
    </w:p>
    <w:p w14:paraId="15409FE8">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Acknowledgments..............................................................................................…</w:t>
      </w:r>
      <w:r>
        <w:rPr>
          <w:rFonts w:hint="default" w:eastAsia="Times New Roman" w:cs="Times New Roman"/>
          <w:szCs w:val="24"/>
          <w:lang w:val="en-US"/>
        </w:rPr>
        <w:tab/>
      </w:r>
      <w:r>
        <w:rPr>
          <w:rFonts w:eastAsia="Times New Roman" w:cs="Times New Roman"/>
          <w:szCs w:val="24"/>
          <w:lang w:val="en-US"/>
        </w:rPr>
        <w:t>..v</w:t>
      </w:r>
    </w:p>
    <w:p w14:paraId="5CDEA517">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Table of Contents.................................................................................................…</w:t>
      </w:r>
      <w:r>
        <w:rPr>
          <w:rFonts w:hint="default" w:eastAsia="Times New Roman" w:cs="Times New Roman"/>
          <w:szCs w:val="24"/>
          <w:lang w:val="en-US"/>
        </w:rPr>
        <w:tab/>
      </w:r>
      <w:r>
        <w:rPr>
          <w:rFonts w:hint="default" w:eastAsia="Times New Roman" w:cs="Times New Roman"/>
          <w:szCs w:val="24"/>
          <w:lang w:val="en-US"/>
        </w:rPr>
        <w:t>vi</w:t>
      </w:r>
    </w:p>
    <w:p w14:paraId="5DA9E553">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Table of Cases.......................................................................................................…</w:t>
      </w:r>
      <w:r>
        <w:rPr>
          <w:rFonts w:hint="default" w:eastAsia="Times New Roman" w:cs="Times New Roman"/>
          <w:szCs w:val="24"/>
          <w:lang w:val="en-US"/>
        </w:rPr>
        <w:tab/>
      </w:r>
      <w:r>
        <w:rPr>
          <w:rFonts w:eastAsia="Times New Roman" w:cs="Times New Roman"/>
          <w:szCs w:val="24"/>
          <w:lang w:val="en-US"/>
        </w:rPr>
        <w:t>..xii</w:t>
      </w:r>
    </w:p>
    <w:p w14:paraId="367DDAF1">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Table of Statutes……………………………………………………………………..</w:t>
      </w:r>
      <w:r>
        <w:rPr>
          <w:rFonts w:hint="default" w:eastAsia="Times New Roman" w:cs="Times New Roman"/>
          <w:szCs w:val="24"/>
          <w:lang w:val="en-US"/>
        </w:rPr>
        <w:tab/>
      </w:r>
      <w:r>
        <w:rPr>
          <w:rFonts w:eastAsia="Times New Roman" w:cs="Times New Roman"/>
          <w:szCs w:val="24"/>
          <w:lang w:val="en-US"/>
        </w:rPr>
        <w:t xml:space="preserve">.xiv </w:t>
      </w:r>
    </w:p>
    <w:p w14:paraId="3C93BAA6">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List of Abbreviations.........................................................................................…</w:t>
      </w:r>
      <w:r>
        <w:rPr>
          <w:rFonts w:hint="default" w:eastAsia="Times New Roman" w:cs="Times New Roman"/>
          <w:szCs w:val="24"/>
          <w:lang w:val="en-US"/>
        </w:rPr>
        <w:tab/>
      </w:r>
      <w:r>
        <w:rPr>
          <w:rFonts w:eastAsia="Times New Roman" w:cs="Times New Roman"/>
          <w:szCs w:val="24"/>
          <w:lang w:val="en-US"/>
        </w:rPr>
        <w:t>...xv</w:t>
      </w:r>
    </w:p>
    <w:p w14:paraId="1D42297F">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Abstract...............................................................................................................…</w:t>
      </w:r>
      <w:r>
        <w:rPr>
          <w:rFonts w:hint="default" w:eastAsia="Times New Roman" w:cs="Times New Roman"/>
          <w:szCs w:val="24"/>
          <w:lang w:val="en-US"/>
        </w:rPr>
        <w:tab/>
      </w:r>
      <w:r>
        <w:rPr>
          <w:rFonts w:eastAsia="Times New Roman" w:cs="Times New Roman"/>
          <w:szCs w:val="24"/>
          <w:lang w:val="en-US"/>
        </w:rPr>
        <w:t xml:space="preserve">.. xvi </w:t>
      </w:r>
    </w:p>
    <w:p w14:paraId="02AFE205">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b/>
          <w:szCs w:val="24"/>
          <w:lang w:val="en-US"/>
        </w:rPr>
        <w:t>CHAPTER ONE:</w:t>
      </w:r>
      <w:r>
        <w:rPr>
          <w:rFonts w:eastAsia="Times New Roman" w:cs="Times New Roman"/>
          <w:szCs w:val="24"/>
          <w:lang w:val="en-US"/>
        </w:rPr>
        <w:t xml:space="preserve"> </w:t>
      </w:r>
      <w:r>
        <w:rPr>
          <w:rFonts w:eastAsia="Times New Roman" w:cs="Times New Roman"/>
          <w:b/>
          <w:szCs w:val="24"/>
          <w:lang w:val="en-US"/>
        </w:rPr>
        <w:t>INTRODUCTION</w:t>
      </w:r>
    </w:p>
    <w:p w14:paraId="1165531F">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1.1. Background of the Study.................................................................................…</w:t>
      </w:r>
      <w:r>
        <w:rPr>
          <w:rFonts w:hint="default" w:eastAsia="Times New Roman" w:cs="Times New Roman"/>
          <w:szCs w:val="24"/>
          <w:lang w:val="en-US"/>
        </w:rPr>
        <w:tab/>
      </w:r>
      <w:r>
        <w:rPr>
          <w:rFonts w:eastAsia="Times New Roman" w:cs="Times New Roman"/>
          <w:szCs w:val="24"/>
          <w:lang w:val="en-US"/>
        </w:rPr>
        <w:t>1</w:t>
      </w:r>
    </w:p>
    <w:p w14:paraId="78BCA77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1.2. Statement of the Problem................................................................................…</w:t>
      </w:r>
      <w:r>
        <w:rPr>
          <w:rFonts w:hint="default" w:eastAsia="Times New Roman" w:cs="Times New Roman"/>
          <w:szCs w:val="24"/>
          <w:lang w:val="en-US"/>
        </w:rPr>
        <w:tab/>
      </w:r>
      <w:r>
        <w:rPr>
          <w:rFonts w:eastAsia="Times New Roman" w:cs="Times New Roman"/>
          <w:szCs w:val="24"/>
          <w:lang w:val="en-US"/>
        </w:rPr>
        <w:t>3</w:t>
      </w:r>
    </w:p>
    <w:p w14:paraId="7F7380B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1.3. Research Questions..........................................................................................…</w:t>
      </w:r>
      <w:r>
        <w:rPr>
          <w:rFonts w:hint="default" w:eastAsia="Times New Roman" w:cs="Times New Roman"/>
          <w:szCs w:val="24"/>
          <w:lang w:val="en-US"/>
        </w:rPr>
        <w:tab/>
      </w:r>
      <w:r>
        <w:rPr>
          <w:rFonts w:eastAsia="Times New Roman" w:cs="Times New Roman"/>
          <w:szCs w:val="24"/>
          <w:lang w:val="en-US"/>
        </w:rPr>
        <w:t>4</w:t>
      </w:r>
    </w:p>
    <w:p w14:paraId="6623A2D2">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1.4. Aim and Objectives of the Study.....................................................................…</w:t>
      </w:r>
      <w:r>
        <w:rPr>
          <w:rFonts w:hint="default" w:eastAsia="Times New Roman" w:cs="Times New Roman"/>
          <w:szCs w:val="24"/>
          <w:lang w:val="en-US"/>
        </w:rPr>
        <w:tab/>
      </w:r>
      <w:r>
        <w:rPr>
          <w:rFonts w:eastAsia="Times New Roman" w:cs="Times New Roman"/>
          <w:szCs w:val="24"/>
          <w:lang w:val="en-US"/>
        </w:rPr>
        <w:t>4</w:t>
      </w:r>
    </w:p>
    <w:p w14:paraId="27B43272">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1.5. Scope and Limitations of the Study.................................................................…</w:t>
      </w:r>
      <w:r>
        <w:rPr>
          <w:rFonts w:hint="default" w:eastAsia="Times New Roman" w:cs="Times New Roman"/>
          <w:szCs w:val="24"/>
          <w:lang w:val="en-US"/>
        </w:rPr>
        <w:tab/>
      </w:r>
      <w:r>
        <w:rPr>
          <w:rFonts w:hint="default" w:eastAsia="Times New Roman" w:cs="Times New Roman"/>
          <w:szCs w:val="24"/>
          <w:lang w:val="en-US"/>
        </w:rPr>
        <w:t>4</w:t>
      </w:r>
    </w:p>
    <w:p w14:paraId="4FCC53B3">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1.6. Significance of the Study.................................................................................…</w:t>
      </w:r>
      <w:r>
        <w:rPr>
          <w:rFonts w:hint="default" w:eastAsia="Times New Roman" w:cs="Times New Roman"/>
          <w:szCs w:val="24"/>
          <w:lang w:val="en-US"/>
        </w:rPr>
        <w:tab/>
      </w:r>
      <w:r>
        <w:rPr>
          <w:rFonts w:hint="default" w:eastAsia="Times New Roman" w:cs="Times New Roman"/>
          <w:szCs w:val="24"/>
          <w:lang w:val="en-US"/>
        </w:rPr>
        <w:t>5</w:t>
      </w:r>
    </w:p>
    <w:p w14:paraId="210C6923">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1.7. Research Methodology....................................................................................…</w:t>
      </w:r>
      <w:r>
        <w:rPr>
          <w:rFonts w:hint="default" w:eastAsia="Times New Roman" w:cs="Times New Roman"/>
          <w:szCs w:val="24"/>
          <w:lang w:val="en-US"/>
        </w:rPr>
        <w:tab/>
      </w:r>
      <w:r>
        <w:rPr>
          <w:rFonts w:hint="default" w:eastAsia="Times New Roman" w:cs="Times New Roman"/>
          <w:szCs w:val="24"/>
          <w:lang w:val="en-US"/>
        </w:rPr>
        <w:t>5</w:t>
      </w:r>
    </w:p>
    <w:p w14:paraId="17C6F1E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1.8. Literature Review...........................................................................................…</w:t>
      </w:r>
      <w:r>
        <w:rPr>
          <w:rFonts w:hint="default" w:eastAsia="Times New Roman" w:cs="Times New Roman"/>
          <w:szCs w:val="24"/>
          <w:lang w:val="en-US"/>
        </w:rPr>
        <w:tab/>
      </w:r>
      <w:r>
        <w:rPr>
          <w:rFonts w:eastAsia="Times New Roman" w:cs="Times New Roman"/>
          <w:szCs w:val="24"/>
          <w:lang w:val="en-US"/>
        </w:rPr>
        <w:t>.</w:t>
      </w:r>
      <w:r>
        <w:rPr>
          <w:rFonts w:hint="default" w:eastAsia="Times New Roman" w:cs="Times New Roman"/>
          <w:szCs w:val="24"/>
          <w:lang w:val="en-US"/>
        </w:rPr>
        <w:t>6</w:t>
      </w:r>
    </w:p>
    <w:p w14:paraId="35B2E00B">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CHAPTER TWO:</w:t>
      </w:r>
      <w:r>
        <w:rPr>
          <w:rFonts w:eastAsia="Times New Roman" w:cs="Times New Roman"/>
          <w:szCs w:val="24"/>
          <w:lang w:val="en-US"/>
        </w:rPr>
        <w:t xml:space="preserve"> </w:t>
      </w:r>
      <w:r>
        <w:rPr>
          <w:rFonts w:eastAsia="Times New Roman" w:cs="Times New Roman"/>
          <w:b/>
          <w:szCs w:val="24"/>
          <w:lang w:val="en-US"/>
        </w:rPr>
        <w:t>CONCEPTUAL AND THEORETICAL FRAMEWORK</w:t>
      </w:r>
    </w:p>
    <w:p w14:paraId="5C68DBC8">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2.1.   Conceptual Framework……………………………………………………….</w:t>
      </w:r>
      <w:r>
        <w:rPr>
          <w:rFonts w:hint="default" w:eastAsia="Times New Roman" w:cs="Times New Roman"/>
          <w:szCs w:val="24"/>
          <w:lang w:val="en-US"/>
        </w:rPr>
        <w:tab/>
      </w:r>
      <w:r>
        <w:rPr>
          <w:rFonts w:eastAsia="Times New Roman" w:cs="Times New Roman"/>
          <w:szCs w:val="24"/>
          <w:lang w:val="en-US"/>
        </w:rPr>
        <w:t>12</w:t>
      </w:r>
    </w:p>
    <w:p w14:paraId="1EACC676">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2.1.1 Nature of Trespass in Nigeria………………………………………………….</w:t>
      </w:r>
      <w:r>
        <w:rPr>
          <w:rFonts w:hint="default" w:eastAsia="Times New Roman" w:cs="Times New Roman"/>
          <w:szCs w:val="24"/>
          <w:lang w:val="en-US"/>
        </w:rPr>
        <w:tab/>
      </w:r>
      <w:r>
        <w:rPr>
          <w:rFonts w:eastAsia="Times New Roman" w:cs="Times New Roman"/>
          <w:szCs w:val="24"/>
        </w:rPr>
        <w:t xml:space="preserve">12 </w:t>
      </w:r>
    </w:p>
    <w:p w14:paraId="0A3DE8A0">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 xml:space="preserve">2.1.2 Definitions of Trespass </w:t>
      </w:r>
      <w:r>
        <w:rPr>
          <w:rFonts w:eastAsia="Times New Roman" w:cs="Times New Roman"/>
          <w:szCs w:val="24"/>
          <w:lang w:val="en-US"/>
        </w:rPr>
        <w:t xml:space="preserve">and </w:t>
      </w:r>
      <w:r>
        <w:rPr>
          <w:rFonts w:eastAsia="Times New Roman" w:cs="Times New Roman"/>
          <w:szCs w:val="24"/>
        </w:rPr>
        <w:t xml:space="preserve"> Key Concepts………………………………………</w:t>
      </w:r>
      <w:r>
        <w:rPr>
          <w:rFonts w:hint="default" w:eastAsia="Times New Roman" w:cs="Times New Roman"/>
          <w:szCs w:val="24"/>
          <w:lang w:val="en-US"/>
        </w:rPr>
        <w:tab/>
      </w:r>
      <w:r>
        <w:rPr>
          <w:rFonts w:eastAsia="Times New Roman" w:cs="Times New Roman"/>
          <w:szCs w:val="24"/>
        </w:rPr>
        <w:t>1</w:t>
      </w:r>
      <w:r>
        <w:rPr>
          <w:rFonts w:hint="default" w:eastAsia="Times New Roman" w:cs="Times New Roman"/>
          <w:szCs w:val="24"/>
          <w:lang w:val="en-US"/>
        </w:rPr>
        <w:t>2</w:t>
      </w:r>
    </w:p>
    <w:p w14:paraId="5A813DF6">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2.2    Theoretical Framework…………………………………………………………</w:t>
      </w:r>
      <w:r>
        <w:rPr>
          <w:rFonts w:hint="default" w:eastAsia="Times New Roman" w:cs="Times New Roman"/>
          <w:szCs w:val="24"/>
          <w:lang w:val="en-US"/>
        </w:rPr>
        <w:tab/>
      </w:r>
      <w:r>
        <w:rPr>
          <w:rFonts w:eastAsia="Times New Roman" w:cs="Times New Roman"/>
          <w:szCs w:val="24"/>
          <w:lang w:val="en-US"/>
        </w:rPr>
        <w:t>2</w:t>
      </w:r>
      <w:r>
        <w:rPr>
          <w:rFonts w:hint="default" w:eastAsia="Times New Roman" w:cs="Times New Roman"/>
          <w:szCs w:val="24"/>
          <w:lang w:val="en-US"/>
        </w:rPr>
        <w:t>0</w:t>
      </w:r>
    </w:p>
    <w:p w14:paraId="28964843">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 xml:space="preserve">2.2.1 Historical </w:t>
      </w:r>
      <w:r>
        <w:rPr>
          <w:rFonts w:hint="default" w:eastAsia="Times New Roman" w:cs="Times New Roman"/>
          <w:szCs w:val="24"/>
          <w:lang w:val="en-US"/>
        </w:rPr>
        <w:t xml:space="preserve">Background </w:t>
      </w:r>
      <w:r>
        <w:rPr>
          <w:rFonts w:eastAsia="Times New Roman" w:cs="Times New Roman"/>
          <w:szCs w:val="24"/>
        </w:rPr>
        <w:t xml:space="preserve">of Trespass </w:t>
      </w:r>
      <w:r>
        <w:rPr>
          <w:rFonts w:hint="default" w:eastAsia="Times New Roman" w:cs="Times New Roman"/>
          <w:szCs w:val="24"/>
          <w:lang w:val="en-US"/>
        </w:rPr>
        <w:t>as a Tortious Action</w:t>
      </w:r>
      <w:r>
        <w:rPr>
          <w:rFonts w:eastAsia="Times New Roman" w:cs="Times New Roman"/>
          <w:szCs w:val="24"/>
        </w:rPr>
        <w:t>…………………………</w:t>
      </w:r>
      <w:r>
        <w:rPr>
          <w:rFonts w:hint="default" w:eastAsia="Times New Roman" w:cs="Times New Roman"/>
          <w:szCs w:val="24"/>
          <w:lang w:val="en-US"/>
        </w:rPr>
        <w:tab/>
      </w:r>
      <w:r>
        <w:rPr>
          <w:rFonts w:eastAsia="Times New Roman" w:cs="Times New Roman"/>
          <w:szCs w:val="24"/>
        </w:rPr>
        <w:t>2</w:t>
      </w:r>
      <w:r>
        <w:rPr>
          <w:rFonts w:hint="default" w:eastAsia="Times New Roman" w:cs="Times New Roman"/>
          <w:szCs w:val="24"/>
          <w:lang w:val="en-US"/>
        </w:rPr>
        <w:t>0</w:t>
      </w:r>
    </w:p>
    <w:p w14:paraId="06A67A7B">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2.2.2 Theories of Trespass under the Nigeria Law……………………………………</w:t>
      </w:r>
      <w:r>
        <w:rPr>
          <w:rFonts w:hint="default" w:eastAsia="Times New Roman" w:cs="Times New Roman"/>
          <w:szCs w:val="24"/>
          <w:lang w:val="en-US"/>
        </w:rPr>
        <w:tab/>
      </w:r>
      <w:r>
        <w:rPr>
          <w:rFonts w:eastAsia="Times New Roman" w:cs="Times New Roman"/>
          <w:szCs w:val="24"/>
        </w:rPr>
        <w:t>2</w:t>
      </w:r>
      <w:r>
        <w:rPr>
          <w:rFonts w:hint="default" w:eastAsia="Times New Roman" w:cs="Times New Roman"/>
          <w:szCs w:val="24"/>
          <w:lang w:val="en-US"/>
        </w:rPr>
        <w:t>3</w:t>
      </w:r>
    </w:p>
    <w:p w14:paraId="7BA58C24">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lang w:val="en-US"/>
        </w:rPr>
        <w:t>2.2.3 School</w:t>
      </w:r>
      <w:r>
        <w:rPr>
          <w:rFonts w:hint="default" w:cs="Times New Roman"/>
          <w:szCs w:val="24"/>
          <w:lang w:val="en-US"/>
        </w:rPr>
        <w:t>s</w:t>
      </w:r>
      <w:r>
        <w:rPr>
          <w:rFonts w:cs="Times New Roman"/>
          <w:szCs w:val="24"/>
          <w:lang w:val="en-US"/>
        </w:rPr>
        <w:t xml:space="preserve"> of Thought……………………………………………………………..</w:t>
      </w:r>
      <w:r>
        <w:rPr>
          <w:rFonts w:hint="default" w:cs="Times New Roman"/>
          <w:szCs w:val="24"/>
          <w:lang w:val="en-US"/>
        </w:rPr>
        <w:tab/>
      </w:r>
      <w:r>
        <w:rPr>
          <w:rFonts w:cs="Times New Roman"/>
          <w:szCs w:val="24"/>
          <w:lang w:val="en-US"/>
        </w:rPr>
        <w:t>2</w:t>
      </w:r>
      <w:r>
        <w:rPr>
          <w:rFonts w:hint="default" w:cs="Times New Roman"/>
          <w:szCs w:val="24"/>
          <w:lang w:val="en-US"/>
        </w:rPr>
        <w:t>5</w:t>
      </w:r>
    </w:p>
    <w:p w14:paraId="77930813">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szCs w:val="24"/>
          <w:lang w:val="en-US"/>
        </w:rPr>
        <w:t>CHAPTER THREE:</w:t>
      </w:r>
      <w:r>
        <w:rPr>
          <w:rFonts w:eastAsia="Times New Roman" w:cs="Times New Roman"/>
          <w:szCs w:val="24"/>
          <w:lang w:val="en-US"/>
        </w:rPr>
        <w:t xml:space="preserve"> </w:t>
      </w:r>
      <w:r>
        <w:rPr>
          <w:rFonts w:eastAsia="Times New Roman" w:cs="Times New Roman"/>
          <w:b/>
          <w:bCs/>
          <w:szCs w:val="24"/>
          <w:lang w:val="en-US"/>
        </w:rPr>
        <w:t xml:space="preserve">LEGAL AND INSTITUTIONAL FRAMEWORK OF </w:t>
      </w:r>
    </w:p>
    <w:p w14:paraId="7C93592B">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TRESPASS UNDER THE NIGERIAN LAW</w:t>
      </w:r>
    </w:p>
    <w:p w14:paraId="3AD42260">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3.1 Legal Framework of Trespass under the Nigerian Law……………………………</w:t>
      </w:r>
      <w:r>
        <w:rPr>
          <w:rFonts w:hint="default" w:eastAsia="Times New Roman" w:cs="Times New Roman"/>
          <w:szCs w:val="24"/>
          <w:lang w:val="en-US"/>
        </w:rPr>
        <w:tab/>
      </w:r>
      <w:r>
        <w:rPr>
          <w:rFonts w:hint="default" w:eastAsia="Times New Roman" w:cs="Times New Roman"/>
          <w:szCs w:val="24"/>
          <w:lang w:val="en-US"/>
        </w:rPr>
        <w:t>29</w:t>
      </w:r>
    </w:p>
    <w:p w14:paraId="73F7207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3.1.2 The Constitution of the Federal Republic of Nigeria 1999 ………………………</w:t>
      </w:r>
      <w:r>
        <w:rPr>
          <w:rFonts w:hint="default" w:eastAsia="Times New Roman" w:cs="Times New Roman"/>
          <w:szCs w:val="24"/>
          <w:lang w:val="en-US"/>
        </w:rPr>
        <w:tab/>
      </w:r>
      <w:r>
        <w:rPr>
          <w:rFonts w:hint="default" w:eastAsia="Times New Roman" w:cs="Times New Roman"/>
          <w:szCs w:val="24"/>
          <w:lang w:val="en-US"/>
        </w:rPr>
        <w:t>29</w:t>
      </w:r>
    </w:p>
    <w:p w14:paraId="7DD8C8AB">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3.1.2 Land Use Act 1978………………………………………………………………..</w:t>
      </w:r>
      <w:r>
        <w:rPr>
          <w:rFonts w:hint="default" w:eastAsia="Times New Roman" w:cs="Times New Roman"/>
          <w:szCs w:val="24"/>
          <w:lang w:val="en-US"/>
        </w:rPr>
        <w:tab/>
      </w:r>
      <w:r>
        <w:rPr>
          <w:rFonts w:hint="default" w:eastAsia="Times New Roman" w:cs="Times New Roman"/>
          <w:szCs w:val="24"/>
          <w:lang w:val="en-US"/>
        </w:rPr>
        <w:t>29</w:t>
      </w:r>
    </w:p>
    <w:p w14:paraId="4A61A942">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3.1.3 The Criminal Code Act………………………………………………….………..</w:t>
      </w:r>
      <w:r>
        <w:rPr>
          <w:rFonts w:hint="default" w:eastAsia="Times New Roman" w:cs="Times New Roman"/>
          <w:szCs w:val="24"/>
          <w:lang w:val="en-US"/>
        </w:rPr>
        <w:tab/>
      </w:r>
      <w:r>
        <w:rPr>
          <w:rFonts w:eastAsia="Times New Roman" w:cs="Times New Roman"/>
          <w:szCs w:val="24"/>
          <w:lang w:val="en-US"/>
        </w:rPr>
        <w:t>3</w:t>
      </w:r>
      <w:r>
        <w:rPr>
          <w:rFonts w:hint="default" w:eastAsia="Times New Roman" w:cs="Times New Roman"/>
          <w:szCs w:val="24"/>
          <w:lang w:val="en-US"/>
        </w:rPr>
        <w:t>0</w:t>
      </w:r>
    </w:p>
    <w:p w14:paraId="4073E3DC">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3.1.4 State Laws on Trespass……………………………………………………………</w:t>
      </w:r>
      <w:r>
        <w:rPr>
          <w:rFonts w:hint="default" w:eastAsia="Times New Roman" w:cs="Times New Roman"/>
          <w:szCs w:val="24"/>
          <w:lang w:val="en-US"/>
        </w:rPr>
        <w:tab/>
      </w:r>
      <w:r>
        <w:rPr>
          <w:rFonts w:eastAsia="Times New Roman" w:cs="Times New Roman"/>
          <w:szCs w:val="24"/>
          <w:lang w:val="en-US"/>
        </w:rPr>
        <w:t>3</w:t>
      </w:r>
      <w:r>
        <w:rPr>
          <w:rFonts w:hint="default" w:eastAsia="Times New Roman" w:cs="Times New Roman"/>
          <w:szCs w:val="24"/>
          <w:lang w:val="en-US"/>
        </w:rPr>
        <w:t>0</w:t>
      </w:r>
    </w:p>
    <w:p w14:paraId="1C8BF340">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3.1.5 Common Law and Judicial Precedents…………………………………………….</w:t>
      </w:r>
      <w:r>
        <w:rPr>
          <w:rFonts w:hint="default" w:eastAsia="Times New Roman" w:cs="Times New Roman"/>
          <w:szCs w:val="24"/>
          <w:lang w:val="en-US"/>
        </w:rPr>
        <w:tab/>
      </w:r>
      <w:r>
        <w:rPr>
          <w:rFonts w:eastAsia="Times New Roman" w:cs="Times New Roman"/>
          <w:szCs w:val="24"/>
          <w:lang w:val="en-US"/>
        </w:rPr>
        <w:t>3</w:t>
      </w:r>
      <w:r>
        <w:rPr>
          <w:rFonts w:hint="default" w:eastAsia="Times New Roman" w:cs="Times New Roman"/>
          <w:szCs w:val="24"/>
          <w:lang w:val="en-US"/>
        </w:rPr>
        <w:t>1</w:t>
      </w:r>
    </w:p>
    <w:p w14:paraId="7C33AF28">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3.2    Institutional Framework of Trespass under the Nigerian Law……………………..</w:t>
      </w:r>
      <w:r>
        <w:rPr>
          <w:rFonts w:hint="default" w:eastAsia="Times New Roman" w:cs="Times New Roman"/>
          <w:szCs w:val="24"/>
          <w:lang w:val="en-US"/>
        </w:rPr>
        <w:t>33</w:t>
      </w:r>
      <w:r>
        <w:rPr>
          <w:rFonts w:hint="default" w:eastAsia="Times New Roman" w:cs="Times New Roman"/>
          <w:szCs w:val="24"/>
          <w:lang w:val="en-US"/>
        </w:rPr>
        <w:tab/>
      </w:r>
    </w:p>
    <w:p w14:paraId="71231D4C">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3.2.1 Nigeria Police Force</w:t>
      </w:r>
      <w:r>
        <w:rPr>
          <w:rFonts w:eastAsia="Times New Roman" w:cs="Times New Roman"/>
          <w:szCs w:val="24"/>
          <w:lang w:val="en-US"/>
        </w:rPr>
        <w:t xml:space="preserve"> </w:t>
      </w:r>
      <w:r>
        <w:rPr>
          <w:rFonts w:eastAsia="Times New Roman" w:cs="Times New Roman"/>
          <w:szCs w:val="24"/>
        </w:rPr>
        <w:t>………………………………………………………….</w:t>
      </w:r>
      <w:r>
        <w:rPr>
          <w:rFonts w:hint="default" w:eastAsia="Times New Roman" w:cs="Times New Roman"/>
          <w:szCs w:val="24"/>
          <w:lang w:val="en-US"/>
        </w:rPr>
        <w:tab/>
      </w:r>
      <w:r>
        <w:rPr>
          <w:rFonts w:hint="default" w:eastAsia="Times New Roman" w:cs="Times New Roman"/>
          <w:szCs w:val="24"/>
          <w:lang w:val="en-US"/>
        </w:rPr>
        <w:t>33</w:t>
      </w:r>
    </w:p>
    <w:p w14:paraId="00C262AD">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3.2.2 National Agency for the Prohibition of Trafficking in Persons …………..</w:t>
      </w:r>
      <w:r>
        <w:rPr>
          <w:rFonts w:hint="default" w:eastAsia="Times New Roman" w:cs="Times New Roman"/>
          <w:szCs w:val="24"/>
          <w:lang w:val="en-US"/>
        </w:rPr>
        <w:tab/>
      </w:r>
      <w:r>
        <w:rPr>
          <w:rFonts w:eastAsia="Times New Roman" w:cs="Times New Roman"/>
          <w:szCs w:val="24"/>
        </w:rPr>
        <w:t>3</w:t>
      </w:r>
      <w:r>
        <w:rPr>
          <w:rFonts w:hint="default" w:eastAsia="Times New Roman" w:cs="Times New Roman"/>
          <w:szCs w:val="24"/>
          <w:lang w:val="en-US"/>
        </w:rPr>
        <w:t>3</w:t>
      </w:r>
    </w:p>
    <w:p w14:paraId="11EE78D7">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3.2.3 The Judiciary………………………………………………………………………</w:t>
      </w:r>
      <w:r>
        <w:rPr>
          <w:rFonts w:hint="default" w:eastAsia="Times New Roman" w:cs="Times New Roman"/>
          <w:szCs w:val="24"/>
          <w:lang w:val="en-US"/>
        </w:rPr>
        <w:tab/>
      </w:r>
      <w:r>
        <w:rPr>
          <w:rFonts w:hint="default" w:eastAsia="Times New Roman" w:cs="Times New Roman"/>
          <w:szCs w:val="24"/>
          <w:lang w:val="en-US"/>
        </w:rPr>
        <w:t>34</w:t>
      </w:r>
    </w:p>
    <w:p w14:paraId="775D9516">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3.2.4 Nigeria Security and Civil Defence Corps ……………………………….</w:t>
      </w:r>
      <w:r>
        <w:rPr>
          <w:rFonts w:hint="default" w:eastAsia="Times New Roman" w:cs="Times New Roman"/>
          <w:szCs w:val="24"/>
          <w:lang w:val="en-US"/>
        </w:rPr>
        <w:tab/>
      </w:r>
      <w:r>
        <w:rPr>
          <w:rFonts w:eastAsia="Times New Roman" w:cs="Times New Roman"/>
          <w:szCs w:val="24"/>
        </w:rPr>
        <w:t>3</w:t>
      </w:r>
      <w:r>
        <w:rPr>
          <w:rFonts w:hint="default" w:eastAsia="Times New Roman" w:cs="Times New Roman"/>
          <w:szCs w:val="24"/>
          <w:lang w:val="en-US"/>
        </w:rPr>
        <w:t>4</w:t>
      </w:r>
    </w:p>
    <w:p w14:paraId="7097D58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 xml:space="preserve">CHAPTER FOUR: ELEMENTS AND SCOPE OF TRESPASS UNDER THE </w:t>
      </w:r>
    </w:p>
    <w:p w14:paraId="7C0A995C">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NIGERIAN LAW</w:t>
      </w:r>
    </w:p>
    <w:p w14:paraId="1B805AD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4.1 Elements of Trespass under the Nigerian Law………………………………………</w:t>
      </w:r>
      <w:r>
        <w:rPr>
          <w:rFonts w:hint="default" w:eastAsia="Times New Roman" w:cs="Times New Roman"/>
          <w:szCs w:val="24"/>
          <w:lang w:val="en-US"/>
        </w:rPr>
        <w:tab/>
      </w:r>
      <w:r>
        <w:rPr>
          <w:rFonts w:hint="default" w:eastAsia="Times New Roman" w:cs="Times New Roman"/>
          <w:szCs w:val="24"/>
          <w:lang w:val="en-US"/>
        </w:rPr>
        <w:t>36</w:t>
      </w:r>
    </w:p>
    <w:p w14:paraId="22309A46">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4.1.1 Possession…………………………………………………………………………</w:t>
      </w:r>
      <w:r>
        <w:rPr>
          <w:rFonts w:hint="default" w:eastAsia="Times New Roman" w:cs="Times New Roman"/>
          <w:szCs w:val="24"/>
          <w:lang w:val="en-US"/>
        </w:rPr>
        <w:tab/>
      </w:r>
      <w:r>
        <w:rPr>
          <w:rFonts w:hint="default" w:eastAsia="Times New Roman" w:cs="Times New Roman"/>
          <w:szCs w:val="24"/>
          <w:lang w:val="en-US"/>
        </w:rPr>
        <w:t>36</w:t>
      </w:r>
    </w:p>
    <w:p w14:paraId="78D8B0E0">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4.1.2 Unlawful Entry and Interference…………………………………………………</w:t>
      </w:r>
      <w:r>
        <w:rPr>
          <w:rFonts w:hint="default" w:eastAsia="Times New Roman" w:cs="Times New Roman"/>
          <w:szCs w:val="24"/>
          <w:lang w:val="en-US"/>
        </w:rPr>
        <w:tab/>
      </w:r>
      <w:r>
        <w:rPr>
          <w:rFonts w:hint="default" w:eastAsia="Times New Roman" w:cs="Times New Roman"/>
          <w:szCs w:val="24"/>
          <w:lang w:val="en-US"/>
        </w:rPr>
        <w:t>36</w:t>
      </w:r>
    </w:p>
    <w:p w14:paraId="477B90FF">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4.1.3 Criminal Trespass…………………………………………………………………</w:t>
      </w:r>
      <w:r>
        <w:rPr>
          <w:rFonts w:hint="default" w:eastAsia="Times New Roman" w:cs="Times New Roman"/>
          <w:szCs w:val="24"/>
          <w:lang w:val="en-US"/>
        </w:rPr>
        <w:tab/>
      </w:r>
      <w:r>
        <w:rPr>
          <w:rFonts w:hint="default" w:eastAsia="Times New Roman" w:cs="Times New Roman"/>
          <w:szCs w:val="24"/>
          <w:lang w:val="en-US"/>
        </w:rPr>
        <w:t>36</w:t>
      </w:r>
    </w:p>
    <w:p w14:paraId="157197F4">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4.2 Trespass to Person……………………………………………………………………</w:t>
      </w:r>
      <w:r>
        <w:rPr>
          <w:rFonts w:hint="default" w:eastAsia="Times New Roman" w:cs="Times New Roman"/>
          <w:szCs w:val="24"/>
          <w:lang w:val="en-US"/>
        </w:rPr>
        <w:t>37</w:t>
      </w:r>
    </w:p>
    <w:p w14:paraId="076CBE64">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4.2.1 Meaning of Trespass to Person……………………………………………………</w:t>
      </w:r>
      <w:r>
        <w:rPr>
          <w:rFonts w:hint="default" w:eastAsia="Times New Roman" w:cs="Times New Roman"/>
          <w:szCs w:val="24"/>
          <w:lang w:val="en-US"/>
        </w:rPr>
        <w:tab/>
      </w:r>
      <w:r>
        <w:rPr>
          <w:rFonts w:hint="default" w:eastAsia="Times New Roman" w:cs="Times New Roman"/>
          <w:szCs w:val="24"/>
          <w:lang w:val="en-US"/>
        </w:rPr>
        <w:t>37</w:t>
      </w:r>
    </w:p>
    <w:p w14:paraId="1CD02FD7">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4.2.2 Persons that can maintain an action under Trespass to Person…………………</w:t>
      </w:r>
      <w:r>
        <w:rPr>
          <w:rFonts w:hint="default" w:eastAsia="Times New Roman" w:cs="Times New Roman"/>
          <w:szCs w:val="24"/>
          <w:lang w:val="en-US"/>
        </w:rPr>
        <w:tab/>
      </w:r>
      <w:r>
        <w:rPr>
          <w:rFonts w:hint="default" w:eastAsia="Times New Roman" w:cs="Times New Roman"/>
          <w:szCs w:val="24"/>
          <w:lang w:val="en-US"/>
        </w:rPr>
        <w:t>40</w:t>
      </w:r>
    </w:p>
    <w:p w14:paraId="7393D338">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4.2.3 Defences under Trespass to Person………………………………………………</w:t>
      </w:r>
      <w:r>
        <w:rPr>
          <w:rFonts w:hint="default" w:eastAsia="Times New Roman" w:cs="Times New Roman"/>
          <w:szCs w:val="24"/>
          <w:lang w:val="en-US"/>
        </w:rPr>
        <w:tab/>
      </w:r>
      <w:r>
        <w:rPr>
          <w:rFonts w:hint="default" w:eastAsia="Times New Roman" w:cs="Times New Roman"/>
          <w:szCs w:val="24"/>
          <w:lang w:val="en-US"/>
        </w:rPr>
        <w:t>41</w:t>
      </w:r>
    </w:p>
    <w:p w14:paraId="05E2C78E">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4.3 Trespass to Land……………………………………………………………………</w:t>
      </w:r>
      <w:r>
        <w:rPr>
          <w:rFonts w:hint="default" w:eastAsia="Times New Roman" w:cs="Times New Roman"/>
          <w:szCs w:val="24"/>
          <w:lang w:val="en-US"/>
        </w:rPr>
        <w:tab/>
      </w:r>
      <w:r>
        <w:rPr>
          <w:rFonts w:hint="default" w:eastAsia="Times New Roman" w:cs="Times New Roman"/>
          <w:szCs w:val="24"/>
          <w:lang w:val="en-US"/>
        </w:rPr>
        <w:t>44</w:t>
      </w:r>
    </w:p>
    <w:p w14:paraId="7255BE15">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4.3.1 Meaning of Trespass to Land………………………………………………………</w:t>
      </w:r>
      <w:r>
        <w:rPr>
          <w:rFonts w:hint="default" w:eastAsia="Times New Roman" w:cs="Times New Roman"/>
          <w:szCs w:val="24"/>
          <w:lang w:val="en-US"/>
        </w:rPr>
        <w:t>44</w:t>
      </w:r>
    </w:p>
    <w:p w14:paraId="57388233">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4.3.2 Persons that can maintain an action under Trespass to Land…………………….</w:t>
      </w:r>
      <w:r>
        <w:rPr>
          <w:rFonts w:hint="default" w:eastAsia="Times New Roman" w:cs="Times New Roman"/>
          <w:szCs w:val="24"/>
          <w:lang w:val="en-US"/>
        </w:rPr>
        <w:tab/>
      </w:r>
      <w:r>
        <w:rPr>
          <w:rFonts w:hint="default" w:eastAsia="Times New Roman" w:cs="Times New Roman"/>
          <w:szCs w:val="24"/>
          <w:lang w:val="en-US"/>
        </w:rPr>
        <w:t>50</w:t>
      </w:r>
    </w:p>
    <w:p w14:paraId="0DFCACB5">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4.3.3 Defences under Trespass to Land …………………………………………………</w:t>
      </w:r>
      <w:r>
        <w:rPr>
          <w:rFonts w:hint="default" w:eastAsia="Times New Roman" w:cs="Times New Roman"/>
          <w:szCs w:val="24"/>
          <w:lang w:val="en-US"/>
        </w:rPr>
        <w:tab/>
      </w:r>
      <w:r>
        <w:rPr>
          <w:rFonts w:hint="default" w:eastAsia="Times New Roman" w:cs="Times New Roman"/>
          <w:szCs w:val="24"/>
          <w:lang w:val="en-US"/>
        </w:rPr>
        <w:t>50</w:t>
      </w:r>
    </w:p>
    <w:p w14:paraId="58D515CE">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4.4 Trespass to Chattels………………………………………………………………</w:t>
      </w:r>
      <w:r>
        <w:rPr>
          <w:rFonts w:hint="default" w:eastAsia="Times New Roman" w:cs="Times New Roman"/>
          <w:szCs w:val="24"/>
          <w:lang w:val="en-US"/>
        </w:rPr>
        <w:tab/>
      </w:r>
      <w:r>
        <w:rPr>
          <w:rFonts w:hint="default" w:eastAsia="Times New Roman" w:cs="Times New Roman"/>
          <w:szCs w:val="24"/>
          <w:lang w:val="en-US"/>
        </w:rPr>
        <w:t>51</w:t>
      </w:r>
    </w:p>
    <w:p w14:paraId="33C571D1">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4.4.1 Meaning of Trespass to Chattels…………………………………………………</w:t>
      </w:r>
      <w:r>
        <w:rPr>
          <w:rFonts w:hint="default" w:eastAsia="Times New Roman" w:cs="Times New Roman"/>
          <w:szCs w:val="24"/>
          <w:lang w:val="en-US"/>
        </w:rPr>
        <w:tab/>
      </w:r>
      <w:r>
        <w:rPr>
          <w:rFonts w:hint="default" w:eastAsia="Times New Roman" w:cs="Times New Roman"/>
          <w:szCs w:val="24"/>
          <w:lang w:val="en-US"/>
        </w:rPr>
        <w:t>51</w:t>
      </w:r>
    </w:p>
    <w:p w14:paraId="75A57BC5">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rPr>
        <w:t>4.4.2 Persons that can maintain an action under Trespass to Chattels…………………</w:t>
      </w:r>
      <w:r>
        <w:rPr>
          <w:rFonts w:hint="default" w:eastAsia="Times New Roman" w:cs="Times New Roman"/>
          <w:szCs w:val="24"/>
          <w:lang w:val="en-US"/>
        </w:rPr>
        <w:tab/>
      </w:r>
      <w:r>
        <w:rPr>
          <w:rFonts w:hint="default" w:eastAsia="Times New Roman" w:cs="Times New Roman"/>
          <w:szCs w:val="24"/>
          <w:lang w:val="en-US"/>
        </w:rPr>
        <w:t>54</w:t>
      </w:r>
    </w:p>
    <w:p w14:paraId="0D62FD29">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4.4.3 Defences under Trespass to Chattels………………………………………………</w:t>
      </w:r>
      <w:r>
        <w:rPr>
          <w:rFonts w:hint="default" w:eastAsia="Times New Roman" w:cs="Times New Roman"/>
          <w:szCs w:val="24"/>
          <w:lang w:val="en-US"/>
        </w:rPr>
        <w:tab/>
      </w:r>
      <w:r>
        <w:rPr>
          <w:rFonts w:hint="default" w:eastAsia="Times New Roman" w:cs="Times New Roman"/>
          <w:szCs w:val="24"/>
          <w:lang w:val="en-US"/>
        </w:rPr>
        <w:t>55</w:t>
      </w:r>
    </w:p>
    <w:p w14:paraId="3106CA7A">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 xml:space="preserve">CHAPTER 5: SUMMARY OF FINDINGS, RECOMMENDATIONS </w:t>
      </w:r>
    </w:p>
    <w:p w14:paraId="7E7A687A">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b/>
          <w:szCs w:val="24"/>
          <w:lang w:val="en-US"/>
        </w:rPr>
        <w:t>AND CONCLUSION</w:t>
      </w:r>
    </w:p>
    <w:p w14:paraId="7E446D4D">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5.1. Summary of Findings……………..……………………………………………</w:t>
      </w:r>
      <w:r>
        <w:rPr>
          <w:rFonts w:hint="default" w:eastAsia="Times New Roman" w:cs="Times New Roman"/>
          <w:szCs w:val="24"/>
          <w:lang w:val="en-US"/>
        </w:rPr>
        <w:tab/>
      </w:r>
      <w:r>
        <w:rPr>
          <w:rFonts w:hint="default" w:eastAsia="Times New Roman" w:cs="Times New Roman"/>
          <w:szCs w:val="24"/>
          <w:lang w:val="en-US"/>
        </w:rPr>
        <w:t>56</w:t>
      </w:r>
    </w:p>
    <w:p w14:paraId="638C23A2">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eastAsia="Times New Roman" w:cs="Times New Roman"/>
          <w:szCs w:val="24"/>
          <w:lang w:val="en-US"/>
        </w:rPr>
      </w:pPr>
      <w:r>
        <w:rPr>
          <w:rFonts w:eastAsia="Times New Roman" w:cs="Times New Roman"/>
          <w:szCs w:val="24"/>
          <w:lang w:val="en-US"/>
        </w:rPr>
        <w:t>5.2. Recommendations………………………………………………………….……</w:t>
      </w:r>
      <w:r>
        <w:rPr>
          <w:rFonts w:hint="default" w:eastAsia="Times New Roman" w:cs="Times New Roman"/>
          <w:szCs w:val="24"/>
          <w:lang w:val="en-US"/>
        </w:rPr>
        <w:tab/>
      </w:r>
      <w:r>
        <w:rPr>
          <w:rFonts w:hint="default" w:eastAsia="Times New Roman" w:cs="Times New Roman"/>
          <w:szCs w:val="24"/>
          <w:lang w:val="en-US"/>
        </w:rPr>
        <w:t>59</w:t>
      </w:r>
    </w:p>
    <w:p w14:paraId="56C3E2E4">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lang w:val="en-US"/>
        </w:rPr>
      </w:pPr>
      <w:r>
        <w:rPr>
          <w:rFonts w:eastAsia="Times New Roman"/>
          <w:lang w:val="en-US"/>
        </w:rPr>
        <w:t>5.3. Conclusion………………………………………………………………………</w:t>
      </w:r>
      <w:r>
        <w:rPr>
          <w:rFonts w:hint="default" w:eastAsia="Times New Roman"/>
          <w:lang w:val="en-US"/>
        </w:rPr>
        <w:tab/>
      </w:r>
      <w:r>
        <w:rPr>
          <w:rFonts w:hint="default" w:eastAsia="Times New Roman"/>
          <w:lang w:val="en-US"/>
        </w:rPr>
        <w:t>60</w:t>
      </w:r>
    </w:p>
    <w:p w14:paraId="3CC5173A">
      <w:pPr>
        <w:keepNext w:val="0"/>
        <w:keepLines w:val="0"/>
        <w:pageBreakBefore w:val="0"/>
        <w:widowControl/>
        <w:tabs>
          <w:tab w:val="left" w:leader="dot" w:pos="8400"/>
        </w:tabs>
        <w:kinsoku/>
        <w:wordWrap/>
        <w:overflowPunct/>
        <w:topLinePunct w:val="0"/>
        <w:autoSpaceDE/>
        <w:autoSpaceDN/>
        <w:bidi w:val="0"/>
        <w:adjustRightInd/>
        <w:snapToGrid/>
        <w:spacing w:beforeAutospacing="0" w:after="0" w:afterAutospacing="0"/>
        <w:textAlignment w:val="auto"/>
        <w:rPr>
          <w:rFonts w:hint="default"/>
          <w:b/>
          <w:lang w:val="en-US"/>
        </w:rPr>
      </w:pPr>
      <w:r>
        <w:rPr>
          <w:b/>
        </w:rPr>
        <w:t>BIBLOGRAPHY……………………………………………………………………</w:t>
      </w:r>
      <w:r>
        <w:rPr>
          <w:rFonts w:hint="default"/>
          <w:b/>
          <w:lang w:val="en-US"/>
        </w:rPr>
        <w:tab/>
      </w:r>
      <w:r>
        <w:rPr>
          <w:rFonts w:hint="default"/>
          <w:b/>
          <w:lang w:val="en-US"/>
        </w:rPr>
        <w:t>62</w:t>
      </w:r>
    </w:p>
    <w:p w14:paraId="1AF0A6EE">
      <w:pPr>
        <w:pageBreakBefore w:val="0"/>
        <w:widowControl/>
        <w:kinsoku/>
        <w:wordWrap/>
        <w:overflowPunct/>
        <w:topLinePunct w:val="0"/>
        <w:autoSpaceDE/>
        <w:autoSpaceDN/>
        <w:bidi w:val="0"/>
        <w:adjustRightInd/>
        <w:snapToGrid/>
        <w:spacing w:beforeAutospacing="0" w:after="0" w:afterAutospacing="0"/>
        <w:textAlignment w:val="auto"/>
      </w:pPr>
    </w:p>
    <w:p w14:paraId="10AB23DC">
      <w:pPr>
        <w:pageBreakBefore w:val="0"/>
        <w:widowControl/>
        <w:kinsoku/>
        <w:wordWrap/>
        <w:overflowPunct/>
        <w:topLinePunct w:val="0"/>
        <w:autoSpaceDE/>
        <w:autoSpaceDN/>
        <w:bidi w:val="0"/>
        <w:adjustRightInd/>
        <w:snapToGrid/>
        <w:spacing w:beforeAutospacing="0" w:after="0" w:afterAutospacing="0"/>
        <w:textAlignment w:val="auto"/>
      </w:pPr>
    </w:p>
    <w:p w14:paraId="5ADA505C">
      <w:pPr>
        <w:pageBreakBefore w:val="0"/>
        <w:widowControl/>
        <w:kinsoku/>
        <w:wordWrap/>
        <w:overflowPunct/>
        <w:topLinePunct w:val="0"/>
        <w:autoSpaceDE/>
        <w:autoSpaceDN/>
        <w:bidi w:val="0"/>
        <w:adjustRightInd/>
        <w:snapToGrid/>
        <w:spacing w:beforeAutospacing="0" w:after="0" w:afterAutospacing="0"/>
        <w:textAlignment w:val="auto"/>
      </w:pPr>
    </w:p>
    <w:p w14:paraId="7D66BB43">
      <w:pPr>
        <w:pStyle w:val="2"/>
        <w:pageBreakBefore w:val="0"/>
        <w:widowControl/>
        <w:kinsoku/>
        <w:wordWrap/>
        <w:overflowPunct/>
        <w:topLinePunct w:val="0"/>
        <w:autoSpaceDE/>
        <w:autoSpaceDN/>
        <w:bidi w:val="0"/>
        <w:adjustRightInd/>
        <w:snapToGrid/>
        <w:spacing w:before="0" w:beforeAutospacing="0" w:after="0" w:afterAutospacing="0"/>
        <w:textAlignment w:val="auto"/>
      </w:pPr>
      <w:r>
        <w:fldChar w:fldCharType="begin"/>
      </w:r>
      <w:r>
        <w:instrText xml:space="preserve"> TOA \h \c "1" \p </w:instrText>
      </w:r>
      <w:r>
        <w:fldChar w:fldCharType="separate"/>
      </w:r>
      <w:bookmarkStart w:id="5" w:name="_Toc140834403"/>
      <w:r>
        <w:rPr>
          <w:lang w:val="en-US"/>
        </w:rPr>
        <w:t xml:space="preserve">TABLE </w:t>
      </w:r>
      <w:r>
        <w:t>OF CASES</w:t>
      </w:r>
      <w:bookmarkEnd w:id="5"/>
      <w:r>
        <w:fldChar w:fldCharType="end"/>
      </w:r>
    </w:p>
    <w:p w14:paraId="768A9BA1">
      <w:pPr>
        <w:pStyle w:val="2"/>
        <w:pageBreakBefore w:val="0"/>
        <w:widowControl/>
        <w:kinsoku/>
        <w:wordWrap/>
        <w:overflowPunct/>
        <w:topLinePunct w:val="0"/>
        <w:autoSpaceDE/>
        <w:autoSpaceDN/>
        <w:bidi w:val="0"/>
        <w:adjustRightInd/>
        <w:snapToGrid/>
        <w:spacing w:before="0" w:beforeAutospacing="0" w:after="0" w:afterAutospacing="0"/>
        <w:textAlignment w:val="auto"/>
        <w:rPr>
          <w:rFonts w:hint="default"/>
          <w:lang w:val="en-US"/>
        </w:rPr>
      </w:pPr>
      <w:r>
        <w:rPr>
          <w:b w:val="0"/>
          <w:bCs w:val="0"/>
          <w:i/>
          <w:iCs/>
          <w:lang w:val="en-US"/>
        </w:rPr>
        <w:t xml:space="preserve"> </w:t>
      </w:r>
      <w:r>
        <w:rPr>
          <w:b w:val="0"/>
          <w:bCs w:val="0"/>
          <w:i/>
          <w:iCs/>
        </w:rPr>
        <w:t>Ashby v White</w:t>
      </w:r>
      <w:r>
        <w:rPr>
          <w:b w:val="0"/>
          <w:bCs w:val="0"/>
        </w:rPr>
        <w:t xml:space="preserve"> (1703) 2 Ld Raym 938……………………………………………..</w:t>
      </w:r>
      <w:r>
        <w:rPr>
          <w:b w:val="0"/>
          <w:bCs w:val="0"/>
        </w:rPr>
        <w:tab/>
      </w:r>
      <w:r>
        <w:rPr>
          <w:rFonts w:hint="default"/>
          <w:b w:val="0"/>
          <w:bCs w:val="0"/>
          <w:lang w:val="en-US"/>
        </w:rPr>
        <w:t>45</w:t>
      </w:r>
    </w:p>
    <w:p w14:paraId="2C21492B">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Ajibade v Pedro</w:t>
      </w:r>
      <w:r>
        <w:t xml:space="preserve"> (1992) 5 NWLR (Pt. 241) 257……………………………………</w:t>
      </w:r>
      <w:r>
        <w:tab/>
      </w:r>
      <w:r>
        <w:rPr>
          <w:rFonts w:hint="default"/>
          <w:lang w:val="en-US"/>
        </w:rPr>
        <w:t>49</w:t>
      </w:r>
    </w:p>
    <w:p w14:paraId="068CC857">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Balogun v Alakija</w:t>
      </w:r>
      <w:r>
        <w:t xml:space="preserve"> (1963) 1 All NLR 18…………………………………………...</w:t>
      </w:r>
      <w:r>
        <w:tab/>
      </w:r>
      <w:r>
        <w:rPr>
          <w:rFonts w:hint="default"/>
          <w:lang w:val="en-US"/>
        </w:rPr>
        <w:t>47</w:t>
      </w:r>
    </w:p>
    <w:p w14:paraId="7D37F202">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Basely v Clarkson</w:t>
      </w:r>
      <w:r>
        <w:t xml:space="preserve"> (1681) 3 Lev 37………………………………………………...</w:t>
      </w:r>
      <w:r>
        <w:tab/>
      </w:r>
      <w:r>
        <w:rPr>
          <w:rFonts w:hint="default"/>
          <w:lang w:val="en-US"/>
        </w:rPr>
        <w:t>46</w:t>
      </w:r>
    </w:p>
    <w:p w14:paraId="323B8841">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 xml:space="preserve">Bird v Jones </w:t>
      </w:r>
      <w:r>
        <w:t>(1845) 7 QB 742……………………………………………………...</w:t>
      </w:r>
      <w:r>
        <w:tab/>
      </w:r>
      <w:r>
        <w:rPr>
          <w:rFonts w:hint="default"/>
          <w:lang w:val="en-US"/>
        </w:rPr>
        <w:t>17</w:t>
      </w:r>
    </w:p>
    <w:p w14:paraId="4BD955E8">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Christie v Leachinsky</w:t>
      </w:r>
      <w:r>
        <w:tab/>
      </w:r>
      <w:r>
        <w:t>[1947] AC 573……………………………………………...</w:t>
      </w:r>
      <w:r>
        <w:tab/>
      </w:r>
      <w:r>
        <w:rPr>
          <w:rFonts w:hint="default"/>
          <w:lang w:val="en-US"/>
        </w:rPr>
        <w:t>43</w:t>
      </w:r>
    </w:p>
    <w:p w14:paraId="574F1BEC">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Cole v Turner</w:t>
      </w:r>
      <w:r>
        <w:tab/>
      </w:r>
      <w:r>
        <w:t>(1704) 6 Mod 149…………………………………………………..</w:t>
      </w:r>
      <w:r>
        <w:tab/>
      </w:r>
      <w:r>
        <w:rPr>
          <w:rFonts w:hint="default"/>
          <w:lang w:val="en-US"/>
        </w:rPr>
        <w:t>39</w:t>
      </w:r>
    </w:p>
    <w:p w14:paraId="6FD66A04">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Donoghue v Stevenson</w:t>
      </w:r>
      <w:r>
        <w:t xml:space="preserve"> [1932] AC 562…………………………………………….</w:t>
      </w:r>
      <w:r>
        <w:tab/>
      </w:r>
      <w:r>
        <w:rPr>
          <w:rFonts w:hint="default"/>
          <w:lang w:val="en-US"/>
        </w:rPr>
        <w:t>19</w:t>
      </w:r>
    </w:p>
    <w:p w14:paraId="31870D28">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 xml:space="preserve">Ekpoudo (Ekpudo) v State </w:t>
      </w:r>
      <w:r>
        <w:t>(1993) 6 NWLR (Pt. 299) 332…………………………</w:t>
      </w:r>
      <w:r>
        <w:tab/>
      </w:r>
      <w:r>
        <w:rPr>
          <w:rFonts w:hint="default"/>
          <w:lang w:val="en-US"/>
        </w:rPr>
        <w:t>41</w:t>
      </w:r>
    </w:p>
    <w:p w14:paraId="25A25F9A">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Entick v Carrington</w:t>
      </w:r>
      <w:r>
        <w:t xml:space="preserve"> (1765) 95 ER 807…………………………………………...</w:t>
      </w:r>
      <w:r>
        <w:tab/>
      </w:r>
      <w:r>
        <w:rPr>
          <w:rFonts w:hint="default"/>
          <w:lang w:val="en-US"/>
        </w:rPr>
        <w:t>21</w:t>
      </w:r>
    </w:p>
    <w:p w14:paraId="3D3190C7">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Eze v Obiefuna</w:t>
      </w:r>
      <w:r>
        <w:t xml:space="preserve"> (1995) 6 NWLR (Pt. 404) 639…………………………………….</w:t>
      </w:r>
      <w:r>
        <w:tab/>
      </w:r>
      <w:r>
        <w:rPr>
          <w:rFonts w:hint="default"/>
          <w:lang w:val="en-US"/>
        </w:rPr>
        <w:t>22</w:t>
      </w:r>
    </w:p>
    <w:p w14:paraId="282F3C83">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Garratt v Dailey</w:t>
      </w:r>
      <w:r>
        <w:t xml:space="preserve"> (1955) 46 Wash 2d 197…………………………………………..</w:t>
      </w:r>
      <w:r>
        <w:tab/>
      </w:r>
      <w:r>
        <w:rPr>
          <w:rFonts w:hint="default"/>
          <w:lang w:val="en-US"/>
        </w:rPr>
        <w:t>18</w:t>
      </w:r>
    </w:p>
    <w:p w14:paraId="42D4795B">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Gregory v Piper</w:t>
      </w:r>
      <w:r>
        <w:t xml:space="preserve"> (1829) 9 B &amp; C 591…………………………………………….</w:t>
      </w:r>
      <w:r>
        <w:tab/>
      </w:r>
      <w:r>
        <w:rPr>
          <w:rFonts w:hint="default"/>
          <w:lang w:val="en-US"/>
        </w:rPr>
        <w:t>48</w:t>
      </w:r>
    </w:p>
    <w:p w14:paraId="6085C7FB">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Lajide v Oyelaran</w:t>
      </w:r>
      <w:r>
        <w:t xml:space="preserve"> (1991) 1 NWLR (Pt. 166) 94…………………………………...</w:t>
      </w:r>
      <w:r>
        <w:tab/>
      </w:r>
      <w:r>
        <w:rPr>
          <w:rFonts w:hint="default"/>
          <w:lang w:val="en-US"/>
        </w:rPr>
        <w:t>49</w:t>
      </w:r>
    </w:p>
    <w:p w14:paraId="1CDBC896">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Leigh v Gladstone</w:t>
      </w:r>
      <w:r>
        <w:t xml:space="preserve"> (1909) 26 TLR 139……………………………………………..</w:t>
      </w:r>
      <w:r>
        <w:tab/>
      </w:r>
      <w:r>
        <w:rPr>
          <w:rFonts w:hint="default"/>
          <w:lang w:val="en-US"/>
        </w:rPr>
        <w:t>43</w:t>
      </w:r>
    </w:p>
    <w:p w14:paraId="4AF283ED">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National Coal Board v Evans</w:t>
      </w:r>
      <w:r>
        <w:tab/>
      </w:r>
      <w:r>
        <w:t>[1951] 2 KB 861……………………………………</w:t>
      </w:r>
      <w:r>
        <w:tab/>
      </w:r>
      <w:r>
        <w:rPr>
          <w:rFonts w:hint="default"/>
          <w:lang w:val="en-US"/>
        </w:rPr>
        <w:t>53</w:t>
      </w:r>
    </w:p>
    <w:p w14:paraId="6EDBFAC6">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Oguche v Iliyasu</w:t>
      </w:r>
      <w:r>
        <w:t xml:space="preserve"> (197</w:t>
      </w:r>
      <w:r>
        <w:rPr>
          <w:rFonts w:hint="default"/>
          <w:lang w:val="en-US"/>
        </w:rPr>
        <w:t>1</w:t>
      </w:r>
      <w:r>
        <w:t>) NNLR</w:t>
      </w:r>
      <w:r>
        <w:rPr>
          <w:rFonts w:hint="default"/>
          <w:lang w:val="en-US"/>
        </w:rPr>
        <w:t xml:space="preserve"> 157</w:t>
      </w:r>
      <w:r>
        <w:t xml:space="preserve"> ………………………………………………</w:t>
      </w:r>
      <w:r>
        <w:tab/>
      </w:r>
      <w:r>
        <w:rPr>
          <w:rFonts w:hint="default"/>
          <w:lang w:val="en-US"/>
        </w:rPr>
        <w:t>45</w:t>
      </w:r>
    </w:p>
    <w:p w14:paraId="03AAE824">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Onasanya v Emmanue</w:t>
      </w:r>
      <w:r>
        <w:t>l (197</w:t>
      </w:r>
      <w:r>
        <w:rPr>
          <w:rFonts w:hint="default"/>
          <w:lang w:val="en-US"/>
        </w:rPr>
        <w:t>4) 9CCHCJ……………………………………………47</w:t>
      </w:r>
    </w:p>
    <w:p w14:paraId="4B77448D">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Rylands v Fletche</w:t>
      </w:r>
      <w:r>
        <w:t>r (1868) LR 3 HL 330……………………………………</w:t>
      </w:r>
      <w:r>
        <w:rPr>
          <w:rFonts w:hint="default"/>
          <w:lang w:val="en-US"/>
        </w:rPr>
        <w:t>…..31, 32</w:t>
      </w:r>
    </w:p>
    <w:p w14:paraId="09668139">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rPr>
          <w:rFonts w:hint="default"/>
          <w:lang w:val="en-US"/>
        </w:rPr>
        <w:tab/>
      </w:r>
      <w:r>
        <w:rPr>
          <w:rFonts w:hint="default"/>
          <w:i/>
          <w:iCs/>
          <w:lang w:val="en-US"/>
        </w:rPr>
        <w:t>Six Carpenter Case</w:t>
      </w:r>
      <w:r>
        <w:rPr>
          <w:rFonts w:hint="default"/>
          <w:lang w:val="en-US"/>
        </w:rPr>
        <w:t xml:space="preserve"> (1610) 77E.R695………………………………………………</w:t>
      </w:r>
    </w:p>
    <w:p w14:paraId="1A9128D6">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Smith v Giddy</w:t>
      </w:r>
      <w:r>
        <w:tab/>
      </w:r>
      <w:r>
        <w:t>[1904] 2 KB 448……………………………………………………</w:t>
      </w:r>
      <w:r>
        <w:tab/>
      </w:r>
      <w:r>
        <w:rPr>
          <w:rFonts w:hint="default"/>
          <w:lang w:val="en-US"/>
        </w:rPr>
        <w:t>47</w:t>
      </w:r>
    </w:p>
    <w:p w14:paraId="0E98F8AF">
      <w:pPr>
        <w:pageBreakBefore w:val="0"/>
        <w:widowControl/>
        <w:kinsoku/>
        <w:wordWrap/>
        <w:overflowPunct/>
        <w:topLinePunct w:val="0"/>
        <w:autoSpaceDE/>
        <w:autoSpaceDN/>
        <w:bidi w:val="0"/>
        <w:adjustRightInd/>
        <w:snapToGrid/>
        <w:spacing w:beforeAutospacing="0" w:after="0" w:afterAutospacing="0"/>
        <w:textAlignment w:val="auto"/>
        <w:rPr>
          <w:rFonts w:hint="default"/>
          <w:lang w:val="en-US"/>
        </w:rPr>
      </w:pPr>
      <w:r>
        <w:tab/>
      </w:r>
      <w:r>
        <w:rPr>
          <w:i/>
          <w:iCs/>
        </w:rPr>
        <w:t>Umudje v Shell-BP Ltd</w:t>
      </w:r>
      <w:r>
        <w:t xml:space="preserve"> (1975) 11 SC 155…………………………………………</w:t>
      </w:r>
      <w:r>
        <w:tab/>
      </w:r>
      <w:r>
        <w:rPr>
          <w:rFonts w:hint="default"/>
          <w:lang w:val="en-US"/>
        </w:rPr>
        <w:t>32</w:t>
      </w:r>
    </w:p>
    <w:p w14:paraId="72779C6B">
      <w:pPr>
        <w:pStyle w:val="2"/>
        <w:pageBreakBefore w:val="0"/>
        <w:widowControl/>
        <w:kinsoku/>
        <w:wordWrap/>
        <w:overflowPunct/>
        <w:topLinePunct w:val="0"/>
        <w:autoSpaceDE/>
        <w:autoSpaceDN/>
        <w:bidi w:val="0"/>
        <w:adjustRightInd/>
        <w:snapToGrid/>
        <w:spacing w:before="0" w:beforeAutospacing="0" w:after="0" w:afterAutospacing="0"/>
        <w:jc w:val="both"/>
        <w:textAlignment w:val="auto"/>
        <w:rPr>
          <w:rFonts w:cs="Times New Roman"/>
          <w:szCs w:val="24"/>
        </w:rPr>
      </w:pPr>
      <w:bookmarkStart w:id="6" w:name="_Toc140834404"/>
      <w:r>
        <w:rPr>
          <w:lang w:val="en-US"/>
        </w:rPr>
        <w:t xml:space="preserve"> TABLE </w:t>
      </w:r>
      <w:r>
        <w:t>OF STATUTES</w:t>
      </w:r>
      <w:bookmarkEnd w:id="6"/>
      <w:r>
        <w:t>, TREATIES AND OTHER INTERNATIONAL INSTRUMENTS</w:t>
      </w:r>
    </w:p>
    <w:p w14:paraId="50320B75">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Constitution of the Federal Republic of Nigeria 1999 (as amended)…</w:t>
      </w:r>
      <w:r>
        <w:rPr>
          <w:rFonts w:hint="default" w:cs="Times New Roman"/>
          <w:szCs w:val="24"/>
          <w:lang w:val="en-US"/>
        </w:rPr>
        <w:t>……….16,29,44</w:t>
      </w:r>
    </w:p>
    <w:p w14:paraId="6EEEB86C">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Land Use Act 1978……………………………………………………………..…</w:t>
      </w:r>
      <w:r>
        <w:rPr>
          <w:rFonts w:hint="default" w:cs="Times New Roman"/>
          <w:szCs w:val="24"/>
          <w:lang w:val="en-US"/>
        </w:rPr>
        <w:t>….29</w:t>
      </w:r>
    </w:p>
    <w:p w14:paraId="455AF716">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Criminal Code Act………………………………………………………….</w:t>
      </w:r>
      <w:r>
        <w:rPr>
          <w:rFonts w:cs="Times New Roman"/>
          <w:szCs w:val="24"/>
        </w:rPr>
        <w:tab/>
      </w:r>
      <w:r>
        <w:rPr>
          <w:rFonts w:hint="default" w:cs="Times New Roman"/>
          <w:szCs w:val="24"/>
          <w:lang w:val="en-US"/>
        </w:rPr>
        <w:t>…17,30,38</w:t>
      </w:r>
    </w:p>
    <w:p w14:paraId="76C4076D">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Interpretation Act 2004……………………………………………………………..</w:t>
      </w:r>
      <w:r>
        <w:rPr>
          <w:rFonts w:cs="Times New Roman"/>
          <w:szCs w:val="24"/>
        </w:rPr>
        <w:tab/>
      </w:r>
      <w:r>
        <w:rPr>
          <w:rFonts w:hint="default" w:cs="Times New Roman"/>
          <w:szCs w:val="24"/>
          <w:lang w:val="en-US"/>
        </w:rPr>
        <w:t>2,44</w:t>
      </w:r>
    </w:p>
    <w:p w14:paraId="0FBD7BDB">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Violence Against Persons (Prohibition) Act 2015………………………………….</w:t>
      </w:r>
      <w:r>
        <w:rPr>
          <w:rFonts w:cs="Times New Roman"/>
          <w:szCs w:val="24"/>
        </w:rPr>
        <w:tab/>
      </w:r>
      <w:r>
        <w:rPr>
          <w:rFonts w:hint="default" w:cs="Times New Roman"/>
          <w:szCs w:val="24"/>
          <w:lang w:val="en-US"/>
        </w:rPr>
        <w:t>17,18</w:t>
      </w:r>
    </w:p>
    <w:p w14:paraId="4AA72A10">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Lagos State Properties Protection Law 2016……………………………………</w:t>
      </w:r>
      <w:r>
        <w:rPr>
          <w:rFonts w:hint="default" w:cs="Times New Roman"/>
          <w:szCs w:val="24"/>
          <w:lang w:val="en-US"/>
        </w:rPr>
        <w:t>……..30</w:t>
      </w:r>
    </w:p>
    <w:p w14:paraId="53E3C81E">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Edo State Private Property Protection Law 2021…………………………………</w:t>
      </w:r>
      <w:r>
        <w:rPr>
          <w:rFonts w:hint="default" w:cs="Times New Roman"/>
          <w:szCs w:val="24"/>
          <w:lang w:val="en-US"/>
        </w:rPr>
        <w:t>……30</w:t>
      </w:r>
    </w:p>
    <w:p w14:paraId="475BFD9A">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Nigeria Police Act 2020…………………………………………………………….</w:t>
      </w:r>
      <w:r>
        <w:rPr>
          <w:rFonts w:cs="Times New Roman"/>
          <w:szCs w:val="24"/>
        </w:rPr>
        <w:tab/>
      </w:r>
      <w:r>
        <w:rPr>
          <w:rFonts w:hint="default" w:cs="Times New Roman"/>
          <w:szCs w:val="24"/>
          <w:lang w:val="en-US"/>
        </w:rPr>
        <w:t>33,42</w:t>
      </w:r>
    </w:p>
    <w:p w14:paraId="25517B0A">
      <w:pPr>
        <w:pageBreakBefore w:val="0"/>
        <w:widowControl/>
        <w:kinsoku/>
        <w:wordWrap/>
        <w:overflowPunct/>
        <w:topLinePunct w:val="0"/>
        <w:autoSpaceDE/>
        <w:autoSpaceDN/>
        <w:bidi w:val="0"/>
        <w:adjustRightInd/>
        <w:snapToGrid/>
        <w:spacing w:beforeAutospacing="0" w:after="0" w:afterAutospacing="0"/>
        <w:ind w:left="720" w:hanging="720"/>
        <w:textAlignment w:val="auto"/>
        <w:rPr>
          <w:rFonts w:cs="Times New Roman"/>
          <w:szCs w:val="24"/>
        </w:rPr>
      </w:pPr>
      <w:bookmarkStart w:id="10" w:name="_GoBack"/>
      <w:bookmarkEnd w:id="10"/>
      <w:r>
        <w:rPr>
          <w:rFonts w:cs="Times New Roman"/>
          <w:szCs w:val="24"/>
        </w:rPr>
        <w:t xml:space="preserve">Trafficking in Persons (Prohibition) Law Enforcement and Administration </w:t>
      </w:r>
    </w:p>
    <w:p w14:paraId="030CEF63">
      <w:pPr>
        <w:pageBreakBefore w:val="0"/>
        <w:widowControl/>
        <w:kinsoku/>
        <w:wordWrap/>
        <w:overflowPunct/>
        <w:topLinePunct w:val="0"/>
        <w:autoSpaceDE/>
        <w:autoSpaceDN/>
        <w:bidi w:val="0"/>
        <w:adjustRightInd/>
        <w:snapToGrid/>
        <w:spacing w:beforeAutospacing="0" w:after="0" w:afterAutospacing="0"/>
        <w:ind w:left="720" w:firstLine="0" w:firstLineChars="0"/>
        <w:textAlignment w:val="auto"/>
        <w:rPr>
          <w:rFonts w:hint="default" w:cs="Times New Roman"/>
          <w:szCs w:val="24"/>
          <w:lang w:val="en-US"/>
        </w:rPr>
      </w:pPr>
      <w:r>
        <w:rPr>
          <w:rFonts w:cs="Times New Roman"/>
          <w:szCs w:val="24"/>
        </w:rPr>
        <w:t>Act (referred to in relation to NAPTIP)……………………………………………</w:t>
      </w:r>
      <w:r>
        <w:rPr>
          <w:rFonts w:hint="default" w:cs="Times New Roman"/>
          <w:szCs w:val="24"/>
          <w:lang w:val="en-US"/>
        </w:rPr>
        <w:t>…..34</w:t>
      </w:r>
    </w:p>
    <w:p w14:paraId="69403DBB">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D7964FB">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B8D1F8F">
      <w:pPr>
        <w:pageBreakBefore w:val="0"/>
        <w:widowControl/>
        <w:kinsoku/>
        <w:wordWrap/>
        <w:overflowPunct/>
        <w:topLinePunct w:val="0"/>
        <w:autoSpaceDE/>
        <w:autoSpaceDN/>
        <w:bidi w:val="0"/>
        <w:adjustRightInd/>
        <w:snapToGrid/>
        <w:spacing w:beforeAutospacing="0" w:after="0" w:afterAutospacing="0"/>
        <w:ind w:firstLine="720"/>
        <w:textAlignment w:val="auto"/>
        <w:rPr>
          <w:rFonts w:cs="Times New Roman"/>
          <w:szCs w:val="24"/>
        </w:rPr>
      </w:pPr>
    </w:p>
    <w:p w14:paraId="5C6DFBA8">
      <w:pPr>
        <w:pageBreakBefore w:val="0"/>
        <w:widowControl/>
        <w:kinsoku/>
        <w:wordWrap/>
        <w:overflowPunct/>
        <w:topLinePunct w:val="0"/>
        <w:autoSpaceDE/>
        <w:autoSpaceDN/>
        <w:bidi w:val="0"/>
        <w:adjustRightInd/>
        <w:snapToGrid/>
        <w:spacing w:beforeAutospacing="0" w:after="0" w:afterAutospacing="0"/>
        <w:textAlignment w:val="auto"/>
      </w:pPr>
    </w:p>
    <w:p w14:paraId="431C858D">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19346158">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B74D93B">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2C694E5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52CB8D6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0C36D23E">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6665A787">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D0F0649">
      <w:pPr>
        <w:pStyle w:val="2"/>
        <w:pageBreakBefore w:val="0"/>
        <w:widowControl/>
        <w:kinsoku/>
        <w:wordWrap/>
        <w:overflowPunct/>
        <w:topLinePunct w:val="0"/>
        <w:autoSpaceDE/>
        <w:autoSpaceDN/>
        <w:bidi w:val="0"/>
        <w:adjustRightInd/>
        <w:snapToGrid/>
        <w:spacing w:before="0" w:beforeAutospacing="0" w:after="0" w:afterAutospacing="0"/>
        <w:textAlignment w:val="auto"/>
        <w:rPr>
          <w:rFonts w:cs="Times New Roman"/>
          <w:szCs w:val="24"/>
        </w:rPr>
      </w:pPr>
      <w:bookmarkStart w:id="7" w:name="_Toc140834405"/>
      <w:r>
        <w:t>LIST OF ABBREVIATIONS</w:t>
      </w:r>
      <w:bookmarkEnd w:id="7"/>
    </w:p>
    <w:p w14:paraId="67BF9795">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 xml:space="preserve">CFRN </w:t>
      </w:r>
      <w:r>
        <w:rPr>
          <w:rFonts w:hint="default" w:cs="Times New Roman"/>
          <w:szCs w:val="24"/>
          <w:lang w:val="en-US"/>
        </w:rPr>
        <w:tab/>
      </w:r>
      <w:r>
        <w:rPr>
          <w:rFonts w:hint="default" w:cs="Times New Roman"/>
          <w:szCs w:val="24"/>
          <w:lang w:val="en-US"/>
        </w:rPr>
        <w:tab/>
      </w:r>
      <w:r>
        <w:rPr>
          <w:rFonts w:cs="Times New Roman"/>
          <w:szCs w:val="24"/>
        </w:rPr>
        <w:t xml:space="preserve">- </w:t>
      </w:r>
      <w:r>
        <w:rPr>
          <w:rFonts w:hint="default" w:cs="Times New Roman"/>
          <w:szCs w:val="24"/>
          <w:lang w:val="en-US"/>
        </w:rPr>
        <w:tab/>
      </w:r>
      <w:r>
        <w:rPr>
          <w:rFonts w:cs="Times New Roman"/>
          <w:szCs w:val="24"/>
        </w:rPr>
        <w:t>Constitution of the Federal Republic of Nigeria</w:t>
      </w:r>
    </w:p>
    <w:p w14:paraId="1B203223">
      <w:pPr>
        <w:pageBreakBefore w:val="0"/>
        <w:widowControl/>
        <w:kinsoku/>
        <w:wordWrap/>
        <w:overflowPunct/>
        <w:topLinePunct w:val="0"/>
        <w:autoSpaceDE/>
        <w:autoSpaceDN/>
        <w:bidi w:val="0"/>
        <w:adjustRightInd/>
        <w:snapToGrid/>
        <w:spacing w:beforeAutospacing="0" w:after="0" w:afterAutospacing="0"/>
        <w:textAlignment w:val="auto"/>
        <w:rPr>
          <w:rFonts w:hint="default" w:cs="Times New Roman"/>
          <w:szCs w:val="24"/>
          <w:lang w:val="en-US"/>
        </w:rPr>
      </w:pPr>
      <w:r>
        <w:rPr>
          <w:rFonts w:cs="Times New Roman"/>
          <w:szCs w:val="24"/>
        </w:rPr>
        <w:t xml:space="preserve">LUA </w:t>
      </w:r>
      <w:r>
        <w:rPr>
          <w:rFonts w:hint="default" w:cs="Times New Roman"/>
          <w:szCs w:val="24"/>
          <w:lang w:val="en-US"/>
        </w:rPr>
        <w:tab/>
      </w:r>
      <w:r>
        <w:rPr>
          <w:rFonts w:hint="default" w:cs="Times New Roman"/>
          <w:szCs w:val="24"/>
          <w:lang w:val="en-US"/>
        </w:rPr>
        <w:tab/>
      </w:r>
      <w:r>
        <w:rPr>
          <w:rFonts w:hint="default" w:cs="Times New Roman"/>
          <w:szCs w:val="24"/>
          <w:lang w:val="en-US"/>
        </w:rPr>
        <w:t>-</w:t>
      </w:r>
      <w:r>
        <w:rPr>
          <w:rFonts w:hint="default" w:cs="Times New Roman"/>
          <w:szCs w:val="24"/>
          <w:lang w:val="en-US"/>
        </w:rPr>
        <w:tab/>
      </w:r>
      <w:r>
        <w:rPr>
          <w:rFonts w:cs="Times New Roman"/>
          <w:szCs w:val="24"/>
        </w:rPr>
        <w:t>Land Use Act</w:t>
      </w:r>
      <w:r>
        <w:rPr>
          <w:rFonts w:hint="default" w:cs="Times New Roman"/>
          <w:szCs w:val="24"/>
          <w:lang w:val="en-US"/>
        </w:rPr>
        <w:tab/>
      </w:r>
    </w:p>
    <w:p w14:paraId="4CFB76A5">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NAPTIP</w:t>
      </w:r>
      <w:r>
        <w:rPr>
          <w:rFonts w:hint="default" w:cs="Times New Roman"/>
          <w:szCs w:val="24"/>
          <w:lang w:val="en-US"/>
        </w:rPr>
        <w:tab/>
      </w:r>
      <w:r>
        <w:rPr>
          <w:rFonts w:cs="Times New Roman"/>
          <w:szCs w:val="24"/>
        </w:rPr>
        <w:t xml:space="preserve"> - </w:t>
      </w:r>
      <w:r>
        <w:rPr>
          <w:rFonts w:hint="default" w:cs="Times New Roman"/>
          <w:szCs w:val="24"/>
          <w:lang w:val="en-US"/>
        </w:rPr>
        <w:tab/>
      </w:r>
      <w:r>
        <w:rPr>
          <w:rFonts w:cs="Times New Roman"/>
          <w:szCs w:val="24"/>
        </w:rPr>
        <w:t>National Agency for the Prohibition of Trafficking in Persons</w:t>
      </w:r>
    </w:p>
    <w:p w14:paraId="11F68B9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 xml:space="preserve">NPA </w:t>
      </w:r>
      <w:r>
        <w:rPr>
          <w:rFonts w:hint="default" w:cs="Times New Roman"/>
          <w:szCs w:val="24"/>
          <w:lang w:val="en-US"/>
        </w:rPr>
        <w:tab/>
      </w:r>
      <w:r>
        <w:rPr>
          <w:rFonts w:hint="default" w:cs="Times New Roman"/>
          <w:szCs w:val="24"/>
          <w:lang w:val="en-US"/>
        </w:rPr>
        <w:tab/>
      </w:r>
      <w:r>
        <w:rPr>
          <w:rFonts w:cs="Times New Roman"/>
          <w:szCs w:val="24"/>
        </w:rPr>
        <w:t xml:space="preserve">- </w:t>
      </w:r>
      <w:r>
        <w:rPr>
          <w:rFonts w:hint="default" w:cs="Times New Roman"/>
          <w:szCs w:val="24"/>
          <w:lang w:val="en-US"/>
        </w:rPr>
        <w:tab/>
      </w:r>
      <w:r>
        <w:rPr>
          <w:rFonts w:cs="Times New Roman"/>
          <w:szCs w:val="24"/>
        </w:rPr>
        <w:t>Nigeria Police Act</w:t>
      </w:r>
    </w:p>
    <w:p w14:paraId="5F4ED921">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NPF</w:t>
      </w:r>
      <w:r>
        <w:rPr>
          <w:rFonts w:hint="default" w:cs="Times New Roman"/>
          <w:szCs w:val="24"/>
          <w:lang w:val="en-US"/>
        </w:rPr>
        <w:tab/>
      </w:r>
      <w:r>
        <w:rPr>
          <w:rFonts w:hint="default" w:cs="Times New Roman"/>
          <w:szCs w:val="24"/>
          <w:lang w:val="en-US"/>
        </w:rPr>
        <w:tab/>
      </w:r>
      <w:r>
        <w:rPr>
          <w:rFonts w:cs="Times New Roman"/>
          <w:szCs w:val="24"/>
        </w:rPr>
        <w:t xml:space="preserve"> - </w:t>
      </w:r>
      <w:r>
        <w:rPr>
          <w:rFonts w:hint="default" w:cs="Times New Roman"/>
          <w:szCs w:val="24"/>
          <w:lang w:val="en-US"/>
        </w:rPr>
        <w:tab/>
      </w:r>
      <w:r>
        <w:rPr>
          <w:rFonts w:cs="Times New Roman"/>
          <w:szCs w:val="24"/>
        </w:rPr>
        <w:t>Nigeria Police Force</w:t>
      </w:r>
    </w:p>
    <w:p w14:paraId="548BF998">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 xml:space="preserve">NSCDC </w:t>
      </w:r>
      <w:r>
        <w:rPr>
          <w:rFonts w:hint="default" w:cs="Times New Roman"/>
          <w:szCs w:val="24"/>
          <w:lang w:val="en-US"/>
        </w:rPr>
        <w:tab/>
      </w:r>
      <w:r>
        <w:rPr>
          <w:rFonts w:cs="Times New Roman"/>
          <w:szCs w:val="24"/>
        </w:rPr>
        <w:t xml:space="preserve">- </w:t>
      </w:r>
      <w:r>
        <w:rPr>
          <w:rFonts w:hint="default" w:cs="Times New Roman"/>
          <w:szCs w:val="24"/>
          <w:lang w:val="en-US"/>
        </w:rPr>
        <w:tab/>
      </w:r>
      <w:r>
        <w:rPr>
          <w:rFonts w:cs="Times New Roman"/>
          <w:szCs w:val="24"/>
        </w:rPr>
        <w:t>Nigerian Security and Civil Defence Corps</w:t>
      </w:r>
    </w:p>
    <w:p w14:paraId="3D413D7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 xml:space="preserve">UNTOC </w:t>
      </w:r>
      <w:r>
        <w:rPr>
          <w:rFonts w:hint="default" w:cs="Times New Roman"/>
          <w:szCs w:val="24"/>
          <w:lang w:val="en-US"/>
        </w:rPr>
        <w:tab/>
      </w:r>
      <w:r>
        <w:rPr>
          <w:rFonts w:cs="Times New Roman"/>
          <w:szCs w:val="24"/>
        </w:rPr>
        <w:t xml:space="preserve">- </w:t>
      </w:r>
      <w:r>
        <w:rPr>
          <w:rFonts w:hint="default" w:cs="Times New Roman"/>
          <w:szCs w:val="24"/>
          <w:lang w:val="en-US"/>
        </w:rPr>
        <w:tab/>
      </w:r>
      <w:r>
        <w:rPr>
          <w:rFonts w:cs="Times New Roman"/>
          <w:szCs w:val="24"/>
        </w:rPr>
        <w:t>United Nations Convention Against Transnational Organized Crime</w:t>
      </w:r>
    </w:p>
    <w:p w14:paraId="38D811A1">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r>
        <w:rPr>
          <w:rFonts w:cs="Times New Roman"/>
          <w:szCs w:val="24"/>
        </w:rPr>
        <w:t>VAPP Act</w:t>
      </w:r>
      <w:r>
        <w:rPr>
          <w:rFonts w:hint="default" w:cs="Times New Roman"/>
          <w:szCs w:val="24"/>
          <w:lang w:val="en-US"/>
        </w:rPr>
        <w:tab/>
      </w:r>
      <w:r>
        <w:rPr>
          <w:rFonts w:cs="Times New Roman"/>
          <w:szCs w:val="24"/>
        </w:rPr>
        <w:t xml:space="preserve"> - </w:t>
      </w:r>
      <w:r>
        <w:rPr>
          <w:rFonts w:hint="default" w:cs="Times New Roman"/>
          <w:szCs w:val="24"/>
          <w:lang w:val="en-US"/>
        </w:rPr>
        <w:tab/>
      </w:r>
      <w:r>
        <w:rPr>
          <w:rFonts w:cs="Times New Roman"/>
          <w:szCs w:val="24"/>
        </w:rPr>
        <w:t>Violence Against Persons (Prohibition) Act</w:t>
      </w:r>
    </w:p>
    <w:p w14:paraId="5B93ADA2">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32B03D5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60DDE64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67088494">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6964DB71">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rPr>
      </w:pPr>
    </w:p>
    <w:p w14:paraId="7A7ED658">
      <w:pPr>
        <w:pageBreakBefore w:val="0"/>
        <w:widowControl/>
        <w:kinsoku/>
        <w:wordWrap/>
        <w:overflowPunct/>
        <w:topLinePunct w:val="0"/>
        <w:autoSpaceDE/>
        <w:autoSpaceDN/>
        <w:bidi w:val="0"/>
        <w:adjustRightInd/>
        <w:snapToGrid/>
        <w:spacing w:beforeAutospacing="0" w:after="0" w:afterAutospacing="0"/>
        <w:textAlignment w:val="auto"/>
      </w:pPr>
      <w:bookmarkStart w:id="8" w:name="_Toc140834406"/>
    </w:p>
    <w:p w14:paraId="093ADB99">
      <w:pPr>
        <w:pageBreakBefore w:val="0"/>
        <w:widowControl/>
        <w:kinsoku/>
        <w:wordWrap/>
        <w:overflowPunct/>
        <w:topLinePunct w:val="0"/>
        <w:autoSpaceDE/>
        <w:autoSpaceDN/>
        <w:bidi w:val="0"/>
        <w:adjustRightInd/>
        <w:snapToGrid/>
        <w:spacing w:beforeAutospacing="0" w:after="0" w:afterAutospacing="0"/>
        <w:textAlignment w:val="auto"/>
      </w:pPr>
    </w:p>
    <w:p w14:paraId="3E9362E0">
      <w:pPr>
        <w:pageBreakBefore w:val="0"/>
        <w:widowControl/>
        <w:kinsoku/>
        <w:wordWrap/>
        <w:overflowPunct/>
        <w:topLinePunct w:val="0"/>
        <w:autoSpaceDE/>
        <w:autoSpaceDN/>
        <w:bidi w:val="0"/>
        <w:adjustRightInd/>
        <w:snapToGrid/>
        <w:spacing w:beforeAutospacing="0" w:after="0" w:afterAutospacing="0"/>
        <w:textAlignment w:val="auto"/>
      </w:pPr>
    </w:p>
    <w:p w14:paraId="440B381F">
      <w:pPr>
        <w:pageBreakBefore w:val="0"/>
        <w:widowControl/>
        <w:kinsoku/>
        <w:wordWrap/>
        <w:overflowPunct/>
        <w:topLinePunct w:val="0"/>
        <w:autoSpaceDE/>
        <w:autoSpaceDN/>
        <w:bidi w:val="0"/>
        <w:adjustRightInd/>
        <w:snapToGrid/>
        <w:spacing w:beforeAutospacing="0" w:after="0" w:afterAutospacing="0"/>
        <w:textAlignment w:val="auto"/>
      </w:pPr>
    </w:p>
    <w:p w14:paraId="5BBE64B4">
      <w:pPr>
        <w:pageBreakBefore w:val="0"/>
        <w:widowControl/>
        <w:kinsoku/>
        <w:wordWrap/>
        <w:overflowPunct/>
        <w:topLinePunct w:val="0"/>
        <w:autoSpaceDE/>
        <w:autoSpaceDN/>
        <w:bidi w:val="0"/>
        <w:adjustRightInd/>
        <w:snapToGrid/>
        <w:spacing w:beforeAutospacing="0" w:after="0" w:afterAutospacing="0"/>
        <w:textAlignment w:val="auto"/>
      </w:pPr>
    </w:p>
    <w:p w14:paraId="3BA9FACF">
      <w:pPr>
        <w:pageBreakBefore w:val="0"/>
        <w:widowControl/>
        <w:kinsoku/>
        <w:wordWrap/>
        <w:overflowPunct/>
        <w:topLinePunct w:val="0"/>
        <w:autoSpaceDE/>
        <w:autoSpaceDN/>
        <w:bidi w:val="0"/>
        <w:adjustRightInd/>
        <w:snapToGrid/>
        <w:spacing w:beforeAutospacing="0" w:after="0" w:afterAutospacing="0"/>
        <w:textAlignment w:val="auto"/>
      </w:pPr>
    </w:p>
    <w:p w14:paraId="6418927C">
      <w:pPr>
        <w:pageBreakBefore w:val="0"/>
        <w:widowControl/>
        <w:kinsoku/>
        <w:wordWrap/>
        <w:overflowPunct/>
        <w:topLinePunct w:val="0"/>
        <w:autoSpaceDE/>
        <w:autoSpaceDN/>
        <w:bidi w:val="0"/>
        <w:adjustRightInd/>
        <w:snapToGrid/>
        <w:spacing w:beforeAutospacing="0" w:after="0" w:afterAutospacing="0"/>
        <w:textAlignment w:val="auto"/>
      </w:pPr>
    </w:p>
    <w:p w14:paraId="5804602B">
      <w:pPr>
        <w:pageBreakBefore w:val="0"/>
        <w:widowControl/>
        <w:kinsoku/>
        <w:wordWrap/>
        <w:overflowPunct/>
        <w:topLinePunct w:val="0"/>
        <w:autoSpaceDE/>
        <w:autoSpaceDN/>
        <w:bidi w:val="0"/>
        <w:adjustRightInd/>
        <w:snapToGrid/>
        <w:spacing w:beforeAutospacing="0" w:after="0" w:afterAutospacing="0"/>
        <w:textAlignment w:val="auto"/>
      </w:pPr>
    </w:p>
    <w:p w14:paraId="6564866A">
      <w:pPr>
        <w:pageBreakBefore w:val="0"/>
        <w:widowControl/>
        <w:kinsoku/>
        <w:wordWrap/>
        <w:overflowPunct/>
        <w:topLinePunct w:val="0"/>
        <w:autoSpaceDE/>
        <w:autoSpaceDN/>
        <w:bidi w:val="0"/>
        <w:adjustRightInd/>
        <w:snapToGrid/>
        <w:spacing w:beforeAutospacing="0" w:after="0" w:afterAutospacing="0"/>
        <w:textAlignment w:val="auto"/>
      </w:pPr>
    </w:p>
    <w:p w14:paraId="64DC6ACD">
      <w:pPr>
        <w:pStyle w:val="2"/>
        <w:pageBreakBefore w:val="0"/>
        <w:widowControl/>
        <w:kinsoku/>
        <w:wordWrap/>
        <w:overflowPunct/>
        <w:topLinePunct w:val="0"/>
        <w:autoSpaceDE/>
        <w:autoSpaceDN/>
        <w:bidi w:val="0"/>
        <w:adjustRightInd/>
        <w:snapToGrid/>
        <w:spacing w:before="0" w:beforeAutospacing="0" w:after="0" w:afterAutospacing="0"/>
        <w:textAlignment w:val="auto"/>
      </w:pPr>
      <w:r>
        <w:t>ABSTRACT</w:t>
      </w:r>
      <w:bookmarkEnd w:id="8"/>
    </w:p>
    <w:p w14:paraId="7DD7EA49">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r>
        <w:t xml:space="preserve">There is no branch of law, which reflects the true picture of the society more than the law of tort. Law of tort is a branch of law that deals with the conduct of people amongst themselves. Due to the interaction people have with themselves in the environment, they are bound to be friction, which will bring about injuries and for this reason; the law of tort is put in place to pay damages to people affected by the wrongful conduct of others. One of the major facets of tort is Trespass. The term “Trespass” has been used in different senses by Lawyers and Laymen but the most satisfactory and most conventional of all definitions is that, Trespass is the unlawful interference with one’s person, land, or chattel. Trespass to person is any direct and immediate interference with personal liberty, which is actionable per se, and it comprises of battery, assault, and false imprisonment. Trespass to land is the entrance upon another person’s land without authorization whether forcible or not. Trespass to land can be by wrongful entry, remaining on land, placing things on land, and trespass above and beneath the surface of the land. Trespass to chattel is a direct and wrongful interference in the possession of another. Conversion and detinue come under trespass to chattel and there is no doubt that there are differences between the two even though they seem similar. There is a need for people to understand when someone had trespassed, and that trespass goes beyond unlawful entry of a land. This is why this study work seeks to examine the principles of law applicable to Trespass to person, Trespass to land, and Trespass to chattel, which form the major classifications of Trespass, with a view to enlightening the public. The defences to Trespass will also be examined in the course of this research work. </w:t>
      </w:r>
    </w:p>
    <w:p w14:paraId="5738C559">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24E58BDB">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4441BFED">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955CC5A">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34F6EFED">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413157F1">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46D7B9F">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59E40ECD">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2222ECAB">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7BFA5D2">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08ED55AF">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7171AE6">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4F8FE14">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C89F3C0">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592B609A">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24A3478">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7B16CEFD">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C7F96E8">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273BAEA">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7F158C9">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807F65E">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0D5697E">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428AC6AE">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r>
        <w:rPr>
          <w:rFonts w:eastAsia="Times New Roman" w:cs="Times New Roman"/>
          <w:b/>
          <w:szCs w:val="24"/>
          <w:lang w:val="en-US"/>
        </w:rPr>
        <w:t>CHAPTER ONE</w:t>
      </w:r>
    </w:p>
    <w:p w14:paraId="1D82A07C">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r>
        <w:rPr>
          <w:rFonts w:eastAsia="Times New Roman" w:cs="Times New Roman"/>
          <w:b/>
          <w:szCs w:val="24"/>
          <w:lang w:val="en-US"/>
        </w:rPr>
        <w:t>INTRODUCTION</w:t>
      </w:r>
    </w:p>
    <w:p w14:paraId="7C30603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Trespass occupies a significant position in Nigerian civil jurisprudence as one of the principal torts protecting possessory and proprietary interests in land and, in limited circumstances, in persons and goods. Under the Nigerian law, trespass is traditionally rooted in common law principles received from England, but it has evolved through judicial interpretation and statutory interventions to reflect local realities, customary land tenure systems, and constitutional guarantees of property rights. The tort of trespass serves as a mechanism for maintaining public order by discouraging unlawful interference with another person’s possession and by providing remedies for such interference.</w:t>
      </w:r>
    </w:p>
    <w:p w14:paraId="3F3CFFF1">
      <w:pPr>
        <w:pageBreakBefore w:val="0"/>
        <w:widowControl/>
        <w:numPr>
          <w:ilvl w:val="0"/>
          <w:numId w:val="0"/>
        </w:numPr>
        <w:kinsoku/>
        <w:wordWrap/>
        <w:overflowPunct/>
        <w:topLinePunct w:val="0"/>
        <w:autoSpaceDE/>
        <w:autoSpaceDN/>
        <w:bidi w:val="0"/>
        <w:adjustRightInd/>
        <w:snapToGrid/>
        <w:spacing w:beforeAutospacing="0" w:after="0" w:afterAutospacing="0"/>
        <w:ind w:leftChars="0"/>
        <w:textAlignment w:val="auto"/>
        <w:rPr>
          <w:rFonts w:eastAsia="Times New Roman" w:cs="Times New Roman"/>
          <w:b/>
          <w:szCs w:val="24"/>
          <w:lang w:val="en-US"/>
        </w:rPr>
      </w:pPr>
      <w:r>
        <w:rPr>
          <w:rFonts w:hint="default" w:eastAsia="Times New Roman" w:cs="Times New Roman"/>
          <w:b/>
          <w:szCs w:val="24"/>
          <w:lang w:val="en-US"/>
        </w:rPr>
        <w:t xml:space="preserve">1.1 </w:t>
      </w:r>
      <w:r>
        <w:rPr>
          <w:rFonts w:eastAsia="Times New Roman" w:cs="Times New Roman"/>
          <w:b/>
          <w:szCs w:val="24"/>
          <w:lang w:val="en-US"/>
        </w:rPr>
        <w:t>Background to the Study</w:t>
      </w:r>
    </w:p>
    <w:p w14:paraId="10CA593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A tort is when someone does something wrong that hurts or affects another person's rights or interests. John W. Salmond defined tort as “A violation of a legal obligation that results in harm and can be resolved through a lawsuit seeking unspecified compensation. The purpose of tort law is to stop one person from hurting someone else, as well as to safeguard an individual's personal or proprietary rights and protect them from unauthorised interference by someone else. According to Kodilinye, tort can be described as: "A violation of a legal duty, which is owed to the general public, resulting in a civil wrong that can be primarily resolved through a damages lawsuit.” </w:t>
      </w:r>
      <w:r>
        <w:rPr>
          <w:rStyle w:val="12"/>
          <w:rFonts w:cs="Times New Roman"/>
        </w:rPr>
        <w:footnoteReference w:id="0"/>
      </w:r>
    </w:p>
    <w:p w14:paraId="76F1B694">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Trespass, an essential part of tort law, has a rich background dating back to the common law of England in the 13th century, which is also in use in Nigeria. In Nigeria, legal concept of trespass as a tortious action was established domestically through Section 45</w:t>
      </w:r>
      <w:r>
        <w:rPr>
          <w:rStyle w:val="12"/>
          <w:rFonts w:cs="Times New Roman"/>
        </w:rPr>
        <w:footnoteReference w:id="1"/>
      </w:r>
      <w:r>
        <w:rPr>
          <w:rFonts w:cs="Times New Roman"/>
        </w:rPr>
        <w:t xml:space="preserve"> of the Interpretation Act</w:t>
      </w:r>
      <w:r>
        <w:rPr>
          <w:rStyle w:val="12"/>
          <w:rFonts w:cs="Times New Roman"/>
        </w:rPr>
        <w:footnoteReference w:id="2"/>
      </w:r>
      <w:r>
        <w:rPr>
          <w:rFonts w:cs="Times New Roman"/>
        </w:rPr>
        <w:t>. Since then, it has been subject to judicial interpretation and has garnered significant attention from academic perspectives. The term trespass originated from the ancient French word "trespasser" and the Latin verb "</w:t>
      </w:r>
      <w:r>
        <w:rPr>
          <w:rFonts w:cs="Times New Roman"/>
          <w:i/>
          <w:iCs/>
        </w:rPr>
        <w:t>transpassare</w:t>
      </w:r>
      <w:r>
        <w:rPr>
          <w:rFonts w:cs="Times New Roman"/>
        </w:rPr>
        <w:t>", both of which signify "pass across". It is defined as the "illegal intrusion that disrupts someone's personal space or belongings." Trespassing refers to the deliberate act of unlawfully accessing another individual's property or land without obtaining their consent. Trespass, which is a part of tort law, is mainly analysed in three dimensions: trespass against an individual, property, and personal belongings.</w:t>
      </w:r>
    </w:p>
    <w:p w14:paraId="2E213F79">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People worldwide have a common desire to safeguard their possessions, such as their physical well-being, from harm caused by others. This includes protecting their property, both tangible and intangible, from unauthorised use or encroachment, be it movable assets or immovable assets like lands and goods. Individuals often experience anxiety when they perceive a potential threat to their personal well-being or possessions; as such situations can result in significant harm or loss. Trespassing refers to the unauthorised intrusion into someone's land or property, which can result in harm or damage.</w:t>
      </w:r>
    </w:p>
    <w:p w14:paraId="2CADB6EB">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Trespass encompasses a range of aspects, including both civil and criminal components. The key difference between criminal trespass and civil trespass lies in the intention behind the entry. In criminal trespass, the individual enters with the purpose of committing an offence while in civil trespass, the trespasser trespasses just to intimidate, insult, or annoy. Therefore, this study will examine trespass as a tortious act and thoroughly evaluate the law of tort to obtain sufficient clarity and knowledge on the topic.</w:t>
      </w:r>
    </w:p>
    <w:p w14:paraId="3DE27EF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p>
    <w:p w14:paraId="7F80A6FD">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1.2</w:t>
      </w:r>
      <w:r>
        <w:rPr>
          <w:rFonts w:hint="default" w:eastAsia="Times New Roman" w:cs="Times New Roman"/>
          <w:b/>
          <w:szCs w:val="24"/>
          <w:lang w:val="en-US"/>
        </w:rPr>
        <w:t xml:space="preserve"> </w:t>
      </w:r>
      <w:r>
        <w:rPr>
          <w:rFonts w:eastAsia="Times New Roman" w:cs="Times New Roman"/>
          <w:b/>
          <w:szCs w:val="24"/>
          <w:lang w:val="en-US"/>
        </w:rPr>
        <w:t>Statement of the Problem</w:t>
      </w:r>
    </w:p>
    <w:p w14:paraId="07D1A45F">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eastAsia="Times New Roman" w:cs="Times New Roman"/>
          <w:szCs w:val="24"/>
          <w:lang w:val="en-US"/>
        </w:rPr>
        <w:t xml:space="preserve">Despite the apparent simplicity of trespass as an unlawful interference with possession, its application under Nigerian law presents several challenges. </w:t>
      </w:r>
      <w:r>
        <w:rPr>
          <w:rFonts w:cs="Times New Roman"/>
        </w:rPr>
        <w:t xml:space="preserve">Trespass is a common major problem all around the world. Every day, someone somewhere commits one trespass or the other but he or she does not really know what kind of trespass he or she has committed and the victim may not be aware that he or she has been trespassed on. Understanding and applying the concept of trespass is crucial in protecting the rights and property interests of individuals and making it a fundamental principle. Conversely, in Nigerian concept of tort, trespass presents various challenges and uncertainties. </w:t>
      </w:r>
    </w:p>
    <w:p w14:paraId="47D67B19">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 vague and incomplete explanation of trespass under the Nigerian law of tort creates uncertainty when it comes to understanding and implementing it. Consequently, it is necessary to analyse the current legal structure and detect any deficiencies or contradictions in the characterization of trespass as a wrongful act.</w:t>
      </w:r>
    </w:p>
    <w:p w14:paraId="3C86153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 extent of liability for trespass under Nigerian Law of Tort remains unclear. It is essential to analyze the legal principles and precedents that determine the circumstances under which liability for trespass arises, including the elements of intent, possession, and the concept of reasonable use of land.</w:t>
      </w:r>
    </w:p>
    <w:p w14:paraId="35B2CB09">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 Nigerian law of tort lacks consistency in determining appropriate remedies for trespass. It is necessary to evaluate the available remedies, such as damages, injunctions, or possession orders, and assess their effectiveness in providing adequate relief to victims of trespass.</w:t>
      </w:r>
    </w:p>
    <w:p w14:paraId="1694DA2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There are challenges in proving trespass and establishing causation. Proving trespass can be complex, particularly when determining causation and the connection between the defendant's conduct and the claimant's injury. Examining the evidentiary requirements and burden of proof in trespass cases will help identify the challenges faced by claimants in establishing liability.</w:t>
      </w:r>
    </w:p>
    <w:p w14:paraId="0E6E302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cs="Times New Roman"/>
        </w:rPr>
        <w:t>The objective of this project is to conduct a thorough evaluation of trespass as a tort under the Nigerian Law of Tort, with the intention of addressing these concerns. The findings and recommendations will aid in creating a more defined and consistent legal structure regarding trespass, ensuring adequate protection of property rights and promoting justice in Nigeria.</w:t>
      </w:r>
    </w:p>
    <w:p w14:paraId="174CA6D4">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1.3 Research Questions</w:t>
      </w:r>
    </w:p>
    <w:p w14:paraId="0F7A8FC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i. What is the Nature of Trespass under the Nigerian Law?</w:t>
      </w:r>
    </w:p>
    <w:p w14:paraId="6D79FA0D">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ii. What is the scope of Trespass under the Nigerian Law?</w:t>
      </w:r>
    </w:p>
    <w:p w14:paraId="1E882C3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iii. Who are the persons that can maintain an action in trespass and the circumstances under which such action lies?</w:t>
      </w:r>
    </w:p>
    <w:p w14:paraId="39FA143D">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1.4 Aim and Objectives of the Study</w:t>
      </w:r>
    </w:p>
    <w:p w14:paraId="1C34E603">
      <w:pPr>
        <w:pageBreakBefore w:val="0"/>
        <w:widowControl/>
        <w:kinsoku/>
        <w:wordWrap/>
        <w:overflowPunct/>
        <w:topLinePunct w:val="0"/>
        <w:autoSpaceDE/>
        <w:autoSpaceDN/>
        <w:bidi w:val="0"/>
        <w:adjustRightInd/>
        <w:snapToGrid/>
        <w:spacing w:beforeAutospacing="0" w:after="0" w:afterAutospacing="0"/>
        <w:textAlignment w:val="auto"/>
      </w:pPr>
      <w:r>
        <w:t>The main focus of this research is to analyse the Nature and Scope of Trespass under the Nigerian Law.</w:t>
      </w:r>
    </w:p>
    <w:p w14:paraId="295818DA">
      <w:pPr>
        <w:pageBreakBefore w:val="0"/>
        <w:widowControl/>
        <w:kinsoku/>
        <w:wordWrap/>
        <w:overflowPunct/>
        <w:topLinePunct w:val="0"/>
        <w:autoSpaceDE/>
        <w:autoSpaceDN/>
        <w:bidi w:val="0"/>
        <w:adjustRightInd/>
        <w:snapToGrid/>
        <w:spacing w:beforeAutospacing="0" w:after="0" w:afterAutospacing="0"/>
        <w:textAlignment w:val="auto"/>
      </w:pPr>
      <w:r>
        <w:t>The exact objectives of the study are:</w:t>
      </w:r>
    </w:p>
    <w:p w14:paraId="504144BA">
      <w:pPr>
        <w:pageBreakBefore w:val="0"/>
        <w:widowControl/>
        <w:numPr>
          <w:ilvl w:val="0"/>
          <w:numId w:val="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To analyse the Nature of Trespass under the Nigerian law.</w:t>
      </w:r>
    </w:p>
    <w:p w14:paraId="2AF55457">
      <w:pPr>
        <w:pageBreakBefore w:val="0"/>
        <w:widowControl/>
        <w:numPr>
          <w:ilvl w:val="0"/>
          <w:numId w:val="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To examine the scope of Trespass under the Nigerian Law.</w:t>
      </w:r>
    </w:p>
    <w:p w14:paraId="13F1D87D">
      <w:pPr>
        <w:pageBreakBefore w:val="0"/>
        <w:widowControl/>
        <w:numPr>
          <w:ilvl w:val="0"/>
          <w:numId w:val="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To discuss persons that can maintain an action in trespass and the circumstances under which such action lies.</w:t>
      </w:r>
    </w:p>
    <w:p w14:paraId="694A0D7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1.5 Scope and Limitations of the Study</w:t>
      </w:r>
    </w:p>
    <w:p w14:paraId="09E67C34">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This study examines the nature and scope of trespass under Nigerian law, focusing on its meaning, classification, and legal application. Geographically, the study is limited to Nigeria, relying on Nigerian statutes, case laws, and applicable common law principles. It covers the main types of trespass, which are trespass to land, person and chattel. It discusses the essential elements of trespass, available defences, and also the persons that can pursue an action in trespass and the circumstances under which they can.</w:t>
      </w:r>
    </w:p>
    <w:p w14:paraId="64AA682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szCs w:val="24"/>
          <w:lang w:val="en-US"/>
        </w:rPr>
        <w:t>The study is limited to Nigerian case law and legal materials and unreported decisions. The evolving nature of judicial decisions means some recent developments may not be included. This study relies mainly on library and doctrinal sources.</w:t>
      </w:r>
    </w:p>
    <w:p w14:paraId="6CB5ED6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1.6 Significance of the Study</w:t>
      </w:r>
    </w:p>
    <w:p w14:paraId="72008CD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Studying trespass helps resolve boundary disputes and clarify property rights. Understanding trespass law informs land use and development decisions, ensuring that projects respect property rights. In addition, trespass cases contribute to the development of case law, shaping legal precedents and policies. Studying trespass informs legislative reforms, ensuring that laws balance individual rights with societal needs. Trespass is a fundamental concept in law and property studies, essential for understanding property, and plan communities effectively. Studying trespass helps identify potential risks and liabilities associated with property ownership and use. Understanding trespass law informs the development of insurance policies, ensuring that property owners and users are protected adequately. The study of trespass helps prevent conflicts between neighbours and community members by establishing clear boundaries and expectations. Concisely, understanding trespass law promotes community cohesion by ensuring that individuals respect each other.</w:t>
      </w:r>
    </w:p>
    <w:p w14:paraId="50F1DE3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1.7 Research Methodology</w:t>
      </w:r>
    </w:p>
    <w:p w14:paraId="3803AB9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cs="Times New Roman"/>
          <w:szCs w:val="24"/>
        </w:rPr>
        <w:t>In conducting this study, this researcher has adopted the doctrinal method,which is using descriptive and detailed analysis of legal rules found in primary (cases, statutes, or regulations) and secondary sources of relevant information. This involve research works on related topics in textbooks by various authors, research papers published in scholarly journals by jurists of note and from digging and mining into relevant information from the archives of local and foreign tabloids. Copies of landmark judgements of Nigerian Courts and foreign Courts on some relevant legal principles were obtained and examined. In addition, copies of relevant laws enacted by the National Assembly of Nigeria were examined in the course of this research as they relate to the issues raised herein. Analysis and comparisons are made between local law and foreign law in some respects to bring out salient points of practical value to this study.</w:t>
      </w:r>
    </w:p>
    <w:p w14:paraId="1EE56B5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1.8 Literature Review</w:t>
      </w:r>
    </w:p>
    <w:p w14:paraId="2B25A75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The concept of trespass has long occupied an important place in the law of torts, serving as a legal mechanism for the protection of personal integrity, possessory rights, and proprietary interests. Nigerian law, drawing heavily from English common law, recognises trespass as actionable where there is a direct and wrongful interference with a person, land, or chattel. Several scholars have examined different aspects of trespass, though often in fragmented or category-specific ways.</w:t>
      </w:r>
    </w:p>
    <w:p w14:paraId="4172CC48">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Existing literature in this field has similarly remained insufficient; the need for an update under the current legal regime becomes captivating. We acknowledge with due respect the works of learned authors in this area of interests. </w:t>
      </w:r>
    </w:p>
    <w:p w14:paraId="35C86646">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Susu</w:t>
      </w:r>
      <w:r>
        <w:rPr>
          <w:rStyle w:val="12"/>
          <w:rFonts w:cs="Times New Roman"/>
        </w:rPr>
        <w:footnoteReference w:id="3"/>
      </w:r>
      <w:r>
        <w:rPr>
          <w:rFonts w:cs="Times New Roman"/>
        </w:rPr>
        <w:t xml:space="preserve"> carefully explained the concept of trespass to person. According to her, in a situation concerning assault, the plaintiff must have felt a justifiable apprehension of imminent bodily injury.  On the other hand, Susu failed to present various arguments in a legal case involving personal trespass.</w:t>
      </w:r>
    </w:p>
    <w:p w14:paraId="6AABD88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 Emeka Chianu offered a thorough clarification of trespass, simplifying it into easily understandable terms. He underscored the importance of ownership in all instances of unauthorised entry onto land and stressed that the only valid defence in lawsuits for unauthorised entry onto a person is consent</w:t>
      </w:r>
      <w:r>
        <w:rPr>
          <w:rStyle w:val="12"/>
          <w:rFonts w:cs="Times New Roman"/>
        </w:rPr>
        <w:footnoteReference w:id="4"/>
      </w:r>
      <w:r>
        <w:rPr>
          <w:rFonts w:cs="Times New Roman"/>
        </w:rPr>
        <w:t xml:space="preserve">. </w:t>
      </w:r>
    </w:p>
    <w:p w14:paraId="62019973">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Battery has been defined by Kodilinye and Aluko</w:t>
      </w:r>
      <w:r>
        <w:rPr>
          <w:rStyle w:val="12"/>
          <w:rFonts w:cs="Times New Roman"/>
        </w:rPr>
        <w:footnoteReference w:id="5"/>
      </w:r>
      <w:r>
        <w:rPr>
          <w:rFonts w:cs="Times New Roman"/>
        </w:rPr>
        <w:t xml:space="preserve"> as intentional exertion of force against another individual. Kodilinye did not succeed in clarifying the definition of trespass or in providing a distinct differentiation between Assault and Battery.</w:t>
      </w:r>
    </w:p>
    <w:p w14:paraId="5D37D47F">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Windfield and Jolowiczs</w:t>
      </w:r>
      <w:r>
        <w:rPr>
          <w:rStyle w:val="12"/>
          <w:rFonts w:cs="Times New Roman"/>
        </w:rPr>
        <w:footnoteReference w:id="6"/>
      </w:r>
      <w:r>
        <w:rPr>
          <w:rFonts w:cs="Times New Roman"/>
        </w:rPr>
        <w:t xml:space="preserve">  is among the best work regarding trespass. </w:t>
      </w:r>
      <w:r>
        <w:rPr>
          <w:rStyle w:val="12"/>
          <w:rFonts w:cs="Times New Roman"/>
        </w:rPr>
        <w:footnoteReference w:id="7"/>
      </w:r>
      <w:r>
        <w:rPr>
          <w:rFonts w:cs="Times New Roman"/>
        </w:rPr>
        <w:t xml:space="preserve">The authors utilised illustrations to emphasise their arguments, but they neglected to address the issue of whether self-help is considered a legitimate defence. This crucial aspect requires careful consideration within the context of trespass to land. They discussed the concept of trespass but did not clarify their stance on whether lack of knowledge is necessary in a false imprisonment case. </w:t>
      </w:r>
    </w:p>
    <w:p w14:paraId="6BE388C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According to Harpwood</w:t>
      </w:r>
      <w:r>
        <w:rPr>
          <w:rStyle w:val="12"/>
          <w:rFonts w:cs="Times New Roman"/>
        </w:rPr>
        <w:footnoteReference w:id="8"/>
      </w:r>
      <w:r>
        <w:rPr>
          <w:rFonts w:cs="Times New Roman"/>
        </w:rPr>
        <w:t>, the term 'tort' is derived from the Latin word 'tortus', which translates to 'twisted'. The term 'tort' in English has a strictly technical legal definition, referring to a legal violation that can be addressed through legal means. He further contended that for centuries, common law academics, scholars, and jurists have made efforts to define the law of tort. However, a cursory look at the prominent literature on the subject will promptly demonstrate the immense challenge of reaching a satisfactory and all-encompassing definition. She explained that tort refers to a civil wrong that can be remedied through a common law action for unspecified damages. It is not limited to violations of contract, breaches of trust, or solely equitable duties.</w:t>
      </w:r>
    </w:p>
    <w:p w14:paraId="689C620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Pollock states that tort law primarily deals with three types of wrongs: wrongs to possession, personal wrongs and property, and combined personal and property wrongs.</w:t>
      </w:r>
      <w:r>
        <w:rPr>
          <w:rStyle w:val="12"/>
          <w:rFonts w:cs="Times New Roman"/>
        </w:rPr>
        <w:footnoteReference w:id="9"/>
      </w:r>
      <w:r>
        <w:rPr>
          <w:rFonts w:cs="Times New Roman"/>
        </w:rPr>
        <w:t xml:space="preserve"> Personal wrongs encompass assault, violence, wrongs against family relationships (e.g., seduction or enticing a servant), and wrongs to reputation (e.g., defamation, malicious prosecution). These wrongs are typically intentional or reckless, involving either malicious intent or careless disregard. Property wrongs include trespass to land or goods, conversion, and violations of copyright or trademarks.</w:t>
      </w:r>
    </w:p>
    <w:p w14:paraId="43A169E6">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Street emphasised in his work that the tort of trespass to chattels safeguards all personal assets, goods, and chattels belonging to an individual with title or possession by prohibiting any unauthorised interference. The law of trespass to chattel safeguards against any unjust infringements on the right to own or possess a chattel. The legal concept of trespass to chattel is in place to protect the belongings, possessions, and personal properties of someone who has ownership, control, or the right to immediate control. It prevents any unauthorized interference, harm, destruction, reduction, conversion, withholding, or any other type of interference by someone else without legal justification. </w:t>
      </w:r>
    </w:p>
    <w:p w14:paraId="164F3EB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Iroaganachi</w:t>
      </w:r>
      <w:r>
        <w:rPr>
          <w:rStyle w:val="12"/>
          <w:rFonts w:cs="Times New Roman"/>
        </w:rPr>
        <w:footnoteReference w:id="10"/>
      </w:r>
      <w:r>
        <w:rPr>
          <w:rFonts w:cs="Times New Roman"/>
        </w:rPr>
        <w:t xml:space="preserve"> opined that due to the fact the act of trespassing on land is inherently actionable, indicating that the plaintiff doesn't need to prove any actual damage,</w:t>
      </w:r>
      <w:r>
        <w:rPr>
          <w:rStyle w:val="12"/>
          <w:rFonts w:cs="Times New Roman"/>
        </w:rPr>
        <w:footnoteReference w:id="11"/>
      </w:r>
      <w:r>
        <w:rPr>
          <w:rFonts w:cs="Times New Roman"/>
        </w:rPr>
        <w:t xml:space="preserve"> and that there should be a widespread public awareness campaign to educate people about the negative consequences of trespassing and provide guidance on how to prevent it. Based on the outcomes of recent cases, it is clear that individuals have a low tolerance for trespassing on their property. In fact, they frequently resort to violent means to resist or prevent such actions, often bypassing legal channels. It is crucial to establish clear boundaries and delimitations of land in Nigeria. Additionally, deploying community policing and vigilante groups in areas prone to land-related violence can effectively minimise or eliminate such violence caused by land trespassing. It is necessary to conduct a comprehensive evaluation of land usage on a national level in Nigeria, taking into account the current land requirements of all citizens, including the nomadic Fulani cattle herders. This will offer them comfort and prevent the continuous land conflicts related to trespassing. To put it differently, it is crucial that our laws and practises clearly designate and ensure individual lands for private use, as well as cattle routes and grazing grounds. The LUA of 1978 should be revised to address the current land requirements and demands of our era. The court, often referred to as the temple of justice, is commonly regarded as the final ray of hope for the ordinary individual. It is important to always maintain a welcoming environment for any party or parties who feel aggrieved. People should be encouraged to seek justice through legal means, such as going to court, to resolve issues related to trespassing instead of resorting to self-help methods, which can lead to violence. Intrusive individuals who interfere must be prevented using the tools of our legal system. </w:t>
      </w:r>
    </w:p>
    <w:p w14:paraId="1A630A6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Cooke Pesce and Varacallo</w:t>
      </w:r>
      <w:r>
        <w:rPr>
          <w:rStyle w:val="12"/>
          <w:rFonts w:cs="Times New Roman"/>
        </w:rPr>
        <w:footnoteReference w:id="12"/>
      </w:r>
      <w:r>
        <w:rPr>
          <w:rFonts w:cs="Times New Roman"/>
        </w:rPr>
        <w:t xml:space="preserve"> in their work stated that a tort can arise from intentional conduct, negligent actions (such as failing to act when there was a duty to do so), or the violation of a law. The term "torts" encompasses a range of civil wrongs, excluding contract breaches that can be remedied by a court through a damage action.</w:t>
      </w:r>
    </w:p>
    <w:p w14:paraId="3B57F7F3">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Peter states that torts happened when the tortfeasor’s acts were unreasonable in terms of danger</w:t>
      </w:r>
      <w:r>
        <w:rPr>
          <w:rStyle w:val="12"/>
          <w:rFonts w:cs="Times New Roman"/>
        </w:rPr>
        <w:footnoteReference w:id="13"/>
      </w:r>
      <w:r>
        <w:rPr>
          <w:rFonts w:cs="Times New Roman"/>
        </w:rPr>
        <w:t>. He also state that the factors essential for a tortious cause of action are</w:t>
      </w:r>
    </w:p>
    <w:p w14:paraId="23A50FC8">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 1) A duty to follow a set of conduct aimed at safeguarding individuals from unreasonable dangers; </w:t>
      </w:r>
    </w:p>
    <w:p w14:paraId="30A7F0F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2) A breach of that duty  </w:t>
      </w:r>
    </w:p>
    <w:p w14:paraId="323ECEEB">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3) Failure to adhere to the standard </w:t>
      </w:r>
    </w:p>
    <w:p w14:paraId="49AAA87B">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4) A sufficiently close causal relationship between the behaviour and the consequent damage </w:t>
      </w:r>
    </w:p>
    <w:p w14:paraId="1413EF8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5) Actual loss or harm related to the interests of another.</w:t>
      </w:r>
    </w:p>
    <w:p w14:paraId="58E1C41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Claeys argued that Tort is a legal concept that aims to protect rights and rectify wrongs</w:t>
      </w:r>
      <w:r>
        <w:rPr>
          <w:rStyle w:val="12"/>
          <w:rFonts w:cs="Times New Roman"/>
        </w:rPr>
        <w:footnoteReference w:id="14"/>
      </w:r>
      <w:r>
        <w:rPr>
          <w:rFonts w:cs="Times New Roman"/>
        </w:rPr>
        <w:t>. On one side, the concept of trespass to land and other associated doctrines primarily aim to ensure that owners retain their rightful control over their property. However, the purpose of those doctrines is not to assert control rights, but rather to provide remedies for violations of those rights. On the other hand, the same doctrines indirectly safeguard control rights by explicitly identifying the prohibited actions that are inconsistent with these rights. On the other hand, positive law tort prohibitions indirectly establish control rights using trespass, harm requirements, the duty element in negligence and defences. These measures aim to protect the rights of owners, including claim-rights, duties, liberties, and no-rights, in accordance with the prevailing moral principles of property.</w:t>
      </w:r>
    </w:p>
    <w:p w14:paraId="4731523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Bankole in discussing Trespass to person described it as the deliberate interference with someone else's physical well-being. Violating someone's body or freedom is an act of interference. Violating someone's physical being is an intrusion. Trespass against the person consists of three torts. Some examples of these are: </w:t>
      </w:r>
    </w:p>
    <w:p w14:paraId="05E1B090">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A. Assault: instilling fear of physical harm in an individual; </w:t>
      </w:r>
    </w:p>
    <w:p w14:paraId="033491A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B. Battery: any form of physical contact, force, or injury to the body; and </w:t>
      </w:r>
    </w:p>
    <w:p w14:paraId="4CB27B7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C. False imprisonment: restricting personal freedom of movement, detaining, abducting, or arresting someone against his or her will. The tort of negligence is often invoked when a careless act or a trespass against a person is committed due to carelessness.</w:t>
      </w:r>
    </w:p>
    <w:p w14:paraId="43F62660">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Mukaddam</w:t>
      </w:r>
      <w:r>
        <w:rPr>
          <w:rStyle w:val="12"/>
          <w:rFonts w:eastAsia="Times New Roman" w:cs="Times New Roman"/>
          <w:szCs w:val="24"/>
          <w:lang w:val="en-US"/>
        </w:rPr>
        <w:footnoteReference w:id="15"/>
      </w:r>
      <w:r>
        <w:rPr>
          <w:rFonts w:eastAsia="Times New Roman" w:cs="Times New Roman"/>
          <w:szCs w:val="24"/>
          <w:lang w:val="en-US"/>
        </w:rPr>
        <w:t xml:space="preserve"> approaches trespass from a broader tort law perspective, identifying trespass to the person, land, and goods as the three major categories recognised under Nigerian law. He underscores trespass is typically actionable in itself, indicating that evidence of real harm is not always necessary once unlawful interference is established. Mukaddam’s contribution lies in clarifying the intentional and direct nature of trespass, distinguishing it from negligence, which is based on carelessness rather than deliberate or direct interference. While doctrinally useful, his work is largely expository and does not deeply interrogate how Nigerian courts have adapted these principles to local realities.</w:t>
      </w:r>
    </w:p>
    <w:p w14:paraId="4DA9A0D8">
      <w:pPr>
        <w:pageBreakBefore w:val="0"/>
        <w:widowControl/>
        <w:kinsoku/>
        <w:wordWrap/>
        <w:overflowPunct/>
        <w:topLinePunct w:val="0"/>
        <w:autoSpaceDE/>
        <w:autoSpaceDN/>
        <w:bidi w:val="0"/>
        <w:adjustRightInd/>
        <w:snapToGrid/>
        <w:spacing w:beforeAutospacing="0" w:after="0" w:afterAutospacing="0"/>
        <w:textAlignment w:val="auto"/>
        <w:rPr>
          <w:rFonts w:cs="Times New Roman"/>
          <w:b/>
          <w:bCs/>
          <w:szCs w:val="24"/>
          <w:lang w:val="en-US"/>
        </w:rPr>
      </w:pPr>
      <w:bookmarkStart w:id="9" w:name="page21"/>
      <w:bookmarkEnd w:id="9"/>
    </w:p>
    <w:p w14:paraId="19762CB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7CF4CCBD">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7C61BD0E">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715DAEB7">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30EFDAED">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43B12D38">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09A5FA73">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005EBC63">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333B784F">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00815CF8">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6A5347EE">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p>
    <w:p w14:paraId="15DD0EE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r>
        <w:rPr>
          <w:rFonts w:cs="Times New Roman"/>
          <w:b/>
          <w:bCs/>
          <w:szCs w:val="24"/>
          <w:lang w:val="en-US"/>
        </w:rPr>
        <w:t>CHAPTER TWO</w:t>
      </w:r>
    </w:p>
    <w:p w14:paraId="0189F0B1">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szCs w:val="24"/>
          <w:lang w:val="en-US"/>
        </w:rPr>
      </w:pPr>
      <w:r>
        <w:rPr>
          <w:rFonts w:cs="Times New Roman"/>
          <w:b/>
          <w:bCs/>
          <w:szCs w:val="24"/>
          <w:lang w:val="en-US"/>
        </w:rPr>
        <w:t>CONCEPTUAL AND THEORETICAL FRAMEWORK</w:t>
      </w:r>
    </w:p>
    <w:p w14:paraId="5111A2B8">
      <w:pPr>
        <w:pageBreakBefore w:val="0"/>
        <w:widowControl/>
        <w:kinsoku/>
        <w:wordWrap/>
        <w:overflowPunct/>
        <w:topLinePunct w:val="0"/>
        <w:autoSpaceDE/>
        <w:autoSpaceDN/>
        <w:bidi w:val="0"/>
        <w:adjustRightInd/>
        <w:snapToGrid/>
        <w:spacing w:beforeAutospacing="0" w:after="0" w:afterAutospacing="0"/>
        <w:textAlignment w:val="auto"/>
        <w:rPr>
          <w:rFonts w:cs="Times New Roman"/>
          <w:b/>
          <w:bCs/>
          <w:szCs w:val="24"/>
          <w:lang w:val="en-US"/>
        </w:rPr>
      </w:pPr>
      <w:r>
        <w:rPr>
          <w:rFonts w:cs="Times New Roman"/>
          <w:b/>
          <w:szCs w:val="24"/>
          <w:lang w:val="en-US"/>
        </w:rPr>
        <w:t xml:space="preserve">2.1. </w:t>
      </w:r>
      <w:r>
        <w:rPr>
          <w:rFonts w:cs="Times New Roman"/>
          <w:b/>
          <w:bCs/>
          <w:szCs w:val="24"/>
          <w:lang w:val="en-US"/>
        </w:rPr>
        <w:t>Conceptual Framework</w:t>
      </w:r>
    </w:p>
    <w:p w14:paraId="6F8FCBA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b/>
          <w:bCs/>
          <w:szCs w:val="24"/>
          <w:lang w:val="en-US"/>
        </w:rPr>
        <w:t>2.1.1 Nature of Trespass in Nigeria</w:t>
      </w:r>
    </w:p>
    <w:p w14:paraId="1A3049F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Trespass refers to the illegal entry into or meddling with someone else’s property, resulting in a breach of their rights. In certain instances, it is observed that when a wrongdoing occurs and the state takes legal action, the individual who has been harmed by someone else's actions often does not receive any compensation or resolution for the injury they have endured. This remains the case even if the wrongdoer has been found guilty, fined, detained, or subjected to other penalties. One instance is when a stolen item remains unrecovered and is not returned to its rightful owner, or when someone who has been assaulted and injured does not receive compensation through damages settlement, despite the wrongdoer being convicted and punished. The law of tort serves to provide a legal avenue for individuals to seek compensation or other forms of remedy when they have suffered injury or wrong.</w:t>
      </w:r>
      <w:r>
        <w:rPr>
          <w:rStyle w:val="12"/>
          <w:rFonts w:cs="Times New Roman"/>
          <w:szCs w:val="24"/>
          <w:lang w:val="en-US"/>
        </w:rPr>
        <w:footnoteReference w:id="16"/>
      </w:r>
    </w:p>
    <w:p w14:paraId="439E0E49">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2.1.2. Definition of Trespass and Key Concepts</w:t>
      </w:r>
    </w:p>
    <w:p w14:paraId="586D410A">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2.1.2.1 Trespass</w:t>
      </w:r>
    </w:p>
    <w:p w14:paraId="3A4508C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It is a common finding that individuals desire to safeguard their bodies and their belongings, whether they are movable or immovable. Individuals often appear to be worried about the possibility of their personal belongings or property being sensitive to harmful individuals who have dishonest intentions to misappropriate and exploit their wealth. Dealing with the iron hands of the law is necessary to address the apprehension of large sections.</w:t>
      </w:r>
    </w:p>
    <w:p w14:paraId="710DEE9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law addresses actions that require restitution through either compensation or punishment</w:t>
      </w:r>
      <w:r>
        <w:rPr>
          <w:rFonts w:cs="Times New Roman"/>
          <w:szCs w:val="24"/>
          <w:vertAlign w:val="superscript"/>
          <w:lang w:val="en-US"/>
        </w:rPr>
        <w:footnoteReference w:id="17"/>
      </w:r>
      <w:r>
        <w:rPr>
          <w:rFonts w:cs="Times New Roman"/>
          <w:szCs w:val="24"/>
          <w:lang w:val="en-US"/>
        </w:rPr>
        <w:t>. These acts can range from intentionally touching someone with the malicious intention of invading into their property without providing any justification for the action. Trespass is considered both a civil and criminal offence due to its potential to cause harm, such as violating legal rights and causing significant damage to a person's well-being and property, particularly in cases involving physical attacks. The concept of trespass is effectively described as a simple principle that safeguards landowners from unwanted intrusions by trespassers seeking opportunities.</w:t>
      </w:r>
    </w:p>
    <w:p w14:paraId="521DBFA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Trespass refers to the unauthorised access to or control over someone else's property, particularly with the aim of engaging in illegal activities or causing harm.  Trespass refers to the act of entering or staying on another person's property without consent, particularly with the aim of engaging in unlawful activities or causing harm.   There are different types of trespass, such as trespass against a person, trespass to property, and trespass to land.</w:t>
      </w:r>
    </w:p>
    <w:p w14:paraId="7924CD71">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b/>
          <w:bCs/>
          <w:szCs w:val="24"/>
          <w:lang w:val="en-US"/>
        </w:rPr>
        <w:t>Trespass Against Person</w:t>
      </w:r>
    </w:p>
    <w:p w14:paraId="07C927F7">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Trespass to a person involves causing unreasonable interference with an individual's body or that of a third party, including the use of force that results in bodily harm or impairment. It also encompasses direct violations of a person's physical well-being or freedom. Historically, trespass was defined as any reckless, intentional, negligent, or direct act against a person or their property. Today, it refers to wrongful or unauthorized interference, whether direct or intentional, with an individual or their right to liberty</w:t>
      </w:r>
      <w:r>
        <w:rPr>
          <w:rFonts w:cs="Times New Roman"/>
          <w:szCs w:val="24"/>
          <w:vertAlign w:val="superscript"/>
          <w:lang w:val="en-US"/>
        </w:rPr>
        <w:footnoteReference w:id="18"/>
      </w:r>
      <w:r>
        <w:rPr>
          <w:rFonts w:cs="Times New Roman"/>
          <w:szCs w:val="24"/>
          <w:lang w:val="en-US"/>
        </w:rPr>
        <w:t>. Trespass protects freedom from violation and, due to its focus on threats, serves as an effective tool in upholding human rights</w:t>
      </w:r>
      <w:r>
        <w:rPr>
          <w:rFonts w:cs="Times New Roman"/>
          <w:szCs w:val="24"/>
          <w:vertAlign w:val="superscript"/>
          <w:lang w:val="en-US"/>
        </w:rPr>
        <w:footnoteReference w:id="19"/>
      </w:r>
      <w:r>
        <w:rPr>
          <w:rFonts w:cs="Times New Roman"/>
          <w:szCs w:val="24"/>
          <w:lang w:val="en-US"/>
        </w:rPr>
        <w:t>.</w:t>
      </w:r>
    </w:p>
    <w:p w14:paraId="526A1CE1">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Trespass to a person is both a tort and a crime. The tort is considered more of a threat rather than compensatory, as it is actionable per se</w:t>
      </w:r>
      <w:r>
        <w:rPr>
          <w:rFonts w:cs="Times New Roman"/>
          <w:szCs w:val="24"/>
          <w:vertAlign w:val="superscript"/>
          <w:lang w:val="en-US"/>
        </w:rPr>
        <w:footnoteReference w:id="20"/>
      </w:r>
      <w:r>
        <w:rPr>
          <w:rFonts w:cs="Times New Roman"/>
          <w:szCs w:val="24"/>
          <w:lang w:val="en-US"/>
        </w:rPr>
        <w:t>. This means that the plaintiff is not required to prove that they have suffered actual damage. Liability will be incurred through the slight commission of the act. Trespass to a person can occur through either a direct or intentional action. Trespass to person is composed of three (3) torts, despite having four arms. They are;</w:t>
      </w:r>
    </w:p>
    <w:p w14:paraId="2FE9BAE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1.   Assault</w:t>
      </w:r>
    </w:p>
    <w:p w14:paraId="33762AB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2.   Battery</w:t>
      </w:r>
    </w:p>
    <w:p w14:paraId="67939C9E">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3.   False Imprisonment</w:t>
      </w:r>
    </w:p>
    <w:p w14:paraId="1D6120C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4.   Other acts intended to cause physical and mental harm</w:t>
      </w:r>
    </w:p>
    <w:p w14:paraId="27A6D73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b/>
          <w:bCs/>
          <w:szCs w:val="24"/>
          <w:lang w:val="en-US"/>
        </w:rPr>
        <w:t>1. Assault</w:t>
      </w:r>
    </w:p>
    <w:p w14:paraId="7E4FD665">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term ‘assault’ means the act of physically attacking, beating, or striking someone. In everyday language, The term assault is often utilised to refer to both assault and battery. In the context of tort law, assault and battery are distinct and individual offences. Assault, as defined in tort law, refers to the act of making threats to harm or use compulsion against another person, where the person making the threats has the capability to carry out their intentions. The other person must be put in fear of immediate application of unlawful or unjustified force by such an act. Assault does not necessitate physical harm, but the perpetrator must have had the intention to cause a harmful or offensive contact with the victim. As a result, the victim must have immediately felt the possibility of such contact</w:t>
      </w:r>
      <w:r>
        <w:rPr>
          <w:rFonts w:cs="Times New Roman"/>
          <w:szCs w:val="24"/>
          <w:vertAlign w:val="superscript"/>
          <w:lang w:val="en-US"/>
        </w:rPr>
        <w:footnoteReference w:id="21"/>
      </w:r>
      <w:r>
        <w:rPr>
          <w:rFonts w:cs="Times New Roman"/>
          <w:szCs w:val="24"/>
          <w:lang w:val="en-US"/>
        </w:rPr>
        <w:t xml:space="preserve">. </w:t>
      </w:r>
    </w:p>
    <w:p w14:paraId="3DEF81D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According to Kodilinye, assault is described as ‘‘any action that causes the plaintiff to feel attacked by an imminent battery</w:t>
      </w:r>
      <w:r>
        <w:rPr>
          <w:rFonts w:cs="Times New Roman"/>
          <w:szCs w:val="24"/>
          <w:vertAlign w:val="superscript"/>
          <w:lang w:val="en-US"/>
        </w:rPr>
        <w:footnoteReference w:id="22"/>
      </w:r>
      <w:r>
        <w:rPr>
          <w:rFonts w:cs="Times New Roman"/>
          <w:szCs w:val="24"/>
          <w:lang w:val="en-US"/>
        </w:rPr>
        <w:t>’’ Consequently, any behaviour, movement, or intimidation from the defendant that instills in the plaintiff a fear of imminent physical injury qualifies as an assault. In the realm of assault, intention signifies the purposeful aspect of the action, irrespective of the underlying motive.  Assault can take various forms, such as brandishing a knife or broken bottle to intimidate someone, approaching someone aggressively while shaking your fist and making threats of physical harm, or attempting to strike someone with a stick but failing to make contact. The law of tort seeks to prevent the direct use of illegal force against an individual's body. Therefore, it is sufficient if the victim simply anticipates the use of such force.</w:t>
      </w:r>
    </w:p>
    <w:p w14:paraId="1FE60E87">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b/>
          <w:bCs/>
          <w:szCs w:val="24"/>
          <w:lang w:val="en-US"/>
        </w:rPr>
        <w:t xml:space="preserve"> 2. Battery</w:t>
      </w:r>
    </w:p>
    <w:p w14:paraId="6BF189D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act of applying physical coercion on another individual without legal justification. Battery involves intentionally and unlawfully making physical contact with another person, either openly or subtly, without their approval, even if the interaction is slight. Direct force can be likened to physically striking a person, while indirect force can be compared to positioning a dog behind a person or spitting on them. The battery refers to the act of exerting force, regardless of its magnitude, towards individuals in a hostile manner or without their permission. Battery refers to the act of exerting physical force upon an individual without their consent and lacking any lawful reason. It entails making contact with someone in a manner that is disrespectful, filled with anger, seeking revenge, or showing insolence. The contact needs to be forceful, and the individual must not have provided permission for it. Battery does not require the person to be injured prior to it being considered battery. It simply means that if there is an unlawful use of force or violence on people without their consent, it qualifies as battery.</w:t>
      </w:r>
    </w:p>
    <w:p w14:paraId="536A3CBA">
      <w:pPr>
        <w:pageBreakBefore w:val="0"/>
        <w:widowControl/>
        <w:kinsoku/>
        <w:wordWrap/>
        <w:overflowPunct/>
        <w:topLinePunct w:val="0"/>
        <w:autoSpaceDE/>
        <w:autoSpaceDN/>
        <w:bidi w:val="0"/>
        <w:adjustRightInd/>
        <w:snapToGrid/>
        <w:spacing w:beforeAutospacing="0" w:after="0" w:afterAutospacing="0"/>
        <w:textAlignment w:val="auto"/>
        <w:rPr>
          <w:rFonts w:cs="Times New Roman"/>
          <w:b/>
          <w:bCs/>
          <w:szCs w:val="24"/>
          <w:lang w:val="en-US"/>
        </w:rPr>
      </w:pPr>
      <w:r>
        <w:rPr>
          <w:rFonts w:cs="Times New Roman"/>
          <w:b/>
          <w:bCs/>
          <w:szCs w:val="24"/>
          <w:lang w:val="en-US"/>
        </w:rPr>
        <w:t>3. False Imprisonment</w:t>
      </w:r>
    </w:p>
    <w:p w14:paraId="5938EEE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False imprisonment is when someone's freedom of movement is unlawfully restricted in any direction, preventing them from moving for any duration, regardless of how short. According to Section 41 of the 1999 CFRN, all Nigerian citizens are entitled to unrestricted mobility and the freedom to reside within the nation. No citizen can be forced to leave Nigeria or denied entry or exit from the country. Section 41 of the Nigerian constitution explicitly prohibits the unlawful restriction of its citizens. Restricting someone's movements to any location unlawfully would constitute a violation of section 41 of the 1999 constitution</w:t>
      </w:r>
      <w:r>
        <w:rPr>
          <w:rFonts w:cs="Times New Roman"/>
          <w:szCs w:val="24"/>
          <w:vertAlign w:val="superscript"/>
          <w:lang w:val="en-US"/>
        </w:rPr>
        <w:footnoteReference w:id="23"/>
      </w:r>
      <w:r>
        <w:rPr>
          <w:rFonts w:cs="Times New Roman"/>
          <w:szCs w:val="24"/>
          <w:lang w:val="en-US"/>
        </w:rPr>
        <w:t>.</w:t>
      </w:r>
    </w:p>
    <w:p w14:paraId="63893B2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The act of false imprisonment is committed when an individual purposefully confines another individual's ability to move freely without any lawful justification. It protects a person's independence and right to liberty. The act of unlawfully depriving someone of his or her freedom of movement or personal liberty is known as false imprisonment. Unlawful restraint refers to the complete confinement of an individual. The imprisonment is unjust because it is morally wrong. The person who is restrained is subjected to an unjust action. As previously mentioned, the violation of the fundamental right to personal liberty and freedom, which is protected by the Nigerian constitution and the constitutions of other nations, is evident. In this context, the term imprisonment extends beyond the traditional concept of locking someone in jail. </w:t>
      </w:r>
    </w:p>
    <w:p w14:paraId="25CA1AE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False imprisonment involves any form of physical restraint, whether in a confined space or an open area like a street. Sir William Blackstone defined imprisonment as any confinement, whether in a correctional facility, residential setting, investments, or compelling an individual to remain in a communal area.</w:t>
      </w:r>
      <w:r>
        <w:rPr>
          <w:rFonts w:cs="Times New Roman"/>
          <w:szCs w:val="24"/>
          <w:vertAlign w:val="superscript"/>
          <w:lang w:val="en-US"/>
        </w:rPr>
        <w:footnoteReference w:id="24"/>
      </w:r>
    </w:p>
    <w:p w14:paraId="0C674B3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For false imprisonment to take place, the confinement must be total, as demonstrated in Bird v Jones,</w:t>
      </w:r>
      <w:r>
        <w:rPr>
          <w:rFonts w:cs="Times New Roman"/>
          <w:szCs w:val="24"/>
          <w:vertAlign w:val="superscript"/>
          <w:lang w:val="en-US"/>
        </w:rPr>
        <w:footnoteReference w:id="25"/>
      </w:r>
      <w:r>
        <w:rPr>
          <w:rFonts w:cs="Times New Roman"/>
          <w:szCs w:val="24"/>
          <w:lang w:val="en-US"/>
        </w:rPr>
        <w:t xml:space="preserve"> where the court ruled no false imprisonment occurred because the plaintiff could choose an alternative path. The tort of false imprisonment protects personal liberty and freedom of movement.</w:t>
      </w:r>
    </w:p>
    <w:p w14:paraId="1B4D875D">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 xml:space="preserve">4. </w:t>
      </w:r>
      <w:r>
        <w:rPr>
          <w:rFonts w:cs="Times New Roman"/>
          <w:b/>
          <w:bCs/>
          <w:szCs w:val="24"/>
          <w:lang w:val="en-US"/>
        </w:rPr>
        <w:t>Law</w:t>
      </w:r>
    </w:p>
    <w:p w14:paraId="4D720D6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Section 19(1) of the Criminal Code Act</w:t>
      </w:r>
      <w:r>
        <w:rPr>
          <w:rStyle w:val="12"/>
          <w:rFonts w:cs="Times New Roman"/>
          <w:szCs w:val="24"/>
          <w:lang w:val="en-US"/>
        </w:rPr>
        <w:footnoteReference w:id="26"/>
      </w:r>
      <w:r>
        <w:rPr>
          <w:rFonts w:cs="Times New Roman"/>
          <w:szCs w:val="24"/>
          <w:lang w:val="en-US"/>
        </w:rPr>
        <w:t xml:space="preserve"> provides that “A person who physically assaults their partner is guilty of an offence and, upon conviction, may face imprisonment for a period not exceeding three years, a fine not exceeding N200,000.00, or both penalties.”</w:t>
      </w:r>
      <w:r>
        <w:rPr>
          <w:rFonts w:cs="Times New Roman"/>
          <w:szCs w:val="24"/>
          <w:vertAlign w:val="superscript"/>
          <w:lang w:val="en-US"/>
        </w:rPr>
        <w:footnoteReference w:id="27"/>
      </w:r>
      <w:r>
        <w:rPr>
          <w:rFonts w:cs="Times New Roman"/>
          <w:szCs w:val="24"/>
          <w:lang w:val="en-US"/>
        </w:rPr>
        <w:t xml:space="preserve">  In addition, section 292 of the criminal code act in Nigeria provides that person, such as a slap or a beating. The law of tort recognises the act described as battery, while the term assault is used in a different manner. According to section 351 of the Criminal Code Act in Nigeria, it states that if someone unlawfully assaults another person, they are committing a misdemeanor offence. If no other punishment is specified, the individual may face imprisonment for a period of one year.</w:t>
      </w:r>
      <w:r>
        <w:rPr>
          <w:rFonts w:cs="Times New Roman"/>
          <w:szCs w:val="24"/>
          <w:vertAlign w:val="superscript"/>
          <w:lang w:val="en-US"/>
        </w:rPr>
        <w:footnoteReference w:id="28"/>
      </w:r>
      <w:r>
        <w:rPr>
          <w:rFonts w:cs="Times New Roman"/>
          <w:szCs w:val="24"/>
          <w:lang w:val="en-US"/>
        </w:rPr>
        <w:t xml:space="preserve"> The Violence against Person’s Prohibition Act, 2015</w:t>
      </w:r>
      <w:r>
        <w:rPr>
          <w:rStyle w:val="12"/>
          <w:rFonts w:cs="Times New Roman"/>
          <w:szCs w:val="24"/>
          <w:lang w:val="en-US"/>
        </w:rPr>
        <w:footnoteReference w:id="29"/>
      </w:r>
      <w:r>
        <w:rPr>
          <w:rFonts w:cs="Times New Roman"/>
          <w:szCs w:val="24"/>
          <w:lang w:val="en-US"/>
        </w:rPr>
        <w:t xml:space="preserve"> was established to ban all types of violence in both personal and communal settings and offers the highest level of protection and efficient solutions.</w:t>
      </w:r>
    </w:p>
    <w:p w14:paraId="6B349E65">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5. Tort</w:t>
      </w:r>
    </w:p>
    <w:p w14:paraId="5AFA931D">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The term "tort" originates from the Latin word "tortum," which signifies "something twisted, wrong, or crooked." Numerous writers and commentators have provided definitions for the term "tort. “John, w. Salmond </w:t>
      </w:r>
      <w:r>
        <w:rPr>
          <w:rFonts w:cs="Times New Roman"/>
          <w:szCs w:val="24"/>
          <w:vertAlign w:val="superscript"/>
          <w:lang w:val="en-US"/>
        </w:rPr>
        <w:footnoteReference w:id="30"/>
      </w:r>
      <w:r>
        <w:rPr>
          <w:rFonts w:cs="Times New Roman"/>
          <w:szCs w:val="24"/>
          <w:lang w:val="en-US"/>
        </w:rPr>
        <w:t>in his book, defined tort as: “A civil wrong that allows for a common law action seeking unliquidated damages, and is not solely related to the violation of a contract, or the breach of trust or other purely equitable duties.”</w:t>
      </w:r>
    </w:p>
    <w:p w14:paraId="6F775C4D">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According to P H Winfield </w:t>
      </w:r>
      <w:r>
        <w:rPr>
          <w:rFonts w:cs="Times New Roman"/>
          <w:szCs w:val="24"/>
          <w:vertAlign w:val="superscript"/>
          <w:lang w:val="en-US"/>
        </w:rPr>
        <w:footnoteReference w:id="31"/>
      </w:r>
      <w:r>
        <w:rPr>
          <w:rFonts w:cs="Times New Roman"/>
          <w:szCs w:val="24"/>
          <w:lang w:val="en-US"/>
        </w:rPr>
        <w:t xml:space="preserve"> tort is the violation of a legal obligation, which is owed to individuals at large, and such a violation can be remedied through a claim for unspecified damages. A tort is an act that results in harm to another individual by infringing upon a safeguarded right, thereby constituting a civil wrong. A breach of a civil duty, which is mandated by law and applies to all individuals, can result in various civil remedies such as monetary compensation, injunctions, or other appropriate measures. The law of tort is a division of civil law that addresses civil injuries or wrongs experienced by an individual due to the actions of another. There are three categories of torts: the first being intentional torts, the second being negligent torts, and the third being torts of strict liability.</w:t>
      </w:r>
    </w:p>
    <w:p w14:paraId="6814DDF3">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6. Intentional Tort</w:t>
      </w:r>
    </w:p>
    <w:p w14:paraId="33C8822C">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An intentional tort occurs when a defendant deliberately commits an act, knowing it will likely cause harm or injury to another person. It involves purposeful action or inaction with awareness of the resulting consequences. For example, in </w:t>
      </w:r>
      <w:r>
        <w:rPr>
          <w:rFonts w:cs="Times New Roman"/>
          <w:i/>
          <w:iCs/>
          <w:szCs w:val="24"/>
          <w:lang w:val="en-US"/>
        </w:rPr>
        <w:t>Garratt v. Dailey</w:t>
      </w:r>
      <w:r>
        <w:rPr>
          <w:rFonts w:cs="Times New Roman"/>
          <w:szCs w:val="24"/>
          <w:lang w:val="en-US"/>
        </w:rPr>
        <w:t>,</w:t>
      </w:r>
      <w:r>
        <w:rPr>
          <w:rFonts w:cs="Times New Roman"/>
          <w:szCs w:val="24"/>
          <w:vertAlign w:val="superscript"/>
          <w:lang w:val="en-US"/>
        </w:rPr>
        <w:footnoteReference w:id="32"/>
      </w:r>
      <w:r>
        <w:rPr>
          <w:rFonts w:cs="Times New Roman"/>
          <w:szCs w:val="24"/>
          <w:lang w:val="en-US"/>
        </w:rPr>
        <w:t xml:space="preserve"> A young boy was found responsible for the intentional act of battery after he purposefully removed a chair from beneath an elderly woman, leading to her falling and getting hurt, despite his lack of intent to cause harm. Categories of deliberate wrongs consist of:</w:t>
      </w:r>
    </w:p>
    <w:p w14:paraId="4E2E1F8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p>
    <w:p w14:paraId="495F76B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p>
    <w:p w14:paraId="5EEF6E45">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7. Negligence</w:t>
      </w:r>
    </w:p>
    <w:p w14:paraId="3504F66B">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Negligence according to Winfield and Jolowicz </w:t>
      </w:r>
      <w:r>
        <w:rPr>
          <w:rFonts w:cs="Times New Roman"/>
          <w:szCs w:val="24"/>
          <w:vertAlign w:val="superscript"/>
          <w:lang w:val="en-US"/>
        </w:rPr>
        <w:footnoteReference w:id="33"/>
      </w:r>
      <w:r>
        <w:rPr>
          <w:rFonts w:cs="Times New Roman"/>
          <w:szCs w:val="24"/>
          <w:lang w:val="en-US"/>
        </w:rPr>
        <w:t xml:space="preserve"> “Negligence occurs when there is a failure to fulfil a legal obligation to exercise care, which lead to harm that the defendant did not intend. In everyday language, the term "negligence" refers to simple carelessness. Legally, it denotes the lack of adherence to a reasonable standard of care that an average person would have demonstrated in similar circumstances. Typically, the behaviour involves neglecting to fulfil a duty to take action, such as assisting victims affected by one's prior actions.</w:t>
      </w:r>
    </w:p>
    <w:p w14:paraId="05105835">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Tort of Negligence refers to a legal harm experienced by an individual due to another person's failure to exercise reasonable caution in order to prevent a foreseeable risk.</w:t>
      </w:r>
      <w:r>
        <w:rPr>
          <w:rFonts w:cs="Times New Roman"/>
          <w:szCs w:val="24"/>
          <w:vertAlign w:val="superscript"/>
          <w:lang w:val="en-US"/>
        </w:rPr>
        <w:footnoteReference w:id="34"/>
      </w:r>
      <w:r>
        <w:rPr>
          <w:rFonts w:cs="Times New Roman"/>
          <w:szCs w:val="24"/>
          <w:lang w:val="en-US"/>
        </w:rPr>
        <w:t xml:space="preserve"> A contractual relationship, whether stated clearly or understood implicitly, frequently exists among the parties involved in various scenarios, such as employer and employee, doctor and patient, bank and customer. Until recently, it was a requirement for a claim of negligence to be successful.</w:t>
      </w:r>
    </w:p>
    <w:p w14:paraId="1397823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Nonetheless, the civil law related to negligence has evolved and broadened to cover scenarios that arise between two or more individuals, even without any contractual arrangement, whether explicit or implied. Every enterprise must ensure that their management planning consistently considers the responsibilities and potential liabilities that may arise under the ever-changing aspects of the law, from both practical and financial perspectives.</w:t>
      </w:r>
    </w:p>
    <w:p w14:paraId="19DF771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The case frequently referenced as the basis for negligence is that of </w:t>
      </w:r>
      <w:r>
        <w:rPr>
          <w:rFonts w:cs="Times New Roman"/>
          <w:i/>
          <w:iCs/>
          <w:szCs w:val="24"/>
          <w:lang w:val="en-US"/>
        </w:rPr>
        <w:t>Donoghue v. Stevenson</w:t>
      </w:r>
      <w:r>
        <w:rPr>
          <w:rFonts w:cs="Times New Roman"/>
          <w:szCs w:val="24"/>
          <w:lang w:val="en-US"/>
        </w:rPr>
        <w:t>.</w:t>
      </w:r>
      <w:r>
        <w:rPr>
          <w:rFonts w:cs="Times New Roman"/>
          <w:szCs w:val="24"/>
          <w:vertAlign w:val="superscript"/>
          <w:lang w:val="en-US"/>
        </w:rPr>
        <w:footnoteReference w:id="35"/>
      </w:r>
      <w:r>
        <w:rPr>
          <w:rFonts w:cs="Times New Roman"/>
          <w:szCs w:val="24"/>
          <w:lang w:val="en-US"/>
        </w:rPr>
        <w:t xml:space="preserve"> It was determined that, even in the absence of any contract, whether explicit or implicit, a claim for negligence could still be viable.  The principle that has emerged from this case is that we all have a responsibility to take care of our neighbours or anyone who could potentially be impacted by our actions or failures. Establishing the Duty of Care is the primary requirement for a successful claim. The broad application of the duty of care has made it increasingly challenging to prove its existence, as demonstrated by case law. Therefore, it is important to recognise and appreciate the extent to which this duty can be held.</w:t>
      </w:r>
    </w:p>
    <w:p w14:paraId="4456191D">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8. Strict Liability</w:t>
      </w:r>
    </w:p>
    <w:p w14:paraId="158D0116">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In tort and criminal law, strict liability applies when a defendant is held accountable for an action, irrespective of their intent or mental state at the time of the act. Liability is absolute in situations where the defendant is accountable for harm resulting from their actions, regardless of any wrongdoing; or as it has been stated, “when a person acts at their own risk and is answerable for unintended damage, without regard to the presence of malicious intent or carelessness.” </w:t>
      </w:r>
      <w:r>
        <w:rPr>
          <w:rFonts w:cs="Times New Roman"/>
          <w:szCs w:val="24"/>
          <w:vertAlign w:val="superscript"/>
          <w:lang w:val="en-US"/>
        </w:rPr>
        <w:footnoteReference w:id="36"/>
      </w:r>
    </w:p>
    <w:p w14:paraId="06383C14">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Strict liability refers to the concept of being held liable without the requirement of proving fault. A person becomes liable for something that happens, even if there is no negligence or intention involved, or because they have violated a strict duty to not do the prohibited action. Strict liability also referred to as absolute liability or liability without fault is another term used to describe the same concept.</w:t>
      </w:r>
    </w:p>
    <w:p w14:paraId="771D65EA">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2.2. Theoretical Framework</w:t>
      </w:r>
    </w:p>
    <w:p w14:paraId="705804CA">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2.2.1 Historical Background of Trespass as a Tortious Action</w:t>
      </w:r>
    </w:p>
    <w:p w14:paraId="14997D58">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The Law of Tort began in England with the act of trespass. Originally, trespass referred to any improper action that directly resulted in harm or damage; in contemporary legal terms, trespass can be said to be an unauthorized entry upon land. It is stated in the rule of law in </w:t>
      </w:r>
      <w:r>
        <w:rPr>
          <w:rFonts w:cs="Times New Roman"/>
          <w:i/>
          <w:iCs/>
          <w:szCs w:val="24"/>
          <w:lang w:val="en-US"/>
        </w:rPr>
        <w:t>Entick v Carrington</w:t>
      </w:r>
      <w:r>
        <w:rPr>
          <w:rFonts w:cs="Times New Roman"/>
          <w:szCs w:val="24"/>
          <w:vertAlign w:val="superscript"/>
          <w:lang w:val="en-US"/>
        </w:rPr>
        <w:footnoteReference w:id="37"/>
      </w:r>
      <w:r>
        <w:rPr>
          <w:rFonts w:cs="Times New Roman"/>
          <w:i/>
          <w:iCs/>
          <w:szCs w:val="24"/>
          <w:lang w:val="en-US"/>
        </w:rPr>
        <w:t xml:space="preserve"> </w:t>
      </w:r>
      <w:r>
        <w:rPr>
          <w:rFonts w:cs="Times New Roman"/>
          <w:szCs w:val="24"/>
          <w:lang w:val="en-US"/>
        </w:rPr>
        <w:t>that “any encroachment on property, no matter how small, constitutes a trespass.” The act of trespass grants the affected party the legal entitlement to initiate a civil lawsuit and receive monetary compensation for the disruption caused and any resulting harm. Trespass is considered an intentional tort and, under certain circumstances, may be subject to criminal penalties.</w:t>
      </w:r>
    </w:p>
    <w:p w14:paraId="039C8F2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Trespass, which emerged in the thirteenth century under English common law, is an age-old type of legal action. Participating in such an action is considered a breach of the king's tranquilly, which might lead to the offender being called to the king's tribunal to confront a legal process and be responsible for the damage caused. Initially, the progress of the individual act of trespass was sluggish because the primary concern of the king's courts revolved around conflicts related to land possession.</w:t>
      </w:r>
    </w:p>
    <w:p w14:paraId="649FAB0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During the 14th century, it became common practice for the clerks of the king's court to regularly issue writs that authorised plaintiffs to initiate trespass actions. Prior to that period, trespass offences were predominantly addressed through criminal remedies. The focus of the courts was on penalising the trespasser rather than providing compensation to the original landowner. Historically, individuals who were unable to pay fines were incarcerated.</w:t>
      </w:r>
    </w:p>
    <w:p w14:paraId="1F6C2E98">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The penalty in this criminal case transformed into a compensation payment to the plaintiff. The commencement of tort action under the common law was signaled by this alteration. </w:t>
      </w:r>
      <w:r>
        <w:rPr>
          <w:rFonts w:cs="Times New Roman"/>
          <w:szCs w:val="24"/>
          <w:vertAlign w:val="superscript"/>
          <w:lang w:val="en-US"/>
        </w:rPr>
        <w:footnoteReference w:id="38"/>
      </w:r>
    </w:p>
    <w:p w14:paraId="0109376A">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 xml:space="preserve">As trespass progressed, it transformed into a means of compelling the accused to offer reparation or remunerate the claimant for the harm inflicted upon their property rights. There were two ways in which this manifested; a legal proceeding for encroachment on real estate and a legal proceeding for harm to personal belongings. In a situation involving unauthorised entry onto someone's property, the person who was wronged has the entitlement to pursue reparation for the intentional interference caused by the other party, which resulted in disturbance to their ownership and utilisation of the land. Trespassing on someone else's land occurs when there is any direct interference with land that is in the possession of another person. Trespassing on land happens when there is an unauthorised and unjustifiable encroachment onto another person's property. In </w:t>
      </w:r>
      <w:r>
        <w:rPr>
          <w:rFonts w:cs="Times New Roman"/>
          <w:i/>
          <w:iCs/>
          <w:szCs w:val="24"/>
          <w:lang w:val="en-US"/>
        </w:rPr>
        <w:t>Eze v Obiefuna</w:t>
      </w:r>
      <w:r>
        <w:rPr>
          <w:rFonts w:cs="Times New Roman"/>
          <w:szCs w:val="24"/>
          <w:lang w:val="en-US"/>
        </w:rPr>
        <w:t>,</w:t>
      </w:r>
      <w:r>
        <w:rPr>
          <w:rFonts w:cs="Times New Roman"/>
          <w:szCs w:val="24"/>
          <w:vertAlign w:val="superscript"/>
          <w:lang w:val="en-US"/>
        </w:rPr>
        <w:footnoteReference w:id="39"/>
      </w:r>
      <w:r>
        <w:rPr>
          <w:rFonts w:cs="Times New Roman"/>
          <w:szCs w:val="24"/>
          <w:lang w:val="en-US"/>
        </w:rPr>
        <w:t xml:space="preserve"> the Supreme Court stated that trespass to land involves even the smallest interference with someone's possession of land by an individual who cannot demonstrate a superior right to that possession. Any minimal intrusion onto the property without the owner's consent entitled the owner to a small amount of compensation.</w:t>
      </w:r>
    </w:p>
    <w:p w14:paraId="705CAFD3">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ability to file a claim for trespass to chattels enabled people to obtain restitution from those who intentionally or forcibly damaged their personal property. The injury could entail taking away the plaintiff's belongings or inflicting damage upon them, such as destruction or preventing the plaintiff from exercising her rightful ownership or use of it. The purpose of the tort of trespass to chattels is to safeguard the belongings, chattel, or personal properties of an individual who possesses them legally, by prohibiting any unauthorised interference.</w:t>
      </w:r>
      <w:r>
        <w:rPr>
          <w:rFonts w:cs="Times New Roman"/>
          <w:szCs w:val="24"/>
          <w:vertAlign w:val="superscript"/>
          <w:lang w:val="en-US"/>
        </w:rPr>
        <w:footnoteReference w:id="40"/>
      </w:r>
      <w:r>
        <w:rPr>
          <w:rFonts w:cs="Times New Roman"/>
          <w:szCs w:val="24"/>
          <w:lang w:val="en-US"/>
        </w:rPr>
        <w:t xml:space="preserve">  Trespass to chattel refers to any direct and illegal disruption of a chattel that is in someone else's possession.</w:t>
      </w:r>
    </w:p>
    <w:p w14:paraId="5683E5F7">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Over time, the courts acknowledged additional types of actions that allowed for compensation in cases where the injuries did not precisely align in relation to the classifications of trespass on the case. Eventually, writs were permitted for these various kinds of actions. A situation of an ongoing trespass would take place when a building encroached on a neighbor's land, resulting in a lasting violation of their rights. Continual trespass refers to the repeated occurrence of trespassing by the offender, rather than a single instance, happening on multiple occasions. A mense profits trespass was a type of legal action that property owners would take against tenants who unlawfully obtained profits, such as crops, from the property during their tenancy. The underlying principle of this type of trespass is that individuals are prohibited from utilising someone else's property without providing compensation to the owner.</w:t>
      </w:r>
      <w:r>
        <w:rPr>
          <w:rFonts w:cs="Times New Roman"/>
          <w:szCs w:val="24"/>
          <w:vertAlign w:val="superscript"/>
          <w:lang w:val="en-US"/>
        </w:rPr>
        <w:footnoteReference w:id="41"/>
      </w:r>
      <w:r>
        <w:rPr>
          <w:rFonts w:cs="Times New Roman"/>
          <w:szCs w:val="24"/>
          <w:lang w:val="en-US"/>
        </w:rPr>
        <w:t xml:space="preserve"> There is no requirement for the landowner to have experienced any form of loss. A trespass to try title was a legal action used to regain possession of real property from an unauthorised individual. The purpose of this action was to establish ownership so that the court could grant possession to the rightful owner of the property.</w:t>
      </w:r>
    </w:p>
    <w:p w14:paraId="0F81087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common-law forms of action had significant deficiencies. If a plaintiff's complaint did not precisely fit into one of the forms, they would be unable to proceed in court, regardless of whether they had clearly been wronged. The situation has been addressed by modern law through the implementation of rules of civil procedure, which replace the common law forms with more adaptable methods of phrasing a civil complaint.</w:t>
      </w:r>
    </w:p>
    <w:p w14:paraId="03DC0301">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2.2.2 Theories of Trespass under the Nigeria Law</w:t>
      </w:r>
    </w:p>
    <w:p w14:paraId="1A76E13C">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 xml:space="preserve">1. The possession theory </w:t>
      </w:r>
    </w:p>
    <w:p w14:paraId="579B3F6E">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At the core of Nigerian trespass, law lies the possession theory, which prioritizes protection of possession theory, which prioritizes protection of possession over abstract ownership rights. This principle deeply embedded in common law tradition, holds that possession itself creates a legally protectable interest against all but those with superior title. A person in actual possession can maintain trespass against anyone, including the true owner, unless that owner can demonstrate superior title. The law protects the factual control of land rather than theoretical ownership. This theory discourages self-help remedies and encourages peaceful resolution of property disputes through legal channels rather than forceful occupation.</w:t>
      </w:r>
    </w:p>
    <w:p w14:paraId="54427E39">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2. Ownership/Proprietary Theory</w:t>
      </w:r>
    </w:p>
    <w:p w14:paraId="1494DF74">
      <w:pPr>
        <w:pageBreakBefore w:val="0"/>
        <w:widowControl/>
        <w:kinsoku/>
        <w:wordWrap/>
        <w:overflowPunct/>
        <w:topLinePunct w:val="0"/>
        <w:autoSpaceDE/>
        <w:autoSpaceDN/>
        <w:bidi w:val="0"/>
        <w:adjustRightInd/>
        <w:snapToGrid/>
        <w:spacing w:beforeAutospacing="0" w:after="0" w:afterAutospacing="0"/>
        <w:textAlignment w:val="auto"/>
      </w:pPr>
      <w:r>
        <w:t>The relationship between ownership and possession in Nigerian property law is appreciated through jurisprudential ideas that explain the meaning, purpose, and operation of property interests. These legal theories form the conceptual basis for examining how legislation and judicial decisions recognise, distribute, regulate, and safeguard rights over land.</w:t>
      </w:r>
    </w:p>
    <w:p w14:paraId="15B49539">
      <w:pPr>
        <w:pageBreakBefore w:val="0"/>
        <w:widowControl/>
        <w:kinsoku/>
        <w:wordWrap/>
        <w:overflowPunct/>
        <w:topLinePunct w:val="0"/>
        <w:autoSpaceDE/>
        <w:autoSpaceDN/>
        <w:bidi w:val="0"/>
        <w:adjustRightInd/>
        <w:snapToGrid/>
        <w:spacing w:beforeAutospacing="0" w:after="0" w:afterAutospacing="0"/>
        <w:textAlignment w:val="auto"/>
      </w:pPr>
      <w:r>
        <w:t>An important theory in this regard is the bundle of rights approach. This theory does not regard ownership as one absolute and indivisible power. Instead, it treats ownership as a collection of separate rights, including the rights to occupy, use, enjoy, control, exclude others from, and transfer property. This perspective reflects the complex pattern of landholding in Nigeria, where several persons may possess different interests in the same parcel of land. Such interests may belong to family members, beneficiaries of equitable claims, holders of statutory rights of occupancy, or persons who derive possession from customary law. The courts in Nigeria may not always mention this theory, their decisions often reflect its underlying principles when determining whether a claimant has acquired legal or possessory interests to succeed in a land dispute.</w:t>
      </w:r>
    </w:p>
    <w:p w14:paraId="263D4702">
      <w:pPr>
        <w:pageBreakBefore w:val="0"/>
        <w:widowControl/>
        <w:kinsoku/>
        <w:wordWrap/>
        <w:overflowPunct/>
        <w:topLinePunct w:val="0"/>
        <w:autoSpaceDE/>
        <w:autoSpaceDN/>
        <w:bidi w:val="0"/>
        <w:adjustRightInd/>
        <w:snapToGrid/>
        <w:spacing w:beforeAutospacing="0" w:after="0" w:afterAutospacing="0"/>
        <w:jc w:val="left"/>
        <w:textAlignment w:val="auto"/>
        <w:rPr>
          <w:rFonts w:cs="Times New Roman"/>
          <w:b/>
          <w:szCs w:val="24"/>
          <w:lang w:val="en-US"/>
        </w:rPr>
      </w:pPr>
      <w:r>
        <w:rPr>
          <w:rFonts w:cs="Times New Roman"/>
          <w:b/>
          <w:szCs w:val="24"/>
          <w:lang w:val="en-US"/>
        </w:rPr>
        <w:t>3. Actionable per se doctrine Theory</w:t>
      </w:r>
    </w:p>
    <w:p w14:paraId="68E26114">
      <w:pPr>
        <w:pageBreakBefore w:val="0"/>
        <w:widowControl/>
        <w:kinsoku/>
        <w:wordWrap/>
        <w:overflowPunct/>
        <w:topLinePunct w:val="0"/>
        <w:autoSpaceDE/>
        <w:autoSpaceDN/>
        <w:bidi w:val="0"/>
        <w:adjustRightInd/>
        <w:snapToGrid/>
        <w:spacing w:beforeAutospacing="0" w:after="0" w:afterAutospacing="0"/>
        <w:jc w:val="both"/>
        <w:textAlignment w:val="auto"/>
        <w:rPr>
          <w:rFonts w:cs="Times New Roman"/>
          <w:szCs w:val="24"/>
          <w:lang w:val="en-US"/>
        </w:rPr>
      </w:pPr>
      <w:r>
        <w:rPr>
          <w:rFonts w:cs="Times New Roman"/>
          <w:szCs w:val="24"/>
          <w:lang w:val="en-US"/>
        </w:rPr>
        <w:t>A distinctive theoretical aspect of trespass is that it is actionable without proof of actual damage (actionable per se). This doctrine reflects the law’s recognition that the right to exclusive possession has intrinsic value worthy of protection regardless of measurable harm. The mere unauthorized interference with possessory rights constitutes a complete cause of action. Plaintiffs need not demonstrate financial loss or physical damage to succeed. The wrong lies on violation of the right itself rather than its consequences.</w:t>
      </w:r>
    </w:p>
    <w:p w14:paraId="54BB0018">
      <w:pPr>
        <w:pageBreakBefore w:val="0"/>
        <w:widowControl/>
        <w:kinsoku/>
        <w:wordWrap/>
        <w:overflowPunct/>
        <w:topLinePunct w:val="0"/>
        <w:autoSpaceDE/>
        <w:autoSpaceDN/>
        <w:bidi w:val="0"/>
        <w:adjustRightInd/>
        <w:snapToGrid/>
        <w:spacing w:beforeAutospacing="0" w:after="0" w:afterAutospacing="0"/>
        <w:textAlignment w:val="auto"/>
        <w:rPr>
          <w:rFonts w:cs="Times New Roman"/>
          <w:b/>
          <w:szCs w:val="24"/>
          <w:lang w:val="en-US"/>
        </w:rPr>
      </w:pPr>
      <w:r>
        <w:rPr>
          <w:rFonts w:cs="Times New Roman"/>
          <w:b/>
          <w:szCs w:val="24"/>
          <w:lang w:val="en-US"/>
        </w:rPr>
        <w:t xml:space="preserve">4. Trespass ab initio theory </w:t>
      </w:r>
    </w:p>
    <w:p w14:paraId="216B6E2F">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This specific theory asserts that when an individual legally accesses land but then misuses that right by engaging in improper actions, they become a trespasser from the beginning (ab initio). Lawful entry becomes retrospectively unlawful if abused; it applies particularly to officials exercising statutory powers. The entire entry becomes trespass if any part is abused.</w:t>
      </w:r>
    </w:p>
    <w:p w14:paraId="2B2B9C59">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r>
        <w:rPr>
          <w:rFonts w:cs="Times New Roman"/>
          <w:szCs w:val="24"/>
          <w:lang w:val="en-US"/>
        </w:rPr>
        <w:t>The doctrine serves as a check against abuse of authority by those with lawful entry rights, such as government officials or utility workers.</w:t>
      </w:r>
    </w:p>
    <w:p w14:paraId="2B2FF975">
      <w:pPr>
        <w:pageBreakBefore w:val="0"/>
        <w:widowControl/>
        <w:kinsoku/>
        <w:wordWrap/>
        <w:overflowPunct/>
        <w:topLinePunct w:val="0"/>
        <w:autoSpaceDE/>
        <w:autoSpaceDN/>
        <w:bidi w:val="0"/>
        <w:adjustRightInd/>
        <w:snapToGrid/>
        <w:spacing w:beforeAutospacing="0" w:after="0" w:afterAutospacing="0"/>
        <w:textAlignment w:val="auto"/>
        <w:rPr>
          <w:rFonts w:cs="Times New Roman"/>
          <w:b/>
          <w:bCs/>
          <w:szCs w:val="24"/>
          <w:lang w:val="en-US"/>
        </w:rPr>
      </w:pPr>
      <w:r>
        <w:rPr>
          <w:rFonts w:cs="Times New Roman"/>
          <w:b/>
          <w:bCs/>
          <w:szCs w:val="24"/>
          <w:lang w:val="en-US"/>
        </w:rPr>
        <w:t>2.2.3 School of Thoughts</w:t>
      </w:r>
    </w:p>
    <w:p w14:paraId="5697B49A">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Trespass, at its core, is about interference with another person’s land, property, or rights without permission. While the legal definition may appear straightforward, different schools of legal thought explain why trespass is wrong and how the law should respond to it in very different ways. Looking at trespass through these schools of thought helps us understand that law is not just a set of rules, but also a reflection of morality, society, politics, and human behavior.</w:t>
      </w:r>
    </w:p>
    <w:p w14:paraId="4DB24C71">
      <w:pPr>
        <w:pStyle w:val="8"/>
        <w:pageBreakBefore w:val="0"/>
        <w:widowControl/>
        <w:numPr>
          <w:ilvl w:val="0"/>
          <w:numId w:val="2"/>
        </w:numPr>
        <w:kinsoku/>
        <w:wordWrap/>
        <w:overflowPunct/>
        <w:topLinePunct w:val="0"/>
        <w:autoSpaceDE/>
        <w:autoSpaceDN/>
        <w:bidi w:val="0"/>
        <w:adjustRightInd/>
        <w:snapToGrid/>
        <w:spacing w:before="0" w:beforeAutospacing="0" w:after="0" w:afterAutospacing="0" w:line="480" w:lineRule="auto"/>
        <w:jc w:val="both"/>
        <w:textAlignment w:val="auto"/>
        <w:rPr>
          <w:b/>
        </w:rPr>
      </w:pPr>
      <w:r>
        <w:rPr>
          <w:b/>
        </w:rPr>
        <w:t>Natural School of Thought</w:t>
      </w:r>
    </w:p>
    <w:p w14:paraId="5AB50FA9">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 xml:space="preserve">The Natural Law School believes that law should be based on morality, fairness, and principles of justice that naturally exist in society. Thinkers like </w:t>
      </w:r>
      <w:r>
        <w:rPr>
          <w:rStyle w:val="24"/>
        </w:rPr>
        <w:t>Thomas Aquinas</w:t>
      </w:r>
      <w:r>
        <w:t xml:space="preserve"> argued that human laws are valid only when they align with moral values.</w:t>
      </w:r>
    </w:p>
    <w:p w14:paraId="144CF103">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In relation to trespass, natural law scholars would say that every person naturally has a right to enjoy and protect their property. Therefore, entering another person’s land without permission is morally wrong because it violates that person’s natural rights and dignity.</w:t>
      </w:r>
    </w:p>
    <w:p w14:paraId="22FED169">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For example, if someone forcefully enters another person’s farmland, a natural law thinker would not only see it as illegal but also as unjust and unethical because it interferes with the owner’s rightful enjoyment of the property.</w:t>
      </w:r>
    </w:p>
    <w:p w14:paraId="2192EA91">
      <w:pPr>
        <w:pStyle w:val="8"/>
        <w:pageBreakBefore w:val="0"/>
        <w:widowControl/>
        <w:numPr>
          <w:ilvl w:val="0"/>
          <w:numId w:val="2"/>
        </w:numPr>
        <w:kinsoku/>
        <w:wordWrap/>
        <w:overflowPunct/>
        <w:topLinePunct w:val="0"/>
        <w:autoSpaceDE/>
        <w:autoSpaceDN/>
        <w:bidi w:val="0"/>
        <w:adjustRightInd/>
        <w:snapToGrid/>
        <w:spacing w:before="0" w:beforeAutospacing="0" w:after="0" w:afterAutospacing="0" w:line="480" w:lineRule="auto"/>
        <w:jc w:val="both"/>
        <w:textAlignment w:val="auto"/>
      </w:pPr>
      <w:r>
        <w:rPr>
          <w:b/>
        </w:rPr>
        <w:t>Positivist School of Thought</w:t>
      </w:r>
    </w:p>
    <w:p w14:paraId="2581ABDA">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 xml:space="preserve">The Positivist School, associated with thinkers like </w:t>
      </w:r>
      <w:r>
        <w:rPr>
          <w:rStyle w:val="24"/>
        </w:rPr>
        <w:t>John Austin</w:t>
      </w:r>
      <w:r>
        <w:t>, believes that law is simply what the state declares it to be. According to this view, morality and law are separate matters.</w:t>
      </w:r>
    </w:p>
    <w:p w14:paraId="226DADCD">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From a positivist perspective, trespass is wrong because the law says so, not necessarily, because it is immoral. If a statute or court rule defines unauthorized entry as trespass, then the courts must enforce it.</w:t>
      </w:r>
    </w:p>
    <w:p w14:paraId="70D53E31">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This approach focuses more on legal certainty. The main concern is whether the act fits within the legal definition of trespass, not whether the trespasser had good intentions or whether the law itself is morally fair.</w:t>
      </w:r>
    </w:p>
    <w:p w14:paraId="305F91C6">
      <w:pPr>
        <w:pStyle w:val="8"/>
        <w:pageBreakBefore w:val="0"/>
        <w:widowControl/>
        <w:numPr>
          <w:ilvl w:val="0"/>
          <w:numId w:val="2"/>
        </w:numPr>
        <w:kinsoku/>
        <w:wordWrap/>
        <w:overflowPunct/>
        <w:topLinePunct w:val="0"/>
        <w:autoSpaceDE/>
        <w:autoSpaceDN/>
        <w:bidi w:val="0"/>
        <w:adjustRightInd/>
        <w:snapToGrid/>
        <w:spacing w:before="0" w:beforeAutospacing="0" w:after="0" w:afterAutospacing="0" w:line="480" w:lineRule="auto"/>
        <w:jc w:val="both"/>
        <w:textAlignment w:val="auto"/>
        <w:rPr>
          <w:b/>
        </w:rPr>
      </w:pPr>
      <w:r>
        <w:rPr>
          <w:b/>
        </w:rPr>
        <w:t>Sociological School of Thought</w:t>
      </w:r>
    </w:p>
    <w:p w14:paraId="5B0013F2">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 xml:space="preserve">The Sociological School sees law as a tool for maintaining social order and balancing competing interests in society. Scholars like </w:t>
      </w:r>
      <w:r>
        <w:rPr>
          <w:rStyle w:val="24"/>
        </w:rPr>
        <w:t>Roscoe Pound</w:t>
      </w:r>
      <w:r>
        <w:t xml:space="preserve"> emphasized that law should serve social needs.</w:t>
      </w:r>
    </w:p>
    <w:p w14:paraId="16B9E48A">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In terms of trespass, this school would examine how property rights affect society as a whole. The law against trespass exists not just to protect landowners, but also to prevent conflict, maintain peace, and encourage respect for boundaries.</w:t>
      </w:r>
    </w:p>
    <w:p w14:paraId="70A012B8">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For instance, if people were allowed to enter any property freely, society would likely experience disorder and insecurity. Thus, trespass laws help create stability and harmonious living.</w:t>
      </w:r>
    </w:p>
    <w:p w14:paraId="3E15AACD">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p>
    <w:p w14:paraId="1479EAAB">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p>
    <w:p w14:paraId="09E4846D">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p>
    <w:p w14:paraId="4B2BA48A">
      <w:pPr>
        <w:pStyle w:val="8"/>
        <w:pageBreakBefore w:val="0"/>
        <w:widowControl/>
        <w:numPr>
          <w:ilvl w:val="0"/>
          <w:numId w:val="2"/>
        </w:numPr>
        <w:kinsoku/>
        <w:wordWrap/>
        <w:overflowPunct/>
        <w:topLinePunct w:val="0"/>
        <w:autoSpaceDE/>
        <w:autoSpaceDN/>
        <w:bidi w:val="0"/>
        <w:adjustRightInd/>
        <w:snapToGrid/>
        <w:spacing w:before="0" w:beforeAutospacing="0" w:after="0" w:afterAutospacing="0" w:line="480" w:lineRule="auto"/>
        <w:jc w:val="both"/>
        <w:textAlignment w:val="auto"/>
      </w:pPr>
      <w:r>
        <w:rPr>
          <w:b/>
        </w:rPr>
        <w:t>Realist School of Thought</w:t>
      </w:r>
    </w:p>
    <w:p w14:paraId="6B166C4E">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b/>
        </w:rPr>
      </w:pPr>
      <w:r>
        <w:t xml:space="preserve">Legal Realists believe that law is not just what is written in books, but what judges actually do in practice. Thinkers such as </w:t>
      </w:r>
      <w:r>
        <w:rPr>
          <w:rStyle w:val="24"/>
        </w:rPr>
        <w:t>Oliver Wendell Holmes Jr.</w:t>
      </w:r>
      <w:r>
        <w:t xml:space="preserve"> argued that court decisions are often influenced by social realities, personal experiences, and public policy.</w:t>
      </w:r>
    </w:p>
    <w:p w14:paraId="341E3FFF">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When dealing with trespass cases, a realist would focus on practical outcomes rather than strict legal theory. For example, a judge may treat a harmless accidental trespass differently from a deliberate intrusion intended to intimidate or cause damage.</w:t>
      </w:r>
    </w:p>
    <w:p w14:paraId="030609DF">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Under this approach, the circumstances surrounding the trespass matter greatly. The law becomes flexible and responsive to human realities.</w:t>
      </w:r>
    </w:p>
    <w:p w14:paraId="1800B4F9">
      <w:pPr>
        <w:pStyle w:val="8"/>
        <w:pageBreakBefore w:val="0"/>
        <w:widowControl/>
        <w:numPr>
          <w:ilvl w:val="0"/>
          <w:numId w:val="2"/>
        </w:numPr>
        <w:kinsoku/>
        <w:wordWrap/>
        <w:overflowPunct/>
        <w:topLinePunct w:val="0"/>
        <w:autoSpaceDE/>
        <w:autoSpaceDN/>
        <w:bidi w:val="0"/>
        <w:adjustRightInd/>
        <w:snapToGrid/>
        <w:spacing w:before="0" w:beforeAutospacing="0" w:after="0" w:afterAutospacing="0" w:line="480" w:lineRule="auto"/>
        <w:jc w:val="both"/>
        <w:textAlignment w:val="auto"/>
        <w:rPr>
          <w:b/>
        </w:rPr>
      </w:pPr>
      <w:r>
        <w:rPr>
          <w:b/>
        </w:rPr>
        <w:t>Historical School of Thought</w:t>
      </w:r>
    </w:p>
    <w:p w14:paraId="638D70F1">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 xml:space="preserve">The Historical School believes that law develops gradually from the customs, traditions, and experiences of a people. </w:t>
      </w:r>
      <w:r>
        <w:rPr>
          <w:rStyle w:val="24"/>
        </w:rPr>
        <w:t>Friedrich Carl von Savigny</w:t>
      </w:r>
      <w:r>
        <w:t xml:space="preserve"> was a major supporter of this idea.</w:t>
      </w:r>
    </w:p>
    <w:p w14:paraId="22ED5F04">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From this perspective, trespass laws evolved because societies over time recognized the need to respect personal ownership and territorial boundaries. What counts as trespass today may have roots in ancient customs about land and possession.</w:t>
      </w:r>
    </w:p>
    <w:p w14:paraId="137958BF">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rPr>
      </w:pPr>
      <w:r>
        <w:t>For example, traditional communities often had unwritten rules about entering another person’s land or farm. Modern trespass law can therefore be seen as a continuation of long-standing social customs.</w:t>
      </w:r>
    </w:p>
    <w:p w14:paraId="769F3A82">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The law of trespass may seem simple on the surface, but different schools of thought reveal deeper meanings behind it. Natural law focuses on morality and rights, positivism emphasizes legal rules, sociological thinkers stress social order, realism considers practical outcomes, the historical school traces custom and tradition, while critical scholars question power and inequality.</w:t>
      </w:r>
    </w:p>
    <w:p w14:paraId="7D20B5B1">
      <w:pPr>
        <w:pStyle w:val="8"/>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pPr>
      <w:r>
        <w:t>Together, these perspectives show that trespass is not merely about entering land unlawfully; it is also about how society understands ownership, justice, authority, and human relationships.</w:t>
      </w:r>
    </w:p>
    <w:p w14:paraId="648E6D53">
      <w:pPr>
        <w:pageBreakBefore w:val="0"/>
        <w:widowControl/>
        <w:kinsoku/>
        <w:wordWrap/>
        <w:overflowPunct/>
        <w:topLinePunct w:val="0"/>
        <w:autoSpaceDE/>
        <w:autoSpaceDN/>
        <w:bidi w:val="0"/>
        <w:adjustRightInd/>
        <w:snapToGrid/>
        <w:spacing w:beforeAutospacing="0" w:after="0" w:afterAutospacing="0"/>
        <w:textAlignment w:val="auto"/>
        <w:rPr>
          <w:rFonts w:cs="Times New Roman"/>
          <w:bCs/>
          <w:szCs w:val="24"/>
          <w:lang w:val="en-US"/>
        </w:rPr>
      </w:pPr>
    </w:p>
    <w:p w14:paraId="528868B0">
      <w:pPr>
        <w:pageBreakBefore w:val="0"/>
        <w:widowControl/>
        <w:kinsoku/>
        <w:wordWrap/>
        <w:overflowPunct/>
        <w:topLinePunct w:val="0"/>
        <w:autoSpaceDE/>
        <w:autoSpaceDN/>
        <w:bidi w:val="0"/>
        <w:adjustRightInd/>
        <w:snapToGrid/>
        <w:spacing w:beforeAutospacing="0" w:after="0" w:afterAutospacing="0"/>
        <w:textAlignment w:val="auto"/>
        <w:rPr>
          <w:rFonts w:cs="Times New Roman"/>
          <w:szCs w:val="24"/>
          <w:lang w:val="en-US"/>
        </w:rPr>
      </w:pPr>
    </w:p>
    <w:p w14:paraId="1CBA9B3E">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7F53F287">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6303B70">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FB7D0A0">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0AE3245">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6CE1796">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144530D">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D3CC565">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7F1395BD">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60109E74">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4A39B2C7">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F0AF7D4">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1298A6FE">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0D34FE52">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3B7F8921">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475B0415">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24389FB9">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539B19CE">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7B008C55">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p>
    <w:p w14:paraId="4DA75B23">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lang w:val="en-US"/>
        </w:rPr>
      </w:pPr>
      <w:r>
        <w:rPr>
          <w:rFonts w:eastAsia="Times New Roman" w:cs="Times New Roman"/>
          <w:b/>
          <w:szCs w:val="24"/>
          <w:lang w:val="en-US"/>
        </w:rPr>
        <w:t>CHAPTER THREE</w:t>
      </w:r>
    </w:p>
    <w:p w14:paraId="1001B929">
      <w:pPr>
        <w:pageBreakBefore w:val="0"/>
        <w:widowControl/>
        <w:kinsoku/>
        <w:wordWrap/>
        <w:overflowPunct/>
        <w:topLinePunct w:val="0"/>
        <w:autoSpaceDE/>
        <w:autoSpaceDN/>
        <w:bidi w:val="0"/>
        <w:adjustRightInd/>
        <w:snapToGrid/>
        <w:spacing w:beforeAutospacing="0" w:after="0" w:afterAutospacing="0"/>
        <w:jc w:val="center"/>
        <w:textAlignment w:val="auto"/>
        <w:rPr>
          <w:rFonts w:eastAsia="Times New Roman" w:cs="Times New Roman"/>
          <w:b/>
          <w:szCs w:val="24"/>
        </w:rPr>
      </w:pPr>
      <w:r>
        <w:rPr>
          <w:rFonts w:eastAsia="Times New Roman" w:cs="Times New Roman"/>
          <w:b/>
          <w:szCs w:val="24"/>
        </w:rPr>
        <w:t>LEGAL AND INSTITUTIONAL FRAMEWORK OF TRESPASS UNDER NIGERIAN LAW</w:t>
      </w:r>
    </w:p>
    <w:p w14:paraId="515654E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3.1 Legal Framework of Trespass under the Nigerian Law</w:t>
      </w:r>
    </w:p>
    <w:p w14:paraId="43030C1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3.1.1 The Constitution of the Federal Republic of Nigeria (CFRN) 1999</w:t>
      </w:r>
    </w:p>
    <w:p w14:paraId="35F38B4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This is the grundnorm legal framework protecting against trespass in Nigeria. Its provisions include;</w:t>
      </w:r>
    </w:p>
    <w:p w14:paraId="3C24AC9C">
      <w:pPr>
        <w:pageBreakBefore w:val="0"/>
        <w:widowControl/>
        <w:numPr>
          <w:ilvl w:val="0"/>
          <w:numId w:val="3"/>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Section 43&amp;44: this section gives every Nigerian the right to own immovable property and this property is protected from trespass by anybody.</w:t>
      </w:r>
    </w:p>
    <w:p w14:paraId="677CDC03">
      <w:pPr>
        <w:pageBreakBefore w:val="0"/>
        <w:widowControl/>
        <w:numPr>
          <w:ilvl w:val="0"/>
          <w:numId w:val="3"/>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Section 44 gives a limit to when the government can acquire a Land from another. It states that the government can only acquire land for public purposes, subject to prompt payment of compensation.</w:t>
      </w:r>
    </w:p>
    <w:p w14:paraId="1D79E968">
      <w:pPr>
        <w:pageBreakBefore w:val="0"/>
        <w:widowControl/>
        <w:numPr>
          <w:ilvl w:val="0"/>
          <w:numId w:val="3"/>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Section 6 &amp; 46 give individuals the right to seek redress in High Courts if trespassers, including government authorities, violate their property rights.</w:t>
      </w:r>
    </w:p>
    <w:p w14:paraId="773B6AE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The 1999 Constitution establishes the fundamental right to peaceful enjoyment of property, with the common law of torts and specific statutory provisions like the LUA that provides detailed mechanisms for enforcing this right against trespassers.</w:t>
      </w:r>
    </w:p>
    <w:p w14:paraId="210C5C3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3.1.2. Land Use Act (LUA) 1978</w:t>
      </w:r>
    </w:p>
    <w:p w14:paraId="3572D20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This is the legal framework in Nigeria that defines ownership and possession which is necessary and key in establishing trespass. The control of land has been placed on state government and this has replaced absolute ownership with statutory or customary rights of occupancy. It establishes who has the legal right to sue for unlawful, direct and unjustifiable interference.</w:t>
      </w:r>
    </w:p>
    <w:p w14:paraId="171F874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Under the LUA, a person with a valid right of occupancy or lawful possession can sue for trespass because it protects possession and ownership. Plaintiff have to establish that they have exclusive possession to maintain an action in trespass. The Act allows the government to revoke rights of occupancy for public purposes, which if not followed properly can be a point of dispute.</w:t>
      </w:r>
    </w:p>
    <w:p w14:paraId="3877D03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3.1.3 The Criminal Code Act</w:t>
      </w:r>
    </w:p>
    <w:p w14:paraId="704195D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The Criminal code Act serves as a statutory Legal framework for trespass. It provides penalties for unauthorized entry with unlawful intent. It defines criminal trespass as when one enters or remains on a property with the intent to intimidate, insult, annoy, or commit an offence. It also states that the entry of a land in a violent manner is a misdemeanor. The criminal code Act allows for reasonable force to remove trespassers from peaceable possession without causing harm. Criminal trespass requires proof of men rea and actus rea and once proven, may result in imprisonment or specific penalties.</w:t>
      </w:r>
    </w:p>
    <w:p w14:paraId="406E754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3.1.4 State Laws on Trespass</w:t>
      </w:r>
    </w:p>
    <w:p w14:paraId="7194A24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A. Lagos State Properties Protection Law (2016)</w:t>
      </w:r>
    </w:p>
    <w:p w14:paraId="130CDB3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This Law prohibits illegal occupation, forceful entry, and violent behaviour in relation in land.</w:t>
      </w:r>
    </w:p>
    <w:p w14:paraId="4E455FA4">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 xml:space="preserve">Section4: states that an occupier who refuses to leave after being directed to do so commits an offence and is liable to 5 years imprisonment or a fine of up to </w:t>
      </w:r>
      <w:r>
        <w:rPr>
          <w:rFonts w:eastAsia="Times New Roman" w:cs="Times New Roman"/>
          <w:dstrike/>
          <w:szCs w:val="24"/>
          <w:lang w:val="en-US"/>
        </w:rPr>
        <w:t>N</w:t>
      </w:r>
      <w:r>
        <w:rPr>
          <w:rFonts w:eastAsia="Times New Roman" w:cs="Times New Roman"/>
          <w:szCs w:val="24"/>
          <w:lang w:val="en-US"/>
        </w:rPr>
        <w:t>5,000,000(Five Million Naira), or both.</w:t>
      </w:r>
    </w:p>
    <w:p w14:paraId="2BFE89C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Section 7: Prescribes up to 10 years imprisonment for encroachers who bring firearms or dangerous weapons onto a property.</w:t>
      </w:r>
    </w:p>
    <w:p w14:paraId="039B6789">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B. Edo State Private Property Protection Law (2021)</w:t>
      </w:r>
    </w:p>
    <w:p w14:paraId="4F8D227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This Law defines and safeguards private property rights by creating a strict legal structure against trespassers.</w:t>
      </w:r>
    </w:p>
    <w:p w14:paraId="25A0CBA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Section 6(1): Forbids the forcible takeover of land.</w:t>
      </w:r>
    </w:p>
    <w:p w14:paraId="7A1FE20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Section 7: Criminalises the use of force or self-help to seize land, even by people claiming to be owners.</w:t>
      </w:r>
    </w:p>
    <w:p w14:paraId="5B2DCD0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 xml:space="preserve">Penalties: Up to 10 years imprisonment or a </w:t>
      </w:r>
      <w:r>
        <w:rPr>
          <w:rFonts w:eastAsia="Times New Roman" w:cs="Times New Roman"/>
          <w:dstrike/>
          <w:szCs w:val="24"/>
          <w:lang w:val="en-US"/>
        </w:rPr>
        <w:t>N</w:t>
      </w:r>
      <w:r>
        <w:rPr>
          <w:rFonts w:eastAsia="Times New Roman" w:cs="Times New Roman"/>
          <w:szCs w:val="24"/>
          <w:lang w:val="en-US"/>
        </w:rPr>
        <w:t>10,000,000 fine.</w:t>
      </w:r>
    </w:p>
    <w:p w14:paraId="401C716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3.1.5 Common Law and Judicial Precedents</w:t>
      </w:r>
    </w:p>
    <w:p w14:paraId="5EA8EEA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 xml:space="preserve">Trespass is a legal concept that refers to the unlawful entry or intrusion onto the property of another person without his or her permission. Under the legal framework of trespass, one can talk about the famous case of </w:t>
      </w:r>
      <w:r>
        <w:rPr>
          <w:rFonts w:eastAsia="Times New Roman" w:cs="Times New Roman"/>
          <w:i/>
          <w:iCs/>
          <w:szCs w:val="24"/>
          <w:lang w:val="en-US"/>
        </w:rPr>
        <w:t>Rylands v. Fletcher</w:t>
      </w:r>
      <w:r>
        <w:rPr>
          <w:rFonts w:eastAsia="Times New Roman" w:cs="Times New Roman"/>
          <w:i/>
          <w:iCs/>
          <w:szCs w:val="24"/>
          <w:vertAlign w:val="superscript"/>
          <w:lang w:val="en-US"/>
        </w:rPr>
        <w:footnoteReference w:id="42"/>
      </w:r>
      <w:r>
        <w:rPr>
          <w:rFonts w:eastAsia="Times New Roman" w:cs="Times New Roman"/>
          <w:szCs w:val="24"/>
          <w:lang w:val="en-US"/>
        </w:rPr>
        <w:t xml:space="preserve"> , which is a locus classical case. The rule in Rylands v. Fletcher was established by the case. Blackburn J. restated a common law situation in the case. In this situation, the accused individual, who coincidentally owned a mill, engaged the services of freelance workers to build a water storage facility on his land. The reservoir was built with the intention of supplying water for the mill. During the construction process, the contractors unexpectedly came across abandoned passages and mineshafts that, without their knowledge, were linked to the plaintiff's mine on the adjacent property. The contractors, resulting in the escape of water from the reservoir and causing flooding in the plaintiff’s mine, resulting in damages, did not properly block the shafts. Blackburn J found the defendant liable in the trial. However, upon appeal, the House of Lords upheld the trial court's judgment and confirmed the defendants' liability. This case pertains to strict liability, which is a type of liability that is imposed on a person when a wrongdoing occurs, regardless of negligence or intention, due to a violation of an absolute duty to refrain from engaging in the prohibited action. The purpose of this rule is to prevent the introduction and retention of an artificial user on someone else's property. The rule states that each man must utilise his own land without causing harm to others. Nigeria faces various environmental challenges due to the introduction of hazardous materials into its surroundings. These include pollution risks linked to the oil industry, particularly prevalent in the southern region, as well as the significant expansion of manufacturing activities in Nigeria since the 1960s. In the case of </w:t>
      </w:r>
      <w:r>
        <w:rPr>
          <w:rFonts w:eastAsia="Times New Roman" w:cs="Times New Roman"/>
          <w:i/>
          <w:iCs/>
          <w:szCs w:val="24"/>
          <w:lang w:val="en-US"/>
        </w:rPr>
        <w:t>Umudje v. Shell-B.P Ltd</w:t>
      </w:r>
      <w:r>
        <w:rPr>
          <w:rFonts w:eastAsia="Times New Roman" w:cs="Times New Roman"/>
          <w:szCs w:val="24"/>
          <w:lang w:val="en-US"/>
        </w:rPr>
        <w:t>.</w:t>
      </w:r>
      <w:r>
        <w:rPr>
          <w:rFonts w:eastAsia="Times New Roman" w:cs="Times New Roman"/>
          <w:szCs w:val="24"/>
          <w:vertAlign w:val="superscript"/>
          <w:lang w:val="en-US"/>
        </w:rPr>
        <w:footnoteReference w:id="43"/>
      </w:r>
      <w:r>
        <w:rPr>
          <w:rFonts w:eastAsia="Times New Roman" w:cs="Times New Roman"/>
          <w:szCs w:val="24"/>
          <w:lang w:val="en-US"/>
        </w:rPr>
        <w:t xml:space="preserve">  The defendants engaged in specific actions during oil exploration in the Mid-western states (now Edo and Delta), which led to the emergence of this case. </w:t>
      </w:r>
    </w:p>
    <w:p w14:paraId="73E8185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The plaintiffs who own the land complained that:</w:t>
      </w:r>
    </w:p>
    <w:p w14:paraId="114CD30D">
      <w:pPr>
        <w:pageBreakBefore w:val="0"/>
        <w:widowControl/>
        <w:numPr>
          <w:ilvl w:val="0"/>
          <w:numId w:val="4"/>
        </w:numPr>
        <w:kinsoku/>
        <w:wordWrap/>
        <w:overflowPunct/>
        <w:topLinePunct w:val="0"/>
        <w:autoSpaceDE/>
        <w:autoSpaceDN/>
        <w:bidi w:val="0"/>
        <w:adjustRightInd/>
        <w:snapToGrid/>
        <w:spacing w:beforeAutospacing="0" w:after="0" w:afterAutospacing="0"/>
        <w:ind w:left="425" w:leftChars="0" w:hanging="425" w:firstLineChars="0"/>
        <w:textAlignment w:val="auto"/>
        <w:rPr>
          <w:rFonts w:eastAsia="Times New Roman" w:cs="Times New Roman"/>
          <w:szCs w:val="24"/>
          <w:lang w:val="en-US"/>
        </w:rPr>
      </w:pPr>
      <w:r>
        <w:rPr>
          <w:rFonts w:eastAsia="Times New Roman" w:cs="Times New Roman"/>
          <w:szCs w:val="24"/>
          <w:lang w:val="en-US"/>
        </w:rPr>
        <w:t>During the process of constructing the road, the defendants obstructed and redirected a natural waterway, significantly impacting the plaintiff's fishing entitlements, and</w:t>
      </w:r>
    </w:p>
    <w:p w14:paraId="5882FEF0">
      <w:pPr>
        <w:pageBreakBefore w:val="0"/>
        <w:widowControl/>
        <w:numPr>
          <w:ilvl w:val="0"/>
          <w:numId w:val="4"/>
        </w:numPr>
        <w:kinsoku/>
        <w:wordWrap/>
        <w:overflowPunct/>
        <w:topLinePunct w:val="0"/>
        <w:autoSpaceDE/>
        <w:autoSpaceDN/>
        <w:bidi w:val="0"/>
        <w:adjustRightInd/>
        <w:snapToGrid/>
        <w:spacing w:beforeAutospacing="0" w:after="0" w:afterAutospacing="0"/>
        <w:ind w:left="425" w:leftChars="0" w:hanging="425" w:firstLineChars="0"/>
        <w:textAlignment w:val="auto"/>
        <w:rPr>
          <w:rFonts w:eastAsia="Times New Roman" w:cs="Times New Roman"/>
          <w:szCs w:val="24"/>
          <w:lang w:val="en-US"/>
        </w:rPr>
      </w:pPr>
      <w:r>
        <w:rPr>
          <w:rFonts w:eastAsia="Times New Roman" w:cs="Times New Roman"/>
          <w:szCs w:val="24"/>
          <w:lang w:val="en-US"/>
        </w:rPr>
        <w:t>The defendants had gathered oil waste on property they managed, and this oil had leaked onto the plaintiff’s property, resulting in damage.</w:t>
      </w:r>
    </w:p>
    <w:p w14:paraId="4F13B54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 xml:space="preserve">In the aforementioned case, concerning the initial complaint, the Supreme Court ruled that according to the principle established in </w:t>
      </w:r>
      <w:r>
        <w:rPr>
          <w:rFonts w:eastAsia="Times New Roman" w:cs="Times New Roman"/>
          <w:i/>
          <w:iCs/>
          <w:szCs w:val="24"/>
          <w:lang w:val="en-US"/>
        </w:rPr>
        <w:t>Rylands v Fletcher</w:t>
      </w:r>
      <w:r>
        <w:rPr>
          <w:rFonts w:eastAsia="Times New Roman" w:cs="Times New Roman"/>
          <w:szCs w:val="24"/>
          <w:lang w:val="en-US"/>
        </w:rPr>
        <w:t>,</w:t>
      </w:r>
      <w:r>
        <w:rPr>
          <w:rFonts w:eastAsia="Times New Roman" w:cs="Times New Roman"/>
          <w:szCs w:val="24"/>
          <w:vertAlign w:val="superscript"/>
          <w:lang w:val="en-US"/>
        </w:rPr>
        <w:footnoteReference w:id="44"/>
      </w:r>
      <w:r>
        <w:rPr>
          <w:rFonts w:eastAsia="Times New Roman" w:cs="Times New Roman"/>
          <w:szCs w:val="24"/>
          <w:lang w:val="en-US"/>
        </w:rPr>
        <w:t xml:space="preserve">   it is widely acknowledged that if an individual redirects a natural stream or obstructs it and alters its original path, they do so at their own risk. They are responsible for any harm caused by the failure of their actions to control the redirected streams, even if they were not negligent. Nonetheless, in the current situation, the defendants cannot be held responsible as their obstruction of the stream did not result in the flooding of the plaintiff's property, but rather led to a lack of water and fish.</w:t>
      </w:r>
    </w:p>
    <w:p w14:paraId="542AC4B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Regarding the second complaint, the defendants were found responsible based on the evidence. It was proven that they had stored crude-oil waste in a pit on their land, which had subsequently leaked onto the plaintiff's land. This resulted in pollution of specific ponds and the death of the fish living in them.</w:t>
      </w:r>
    </w:p>
    <w:p w14:paraId="50DC39FF">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bCs/>
          <w:szCs w:val="24"/>
          <w:lang w:val="en-US"/>
        </w:rPr>
      </w:pPr>
      <w:r>
        <w:rPr>
          <w:rFonts w:eastAsia="Times New Roman" w:cs="Times New Roman"/>
          <w:b/>
          <w:bCs/>
          <w:szCs w:val="24"/>
          <w:lang w:val="en-US"/>
        </w:rPr>
        <w:t>3.2 Institutional Framework of Trespass under the Nigerian Law</w:t>
      </w:r>
    </w:p>
    <w:p w14:paraId="3AE3F2C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3.2.1. Nigeria Police Force (NPF)</w:t>
      </w:r>
    </w:p>
    <w:p w14:paraId="319FD674">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Cs/>
          <w:szCs w:val="24"/>
        </w:rPr>
      </w:pPr>
      <w:r>
        <w:rPr>
          <w:rFonts w:eastAsia="Times New Roman" w:cs="Times New Roman"/>
          <w:bCs/>
          <w:szCs w:val="24"/>
        </w:rPr>
        <w:t>This stands as the most extensive entity on this list and serves as the main law enforcement body in Nigeria. It was founded in 1930.</w:t>
      </w:r>
    </w:p>
    <w:p w14:paraId="6B1EB17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Cs/>
          <w:szCs w:val="24"/>
        </w:rPr>
      </w:pPr>
      <w:r>
        <w:rPr>
          <w:rFonts w:eastAsia="Times New Roman" w:cs="Times New Roman"/>
          <w:bCs/>
          <w:szCs w:val="24"/>
        </w:rPr>
        <w:t>The NPF bears the duty of upholding law and order while carrying out the functions of all other law enforcement bodies in the nation.  They function according to the provisions outlined in Section 214 of the 1999 CFRN (as amended) and the NPA 2020. </w:t>
      </w:r>
      <w:r>
        <w:rPr>
          <w:rStyle w:val="12"/>
          <w:rFonts w:eastAsia="Times New Roman" w:cs="Times New Roman"/>
          <w:bCs/>
          <w:szCs w:val="24"/>
        </w:rPr>
        <w:footnoteReference w:id="45"/>
      </w:r>
      <w:r>
        <w:rPr>
          <w:rFonts w:eastAsia="Times New Roman" w:cs="Times New Roman"/>
          <w:bCs/>
          <w:szCs w:val="24"/>
        </w:rPr>
        <w:t> </w:t>
      </w:r>
    </w:p>
    <w:p w14:paraId="70655DD5">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Cs/>
          <w:szCs w:val="24"/>
          <w:lang w:val="en-US"/>
        </w:rPr>
      </w:pPr>
      <w:r>
        <w:rPr>
          <w:rFonts w:eastAsia="Times New Roman" w:cs="Times New Roman"/>
          <w:bCs/>
          <w:szCs w:val="24"/>
          <w:lang w:val="en-US"/>
        </w:rPr>
        <w:t xml:space="preserve">The Nigerian Police Force implements trespass laws effectively by </w:t>
      </w:r>
    </w:p>
    <w:p w14:paraId="6B9BFC9B">
      <w:pPr>
        <w:pageBreakBefore w:val="0"/>
        <w:widowControl/>
        <w:numPr>
          <w:ilvl w:val="0"/>
          <w:numId w:val="5"/>
        </w:numPr>
        <w:tabs>
          <w:tab w:val="clear" w:pos="425"/>
        </w:tabs>
        <w:kinsoku/>
        <w:wordWrap/>
        <w:overflowPunct/>
        <w:topLinePunct w:val="0"/>
        <w:autoSpaceDE/>
        <w:autoSpaceDN/>
        <w:bidi w:val="0"/>
        <w:adjustRightInd/>
        <w:snapToGrid/>
        <w:spacing w:beforeAutospacing="0" w:after="0" w:afterAutospacing="0"/>
        <w:ind w:left="425" w:leftChars="0" w:hanging="425" w:firstLineChars="0"/>
        <w:textAlignment w:val="auto"/>
        <w:rPr>
          <w:rFonts w:eastAsia="Times New Roman" w:cs="Times New Roman"/>
          <w:bCs/>
          <w:szCs w:val="24"/>
          <w:lang w:val="en-US"/>
        </w:rPr>
      </w:pPr>
      <w:r>
        <w:rPr>
          <w:rFonts w:eastAsia="Times New Roman" w:cs="Times New Roman"/>
          <w:bCs/>
          <w:szCs w:val="24"/>
          <w:lang w:val="en-US"/>
        </w:rPr>
        <w:t>Responding to complaints: An example is when a property owner reports unlawful entry and the police visits the location, assess whether the act amounts to criminal trespass and then take immediate action.</w:t>
      </w:r>
    </w:p>
    <w:p w14:paraId="16BF54BF">
      <w:pPr>
        <w:pageBreakBefore w:val="0"/>
        <w:widowControl/>
        <w:numPr>
          <w:ilvl w:val="0"/>
          <w:numId w:val="5"/>
        </w:numPr>
        <w:tabs>
          <w:tab w:val="clear" w:pos="425"/>
        </w:tabs>
        <w:kinsoku/>
        <w:wordWrap/>
        <w:overflowPunct/>
        <w:topLinePunct w:val="0"/>
        <w:autoSpaceDE/>
        <w:autoSpaceDN/>
        <w:bidi w:val="0"/>
        <w:adjustRightInd/>
        <w:snapToGrid/>
        <w:spacing w:beforeAutospacing="0" w:after="0" w:afterAutospacing="0"/>
        <w:ind w:left="425" w:leftChars="0" w:hanging="425" w:firstLineChars="0"/>
        <w:textAlignment w:val="auto"/>
        <w:rPr>
          <w:rFonts w:eastAsia="Times New Roman" w:cs="Times New Roman"/>
          <w:bCs/>
          <w:szCs w:val="24"/>
        </w:rPr>
      </w:pPr>
      <w:r>
        <w:rPr>
          <w:rFonts w:eastAsia="Times New Roman" w:cs="Times New Roman"/>
          <w:bCs/>
          <w:szCs w:val="24"/>
          <w:lang w:val="en-US"/>
        </w:rPr>
        <w:t>They also arrest and investigate suspects to gather evidence and charge criminal trespassers to court.</w:t>
      </w:r>
    </w:p>
    <w:p w14:paraId="280C938C">
      <w:pPr>
        <w:pageBreakBefore w:val="0"/>
        <w:widowControl/>
        <w:numPr>
          <w:ilvl w:val="0"/>
          <w:numId w:val="5"/>
        </w:numPr>
        <w:tabs>
          <w:tab w:val="clear" w:pos="425"/>
        </w:tabs>
        <w:kinsoku/>
        <w:wordWrap/>
        <w:overflowPunct/>
        <w:topLinePunct w:val="0"/>
        <w:autoSpaceDE/>
        <w:autoSpaceDN/>
        <w:bidi w:val="0"/>
        <w:adjustRightInd/>
        <w:snapToGrid/>
        <w:spacing w:beforeAutospacing="0" w:after="0" w:afterAutospacing="0"/>
        <w:ind w:left="425" w:leftChars="0" w:hanging="425" w:firstLineChars="0"/>
        <w:textAlignment w:val="auto"/>
        <w:rPr>
          <w:rFonts w:eastAsia="Times New Roman" w:cs="Times New Roman"/>
          <w:bCs/>
          <w:szCs w:val="24"/>
        </w:rPr>
      </w:pPr>
      <w:r>
        <w:rPr>
          <w:rFonts w:eastAsia="Times New Roman" w:cs="Times New Roman"/>
          <w:bCs/>
          <w:szCs w:val="24"/>
          <w:lang w:val="en-US"/>
        </w:rPr>
        <w:t xml:space="preserve">They also enforce court orders. </w:t>
      </w:r>
    </w:p>
    <w:p w14:paraId="7B08505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3.2.2. National Agency for the Prohibition of Trafficking in Persons (NAPTIP)</w:t>
      </w:r>
    </w:p>
    <w:p w14:paraId="6DD0054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This is the main organization in Nigeria focused on fighting human trafficking and safeguarding victims. The National Agency for the Prohibition of Trafficking in Persons (NAPTIP) serves as a law enforcement body under the federal government of Nigeria. It was founded in July 2003 to address human trafficking and various related human rights abuses. </w:t>
      </w:r>
    </w:p>
    <w:p w14:paraId="713EB7C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NAPTIP serves as a national adherence to international commitments outlined in the Trafficking in Persons Protocol, addressing the necessity to avert, curb, and penalise human trafficking, particularly affecting women and children, while supporting the United Nations Transnational Organised Crime Convention (UNTOC). It operates as a part of the agencies overseen by the Federal Ministry of Justice.</w:t>
      </w:r>
      <w:r>
        <w:rPr>
          <w:rStyle w:val="12"/>
          <w:rFonts w:eastAsia="Times New Roman" w:cs="Times New Roman"/>
          <w:szCs w:val="24"/>
        </w:rPr>
        <w:footnoteReference w:id="46"/>
      </w:r>
    </w:p>
    <w:p w14:paraId="2731994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lang w:val="en-US"/>
        </w:rPr>
        <w:t>NAPTIP can investigate and rescue victims that has been unlawfully held on a property and they shut down premises used for trafficking, which involves unlawful occupation or use. Where trespass is part of a broader trafficking offence, NAPTIP helps build and prosecute the case.</w:t>
      </w:r>
    </w:p>
    <w:p w14:paraId="7A380E2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3.2.3 The Judiciary</w:t>
      </w:r>
    </w:p>
    <w:p w14:paraId="242884B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The Judiciary of Nigeria is the central authority in implementing trespass laws. The major roles of the judiciary include;</w:t>
      </w:r>
    </w:p>
    <w:p w14:paraId="0A32E177">
      <w:pPr>
        <w:pageBreakBefore w:val="0"/>
        <w:widowControl/>
        <w:numPr>
          <w:ilvl w:val="0"/>
          <w:numId w:val="6"/>
        </w:numPr>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Interpretation of trespass laws: the court define what constitutes trespass under statutes like the Criminal Code and through case law.</w:t>
      </w:r>
    </w:p>
    <w:p w14:paraId="38DB9BBF">
      <w:pPr>
        <w:pageBreakBefore w:val="0"/>
        <w:widowControl/>
        <w:numPr>
          <w:ilvl w:val="0"/>
          <w:numId w:val="6"/>
        </w:numPr>
        <w:kinsoku/>
        <w:wordWrap/>
        <w:overflowPunct/>
        <w:topLinePunct w:val="0"/>
        <w:autoSpaceDE/>
        <w:autoSpaceDN/>
        <w:bidi w:val="0"/>
        <w:adjustRightInd/>
        <w:snapToGrid/>
        <w:spacing w:beforeAutospacing="0" w:after="0" w:afterAutospacing="0"/>
        <w:ind w:left="0" w:leftChars="0" w:firstLine="0" w:firstLineChars="0"/>
        <w:textAlignment w:val="auto"/>
        <w:rPr>
          <w:rFonts w:eastAsia="Times New Roman" w:cs="Times New Roman"/>
          <w:szCs w:val="24"/>
          <w:lang w:val="en-US"/>
        </w:rPr>
      </w:pPr>
      <w:r>
        <w:rPr>
          <w:rFonts w:eastAsia="Times New Roman" w:cs="Times New Roman"/>
          <w:szCs w:val="24"/>
          <w:lang w:val="en-US"/>
        </w:rPr>
        <w:t>Adjudication of disputes</w:t>
      </w:r>
    </w:p>
    <w:p w14:paraId="42D927A7">
      <w:pPr>
        <w:pageBreakBefore w:val="0"/>
        <w:widowControl/>
        <w:numPr>
          <w:ilvl w:val="0"/>
          <w:numId w:val="6"/>
        </w:numPr>
        <w:kinsoku/>
        <w:wordWrap/>
        <w:overflowPunct/>
        <w:topLinePunct w:val="0"/>
        <w:autoSpaceDE/>
        <w:autoSpaceDN/>
        <w:bidi w:val="0"/>
        <w:adjustRightInd/>
        <w:snapToGrid/>
        <w:spacing w:beforeAutospacing="0" w:after="0" w:afterAutospacing="0"/>
        <w:ind w:left="0" w:leftChars="0" w:firstLine="0" w:firstLineChars="0"/>
        <w:textAlignment w:val="auto"/>
        <w:rPr>
          <w:rFonts w:eastAsia="Times New Roman" w:cs="Times New Roman"/>
          <w:szCs w:val="24"/>
          <w:lang w:val="en-US"/>
        </w:rPr>
      </w:pPr>
      <w:r>
        <w:rPr>
          <w:rFonts w:eastAsia="Times New Roman" w:cs="Times New Roman"/>
          <w:szCs w:val="24"/>
          <w:lang w:val="en-US"/>
        </w:rPr>
        <w:t>Issuing enforceable orders</w:t>
      </w:r>
    </w:p>
    <w:p w14:paraId="140DB842">
      <w:pPr>
        <w:pageBreakBefore w:val="0"/>
        <w:widowControl/>
        <w:numPr>
          <w:ilvl w:val="0"/>
          <w:numId w:val="6"/>
        </w:numPr>
        <w:kinsoku/>
        <w:wordWrap/>
        <w:overflowPunct/>
        <w:topLinePunct w:val="0"/>
        <w:autoSpaceDE/>
        <w:autoSpaceDN/>
        <w:bidi w:val="0"/>
        <w:adjustRightInd/>
        <w:snapToGrid/>
        <w:spacing w:beforeAutospacing="0" w:after="0" w:afterAutospacing="0"/>
        <w:ind w:left="0" w:leftChars="0" w:firstLine="0" w:firstLineChars="0"/>
        <w:textAlignment w:val="auto"/>
        <w:rPr>
          <w:rFonts w:eastAsia="Times New Roman" w:cs="Times New Roman"/>
          <w:szCs w:val="24"/>
          <w:lang w:val="en-US"/>
        </w:rPr>
      </w:pPr>
      <w:r>
        <w:rPr>
          <w:rFonts w:eastAsia="Times New Roman" w:cs="Times New Roman"/>
          <w:szCs w:val="24"/>
          <w:lang w:val="en-US"/>
        </w:rPr>
        <w:t>Protection against abuse: they ensure that law enforcement agencies do not overstep.</w:t>
      </w:r>
    </w:p>
    <w:p w14:paraId="6295F4E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3.2.4. Nigerian Security and Civil Defence Corps (NSCDC)</w:t>
      </w:r>
    </w:p>
    <w:p w14:paraId="7DCF9999">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Cs/>
          <w:szCs w:val="24"/>
        </w:rPr>
      </w:pPr>
      <w:r>
        <w:rPr>
          <w:rFonts w:eastAsia="Times New Roman" w:cs="Times New Roman"/>
          <w:bCs/>
          <w:szCs w:val="24"/>
        </w:rPr>
        <w:t>This security organization upholds tranquillity and regulation within the nation and safeguards the civilian population. They engage in resolving crises, safeguarding critical infrastructure such as pipelines, and overseeing the operations of private security personnel. It was founded in 1967.</w:t>
      </w:r>
      <w:r>
        <w:rPr>
          <w:rStyle w:val="12"/>
          <w:rFonts w:eastAsia="Times New Roman" w:cs="Times New Roman"/>
          <w:bCs/>
          <w:szCs w:val="24"/>
        </w:rPr>
        <w:footnoteReference w:id="47"/>
      </w:r>
    </w:p>
    <w:p w14:paraId="72C21D0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Cs/>
          <w:szCs w:val="24"/>
        </w:rPr>
      </w:pPr>
      <w:r>
        <w:rPr>
          <w:rFonts w:eastAsia="Times New Roman" w:cs="Times New Roman"/>
          <w:bCs/>
          <w:szCs w:val="24"/>
        </w:rPr>
        <w:t>Key functions:</w:t>
      </w:r>
    </w:p>
    <w:p w14:paraId="766795A2">
      <w:pPr>
        <w:pStyle w:val="16"/>
        <w:pageBreakBefore w:val="0"/>
        <w:widowControl/>
        <w:numPr>
          <w:ilvl w:val="0"/>
          <w:numId w:val="7"/>
        </w:numPr>
        <w:kinsoku/>
        <w:wordWrap/>
        <w:overflowPunct/>
        <w:topLinePunct w:val="0"/>
        <w:autoSpaceDE/>
        <w:autoSpaceDN/>
        <w:bidi w:val="0"/>
        <w:adjustRightInd/>
        <w:snapToGrid/>
        <w:spacing w:beforeAutospacing="0" w:after="0" w:afterAutospacing="0"/>
        <w:ind w:left="360" w:leftChars="0"/>
        <w:textAlignment w:val="auto"/>
        <w:rPr>
          <w:rFonts w:eastAsia="Times New Roman" w:cs="Times New Roman"/>
          <w:bCs/>
          <w:szCs w:val="24"/>
        </w:rPr>
      </w:pPr>
      <w:r>
        <w:rPr>
          <w:rFonts w:eastAsia="Times New Roman" w:cs="Times New Roman"/>
          <w:bCs/>
          <w:szCs w:val="24"/>
        </w:rPr>
        <w:t>Upholding tranquillity and stability within the community</w:t>
      </w:r>
    </w:p>
    <w:p w14:paraId="43EEFEBC">
      <w:pPr>
        <w:pStyle w:val="16"/>
        <w:pageBreakBefore w:val="0"/>
        <w:widowControl/>
        <w:numPr>
          <w:ilvl w:val="0"/>
          <w:numId w:val="7"/>
        </w:numPr>
        <w:kinsoku/>
        <w:wordWrap/>
        <w:overflowPunct/>
        <w:topLinePunct w:val="0"/>
        <w:autoSpaceDE/>
        <w:autoSpaceDN/>
        <w:bidi w:val="0"/>
        <w:adjustRightInd/>
        <w:snapToGrid/>
        <w:spacing w:beforeAutospacing="0" w:after="0" w:afterAutospacing="0"/>
        <w:ind w:left="360" w:leftChars="0"/>
        <w:textAlignment w:val="auto"/>
        <w:rPr>
          <w:rFonts w:eastAsia="Times New Roman" w:cs="Times New Roman"/>
          <w:bCs/>
          <w:szCs w:val="24"/>
        </w:rPr>
      </w:pPr>
      <w:r>
        <w:rPr>
          <w:rFonts w:eastAsia="Times New Roman" w:cs="Times New Roman"/>
          <w:bCs/>
          <w:szCs w:val="24"/>
        </w:rPr>
        <w:t>Delivery of safety and surveillance services prior to, throughout, and following elections</w:t>
      </w:r>
    </w:p>
    <w:p w14:paraId="7A72E6DF">
      <w:pPr>
        <w:pStyle w:val="16"/>
        <w:pageBreakBefore w:val="0"/>
        <w:widowControl/>
        <w:numPr>
          <w:ilvl w:val="0"/>
          <w:numId w:val="7"/>
        </w:numPr>
        <w:kinsoku/>
        <w:wordWrap/>
        <w:overflowPunct/>
        <w:topLinePunct w:val="0"/>
        <w:autoSpaceDE/>
        <w:autoSpaceDN/>
        <w:bidi w:val="0"/>
        <w:adjustRightInd/>
        <w:snapToGrid/>
        <w:spacing w:beforeAutospacing="0" w:after="0" w:afterAutospacing="0"/>
        <w:ind w:left="360" w:leftChars="0"/>
        <w:textAlignment w:val="auto"/>
        <w:rPr>
          <w:rFonts w:eastAsia="Times New Roman" w:cs="Times New Roman"/>
          <w:bCs/>
          <w:szCs w:val="24"/>
        </w:rPr>
      </w:pPr>
      <w:r>
        <w:rPr>
          <w:rFonts w:eastAsia="Times New Roman" w:cs="Times New Roman"/>
          <w:bCs/>
          <w:szCs w:val="24"/>
        </w:rPr>
        <w:t>Safeguarding the infrastructure and facilities of both federal and state governments</w:t>
      </w:r>
    </w:p>
    <w:p w14:paraId="22FAFF40">
      <w:pPr>
        <w:pStyle w:val="16"/>
        <w:pageBreakBefore w:val="0"/>
        <w:widowControl/>
        <w:numPr>
          <w:ilvl w:val="0"/>
          <w:numId w:val="7"/>
        </w:numPr>
        <w:kinsoku/>
        <w:wordWrap/>
        <w:overflowPunct/>
        <w:topLinePunct w:val="0"/>
        <w:autoSpaceDE/>
        <w:autoSpaceDN/>
        <w:bidi w:val="0"/>
        <w:adjustRightInd/>
        <w:snapToGrid/>
        <w:spacing w:beforeAutospacing="0" w:after="0" w:afterAutospacing="0"/>
        <w:ind w:left="360" w:leftChars="0"/>
        <w:textAlignment w:val="auto"/>
        <w:rPr>
          <w:rFonts w:eastAsia="Times New Roman" w:cs="Times New Roman"/>
          <w:bCs/>
          <w:szCs w:val="24"/>
        </w:rPr>
      </w:pPr>
      <w:r>
        <w:rPr>
          <w:rFonts w:eastAsia="Times New Roman" w:cs="Times New Roman"/>
          <w:bCs/>
          <w:szCs w:val="24"/>
        </w:rPr>
        <w:t>Safeguarding pipelines against acts of vandalism</w:t>
      </w:r>
    </w:p>
    <w:p w14:paraId="32F8695E">
      <w:pPr>
        <w:pStyle w:val="16"/>
        <w:pageBreakBefore w:val="0"/>
        <w:widowControl/>
        <w:numPr>
          <w:ilvl w:val="0"/>
          <w:numId w:val="7"/>
        </w:numPr>
        <w:kinsoku/>
        <w:wordWrap/>
        <w:overflowPunct/>
        <w:topLinePunct w:val="0"/>
        <w:autoSpaceDE/>
        <w:autoSpaceDN/>
        <w:bidi w:val="0"/>
        <w:adjustRightInd/>
        <w:snapToGrid/>
        <w:spacing w:beforeAutospacing="0" w:after="0" w:afterAutospacing="0"/>
        <w:ind w:left="360" w:leftChars="0"/>
        <w:textAlignment w:val="auto"/>
        <w:rPr>
          <w:rFonts w:eastAsia="Times New Roman" w:cs="Times New Roman"/>
          <w:bCs/>
          <w:szCs w:val="24"/>
        </w:rPr>
      </w:pPr>
      <w:r>
        <w:rPr>
          <w:rFonts w:eastAsia="Times New Roman" w:cs="Times New Roman"/>
          <w:bCs/>
          <w:szCs w:val="24"/>
        </w:rPr>
        <w:t>Oversee the operations of private security firms.</w:t>
      </w:r>
    </w:p>
    <w:p w14:paraId="63CA792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NSCDC is particularly important where trespass affects public safety or national assets.</w:t>
      </w:r>
    </w:p>
    <w:p w14:paraId="51BA0449">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p>
    <w:p w14:paraId="09EF7106">
      <w:pPr>
        <w:pageBreakBefore w:val="0"/>
        <w:widowControl/>
        <w:kinsoku/>
        <w:wordWrap/>
        <w:overflowPunct/>
        <w:topLinePunct w:val="0"/>
        <w:autoSpaceDE/>
        <w:autoSpaceDN/>
        <w:bidi w:val="0"/>
        <w:adjustRightInd/>
        <w:snapToGrid/>
        <w:spacing w:beforeAutospacing="0" w:after="0" w:afterAutospacing="0" w:line="276" w:lineRule="auto"/>
        <w:jc w:val="left"/>
        <w:textAlignment w:val="auto"/>
        <w:rPr>
          <w:rFonts w:cs="Times New Roman"/>
          <w:b/>
        </w:rPr>
      </w:pPr>
      <w:r>
        <w:rPr>
          <w:rFonts w:cs="Times New Roman"/>
          <w:b/>
        </w:rPr>
        <w:br w:type="page"/>
      </w:r>
    </w:p>
    <w:p w14:paraId="6568D294">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rPr>
      </w:pPr>
      <w:r>
        <w:rPr>
          <w:rFonts w:cs="Times New Roman"/>
          <w:b/>
        </w:rPr>
        <w:t>CHAPTER FOUR</w:t>
      </w:r>
    </w:p>
    <w:p w14:paraId="64C9B6A4">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rPr>
      </w:pPr>
      <w:r>
        <w:rPr>
          <w:rFonts w:cs="Times New Roman"/>
          <w:b/>
        </w:rPr>
        <w:t>ELEMENTS AND SCOPE OF TRESPASS UNDER NIGERIAN LAW</w:t>
      </w:r>
    </w:p>
    <w:p w14:paraId="1FB0CE96">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eastAsia="Times New Roman" w:cs="Times New Roman"/>
          <w:b/>
          <w:bCs/>
          <w:szCs w:val="24"/>
          <w:lang w:val="en-US"/>
        </w:rPr>
        <w:t>4.1</w:t>
      </w:r>
      <w:r>
        <w:rPr>
          <w:rFonts w:hint="default" w:eastAsia="Times New Roman" w:cs="Times New Roman"/>
          <w:b/>
          <w:bCs/>
          <w:szCs w:val="24"/>
          <w:lang w:val="en-US"/>
        </w:rPr>
        <w:t xml:space="preserve"> </w:t>
      </w:r>
      <w:r>
        <w:rPr>
          <w:rFonts w:cs="Times New Roman"/>
          <w:b/>
        </w:rPr>
        <w:t xml:space="preserve">Elements of Trespass under the Nigerian Law </w:t>
      </w:r>
    </w:p>
    <w:p w14:paraId="02745EDF">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 legal definitions that establish what constitutes trespass form the foundation of the institutional framework. Typical inclusions within these definitions involve activities such as trespassing onto another person's property without authorization, causing disturbances to the owner's possession or enjoyment of the property, and doing so without the consent of the property owner.</w:t>
      </w:r>
    </w:p>
    <w:p w14:paraId="12C0F8C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lang w:val="en-US"/>
        </w:rPr>
      </w:pPr>
      <w:r>
        <w:rPr>
          <w:rFonts w:eastAsia="Times New Roman" w:cs="Times New Roman"/>
          <w:b/>
          <w:szCs w:val="24"/>
          <w:lang w:val="en-US"/>
        </w:rPr>
        <w:t>4.1.1. Possession</w:t>
      </w:r>
    </w:p>
    <w:p w14:paraId="1707AED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lang w:val="en-US"/>
        </w:rPr>
      </w:pPr>
      <w:r>
        <w:rPr>
          <w:rFonts w:eastAsia="Times New Roman" w:cs="Times New Roman"/>
          <w:szCs w:val="24"/>
          <w:lang w:val="en-US"/>
        </w:rPr>
        <w:t>This tort emerged to safeguard an individual's ownership of land, meaning that only someone with sole possession of the land has the right to file a lawsuit. A landlord of rented property does not possess exclusive control, nor does a lodger or a licensee.</w:t>
      </w:r>
    </w:p>
    <w:p w14:paraId="00D111E6">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 xml:space="preserve">4.1.2 </w:t>
      </w:r>
      <w:r>
        <w:rPr>
          <w:rFonts w:cs="Times New Roman"/>
          <w:b/>
          <w:bCs/>
        </w:rPr>
        <w:t>Unlawful Entry and Interference</w:t>
      </w:r>
    </w:p>
    <w:p w14:paraId="7F3E03B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Unauthorised access happens when an individual enters someone else's property without permission, authority, or legal excuse. The entry does not need to cause damage before it becomes actionable. Once there is unauthorized entry, trespass is established.</w:t>
      </w:r>
    </w:p>
    <w:p w14:paraId="3E1C16D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Interference involves any unlawful disturbance of another person’s possession or use of land or property. The law protects a person’s right to exclusive possession and peaceful enjoyment of property.</w:t>
      </w:r>
    </w:p>
    <w:p w14:paraId="1D24A6B4">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 xml:space="preserve">4.1.3. </w:t>
      </w:r>
      <w:r>
        <w:rPr>
          <w:rFonts w:cs="Times New Roman"/>
          <w:b/>
          <w:bCs/>
        </w:rPr>
        <w:t>Criminal Trespass</w:t>
      </w:r>
    </w:p>
    <w:p w14:paraId="3D5A309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 criminal trespass takes place when an individual enters or remains on another person's property or structure without authorisation, even after being notified that entry is not allowed or being asked to leave and choosing not to do so.   Trespass can be considered a criminal offence in numerous jurisdictions, which can result in penalties such as fines, probation, or imprisonment for the trespasser. The severity of criminal trespass charges can vary based on factors like the trespasser's intent, the existence of aggravating circumstances, or any prior trespassing convictions.</w:t>
      </w:r>
    </w:p>
    <w:p w14:paraId="4D2D79D4">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4.2 Trespass to Person</w:t>
      </w:r>
    </w:p>
    <w:p w14:paraId="7387D43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4.2.1 Meaning of Trespass to Person</w:t>
      </w:r>
    </w:p>
    <w:p w14:paraId="43459430">
      <w:pPr>
        <w:pageBreakBefore w:val="0"/>
        <w:widowControl/>
        <w:numPr>
          <w:ilvl w:val="0"/>
          <w:numId w:val="8"/>
        </w:numPr>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Assault</w:t>
      </w:r>
    </w:p>
    <w:p w14:paraId="4E226B9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In common usage, the term "assault" refers to the act of attacking, striking, or hitting someone. In tort law, assault and battery are distinct and individual torts. In Winfield and Jolowicz on Tort, they stated that assault mandates no contact because its essence is the manner, which leads the claimant to apprehend the application of force.</w:t>
      </w:r>
      <w:r>
        <w:rPr>
          <w:rStyle w:val="12"/>
          <w:rFonts w:cs="Times New Roman"/>
        </w:rPr>
        <w:footnoteReference w:id="48"/>
      </w:r>
      <w:r>
        <w:rPr>
          <w:rFonts w:cs="Times New Roman"/>
        </w:rPr>
        <w:t xml:space="preserve"> The term "assault" in The Criminal Code Act is often applied to include both assault and battery. In criminal cases, they are usually charged together as assault and battery. The Criminal Code Act defines the types of assaults. Assault is both a criminal offence and a civil wrong. Given that trespass to a person constitutes both a tort and a crime, individuals who have been victimized have the option to pursue remedies in both civil and criminal legal systems. However, legal action is typically not pursued unless the person responsible for the wrongdoing or their employer possesses financial resources. In these situations, law enforcement, representing the government in their role to fight against criminal activity and maintain peace and justice, may initiate proceedings in a magistrate court.</w:t>
      </w:r>
    </w:p>
    <w:p w14:paraId="444F2C4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In addition, assault and battery frequently happen in conjunction since they are commonly committed at the same time or together. Therefore, they are frequently prosecuted jointly in criminal proceedings, just as civil claims are often filed for both, as these two occurrences rarely happen independently of each other.</w:t>
      </w:r>
    </w:p>
    <w:p w14:paraId="4C40DF0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Section 252 of the Criminal Code Act defined Assault as thus; it is when someone intentionally touches, applies force, or moves to another person without their consent. This can also include trying to apply force through bodily movements or gesture, if the person making the attempt or threat appears to have the ability to carry it out. If consent is obtained through fraud, it is still considered an assault.”</w:t>
      </w:r>
      <w:r>
        <w:rPr>
          <w:rStyle w:val="12"/>
          <w:rFonts w:cs="Times New Roman"/>
        </w:rPr>
        <w:footnoteReference w:id="49"/>
      </w:r>
      <w:r>
        <w:rPr>
          <w:rFonts w:cs="Times New Roman"/>
        </w:rPr>
        <w:t xml:space="preserve">  According C.F. Padfield,</w:t>
      </w:r>
      <w:r>
        <w:rPr>
          <w:rStyle w:val="12"/>
          <w:rFonts w:cs="Times New Roman"/>
        </w:rPr>
        <w:footnoteReference w:id="50"/>
      </w:r>
      <w:r>
        <w:rPr>
          <w:rFonts w:cs="Times New Roman"/>
        </w:rPr>
        <w:t xml:space="preserve"> assault is an effort or intimidation to employ illegal force against someone else, causing them to fear violence. Similarly, Kodilinye described assault as any act that makes the plaintiff fear an imminent battery.</w:t>
      </w:r>
      <w:r>
        <w:rPr>
          <w:rStyle w:val="12"/>
          <w:rFonts w:cs="Times New Roman"/>
        </w:rPr>
        <w:footnoteReference w:id="51"/>
      </w:r>
    </w:p>
    <w:p w14:paraId="58CB8BB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To put it differently, an assault is defined as a deliberate action that instills a legitimate fear of imminent physical injury. It is characterised as any deliberate or careless action that instills fear in someone else, without actually physically striking them, by making them believe they are in immediate danger of physical harm. Assault can take various forms, such as brandishing a knife or a broken bottle to intimidate someone, making threats, approaching someone aggressively while shaking your fist and threatening physical harm, or attempting to strike someone with a stick but missing. All of these statements constitute violent threats and are considered acts of assault against the individual. The victim's state of mind does not have to be fear or alarm. The law aims to prohibit the subjection of a person to fear of immediate application of unlawful force, so it is sufficient if the victim simply anticipates the use of such force on their body.</w:t>
      </w:r>
    </w:p>
    <w:p w14:paraId="5D206C2F">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Elements of Assault</w:t>
      </w:r>
    </w:p>
    <w:p w14:paraId="77502064">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To succeed in an assault claim, a plaintiff must prove:</w:t>
      </w:r>
    </w:p>
    <w:p w14:paraId="42D2C938">
      <w:pPr>
        <w:pageBreakBefore w:val="0"/>
        <w:widowControl/>
        <w:numPr>
          <w:ilvl w:val="0"/>
          <w:numId w:val="9"/>
        </w:numPr>
        <w:kinsoku/>
        <w:wordWrap/>
        <w:overflowPunct/>
        <w:topLinePunct w:val="0"/>
        <w:autoSpaceDE/>
        <w:autoSpaceDN/>
        <w:bidi w:val="0"/>
        <w:adjustRightInd/>
        <w:snapToGrid/>
        <w:spacing w:beforeAutospacing="0" w:after="0" w:afterAutospacing="0"/>
        <w:ind w:left="0" w:firstLine="0"/>
        <w:textAlignment w:val="auto"/>
        <w:rPr>
          <w:rFonts w:cs="Times New Roman"/>
        </w:rPr>
      </w:pPr>
      <w:r>
        <w:rPr>
          <w:rFonts w:cs="Times New Roman"/>
        </w:rPr>
        <w:t>The defendant made a threat to apply force.</w:t>
      </w:r>
    </w:p>
    <w:p w14:paraId="0B82363A">
      <w:pPr>
        <w:pageBreakBefore w:val="0"/>
        <w:widowControl/>
        <w:numPr>
          <w:ilvl w:val="0"/>
          <w:numId w:val="9"/>
        </w:numPr>
        <w:kinsoku/>
        <w:wordWrap/>
        <w:overflowPunct/>
        <w:topLinePunct w:val="0"/>
        <w:autoSpaceDE/>
        <w:autoSpaceDN/>
        <w:bidi w:val="0"/>
        <w:adjustRightInd/>
        <w:snapToGrid/>
        <w:spacing w:beforeAutospacing="0" w:after="0" w:afterAutospacing="0"/>
        <w:ind w:left="0" w:firstLine="0"/>
        <w:textAlignment w:val="auto"/>
        <w:rPr>
          <w:rFonts w:cs="Times New Roman"/>
        </w:rPr>
      </w:pPr>
      <w:r>
        <w:rPr>
          <w:rFonts w:cs="Times New Roman"/>
        </w:rPr>
        <w:t>The act would cause a reasonable person to fear imminent battery.</w:t>
      </w:r>
    </w:p>
    <w:p w14:paraId="607651B9">
      <w:pPr>
        <w:pageBreakBefore w:val="0"/>
        <w:widowControl/>
        <w:numPr>
          <w:ilvl w:val="0"/>
          <w:numId w:val="8"/>
        </w:numPr>
        <w:tabs>
          <w:tab w:val="left" w:pos="720"/>
        </w:tabs>
        <w:kinsoku/>
        <w:wordWrap/>
        <w:overflowPunct/>
        <w:topLinePunct w:val="0"/>
        <w:autoSpaceDE/>
        <w:autoSpaceDN/>
        <w:bidi w:val="0"/>
        <w:adjustRightInd/>
        <w:snapToGrid/>
        <w:spacing w:beforeAutospacing="0" w:after="0" w:afterAutospacing="0"/>
        <w:textAlignment w:val="auto"/>
        <w:rPr>
          <w:rFonts w:cs="Times New Roman"/>
          <w:b/>
          <w:bCs/>
        </w:rPr>
      </w:pPr>
      <w:r>
        <w:rPr>
          <w:rFonts w:cs="Times New Roman"/>
          <w:b/>
          <w:bCs/>
        </w:rPr>
        <w:t>Battery</w:t>
      </w:r>
    </w:p>
    <w:p w14:paraId="541EDA69">
      <w:pPr>
        <w:pageBreakBefore w:val="0"/>
        <w:widowControl/>
        <w:tabs>
          <w:tab w:val="left" w:pos="720"/>
        </w:tabs>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Battery entails the direct application of physical force against the individual making the claim. A simple contact may be enough to power a battery. Battery is classified as a form of intentional wrongdoing, characterised by the purposeful act of inflicting harmful or unwelcome physical contact with another person.</w:t>
      </w:r>
      <w:r>
        <w:rPr>
          <w:rStyle w:val="12"/>
          <w:rFonts w:cs="Times New Roman"/>
        </w:rPr>
        <w:footnoteReference w:id="52"/>
      </w:r>
      <w:r>
        <w:rPr>
          <w:rFonts w:cs="Times New Roman"/>
        </w:rPr>
        <w:t xml:space="preserve"> C.F. Padfield, defined battery as "the act of forcefully applying any amount of force to someone else, either in an unfriendly way or without their agreement."</w:t>
      </w:r>
      <w:r>
        <w:rPr>
          <w:rStyle w:val="12"/>
          <w:rFonts w:cs="Times New Roman"/>
        </w:rPr>
        <w:footnoteReference w:id="53"/>
      </w:r>
      <w:r>
        <w:rPr>
          <w:rFonts w:cs="Times New Roman"/>
        </w:rPr>
        <w:t>According to Gilbert Kodilinye,</w:t>
      </w:r>
      <w:r>
        <w:rPr>
          <w:rStyle w:val="12"/>
          <w:rFonts w:cs="Times New Roman"/>
        </w:rPr>
        <w:footnoteReference w:id="54"/>
      </w:r>
      <w:r>
        <w:rPr>
          <w:rFonts w:cs="Times New Roman"/>
        </w:rPr>
        <w:t xml:space="preserve">  “Battery involves the deliberate use of force against another individual. Even a simple touch can constitute battery. Holt CJ said in the early case of </w:t>
      </w:r>
      <w:r>
        <w:rPr>
          <w:rFonts w:cs="Times New Roman"/>
          <w:i/>
          <w:iCs/>
        </w:rPr>
        <w:t>Cole v Turner</w:t>
      </w:r>
      <w:r>
        <w:rPr>
          <w:rFonts w:cs="Times New Roman"/>
        </w:rPr>
        <w:t>.</w:t>
      </w:r>
      <w:r>
        <w:rPr>
          <w:rStyle w:val="12"/>
          <w:rFonts w:cs="Times New Roman"/>
        </w:rPr>
        <w:footnoteReference w:id="55"/>
      </w:r>
      <w:r>
        <w:rPr>
          <w:rFonts w:cs="Times New Roman"/>
        </w:rPr>
        <w:t xml:space="preserve">  Even the slightest contact with another in a fit of rage constitutes battery.</w:t>
      </w:r>
    </w:p>
    <w:p w14:paraId="6F7C78D2">
      <w:pPr>
        <w:pageBreakBefore w:val="0"/>
        <w:widowControl/>
        <w:tabs>
          <w:tab w:val="left" w:pos="720"/>
        </w:tabs>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Based on the definitions provided, it can be clarified that battery involves the exertion of even minimal force against another individual. Battery involves the exertion of force against someone without their permission or lawful reason. According to Olusegun Yerokun</w:t>
      </w:r>
      <w:r>
        <w:rPr>
          <w:rStyle w:val="12"/>
          <w:rFonts w:cs="Times New Roman"/>
        </w:rPr>
        <w:footnoteReference w:id="56"/>
      </w:r>
      <w:r>
        <w:rPr>
          <w:rFonts w:cs="Times New Roman"/>
        </w:rPr>
        <w:t xml:space="preserve"> in his book on Law of Tort said, Battery need not involve body-to-body contact. </w:t>
      </w:r>
    </w:p>
    <w:p w14:paraId="2FC47C62">
      <w:pPr>
        <w:pageBreakBefore w:val="0"/>
        <w:widowControl/>
        <w:tabs>
          <w:tab w:val="left" w:pos="720"/>
        </w:tabs>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In addition, contact can be considered battery even if there is a time gap between the defendant's action and the resulting injury to the plaintiff. For instance, if an individual intentionally adds something offensive to a food that they know someone else will consume, they have committed a battery against that person when the person indeed consumes the offensive substance or falls victim to the harmful effects. Battery involves physically striking or making contact with a person in a disrespectful, angry, vengeful, or insolent manner. </w:t>
      </w:r>
    </w:p>
    <w:p w14:paraId="51B0548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To succeed in a battery claim, a plaintiff must prove:</w:t>
      </w:r>
    </w:p>
    <w:p w14:paraId="6E023EDE">
      <w:pPr>
        <w:pageBreakBefore w:val="0"/>
        <w:widowControl/>
        <w:numPr>
          <w:ilvl w:val="0"/>
          <w:numId w:val="10"/>
        </w:numPr>
        <w:tabs>
          <w:tab w:val="clear" w:pos="720"/>
        </w:tabs>
        <w:kinsoku/>
        <w:wordWrap/>
        <w:overflowPunct/>
        <w:topLinePunct w:val="0"/>
        <w:autoSpaceDE/>
        <w:autoSpaceDN/>
        <w:bidi w:val="0"/>
        <w:adjustRightInd/>
        <w:snapToGrid/>
        <w:spacing w:beforeAutospacing="0" w:after="0" w:afterAutospacing="0"/>
        <w:ind w:left="0" w:firstLine="0"/>
        <w:textAlignment w:val="auto"/>
        <w:rPr>
          <w:rFonts w:cs="Times New Roman"/>
        </w:rPr>
      </w:pPr>
      <w:r>
        <w:rPr>
          <w:rFonts w:cs="Times New Roman"/>
        </w:rPr>
        <w:t>Application of force.</w:t>
      </w:r>
    </w:p>
    <w:p w14:paraId="314CBCD1">
      <w:pPr>
        <w:pageBreakBefore w:val="0"/>
        <w:widowControl/>
        <w:numPr>
          <w:ilvl w:val="0"/>
          <w:numId w:val="10"/>
        </w:numPr>
        <w:tabs>
          <w:tab w:val="clear" w:pos="720"/>
        </w:tabs>
        <w:kinsoku/>
        <w:wordWrap/>
        <w:overflowPunct/>
        <w:topLinePunct w:val="0"/>
        <w:autoSpaceDE/>
        <w:autoSpaceDN/>
        <w:bidi w:val="0"/>
        <w:adjustRightInd/>
        <w:snapToGrid/>
        <w:spacing w:beforeAutospacing="0" w:after="0" w:afterAutospacing="0"/>
        <w:ind w:left="0" w:firstLine="0"/>
        <w:textAlignment w:val="auto"/>
        <w:rPr>
          <w:rFonts w:eastAsia="Times New Roman" w:cs="Times New Roman"/>
          <w:b/>
          <w:szCs w:val="24"/>
        </w:rPr>
      </w:pPr>
      <w:r>
        <w:rPr>
          <w:rFonts w:cs="Times New Roman"/>
        </w:rPr>
        <w:t>Intention to apply force.</w:t>
      </w:r>
    </w:p>
    <w:p w14:paraId="22A44AC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4.2.2 Persons that can maintain an action under Trespass to Person</w:t>
      </w:r>
    </w:p>
    <w:p w14:paraId="5EFA8256">
      <w:pPr>
        <w:pageBreakBefore w:val="0"/>
        <w:widowControl/>
        <w:numPr>
          <w:ilvl w:val="0"/>
          <w:numId w:val="1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The person directly affected (The Victim)</w:t>
      </w:r>
    </w:p>
    <w:p w14:paraId="705237C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The individual whose body or liberty was interfered with has the primary right to sue. For example, a person who is physically assaulted or unlawfully detained can sue for trespass to the person.</w:t>
      </w:r>
    </w:p>
    <w:p w14:paraId="0F236F9E">
      <w:pPr>
        <w:pageBreakBefore w:val="0"/>
        <w:widowControl/>
        <w:numPr>
          <w:ilvl w:val="0"/>
          <w:numId w:val="1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A Parent or Guardian of a Minor</w:t>
      </w:r>
    </w:p>
    <w:p w14:paraId="5D3DA825">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Where the victim is a child, a parent or legal guardian may bring an action on behalf of the minor.</w:t>
      </w:r>
    </w:p>
    <w:p w14:paraId="7FE4DF1E">
      <w:pPr>
        <w:pageBreakBefore w:val="0"/>
        <w:widowControl/>
        <w:numPr>
          <w:ilvl w:val="0"/>
          <w:numId w:val="1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A Legal Representative of the Victim</w:t>
      </w:r>
    </w:p>
    <w:p w14:paraId="7274172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If the victims is mentally incapacitated or unable or bring the action themselves, a legal representative or guardian may sue on their behalf.</w:t>
      </w:r>
    </w:p>
    <w:p w14:paraId="09C48E06">
      <w:pPr>
        <w:pageBreakBefore w:val="0"/>
        <w:widowControl/>
        <w:numPr>
          <w:ilvl w:val="0"/>
          <w:numId w:val="1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The Estate of the Deceased </w:t>
      </w:r>
    </w:p>
    <w:p w14:paraId="5CBF30D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If the victim dies because of the trespass, the personal representatives or estate may maintain the action for damages that occurred before death.</w:t>
      </w:r>
    </w:p>
    <w:p w14:paraId="7ADF29AC">
      <w:pPr>
        <w:pageBreakBefore w:val="0"/>
        <w:widowControl/>
        <w:numPr>
          <w:ilvl w:val="0"/>
          <w:numId w:val="11"/>
        </w:numPr>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A person with Parental or Custodial Rights </w:t>
      </w:r>
    </w:p>
    <w:p w14:paraId="0273E569">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In some cases, a parent may sue where the trespass results in loss of services or injury to their child. </w:t>
      </w:r>
    </w:p>
    <w:p w14:paraId="700E745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6FB8BA1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71415CE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4.2.3 Defences under Trespass to Person</w:t>
      </w:r>
    </w:p>
    <w:p w14:paraId="6DCC427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1. Self-Defence</w:t>
      </w:r>
    </w:p>
    <w:p w14:paraId="3792F9E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According to Section 286 of the Criminal Code Act in Nigeria, it is against the law for a person to use force to defend himself or herself if they have unlawfully provoked an assault. However, the force used should not be intended to cause death or serious harm, and it should be reasonably necessary for self-defense. For a plea of self-defense to be successful, it is necessary for the defence to be considered reasonable or proportionate. In </w:t>
      </w:r>
      <w:r>
        <w:rPr>
          <w:rFonts w:cs="Times New Roman"/>
          <w:i/>
          <w:iCs/>
        </w:rPr>
        <w:t>Ekpudo v. State</w:t>
      </w:r>
      <w:r>
        <w:rPr>
          <w:rStyle w:val="12"/>
          <w:rFonts w:cs="Times New Roman"/>
          <w:i/>
          <w:iCs/>
        </w:rPr>
        <w:footnoteReference w:id="57"/>
      </w:r>
      <w:r>
        <w:rPr>
          <w:rFonts w:cs="Times New Roman"/>
          <w:i/>
          <w:iCs/>
        </w:rPr>
        <w:t xml:space="preserve"> </w:t>
      </w:r>
      <w:r>
        <w:rPr>
          <w:rFonts w:cs="Times New Roman"/>
        </w:rPr>
        <w:t>self-defence is characterised as the application of force to safeguard oneself, one’s family, or belongings from actual or impending harm. Generally, people are entitled to use a reasonable amount of force for self-defence if they sincerely perceive an immediate threat of physical injury and deem it essential to avert that harm.</w:t>
      </w:r>
    </w:p>
    <w:p w14:paraId="6C014904">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2. Defence of Consent</w:t>
      </w:r>
    </w:p>
    <w:p w14:paraId="0791144F">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If an individual gives consent to physical contact, then there is no occurrence of the tort of battery. Consent can be provided either explicitly through words or implicitly through conduct. A patient has the ability to provide medical consent to their doctor prior to undergoing a procedure that could potentially be considered as battery in different situations. Consent can be considered a defence if it is obtained without any form of fraud, deceit, duress, or similar factors. Consent serves as a defence for injuries sustained in sports.</w:t>
      </w:r>
    </w:p>
    <w:p w14:paraId="08CF6108">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Likewise, sports like rugby may appear to involve a constant sequence of physical confrontations and collisions. It would be illogical for the law to permit a rugby player to file a lawsuit against the opposing team for trespass to the person. In most cases, individuals who participate in sports are considered to have given their consent to reasonable contact that falls within the boundaries of the game's rules, unless the action is deemed unreasonable. However, this defence does not cover intentional acts of violence on the playing field.</w:t>
      </w:r>
      <w:r>
        <w:rPr>
          <w:rStyle w:val="12"/>
          <w:rFonts w:cs="Times New Roman"/>
        </w:rPr>
        <w:footnoteReference w:id="58"/>
      </w:r>
    </w:p>
    <w:p w14:paraId="42218CF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3. Defence of Judicial Authority</w:t>
      </w:r>
    </w:p>
    <w:p w14:paraId="2FFC1ED6">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Illegal detentions can occur under legal permission, including a court directive, arrest warrant, prison term, and other comparable situations. Detention can be mandated and punishment can be enforced in accordance with the law. A judge or magistrate, while exercising their judicial authority, has the power to issue a warrant of arrest. Those who execute such an arrest warrant are permitted to use appropriate force in order to apprehend the individual specified in the warrant. All individuals who have been convicted and are currently serving different prison sentences are incarcerated in accordance with the legal authority granted by judges and magistrates.</w:t>
      </w:r>
    </w:p>
    <w:p w14:paraId="1E64501B">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4. Lawful Arrest, Detention, Stop and Search</w:t>
      </w:r>
    </w:p>
    <w:p w14:paraId="34C573B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Under section 29 of the Police Act </w:t>
      </w:r>
      <w:r>
        <w:rPr>
          <w:rStyle w:val="12"/>
          <w:rFonts w:cs="Times New Roman"/>
        </w:rPr>
        <w:footnoteReference w:id="59"/>
      </w:r>
      <w:r>
        <w:rPr>
          <w:rFonts w:cs="Times New Roman"/>
        </w:rPr>
        <w:t>grants, the Police authority to apprehend and inspect any individual whom he reasonably suspects of possessing or transporting anything that he has grounds to believe has been stolen or acquired unlawfully. The powers granted to the Police are outlined in the Criminal Code. In cases where there is reasonable suspicion that an individual has engaged in criminal activity or may be in possession of stolen, contraband, or prohibited items, among other possibilities. Law enforcement agents, including the Police, as well as private citizens, have the authority to make arrests, whether with or without a warrant. Arrests, detentions, and stop and searches conducted within the bounds of the law can serve as justifications for assault, battery, and false imprisonment. The criteria for a legal arrest and stop and search comprise;</w:t>
      </w:r>
    </w:p>
    <w:p w14:paraId="0973893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1. A arrest executed under the authority provided by legislation and customary law.</w:t>
      </w:r>
    </w:p>
    <w:p w14:paraId="535A2F0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2. A justifiable belief held by the individual executing the arrest.</w:t>
      </w:r>
    </w:p>
    <w:p w14:paraId="6A1F3433">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3. The force applied should correspond to the level of force demonstrated by the suspects.</w:t>
      </w:r>
    </w:p>
    <w:p w14:paraId="116227AB">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The police possess extensive authority, both under common law and statute, to apprehend individuals whom they have a reasonable suspicion of engaging in criminal activity. Furthermore, in relevant circumstances, a private individual or group has the authority to make an arrest as outlined by the law and subsequently transfer the individual to the police. Provided that a law enforcement officer possessed justifiable reasons to suspect an innocent individual at the moment of the apprehension, they are not held liable for wrongful arrest, even if it turns out to be a mistake. In </w:t>
      </w:r>
      <w:r>
        <w:rPr>
          <w:rFonts w:cs="Times New Roman"/>
          <w:i/>
          <w:iCs/>
        </w:rPr>
        <w:t>Christie v Leachinsky</w:t>
      </w:r>
      <w:r>
        <w:rPr>
          <w:rFonts w:cs="Times New Roman"/>
        </w:rPr>
        <w:t>,</w:t>
      </w:r>
      <w:r>
        <w:rPr>
          <w:rStyle w:val="12"/>
          <w:rFonts w:cs="Times New Roman"/>
        </w:rPr>
        <w:footnoteReference w:id="60"/>
      </w:r>
      <w:r>
        <w:rPr>
          <w:rFonts w:cs="Times New Roman"/>
        </w:rPr>
        <w:t xml:space="preserve"> the police officers, acting as the defendant appellant, arrested the plaintiff respondent for unlawfully possessing several bales of cloth, and they did so without a warrant. Although they had valid reasons to believe that the clothes were stolen, they failed to inform the appellant of the grounds for his arrest, as mandated by law. On appeal, the House of Lords determined that the arrest had been conducted in violation of the law.</w:t>
      </w:r>
    </w:p>
    <w:p w14:paraId="767C9A8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5. Defence of Necessity</w:t>
      </w:r>
    </w:p>
    <w:p w14:paraId="49A292D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If a person can demonstrate that their actions were necessary, a wrongdoer may be able to mount a successful defence. Put simply, breaking the law requires a valid and reasonable justification. A defendant may argue that they committed trespass to a person in order to prevent a more significant harm, such as forcibly feeding someone to save their life. This is evident in Leigh v Gladstone,</w:t>
      </w:r>
      <w:r>
        <w:rPr>
          <w:rStyle w:val="12"/>
          <w:rFonts w:cs="Times New Roman"/>
        </w:rPr>
        <w:footnoteReference w:id="61"/>
      </w:r>
      <w:r>
        <w:rPr>
          <w:rFonts w:cs="Times New Roman"/>
        </w:rPr>
        <w:t xml:space="preserve"> where the prison guards, out of obligation, compelled the defendant, who was refusing food while in detention, to eat in order to prevent her from succumbing to starvation. A person who forcefully pulls another individual away from the path of an approaching vehicle, thereby preventing them from sustaining severe harm or death, cannot be held legally responsible. Likewise, a doctor who conducts emergency surgery on an unconscious patient, without their consent, with the sole purpose of preserving their life, could potentially make a valid argument that the surgery was necessary, as long as it was limited to what was essential for saving the patient's life. In defence of necessity, the defendant has to prove the following;</w:t>
      </w:r>
    </w:p>
    <w:p w14:paraId="6E2209F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1. Immediate danger of serious injury to the complainant, assets, or belongings.</w:t>
      </w:r>
    </w:p>
    <w:p w14:paraId="7DA754C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2. Reasonable visible need for undertaking such measures.</w:t>
      </w:r>
    </w:p>
    <w:p w14:paraId="264D27D8">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3. Immediate danger not caused by the defendant.</w:t>
      </w:r>
    </w:p>
    <w:p w14:paraId="5D54DBB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4.3 Trespass to Land</w:t>
      </w:r>
    </w:p>
    <w:p w14:paraId="481965B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4.3.1 Meaning of Trespass to Land</w:t>
      </w:r>
    </w:p>
    <w:p w14:paraId="0FCCE814">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Even non-experts acknowledge that the term "land" encompasses more than just the sand and its soil. It also comprise of objects such as structures and trees that are situated on the land. The statutory definition of land encompasses immovable property, including land itself and any objects that are linked to the ground or indefinitely affixed to objects that are connected to the ground, as well as all chattels real.</w:t>
      </w:r>
      <w:r>
        <w:rPr>
          <w:rStyle w:val="12"/>
          <w:rFonts w:cs="Times New Roman"/>
        </w:rPr>
        <w:footnoteReference w:id="62"/>
      </w:r>
    </w:p>
    <w:p w14:paraId="7DAF25CF">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Trespass to land ensures that a person enjoys quiet and undisturbed possession of land under his control. It is an extension of the common law right to be left alone, and the constitutional right of privacy.</w:t>
      </w:r>
      <w:r>
        <w:rPr>
          <w:rStyle w:val="12"/>
          <w:rFonts w:cs="Times New Roman"/>
        </w:rPr>
        <w:footnoteReference w:id="63"/>
      </w:r>
      <w:r>
        <w:rPr>
          <w:rFonts w:cs="Times New Roman"/>
        </w:rPr>
        <w:t xml:space="preserve"> The principles have been formulated over time and state that the plaintiff is not obliged to establish that he own the land. Instead, they only need to demonstrate that they were in occupancy of the parcel of land when the defendant trespassed and disrupted their peaceful enjoyment of it. The law’s policy to protect plaintiff’s peaceable possession even where he has no title is justified by the principle </w:t>
      </w:r>
      <w:r>
        <w:rPr>
          <w:rFonts w:cs="Times New Roman"/>
          <w:i/>
          <w:iCs/>
        </w:rPr>
        <w:t>qui prior est tempore portiorest jure</w:t>
      </w:r>
      <w:r>
        <w:rPr>
          <w:rFonts w:cs="Times New Roman"/>
        </w:rPr>
        <w:t xml:space="preserve"> (the law protects the first in time). By virtue of the instant principle, where both plaintiff and defendant are trespassers and the plaintiff was first to take possession, damages would be awarded against the defendant, the fact of plaintiff’s wrongful possession notwithstanding.</w:t>
      </w:r>
    </w:p>
    <w:p w14:paraId="1B6C8262">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In </w:t>
      </w:r>
      <w:r>
        <w:rPr>
          <w:rFonts w:cs="Times New Roman"/>
          <w:i/>
          <w:iCs/>
        </w:rPr>
        <w:t>Oguche v Iliyasu</w:t>
      </w:r>
      <w:r>
        <w:rPr>
          <w:rFonts w:cs="Times New Roman"/>
        </w:rPr>
        <w:t>,</w:t>
      </w:r>
      <w:r>
        <w:rPr>
          <w:rStyle w:val="12"/>
          <w:rFonts w:cs="Times New Roman"/>
        </w:rPr>
        <w:footnoteReference w:id="64"/>
      </w:r>
      <w:r>
        <w:rPr>
          <w:rFonts w:cs="Times New Roman"/>
        </w:rPr>
        <w:t xml:space="preserve"> a popular local case on trespass, this principle was upheld. Legal representatives for the defendants argued that since the plaintiff had no valid title under the Land Tenure Law, his common right to recover in trespass could not prevail.</w:t>
      </w:r>
    </w:p>
    <w:p w14:paraId="6E81C46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 offence of trespass to land is violated when the defendant, without legal authorization, ingress on the parcel of the possessor, or stays on a land or set anything on the land.</w:t>
      </w:r>
      <w:r>
        <w:rPr>
          <w:rStyle w:val="12"/>
          <w:rFonts w:cs="Times New Roman"/>
        </w:rPr>
        <w:footnoteReference w:id="65"/>
      </w:r>
    </w:p>
    <w:p w14:paraId="48D14A85">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Types of Trespass to Land</w:t>
      </w:r>
    </w:p>
    <w:p w14:paraId="4E74A3A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There different kinds of land trespassing which can be caused by the defendant against the plaintiff or the rightful owner of the land. They are discussed below;</w:t>
      </w:r>
    </w:p>
    <w:p w14:paraId="5FCA1CC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1. Trespass by Wrongful Entry</w:t>
      </w:r>
    </w:p>
    <w:p w14:paraId="5322399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When the plaintiff occupies land or buildings, the most frequent form of trespass occurs when the defendant or someone they have personally influenced enters.</w:t>
      </w:r>
      <w:r>
        <w:rPr>
          <w:rStyle w:val="12"/>
          <w:rFonts w:cs="Times New Roman"/>
        </w:rPr>
        <w:footnoteReference w:id="66"/>
      </w:r>
      <w:r>
        <w:rPr>
          <w:rFonts w:cs="Times New Roman"/>
        </w:rPr>
        <w:t xml:space="preserve">  Even the tiniest encroachment onto the plaintiff's property is enough, as any violation of property, no matter how small, is considered trespassing.</w:t>
      </w:r>
      <w:r>
        <w:rPr>
          <w:rStyle w:val="12"/>
          <w:rFonts w:cs="Times New Roman"/>
        </w:rPr>
        <w:footnoteReference w:id="67"/>
      </w:r>
      <w:r>
        <w:rPr>
          <w:rFonts w:cs="Times New Roman"/>
        </w:rPr>
        <w:t xml:space="preserve">  For instance, it is deemed an invasion of property to extend your hand through the window of the owner's structure or to lean against their fence. Furthermore, because tort is fundamentally actionable, additional evidence of harm is unnecessary;</w:t>
      </w:r>
      <w:r>
        <w:rPr>
          <w:rStyle w:val="12"/>
          <w:rFonts w:cs="Times New Roman"/>
        </w:rPr>
        <w:footnoteReference w:id="68"/>
      </w:r>
      <w:r>
        <w:rPr>
          <w:rFonts w:cs="Times New Roman"/>
        </w:rPr>
        <w:t xml:space="preserve"> the plaintiff may receive compensation even though the trespass has resulted in no harm to him.</w:t>
      </w:r>
    </w:p>
    <w:p w14:paraId="5F1243A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When a trespasser intentionally sits, walks, rides, drives, or otherwise places themselves on the plaintiff’s property, they will be considered to have committed trespass, and it is no defence that he was careful, that it was done by mistake, assumed that he was on his own land</w:t>
      </w:r>
      <w:r>
        <w:rPr>
          <w:rStyle w:val="12"/>
          <w:rFonts w:cs="Times New Roman"/>
        </w:rPr>
        <w:footnoteReference w:id="69"/>
      </w:r>
      <w:r>
        <w:rPr>
          <w:rFonts w:cs="Times New Roman"/>
        </w:rPr>
        <w:t xml:space="preserve">  or that he had a lawful entry, or   the acre was public parcel, or that he behaved under any other legal error.</w:t>
      </w:r>
    </w:p>
    <w:p w14:paraId="4E27EF0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 deliberate intruder is fully responsible for any damages resulting from their presence on the property, regardless of whether the damage was caused intentionally or unintentionally. He will be held liable not just for deliberate acts like cutting down the plaintiff's trees or uprooting their crops, but also for any unintended damage caused. For instance, if he inadvertently bumps into the occupant in the dark and causes harm, or if he accidentally knocks out and shatters a loose piece of glass in the plaintiff's window.</w:t>
      </w:r>
      <w:r>
        <w:rPr>
          <w:rStyle w:val="12"/>
          <w:rFonts w:cs="Times New Roman"/>
        </w:rPr>
        <w:footnoteReference w:id="70"/>
      </w:r>
    </w:p>
    <w:p w14:paraId="3B38BE6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2. Trespass by remaining on the Land</w:t>
      </w:r>
    </w:p>
    <w:p w14:paraId="5986517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Trespassing happens when an individual remains on someone else’s property after their initial legal entry has been revoked or ended. Failing to vacate the plaintiff's land is considered trespassing, just like entering without permission in the first place. In a scenario where a friend or neighbour extends an invitation for someone to visit their home, if the host becomes weary of the visitor and asks them to depart, the visitor would be considered a trespasser if they refuse to comply.</w:t>
      </w:r>
    </w:p>
    <w:p w14:paraId="39A5B1B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If a person pays a ticket to enter a cinema, hotel, or stadium and enters legally, they shall be considered an intruder if they do not exit at the conclusion of the film show or after completing their purpose. They will also be considered a trespasser if their approval to stay on the premises is terminated by the director, its servant, or agents due to misbehaviour, and they fail or refuse to leave upon request. After being given a reasonable amount of time to leave, they will become a trespasser. In </w:t>
      </w:r>
      <w:r>
        <w:rPr>
          <w:rFonts w:cs="Times New Roman"/>
          <w:i/>
          <w:iCs/>
        </w:rPr>
        <w:t>Balogun v. Alakija</w:t>
      </w:r>
      <w:r>
        <w:rPr>
          <w:rStyle w:val="12"/>
          <w:rFonts w:cs="Times New Roman"/>
          <w:i/>
          <w:iCs/>
        </w:rPr>
        <w:footnoteReference w:id="71"/>
      </w:r>
      <w:r>
        <w:rPr>
          <w:rFonts w:cs="Times New Roman"/>
        </w:rPr>
        <w:t xml:space="preserve">  the entrusted the plaintiff with the duty of collecting rents for him. During the evening, the accused visited the plaintiff's residence to request a record of the rents that had been payed. A dispute occurred, and the person bringing the legal action asked the person being accused to depart. The defendant remained until approximately 15 minutes later. The plaintiff subsequently filed a lawsuit for trespass. The defendant shall be held accountable for trespassing. The court said when the defendant did not comply, he will be  held accountable for trespassing with the plaintiff's reasonable ask to depart.</w:t>
      </w:r>
    </w:p>
    <w:p w14:paraId="5716BF66">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3. Trespass by placing things on The Land</w:t>
      </w:r>
    </w:p>
    <w:p w14:paraId="708564A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Trespassing is defined as the act of placing, erecting, building, mounting, putting, leaving, or abandoning whatever on someone else’s premises without a legal reason. Examples of this offence include shooting a gun onto the plaintiff's property, placing a nail in or leaning a ladder situated against a fence, removing an entrance and exit door or window from a residence, attracting a dog onto someone's land, or releasing toxic gases into a home. </w:t>
      </w:r>
    </w:p>
    <w:p w14:paraId="504376A3">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Direct placement or projection of an object onto the plaintiff's land is crucial for establishing liability in trespass.</w:t>
      </w:r>
      <w:r>
        <w:rPr>
          <w:rStyle w:val="12"/>
          <w:rFonts w:cs="Times New Roman"/>
        </w:rPr>
        <w:footnoteReference w:id="72"/>
      </w:r>
      <w:r>
        <w:rPr>
          <w:rFonts w:cs="Times New Roman"/>
        </w:rPr>
        <w:t xml:space="preserve">  If it is indirect, someone cannot be held responsible for trespass yet responsible for nuisance, in nuisance it is the person who suffered the damage have the responsibility to prove. For example, growing a tree on a person’s land is a straight incursion which means trespass, but tree branches or roots extending into neighboring property on to that of the other person is not direct and thus a nuisance</w:t>
      </w:r>
      <w:r>
        <w:rPr>
          <w:rStyle w:val="12"/>
          <w:rFonts w:cs="Times New Roman"/>
        </w:rPr>
        <w:footnoteReference w:id="73"/>
      </w:r>
      <w:r>
        <w:rPr>
          <w:rFonts w:cs="Times New Roman"/>
        </w:rPr>
        <w:t xml:space="preserve">  flinging stone on to adjoining land is trespass, but to leave a stone wall to be disastrous and to break into such land is only nuisance. It was held in </w:t>
      </w:r>
      <w:r>
        <w:rPr>
          <w:rFonts w:cs="Times New Roman"/>
          <w:i/>
          <w:iCs/>
        </w:rPr>
        <w:t>Onasanya v Emmanuel</w:t>
      </w:r>
      <w:r>
        <w:rPr>
          <w:rStyle w:val="12"/>
          <w:rFonts w:cs="Times New Roman"/>
          <w:i/>
          <w:iCs/>
        </w:rPr>
        <w:footnoteReference w:id="74"/>
      </w:r>
      <w:r>
        <w:rPr>
          <w:rFonts w:cs="Times New Roman"/>
        </w:rPr>
        <w:t xml:space="preserve">  that the defendant's liability arises from the act of trespass, which involves discard water and waste from their land upon the plaintiff's land. Also in </w:t>
      </w:r>
      <w:r>
        <w:rPr>
          <w:rFonts w:cs="Times New Roman"/>
          <w:i/>
          <w:iCs/>
        </w:rPr>
        <w:t>Gregory v Piper</w:t>
      </w:r>
      <w:r>
        <w:rPr>
          <w:rStyle w:val="12"/>
          <w:rFonts w:cs="Times New Roman"/>
          <w:i/>
          <w:iCs/>
        </w:rPr>
        <w:footnoteReference w:id="75"/>
      </w:r>
      <w:r>
        <w:rPr>
          <w:rFonts w:cs="Times New Roman"/>
        </w:rPr>
        <w:t xml:space="preserve"> where the respondent discarded piles of refuse close to his neighbour’s land which depleted and entered onto the neighbour’s land by means of unstoppable pressure. The court decided: that the defendant meddle in the plaintiff land. The defendant ought to have anticipated this outcome.</w:t>
      </w:r>
    </w:p>
    <w:p w14:paraId="0FDC035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4. Trespass Ab Initio</w:t>
      </w:r>
    </w:p>
    <w:p w14:paraId="3D37CDBB">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When an individual ingress a land through a legitimate authorization and misuse the authorization, the individual is considered a trespasser </w:t>
      </w:r>
      <w:r>
        <w:rPr>
          <w:rFonts w:cs="Times New Roman"/>
          <w:i/>
          <w:iCs/>
        </w:rPr>
        <w:t>ab initio</w:t>
      </w:r>
      <w:r>
        <w:rPr>
          <w:rFonts w:cs="Times New Roman"/>
        </w:rPr>
        <w:t>, initially.</w:t>
      </w:r>
    </w:p>
    <w:p w14:paraId="0F86AAB7">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Trespassing at the beginning is known as trespass ab initio means trespass and specific individuals are granted the right to check in properties as part of their legal obligation, as stipulated by the law. Example of individuals who have the legal right to enter a property in order to fulfil their responsibilities include; police officers conducting investigations or making arrests; postal workers delivering mail; consumer goods inspectors visiting manufacturing facilities or verifying prices at retail stores; personnel from electricity and telecommunications authorities carrying out their authorised tasks, court bailiffs serving legal documents or seizing property as directed by a court order, firemen inspecting safety equipment on premises, and mineral resources prospectors.</w:t>
      </w:r>
    </w:p>
    <w:p w14:paraId="3BF1A0F9">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 concept of trespass ab initio refers to the situation where a person legally enters someone else's property, separate from any permission given by the occupier, but then misuses their entry by engaging in activities such as theft, vandalism, assault, or fighting.</w:t>
      </w:r>
      <w:r>
        <w:rPr>
          <w:rStyle w:val="12"/>
          <w:rFonts w:cs="Times New Roman"/>
        </w:rPr>
        <w:footnoteReference w:id="76"/>
      </w:r>
      <w:r>
        <w:rPr>
          <w:rFonts w:cs="Times New Roman"/>
        </w:rPr>
        <w:t xml:space="preserve">  To rephrase, where a person legally enters a premises and misbehaves, he is now seen as a trespasser from the onset he entered the vicinity. In </w:t>
      </w:r>
      <w:r>
        <w:rPr>
          <w:rFonts w:cs="Times New Roman"/>
          <w:i/>
          <w:iCs/>
        </w:rPr>
        <w:t>Ajibade v Pedro</w:t>
      </w:r>
      <w:r>
        <w:rPr>
          <w:rStyle w:val="12"/>
          <w:rFonts w:cs="Times New Roman"/>
          <w:i/>
          <w:iCs/>
        </w:rPr>
        <w:footnoteReference w:id="77"/>
      </w:r>
      <w:r>
        <w:rPr>
          <w:rFonts w:cs="Times New Roman"/>
        </w:rPr>
        <w:t xml:space="preserve">  the plaintiff allowed the defendant to reside rent-free in one of the rooms in the disputed property. More than a decade later, the defendant asserted that they had joint ownership of the house along with the plaintiff. Then, the plaintiff requested that the defendant leave the premises. The Court ruled that if a person who initially enters land legitimately or with permission from the true owner or person in possession later misuses their position or authority, he becomes a trespasser ab initio and his misbehaviour shall take him back to the entering of the land at the onset a trespass, not just when he refused to quit.</w:t>
      </w:r>
    </w:p>
    <w:p w14:paraId="5A20447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5. Continuing Trespass</w:t>
      </w:r>
    </w:p>
    <w:p w14:paraId="1A83E64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Remaining on a property or leaving something there after first trespassing is considered a continuing trespass. This action allows for a claim for relief and the right to demand for compensation on a daily basis until the trespass is stopped. Consequently, if someone unlawfully trespasses onto someone else's property, they are responsible for two ways the original entry and when the trespasser subsequently fails to leave or take away any belongings from the premises. In  </w:t>
      </w:r>
      <w:r>
        <w:rPr>
          <w:rFonts w:cs="Times New Roman"/>
          <w:i/>
          <w:iCs/>
        </w:rPr>
        <w:t>Lajide v. Oyelaran</w:t>
      </w:r>
      <w:r>
        <w:rPr>
          <w:rStyle w:val="12"/>
          <w:rFonts w:cs="Times New Roman"/>
        </w:rPr>
        <w:footnoteReference w:id="78"/>
      </w:r>
      <w:r>
        <w:rPr>
          <w:rFonts w:cs="Times New Roman"/>
        </w:rPr>
        <w:t xml:space="preserve">  the court  held the respondent  responsible for a continuing trespass on the adjoining land by means of his building foundation which was still on the adjoining land, although the respondent no longer enter the land , it does not suffice towards a conduct of a continuing trespass. </w:t>
      </w:r>
    </w:p>
    <w:p w14:paraId="19C03D8D">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There are instances where the resulting consequences will not be considered an ongoing trespass. In the given scenario, if a defendant trespasses on a plaintiff's land and creates a trench, the act of trespass ends once the defendant departs from the land, provided they do not return. In these circumstances, the intruder will be held responsible solely for their entry, while their failure or trenching shortfall is going to be considered a nuisance rather than an ongoing trespass.</w:t>
      </w:r>
    </w:p>
    <w:p w14:paraId="16E5B5F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4.3.2 Persons that can maintain an action under Trespass to Land</w:t>
      </w:r>
    </w:p>
    <w:p w14:paraId="067BF0D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1. The Owner in Possession</w:t>
      </w:r>
    </w:p>
    <w:p w14:paraId="022B035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A landowner who is in actual possession of the land can sue anyone who enters the Land without permission.</w:t>
      </w:r>
    </w:p>
    <w:p w14:paraId="0396ECE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2. A Tenant or Lessee</w:t>
      </w:r>
    </w:p>
    <w:p w14:paraId="3A7199A4">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A person who has leased or rented the land has possession during the tenancy and can bring an action against trespassers, including sometimes the landlord if the landlord enters unlawfully. </w:t>
      </w:r>
    </w:p>
    <w:p w14:paraId="66AFC71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3. A Person with the Right to Immediate Possession </w:t>
      </w:r>
    </w:p>
    <w:p w14:paraId="08395FA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Someone who is entitled to take possession immediately (such as a landlord after a lease has expired) can sue for trespass.</w:t>
      </w:r>
    </w:p>
    <w:p w14:paraId="41840187">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4. A Person with Exclusive Possession (Occupier)</w:t>
      </w:r>
    </w:p>
    <w:p w14:paraId="37D0B14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Any individual who has sole possession or authority over the Land, regardless of legal ownership, is entitled to file a lawsuit for trespass. </w:t>
      </w:r>
    </w:p>
    <w:p w14:paraId="4E104FD0">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5. Joint Possessors or Co-Owners in Possession </w:t>
      </w:r>
    </w:p>
    <w:p w14:paraId="062FDC7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Where Land is jointly possessed, any of the co-owners or joint tenants may maintain an action against a trespasser.</w:t>
      </w:r>
    </w:p>
    <w:p w14:paraId="1B57778D">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 xml:space="preserve">4.3.3 Defences under Trespass to Land </w:t>
      </w:r>
    </w:p>
    <w:p w14:paraId="21EE6E83">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In a trespass suit, a defendant may raise the following defences:</w:t>
      </w:r>
    </w:p>
    <w:p w14:paraId="06D374D7">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1. Possession of a better Title</w:t>
      </w:r>
    </w:p>
    <w:p w14:paraId="11CA864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 defendant may demonstrate that his title is more appropriate than the plaintiff is, he must provide evidence that he is entitled to gain instant ownership pertaining the aforementioned site.</w:t>
      </w:r>
    </w:p>
    <w:p w14:paraId="6773DB0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p>
    <w:p w14:paraId="4FAB455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p>
    <w:p w14:paraId="70EED1B7">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2. Acting under the Authority of a Person with a better Title</w:t>
      </w:r>
    </w:p>
    <w:p w14:paraId="3E608459">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An alternative term for it is simply Jus tertii, which is a more convenient designation for a third party. The purpose of tertii is to prevent individuals without a title from starting the process of taking occupancy from an individual who does have a rightful deed of owners. This applies when a defendant makes an assertion for or using a third party who possesses a stronger title.</w:t>
      </w:r>
    </w:p>
    <w:p w14:paraId="2773522F">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3. Entry to Abate Nuisance</w:t>
      </w:r>
    </w:p>
    <w:p w14:paraId="7421D74F">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 defendant is entitled to enter a neighbouring property to address nuisances that is causing disturbance with the legal norm of use of their own possession. However, he must not engage in any wrongdoing while taking action, except for stopping the nuisance.</w:t>
      </w:r>
    </w:p>
    <w:p w14:paraId="6807F13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4.4 Trespass to Chattels</w:t>
      </w:r>
    </w:p>
    <w:p w14:paraId="51FFDA26">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4.4.1Meaning of Trespass to Chattels</w:t>
      </w:r>
    </w:p>
    <w:p w14:paraId="041BDC1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There are three torts, specifically trespass to goods, conversion, and detinue, provide protections for a chattel’s owner against any unauthorized alteration. Trespass onto property, converting, and detinue relates to the unapproved disruption of chattel. Nonetheless, they exists a crucial distinction in the case of trespass to chattels, as the possessor or rightful owner maintains possession or control over the item, in contrast to conversion and detinue where the possessor or legitimate owner is stripped of occupancy. </w:t>
      </w:r>
    </w:p>
    <w:p w14:paraId="54BB8A4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 chattel refers to tangible asset that is not land or immovable property. The term "chattel" refers to any item, merchandise, or personal possession, excluding real estate and fixed property. Chattels encompass various items such as books, cars, furniture, animals, vessels, aircraft, and any other movable possessions that can be owned.</w:t>
      </w:r>
    </w:p>
    <w:p w14:paraId="21814F35">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Trespass to chattels is a tort that protects owned goods, chattel, personal belongings that are owned or possessed by an individual by prohibiting any unauthorised interference, unless there is legal justification.</w:t>
      </w:r>
      <w:r>
        <w:rPr>
          <w:rStyle w:val="12"/>
          <w:rFonts w:cs="Times New Roman"/>
        </w:rPr>
        <w:footnoteReference w:id="79"/>
      </w:r>
      <w:r>
        <w:rPr>
          <w:rFonts w:cs="Times New Roman"/>
        </w:rPr>
        <w:t xml:space="preserve"> It safeguards the entitlement to own or possess a movable property from any unauthorised disruptions.</w:t>
      </w:r>
    </w:p>
    <w:p w14:paraId="0E80AF7A">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Trespassing is when someone unlawfully disrupts another person’s control or use of his or her chattel and property. Chattel interference refers to the deliberate or careless interrupting someone’s use of his or her property. Trespass to chattel is when you mess with someone else’s property, without lawful justification. It entails the unauthorised use of someone's property. </w:t>
      </w:r>
    </w:p>
    <w:p w14:paraId="246FB9A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An instance of trespass to chattels could be illustrated by considering a scenario where you are hanging out with your friend Bob and watching a movie at his place. Once the movie concludes, you rise from your seat to depart for home. While departing, you spot a laptop on the coffee table and instinctively pick it up, assuming it is yours. Actually, Bob own the laptop. His laptop is exactly like yours. Regardless of your sincere belief that the laptop belonged to you, you are still responsible for trespass to chattels since you had the intention to carry Bob laptop. Ownership error to take the laptop is not a good excuse if you end up trespassing on someone else property. Other types of trespass to chattel are;</w:t>
      </w:r>
    </w:p>
    <w:p w14:paraId="3C310CCB">
      <w:pPr>
        <w:pageBreakBefore w:val="0"/>
        <w:widowControl/>
        <w:numPr>
          <w:ilvl w:val="0"/>
          <w:numId w:val="12"/>
        </w:numPr>
        <w:kinsoku/>
        <w:wordWrap/>
        <w:overflowPunct/>
        <w:topLinePunct w:val="0"/>
        <w:autoSpaceDE/>
        <w:autoSpaceDN/>
        <w:bidi w:val="0"/>
        <w:adjustRightInd/>
        <w:snapToGrid/>
        <w:spacing w:beforeAutospacing="0" w:after="0" w:afterAutospacing="0"/>
        <w:ind w:left="720" w:leftChars="0" w:hanging="360" w:firstLineChars="0"/>
        <w:textAlignment w:val="auto"/>
        <w:rPr>
          <w:rFonts w:cs="Times New Roman"/>
        </w:rPr>
      </w:pPr>
      <w:r>
        <w:rPr>
          <w:rFonts w:cs="Times New Roman"/>
        </w:rPr>
        <w:t>Removing a chattel.</w:t>
      </w:r>
    </w:p>
    <w:p w14:paraId="02183542">
      <w:pPr>
        <w:pageBreakBefore w:val="0"/>
        <w:widowControl/>
        <w:numPr>
          <w:ilvl w:val="0"/>
          <w:numId w:val="12"/>
        </w:numPr>
        <w:kinsoku/>
        <w:wordWrap/>
        <w:overflowPunct/>
        <w:topLinePunct w:val="0"/>
        <w:autoSpaceDE/>
        <w:autoSpaceDN/>
        <w:bidi w:val="0"/>
        <w:adjustRightInd/>
        <w:snapToGrid/>
        <w:spacing w:beforeAutospacing="0" w:after="0" w:afterAutospacing="0"/>
        <w:ind w:left="720" w:leftChars="0" w:hanging="360" w:firstLineChars="0"/>
        <w:textAlignment w:val="auto"/>
        <w:rPr>
          <w:rFonts w:cs="Times New Roman"/>
        </w:rPr>
      </w:pPr>
      <w:r>
        <w:rPr>
          <w:rFonts w:cs="Times New Roman"/>
        </w:rPr>
        <w:t>Disposing of someone else's belongings, for example, out of frustration.</w:t>
      </w:r>
    </w:p>
    <w:p w14:paraId="3CC9FA0C">
      <w:pPr>
        <w:pageBreakBefore w:val="0"/>
        <w:widowControl/>
        <w:numPr>
          <w:ilvl w:val="0"/>
          <w:numId w:val="12"/>
        </w:numPr>
        <w:kinsoku/>
        <w:wordWrap/>
        <w:overflowPunct/>
        <w:topLinePunct w:val="0"/>
        <w:autoSpaceDE/>
        <w:autoSpaceDN/>
        <w:bidi w:val="0"/>
        <w:adjustRightInd/>
        <w:snapToGrid/>
        <w:spacing w:beforeAutospacing="0" w:after="0" w:afterAutospacing="0"/>
        <w:ind w:left="720" w:leftChars="0" w:hanging="360" w:firstLineChars="0"/>
        <w:textAlignment w:val="auto"/>
        <w:rPr>
          <w:rFonts w:cs="Times New Roman"/>
        </w:rPr>
      </w:pPr>
      <w:r>
        <w:rPr>
          <w:rFonts w:cs="Times New Roman"/>
        </w:rPr>
        <w:t>Causing harm to someone else is animal.</w:t>
      </w:r>
    </w:p>
    <w:p w14:paraId="140D5A36">
      <w:pPr>
        <w:pageBreakBefore w:val="0"/>
        <w:widowControl/>
        <w:numPr>
          <w:ilvl w:val="0"/>
          <w:numId w:val="12"/>
        </w:numPr>
        <w:kinsoku/>
        <w:wordWrap/>
        <w:overflowPunct/>
        <w:topLinePunct w:val="0"/>
        <w:autoSpaceDE/>
        <w:autoSpaceDN/>
        <w:bidi w:val="0"/>
        <w:adjustRightInd/>
        <w:snapToGrid/>
        <w:spacing w:beforeAutospacing="0" w:after="0" w:afterAutospacing="0"/>
        <w:ind w:left="720" w:leftChars="0" w:hanging="360" w:firstLineChars="0"/>
        <w:textAlignment w:val="auto"/>
        <w:rPr>
          <w:rFonts w:cs="Times New Roman"/>
        </w:rPr>
      </w:pPr>
      <w:r>
        <w:rPr>
          <w:rFonts w:cs="Times New Roman"/>
        </w:rPr>
        <w:t>Merely transporting goods from one location to another.</w:t>
      </w:r>
    </w:p>
    <w:p w14:paraId="336065A9">
      <w:pPr>
        <w:pageBreakBefore w:val="0"/>
        <w:widowControl/>
        <w:numPr>
          <w:ilvl w:val="0"/>
          <w:numId w:val="12"/>
        </w:numPr>
        <w:kinsoku/>
        <w:wordWrap/>
        <w:overflowPunct/>
        <w:topLinePunct w:val="0"/>
        <w:autoSpaceDE/>
        <w:autoSpaceDN/>
        <w:bidi w:val="0"/>
        <w:adjustRightInd/>
        <w:snapToGrid/>
        <w:spacing w:beforeAutospacing="0" w:after="0" w:afterAutospacing="0"/>
        <w:ind w:left="720" w:leftChars="0" w:hanging="360" w:firstLineChars="0"/>
        <w:textAlignment w:val="auto"/>
        <w:rPr>
          <w:rFonts w:cs="Times New Roman"/>
        </w:rPr>
      </w:pPr>
      <w:r>
        <w:rPr>
          <w:rFonts w:cs="Times New Roman"/>
        </w:rPr>
        <w:t>Operating a vehicle belonging to someone else without his or her consent.</w:t>
      </w:r>
    </w:p>
    <w:p w14:paraId="579FC579">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Factors of Trespass to Chattel</w:t>
      </w:r>
    </w:p>
    <w:p w14:paraId="79691201">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To win in a dispute for trespass to chattel, the individual bringing such a case shall show that the conduct of obstruction took place willingly or careless. </w:t>
      </w:r>
    </w:p>
    <w:p w14:paraId="57CC0DC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Generally, it is crucial to establish intention or negligence when dealing with trespass to chattel, this tort does not impose absolute responsibility. Initially, one tort that imposed strict liability was trespass to chattels. The plaintiff did not have to show that the defendant’s acts were careless or deliberate. Existing regulation stipulates that inadvertent tampering with products is not liable and that either ignorance or purposely must be demonstrated. In </w:t>
      </w:r>
      <w:r>
        <w:rPr>
          <w:rFonts w:cs="Times New Roman"/>
          <w:i/>
          <w:iCs/>
        </w:rPr>
        <w:t>National Coal Board v. Evans</w:t>
      </w:r>
      <w:r>
        <w:rPr>
          <w:rStyle w:val="12"/>
          <w:rFonts w:cs="Times New Roman"/>
        </w:rPr>
        <w:footnoteReference w:id="80"/>
      </w:r>
      <w:r>
        <w:rPr>
          <w:rFonts w:cs="Times New Roman"/>
        </w:rPr>
        <w:t xml:space="preserve">  a contractor was digging on land owned by someone else when he accidentally hit and damaged the plaintiff’s beneath cable. The court decided that the contractor was not at fault or guilty of trespassing because he had no idea the was there and was not careless in his work. Nevertheless, it is crucial to differentiate accidental trespass from cases where trespass occurs due to a mistake. In situations where the disruption of someone’s property is deliberate, there is no valid shield to argue that the trespass would have been done by the defendant anyway even if they were about their right to do so, or that they were unaware they were trespassing. For instance, if a mistakenly uses B's toothbrush, believing it to be his own, he can be held responsible for trespassing because his action of using the toothbrush was intentional. It does not matter that he was unaware he was committing trespass. On the other hand, in the situation involving the interference with the cable, the defendant's action was completely unintentional.</w:t>
      </w:r>
    </w:p>
    <w:p w14:paraId="64C0D8E8">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 xml:space="preserve">Another example of the principle which require the plaintiff to prove negligence or intention is the following rule: if a person's property is damaged on or near a public road by the defendant's vehicle (such as a car being damaged on the road or a shop adjacent to the road being damaged), the plaintiff must demonstrate that the harm was caused by the defendant's negligence or the negligence of someone for whom the defendant is legally responsible. It is not enough to simply show that the damage occurred. </w:t>
      </w:r>
    </w:p>
    <w:p w14:paraId="34F8501E">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Trespass Actionable Per Se</w:t>
      </w:r>
    </w:p>
    <w:p w14:paraId="56B6D55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cs="Times New Roman"/>
        </w:rPr>
        <w:t xml:space="preserve">Similar to other types of trespass, trespass to chattel or goods is considered actionable per se, this indicates that it can be sought without having to demonstrate real damage. Hence, the mere act of relocating or making contact with a personal possession without inflicting any damage is regarded as legally actionable. As an example, if B were to disregard instructions and make contact with an animal at a zoo or tamper with an artwork at a museum, or if B were to take C's personal diary and display its contents to E, or if B were to play A's PlayStation game without proper authorization or consent. </w:t>
      </w:r>
    </w:p>
    <w:p w14:paraId="23DA1EF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4.4.2 Persons that can maintain an action under Trespass to Chattels</w:t>
      </w:r>
    </w:p>
    <w:p w14:paraId="3FDF7E6C">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1. The Owner of the Chattel</w:t>
      </w:r>
    </w:p>
    <w:p w14:paraId="54863A4A">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The person who has ownership rights over the property can bring an action if another person intentionally interferes with it.</w:t>
      </w:r>
    </w:p>
    <w:p w14:paraId="1D695021">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2. A person in Possession of the Chattel</w:t>
      </w:r>
    </w:p>
    <w:p w14:paraId="24443EB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 xml:space="preserve">Anyone who has actual possession or control of the goods at the time of the trespass can sue, even if they are not owner. </w:t>
      </w:r>
    </w:p>
    <w:p w14:paraId="502BBF8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3. A Baliee</w:t>
      </w:r>
    </w:p>
    <w:p w14:paraId="1C2C7A83">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A bailee is someone temporarily entrusted with goods, such as a repairer or carrier) can maintain an action because they have lawful possession of the chattel.</w:t>
      </w:r>
    </w:p>
    <w:p w14:paraId="108E44DF">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4. A person with the immediate Right to Possession</w:t>
      </w:r>
    </w:p>
    <w:p w14:paraId="2343A37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r>
        <w:rPr>
          <w:rFonts w:eastAsia="Times New Roman" w:cs="Times New Roman"/>
          <w:szCs w:val="24"/>
        </w:rPr>
        <w:t>An individual who posses the lawful entitlement to prompt ownership of the property, like the proprietor once the bailment duration has concluded, is also entitled to initiate legal action.</w:t>
      </w:r>
    </w:p>
    <w:p w14:paraId="334CB4DE">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7ED452F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p>
    <w:p w14:paraId="71EAD858">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b/>
          <w:szCs w:val="24"/>
        </w:rPr>
      </w:pPr>
      <w:r>
        <w:rPr>
          <w:rFonts w:eastAsia="Times New Roman" w:cs="Times New Roman"/>
          <w:b/>
          <w:szCs w:val="24"/>
        </w:rPr>
        <w:t>4.4.3 Defences under Trespass to Chattels</w:t>
      </w:r>
    </w:p>
    <w:p w14:paraId="6D132798">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In an action for trespass to chattel, the defences a defendant may plead include:</w:t>
      </w:r>
    </w:p>
    <w:p w14:paraId="0E2987BC">
      <w:pPr>
        <w:pageBreakBefore w:val="0"/>
        <w:widowControl/>
        <w:numPr>
          <w:ilvl w:val="0"/>
          <w:numId w:val="13"/>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Inevitable Accident</w:t>
      </w:r>
    </w:p>
    <w:p w14:paraId="4F80A324">
      <w:pPr>
        <w:pageBreakBefore w:val="0"/>
        <w:widowControl/>
        <w:kinsoku/>
        <w:wordWrap/>
        <w:overflowPunct/>
        <w:topLinePunct w:val="0"/>
        <w:autoSpaceDE/>
        <w:autoSpaceDN/>
        <w:bidi w:val="0"/>
        <w:adjustRightInd/>
        <w:snapToGrid/>
        <w:spacing w:beforeAutospacing="0" w:after="0" w:afterAutospacing="0"/>
        <w:textAlignment w:val="auto"/>
        <w:rPr>
          <w:rFonts w:hint="eastAsia"/>
        </w:rPr>
      </w:pPr>
      <w:r>
        <w:rPr>
          <w:rFonts w:hint="eastAsia"/>
        </w:rPr>
        <w:t>This defence applies where the interference with the chattel occurred through an unavoidable accident that could not have been prevented despite reasonable care. The defendant is not liable because there was no negligence or intention.</w:t>
      </w:r>
    </w:p>
    <w:p w14:paraId="3303C8BD">
      <w:pPr>
        <w:pageBreakBefore w:val="0"/>
        <w:widowControl/>
        <w:numPr>
          <w:ilvl w:val="0"/>
          <w:numId w:val="14"/>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Jus Tertii</w:t>
      </w:r>
    </w:p>
    <w:p w14:paraId="021CFE02">
      <w:pPr>
        <w:pageBreakBefore w:val="0"/>
        <w:widowControl/>
        <w:kinsoku/>
        <w:wordWrap/>
        <w:overflowPunct/>
        <w:topLinePunct w:val="0"/>
        <w:autoSpaceDE/>
        <w:autoSpaceDN/>
        <w:bidi w:val="0"/>
        <w:adjustRightInd/>
        <w:snapToGrid/>
        <w:spacing w:beforeAutospacing="0" w:after="0" w:afterAutospacing="0"/>
        <w:textAlignment w:val="auto"/>
        <w:rPr>
          <w:rFonts w:hint="eastAsia"/>
        </w:rPr>
      </w:pPr>
      <w:r>
        <w:rPr>
          <w:rFonts w:hint="eastAsia"/>
        </w:rPr>
        <w:t>This means the defendant acted on the authority or superior title of a third party who had a better right to the chattel than the claimant. It is a valid defence only where the defendant can rely on that third party's authority.</w:t>
      </w:r>
    </w:p>
    <w:p w14:paraId="799DAD64">
      <w:pPr>
        <w:pageBreakBefore w:val="0"/>
        <w:widowControl/>
        <w:numPr>
          <w:ilvl w:val="0"/>
          <w:numId w:val="15"/>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Limitation of Time</w:t>
      </w:r>
    </w:p>
    <w:p w14:paraId="768115A2">
      <w:pPr>
        <w:pageBreakBefore w:val="0"/>
        <w:widowControl/>
        <w:kinsoku/>
        <w:wordWrap/>
        <w:overflowPunct/>
        <w:topLinePunct w:val="0"/>
        <w:autoSpaceDE/>
        <w:autoSpaceDN/>
        <w:bidi w:val="0"/>
        <w:adjustRightInd/>
        <w:snapToGrid/>
        <w:spacing w:beforeAutospacing="0" w:after="0" w:afterAutospacing="0"/>
        <w:textAlignment w:val="auto"/>
        <w:rPr>
          <w:rFonts w:hint="eastAsia"/>
        </w:rPr>
      </w:pPr>
      <w:r>
        <w:rPr>
          <w:rFonts w:hint="eastAsia"/>
        </w:rPr>
        <w:t>An action for trespass to chattels must be brought within the period prescribed by the applicable Limitation Law. If the claim is filed after the limitation period expires, it is statute-barred.</w:t>
      </w:r>
    </w:p>
    <w:p w14:paraId="300BC789">
      <w:pPr>
        <w:pageBreakBefore w:val="0"/>
        <w:widowControl/>
        <w:numPr>
          <w:ilvl w:val="0"/>
          <w:numId w:val="16"/>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Subsisting Lien</w:t>
      </w:r>
    </w:p>
    <w:p w14:paraId="6C6987BC">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hint="eastAsia"/>
        </w:rPr>
        <w:t>A lien gives a person the legal right to retain possession of another's chattel until a debt or obligation relating to it is discharged. Retaining the chattel under a valid lien is not trespass.</w:t>
      </w:r>
    </w:p>
    <w:p w14:paraId="056D7843">
      <w:pPr>
        <w:pageBreakBefore w:val="0"/>
        <w:widowControl/>
        <w:numPr>
          <w:ilvl w:val="0"/>
          <w:numId w:val="17"/>
        </w:numPr>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Subsisting bailment.</w:t>
      </w:r>
      <w:r>
        <w:rPr>
          <w:rStyle w:val="12"/>
          <w:rFonts w:cs="Times New Roman"/>
        </w:rPr>
        <w:footnoteReference w:id="81"/>
      </w:r>
    </w:p>
    <w:p w14:paraId="1078AA45">
      <w:pPr>
        <w:pageBreakBefore w:val="0"/>
        <w:widowControl/>
        <w:numPr>
          <w:ilvl w:val="0"/>
          <w:numId w:val="0"/>
        </w:numPr>
        <w:kinsoku/>
        <w:wordWrap/>
        <w:overflowPunct/>
        <w:topLinePunct w:val="0"/>
        <w:autoSpaceDE/>
        <w:autoSpaceDN/>
        <w:bidi w:val="0"/>
        <w:adjustRightInd/>
        <w:snapToGrid/>
        <w:spacing w:beforeAutospacing="0" w:after="0" w:afterAutospacing="0"/>
        <w:textAlignment w:val="auto"/>
        <w:rPr>
          <w:rFonts w:cs="Times New Roman"/>
        </w:rPr>
      </w:pPr>
      <w:r>
        <w:rPr>
          <w:rFonts w:hint="eastAsia"/>
        </w:rPr>
        <w:t>Bailment exists where possession of a chattel has been lawfully transferred to another for a specific purpose. A bailee who keeps or deals with the chattel within the terms of the bailment is not liable for trespass.</w:t>
      </w:r>
    </w:p>
    <w:p w14:paraId="4D69B24E">
      <w:pPr>
        <w:pageBreakBefore w:val="0"/>
        <w:widowControl/>
        <w:kinsoku/>
        <w:wordWrap/>
        <w:overflowPunct/>
        <w:topLinePunct w:val="0"/>
        <w:autoSpaceDE/>
        <w:autoSpaceDN/>
        <w:bidi w:val="0"/>
        <w:adjustRightInd/>
        <w:snapToGrid/>
        <w:spacing w:beforeAutospacing="0" w:after="0" w:afterAutospacing="0"/>
        <w:textAlignment w:val="auto"/>
        <w:rPr>
          <w:rFonts w:cs="Times New Roman"/>
          <w:b/>
        </w:rPr>
      </w:pPr>
      <w:r>
        <w:rPr>
          <w:rFonts w:cs="Times New Roman"/>
          <w:b/>
        </w:rPr>
        <w:t>Remedies for Trespass to Chattel</w:t>
      </w:r>
    </w:p>
    <w:p w14:paraId="74BC9FE9">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cs="Times New Roman"/>
        </w:rPr>
        <w:t>The options accessible to an individual whose personal property has been interfered with, aside from conversion or detinue, are;</w:t>
      </w:r>
    </w:p>
    <w:p w14:paraId="7E4B6FF8">
      <w:pPr>
        <w:pageBreakBefore w:val="0"/>
        <w:widowControl/>
        <w:numPr>
          <w:ilvl w:val="0"/>
          <w:numId w:val="18"/>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Payment of Damages</w:t>
      </w:r>
    </w:p>
    <w:p w14:paraId="09A83970">
      <w:pPr>
        <w:pageBreakBefore w:val="0"/>
        <w:widowControl/>
        <w:kinsoku/>
        <w:wordWrap/>
        <w:overflowPunct/>
        <w:topLinePunct w:val="0"/>
        <w:autoSpaceDE/>
        <w:autoSpaceDN/>
        <w:bidi w:val="0"/>
        <w:adjustRightInd/>
        <w:snapToGrid/>
        <w:spacing w:beforeAutospacing="0" w:after="0" w:afterAutospacing="0"/>
        <w:textAlignment w:val="auto"/>
        <w:rPr>
          <w:rFonts w:hint="eastAsia"/>
        </w:rPr>
      </w:pPr>
      <w:r>
        <w:rPr>
          <w:rFonts w:hint="eastAsia"/>
        </w:rPr>
        <w:t>The defendant pays monetary compensation to the claimant for the loss or damage suffered as a result of the wrongful act. The amount awarded is intended to restore the claimant to the position they would have been in before the wrong occurred.</w:t>
      </w:r>
    </w:p>
    <w:p w14:paraId="0DAB66BD">
      <w:pPr>
        <w:pageBreakBefore w:val="0"/>
        <w:widowControl/>
        <w:numPr>
          <w:ilvl w:val="0"/>
          <w:numId w:val="18"/>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Replacement of the Chattel</w:t>
      </w:r>
    </w:p>
    <w:p w14:paraId="2DF9C938">
      <w:pPr>
        <w:pageBreakBefore w:val="0"/>
        <w:widowControl/>
        <w:kinsoku/>
        <w:wordWrap/>
        <w:overflowPunct/>
        <w:topLinePunct w:val="0"/>
        <w:autoSpaceDE/>
        <w:autoSpaceDN/>
        <w:bidi w:val="0"/>
        <w:adjustRightInd/>
        <w:snapToGrid/>
        <w:spacing w:beforeAutospacing="0" w:after="0" w:afterAutospacing="0"/>
        <w:textAlignment w:val="auto"/>
        <w:rPr>
          <w:rFonts w:hint="eastAsia"/>
        </w:rPr>
      </w:pPr>
      <w:r>
        <w:rPr>
          <w:rFonts w:hint="eastAsia"/>
        </w:rPr>
        <w:t>The defendant provides another item of the same type, quality, and value as the one that was destroyed, lost, or wrongfully taken. This remedy is appropriate where an equivalent replacement is reasonably available.</w:t>
      </w:r>
    </w:p>
    <w:p w14:paraId="08287504">
      <w:pPr>
        <w:pageBreakBefore w:val="0"/>
        <w:widowControl/>
        <w:numPr>
          <w:ilvl w:val="0"/>
          <w:numId w:val="18"/>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Payment of the Market Price</w:t>
      </w:r>
    </w:p>
    <w:p w14:paraId="50CB5610">
      <w:pPr>
        <w:pageBreakBefore w:val="0"/>
        <w:widowControl/>
        <w:kinsoku/>
        <w:wordWrap/>
        <w:overflowPunct/>
        <w:topLinePunct w:val="0"/>
        <w:autoSpaceDE/>
        <w:autoSpaceDN/>
        <w:bidi w:val="0"/>
        <w:adjustRightInd/>
        <w:snapToGrid/>
        <w:spacing w:beforeAutospacing="0" w:after="0" w:afterAutospacing="0"/>
        <w:textAlignment w:val="auto"/>
        <w:rPr>
          <w:rFonts w:hint="eastAsia"/>
        </w:rPr>
      </w:pPr>
      <w:r>
        <w:rPr>
          <w:rFonts w:hint="eastAsia"/>
        </w:rPr>
        <w:t>Where the chattel cannot be returned or replaced, the defendant pays its current market value at the time of the loss or conversion. This ensures the claimant receives the monetary equivalent of the property.</w:t>
      </w:r>
    </w:p>
    <w:p w14:paraId="7E32B793">
      <w:pPr>
        <w:pageBreakBefore w:val="0"/>
        <w:widowControl/>
        <w:numPr>
          <w:ilvl w:val="0"/>
          <w:numId w:val="18"/>
        </w:numPr>
        <w:kinsoku/>
        <w:wordWrap/>
        <w:overflowPunct/>
        <w:topLinePunct w:val="0"/>
        <w:autoSpaceDE/>
        <w:autoSpaceDN/>
        <w:bidi w:val="0"/>
        <w:adjustRightInd/>
        <w:snapToGrid/>
        <w:spacing w:beforeAutospacing="0" w:after="0" w:afterAutospacing="0"/>
        <w:textAlignment w:val="auto"/>
        <w:rPr>
          <w:rFonts w:hint="eastAsia"/>
        </w:rPr>
      </w:pPr>
      <w:r>
        <w:rPr>
          <w:rFonts w:hint="eastAsia"/>
        </w:rPr>
        <w:t>Repair of the Damage</w:t>
      </w:r>
    </w:p>
    <w:p w14:paraId="7AF2FF5E">
      <w:pPr>
        <w:pageBreakBefore w:val="0"/>
        <w:widowControl/>
        <w:kinsoku/>
        <w:wordWrap/>
        <w:overflowPunct/>
        <w:topLinePunct w:val="0"/>
        <w:autoSpaceDE/>
        <w:autoSpaceDN/>
        <w:bidi w:val="0"/>
        <w:adjustRightInd/>
        <w:snapToGrid/>
        <w:spacing w:beforeAutospacing="0" w:after="0" w:afterAutospacing="0"/>
        <w:textAlignment w:val="auto"/>
        <w:rPr>
          <w:rFonts w:cs="Times New Roman"/>
        </w:rPr>
      </w:pPr>
      <w:r>
        <w:rPr>
          <w:rFonts w:hint="eastAsia"/>
        </w:rPr>
        <w:t>If the chattel has been damaged but is repairable, the defendant may be required to bear the reasonable cost of restoring it to its original condition. This remedy aims to make the property usable again without unnecessary financial loss to the owner.</w:t>
      </w:r>
    </w:p>
    <w:p w14:paraId="1BE55645">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002CB8E2">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03224B45">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24FCF28B">
      <w:pPr>
        <w:pageBreakBefore w:val="0"/>
        <w:widowControl/>
        <w:kinsoku/>
        <w:wordWrap/>
        <w:overflowPunct/>
        <w:topLinePunct w:val="0"/>
        <w:autoSpaceDE/>
        <w:autoSpaceDN/>
        <w:bidi w:val="0"/>
        <w:adjustRightInd/>
        <w:snapToGrid/>
        <w:spacing w:beforeAutospacing="0" w:after="0" w:afterAutospacing="0"/>
        <w:textAlignment w:val="auto"/>
        <w:rPr>
          <w:rFonts w:eastAsia="Times New Roman" w:cs="Times New Roman"/>
          <w:szCs w:val="24"/>
        </w:rPr>
      </w:pPr>
    </w:p>
    <w:p w14:paraId="17E0BD17">
      <w:pPr>
        <w:pageBreakBefore w:val="0"/>
        <w:widowControl/>
        <w:kinsoku/>
        <w:wordWrap/>
        <w:overflowPunct/>
        <w:topLinePunct w:val="0"/>
        <w:autoSpaceDE/>
        <w:autoSpaceDN/>
        <w:bidi w:val="0"/>
        <w:adjustRightInd/>
        <w:snapToGrid/>
        <w:spacing w:beforeAutospacing="0" w:after="0" w:afterAutospacing="0" w:line="276" w:lineRule="auto"/>
        <w:jc w:val="left"/>
        <w:textAlignment w:val="auto"/>
        <w:rPr>
          <w:rFonts w:cs="Times New Roman"/>
          <w:b/>
          <w:bCs/>
          <w:lang w:val="en-US"/>
        </w:rPr>
      </w:pPr>
      <w:r>
        <w:rPr>
          <w:rFonts w:cs="Times New Roman"/>
          <w:b/>
          <w:bCs/>
          <w:lang w:val="en-US"/>
        </w:rPr>
        <w:br w:type="page"/>
      </w:r>
    </w:p>
    <w:p w14:paraId="2A2B984F">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lang w:val="en-US"/>
        </w:rPr>
      </w:pPr>
      <w:r>
        <w:rPr>
          <w:rFonts w:cs="Times New Roman"/>
          <w:b/>
          <w:bCs/>
          <w:lang w:val="en-US"/>
        </w:rPr>
        <w:t>CHAPTER FIVE</w:t>
      </w:r>
    </w:p>
    <w:p w14:paraId="329A3107">
      <w:pPr>
        <w:pageBreakBefore w:val="0"/>
        <w:widowControl/>
        <w:kinsoku/>
        <w:wordWrap/>
        <w:overflowPunct/>
        <w:topLinePunct w:val="0"/>
        <w:autoSpaceDE/>
        <w:autoSpaceDN/>
        <w:bidi w:val="0"/>
        <w:adjustRightInd/>
        <w:snapToGrid/>
        <w:spacing w:beforeAutospacing="0" w:after="0" w:afterAutospacing="0"/>
        <w:jc w:val="center"/>
        <w:textAlignment w:val="auto"/>
        <w:rPr>
          <w:rFonts w:cs="Times New Roman"/>
          <w:b/>
          <w:bCs/>
          <w:lang w:val="en-US"/>
        </w:rPr>
      </w:pPr>
      <w:r>
        <w:rPr>
          <w:rFonts w:cs="Times New Roman"/>
          <w:b/>
          <w:bCs/>
          <w:lang w:val="en-US"/>
        </w:rPr>
        <w:t>SUMMARY OF FINDINGS, RECOMMENDATIONS AND CONCLUSION</w:t>
      </w:r>
    </w:p>
    <w:p w14:paraId="7E5DDD1C">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b/>
          <w:lang w:val="en-US"/>
        </w:rPr>
        <w:t>5.1</w:t>
      </w:r>
      <w:r>
        <w:rPr>
          <w:rFonts w:cs="Times New Roman"/>
          <w:lang w:val="en-US"/>
        </w:rPr>
        <w:tab/>
      </w:r>
      <w:r>
        <w:rPr>
          <w:rFonts w:cs="Times New Roman"/>
          <w:b/>
          <w:bCs/>
          <w:lang w:val="en-US"/>
        </w:rPr>
        <w:t>Summary of Findings</w:t>
      </w:r>
    </w:p>
    <w:p w14:paraId="395EE4AB">
      <w:pPr>
        <w:pageBreakBefore w:val="0"/>
        <w:widowControl/>
        <w:kinsoku/>
        <w:wordWrap/>
        <w:overflowPunct/>
        <w:topLinePunct w:val="0"/>
        <w:autoSpaceDE/>
        <w:autoSpaceDN/>
        <w:bidi w:val="0"/>
        <w:adjustRightInd/>
        <w:snapToGrid/>
        <w:spacing w:beforeAutospacing="0" w:after="0" w:afterAutospacing="0"/>
        <w:textAlignment w:val="auto"/>
        <w:rPr>
          <w:rFonts w:cs="Times New Roman"/>
          <w:b/>
          <w:lang w:val="en-US"/>
        </w:rPr>
      </w:pPr>
      <w:r>
        <w:rPr>
          <w:rFonts w:cs="Times New Roman"/>
          <w:b/>
          <w:lang w:val="en-US"/>
        </w:rPr>
        <w:t>1. Trespass is a Tortious Action</w:t>
      </w:r>
    </w:p>
    <w:p w14:paraId="2FE2BACE">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 is considered a tortious action because it involves the unlawful intrusion onto another person's rights. The act of trespassing infringes upon the legal entitlements that individuals have over their land, personal property, or physical person. The following are reasons why Trespass qualify as a tortious action under the law of tort.</w:t>
      </w:r>
    </w:p>
    <w:p w14:paraId="76F7C609">
      <w:pPr>
        <w:pageBreakBefore w:val="0"/>
        <w:widowControl/>
        <w:kinsoku/>
        <w:wordWrap/>
        <w:overflowPunct/>
        <w:topLinePunct w:val="0"/>
        <w:autoSpaceDE/>
        <w:autoSpaceDN/>
        <w:bidi w:val="0"/>
        <w:adjustRightInd/>
        <w:snapToGrid/>
        <w:spacing w:beforeAutospacing="0" w:after="0" w:afterAutospacing="0"/>
        <w:textAlignment w:val="auto"/>
        <w:rPr>
          <w:rFonts w:cs="Times New Roman"/>
          <w:b/>
          <w:lang w:val="en-US"/>
        </w:rPr>
      </w:pPr>
      <w:r>
        <w:rPr>
          <w:rFonts w:cs="Times New Roman"/>
          <w:b/>
          <w:lang w:val="en-US"/>
        </w:rPr>
        <w:t>2. Infringement of Property Rights</w:t>
      </w:r>
    </w:p>
    <w:p w14:paraId="0F803E49">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Trespassing violates an individual's rights to their property. Unauthorized interference is not permitted when it comes to an individual's right to manage and take pleasure in their assets. If an individual deliberately trespasses onto someone else's property without consent, they infringe upon the owner's rights to their land, which could result in a possible legal action for damages.</w:t>
      </w:r>
    </w:p>
    <w:p w14:paraId="35FFBA5A">
      <w:pPr>
        <w:pageBreakBefore w:val="0"/>
        <w:widowControl/>
        <w:kinsoku/>
        <w:wordWrap/>
        <w:overflowPunct/>
        <w:topLinePunct w:val="0"/>
        <w:autoSpaceDE/>
        <w:autoSpaceDN/>
        <w:bidi w:val="0"/>
        <w:adjustRightInd/>
        <w:snapToGrid/>
        <w:spacing w:beforeAutospacing="0" w:after="0" w:afterAutospacing="0"/>
        <w:textAlignment w:val="auto"/>
        <w:rPr>
          <w:rFonts w:cs="Times New Roman"/>
          <w:b/>
          <w:lang w:val="en-US"/>
        </w:rPr>
      </w:pPr>
      <w:r>
        <w:rPr>
          <w:rFonts w:cs="Times New Roman"/>
          <w:b/>
          <w:lang w:val="en-US"/>
        </w:rPr>
        <w:t>3. Harm or Interference</w:t>
      </w:r>
    </w:p>
    <w:p w14:paraId="1195FC7A">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 can result in harm or interference with a person's rights. The act of trespassing may cause physical damage, loss of possession, emotional distress, or interference with the peaceful enjoyment of one's property. These consequences can form the basis for a claim in tort.</w:t>
      </w:r>
    </w:p>
    <w:p w14:paraId="4C57BC73">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 is regarded as a tort of strict liability. This indicates that the defendant may be responsible for the trespass, irrespective of their intentions or awareness of the limits of the property. Even if the trespasser mistakenly believed they had permission to enter, they are still be held liable for the trespass.</w:t>
      </w:r>
    </w:p>
    <w:p w14:paraId="6157194B">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There are some similarities in the general principles of trespass. However, there are also notable differences that arise due to the nature and elements of each class. Let us examine these classes individually and highlight the significant differences in the applicable principles.</w:t>
      </w:r>
    </w:p>
    <w:p w14:paraId="459E49E0">
      <w:pPr>
        <w:pageBreakBefore w:val="0"/>
        <w:widowControl/>
        <w:numPr>
          <w:ilvl w:val="0"/>
          <w:numId w:val="19"/>
        </w:numPr>
        <w:kinsoku/>
        <w:wordWrap/>
        <w:overflowPunct/>
        <w:topLinePunct w:val="0"/>
        <w:autoSpaceDE/>
        <w:autoSpaceDN/>
        <w:bidi w:val="0"/>
        <w:adjustRightInd/>
        <w:snapToGrid/>
        <w:spacing w:beforeAutospacing="0" w:after="0" w:afterAutospacing="0"/>
        <w:ind w:left="425" w:leftChars="0" w:hanging="425" w:firstLineChars="0"/>
        <w:textAlignment w:val="auto"/>
        <w:rPr>
          <w:rFonts w:cs="Times New Roman"/>
          <w:b/>
          <w:lang w:val="en-US"/>
        </w:rPr>
      </w:pPr>
      <w:r>
        <w:rPr>
          <w:rFonts w:cs="Times New Roman"/>
          <w:b/>
          <w:lang w:val="en-US"/>
        </w:rPr>
        <w:t>Trespass to Land</w:t>
      </w:r>
    </w:p>
    <w:p w14:paraId="7E7F5F66">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 to land involves the unauthorised entry onto another person's land. Some significant differences in the applicable principles include:</w:t>
      </w:r>
    </w:p>
    <w:p w14:paraId="1F2F09ED">
      <w:pPr>
        <w:pageBreakBefore w:val="0"/>
        <w:widowControl/>
        <w:numPr>
          <w:ilvl w:val="0"/>
          <w:numId w:val="20"/>
        </w:numPr>
        <w:kinsoku/>
        <w:wordWrap/>
        <w:overflowPunct/>
        <w:topLinePunct w:val="0"/>
        <w:autoSpaceDE/>
        <w:autoSpaceDN/>
        <w:bidi w:val="0"/>
        <w:adjustRightInd/>
        <w:snapToGrid/>
        <w:spacing w:beforeAutospacing="0" w:after="0" w:afterAutospacing="0"/>
        <w:ind w:left="425" w:leftChars="0" w:hanging="425" w:firstLineChars="0"/>
        <w:textAlignment w:val="auto"/>
        <w:rPr>
          <w:rFonts w:cs="Times New Roman"/>
          <w:lang w:val="en-US"/>
        </w:rPr>
      </w:pPr>
      <w:r>
        <w:rPr>
          <w:rFonts w:cs="Times New Roman"/>
          <w:lang w:val="en-US"/>
        </w:rPr>
        <w:t>Exclusive Possession: Trespass to land centers around the concept of possession and control of the land. The lawful occupier or owner has the right to determine who enters or uses the land.</w:t>
      </w:r>
    </w:p>
    <w:p w14:paraId="388F5569">
      <w:pPr>
        <w:pageBreakBefore w:val="0"/>
        <w:widowControl/>
        <w:numPr>
          <w:ilvl w:val="0"/>
          <w:numId w:val="20"/>
        </w:numPr>
        <w:kinsoku/>
        <w:wordWrap/>
        <w:overflowPunct/>
        <w:topLinePunct w:val="0"/>
        <w:autoSpaceDE/>
        <w:autoSpaceDN/>
        <w:bidi w:val="0"/>
        <w:adjustRightInd/>
        <w:snapToGrid/>
        <w:spacing w:beforeAutospacing="0" w:after="0" w:afterAutospacing="0"/>
        <w:ind w:left="425" w:leftChars="0" w:hanging="425" w:firstLineChars="0"/>
        <w:textAlignment w:val="auto"/>
        <w:rPr>
          <w:rFonts w:cs="Times New Roman"/>
          <w:lang w:val="en-US"/>
        </w:rPr>
      </w:pPr>
      <w:r>
        <w:rPr>
          <w:rFonts w:cs="Times New Roman"/>
          <w:lang w:val="en-US"/>
        </w:rPr>
        <w:t>Lack of Consent: The element of lack of consent is crucial in trespass to land. Even if the trespasser believes they have permission to enter, the absence of consent would establish the tort.</w:t>
      </w:r>
    </w:p>
    <w:p w14:paraId="04CEBD7C">
      <w:pPr>
        <w:pageBreakBefore w:val="0"/>
        <w:widowControl/>
        <w:numPr>
          <w:ilvl w:val="0"/>
          <w:numId w:val="20"/>
        </w:numPr>
        <w:kinsoku/>
        <w:wordWrap/>
        <w:overflowPunct/>
        <w:topLinePunct w:val="0"/>
        <w:autoSpaceDE/>
        <w:autoSpaceDN/>
        <w:bidi w:val="0"/>
        <w:adjustRightInd/>
        <w:snapToGrid/>
        <w:spacing w:beforeAutospacing="0" w:after="0" w:afterAutospacing="0"/>
        <w:ind w:left="425" w:leftChars="0" w:hanging="425" w:firstLineChars="0"/>
        <w:textAlignment w:val="auto"/>
        <w:rPr>
          <w:rFonts w:cs="Times New Roman"/>
          <w:lang w:val="en-US"/>
        </w:rPr>
      </w:pPr>
      <w:r>
        <w:rPr>
          <w:rFonts w:cs="Times New Roman"/>
          <w:lang w:val="en-US"/>
        </w:rPr>
        <w:t>Boundaries and Physical Space: Trespass to land depends on physical boundaries and the intrusion into a specific geographical area. The key elements to establish the tort include determining the exact boundaries and proving the unauthorized entry.</w:t>
      </w:r>
    </w:p>
    <w:p w14:paraId="30DE2F34">
      <w:pPr>
        <w:pageBreakBefore w:val="0"/>
        <w:widowControl/>
        <w:numPr>
          <w:ilvl w:val="0"/>
          <w:numId w:val="19"/>
        </w:numPr>
        <w:kinsoku/>
        <w:wordWrap/>
        <w:overflowPunct/>
        <w:topLinePunct w:val="0"/>
        <w:autoSpaceDE/>
        <w:autoSpaceDN/>
        <w:bidi w:val="0"/>
        <w:adjustRightInd/>
        <w:snapToGrid/>
        <w:spacing w:beforeAutospacing="0" w:after="0" w:afterAutospacing="0"/>
        <w:ind w:left="425" w:leftChars="0" w:hanging="425" w:firstLineChars="0"/>
        <w:textAlignment w:val="auto"/>
        <w:rPr>
          <w:rFonts w:cs="Times New Roman"/>
          <w:b/>
          <w:lang w:val="en-US"/>
        </w:rPr>
      </w:pPr>
      <w:r>
        <w:rPr>
          <w:rFonts w:cs="Times New Roman"/>
          <w:b/>
          <w:lang w:val="en-US"/>
        </w:rPr>
        <w:t>Trespass to Chattels:</w:t>
      </w:r>
    </w:p>
    <w:p w14:paraId="07B29EA7">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 to chattels refers to the disruption of personal belongings of someone else. Notable differences in the principles include:</w:t>
      </w:r>
    </w:p>
    <w:p w14:paraId="201E1517">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a. Possession: Trespass to chattels necessitates that the plaintiff possesses or has the entitlement to possess the personal property. The interference with the plaintiff's possessory rights is essential in establishing the tort.</w:t>
      </w:r>
    </w:p>
    <w:p w14:paraId="152A0BE1">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b. Actual Harm or Damages: Trespass to chattels often requires proof of actual harm or damages which result from the interference. The harm include physical damage to the property or loss of use.</w:t>
      </w:r>
    </w:p>
    <w:p w14:paraId="3B2B6779">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c. Movable Property: Trespass to chattels applies to movable or personal property. The principles which surround possession, control, and interference differ from those applicable to land.</w:t>
      </w:r>
    </w:p>
    <w:p w14:paraId="25B5A8F3">
      <w:pPr>
        <w:pageBreakBefore w:val="0"/>
        <w:widowControl/>
        <w:kinsoku/>
        <w:wordWrap/>
        <w:overflowPunct/>
        <w:topLinePunct w:val="0"/>
        <w:autoSpaceDE/>
        <w:autoSpaceDN/>
        <w:bidi w:val="0"/>
        <w:adjustRightInd/>
        <w:snapToGrid/>
        <w:spacing w:beforeAutospacing="0" w:after="0" w:afterAutospacing="0"/>
        <w:textAlignment w:val="auto"/>
        <w:rPr>
          <w:rFonts w:cs="Times New Roman"/>
          <w:b/>
          <w:lang w:val="en-US"/>
        </w:rPr>
      </w:pPr>
      <w:r>
        <w:rPr>
          <w:rFonts w:hint="default" w:cs="Times New Roman"/>
          <w:b/>
          <w:lang w:val="en-US"/>
        </w:rPr>
        <w:t>iii.</w:t>
      </w:r>
      <w:r>
        <w:rPr>
          <w:rFonts w:hint="default" w:cs="Times New Roman"/>
          <w:b/>
          <w:lang w:val="en-US"/>
        </w:rPr>
        <w:tab/>
      </w:r>
      <w:r>
        <w:rPr>
          <w:rFonts w:cs="Times New Roman"/>
          <w:b/>
          <w:lang w:val="en-US"/>
        </w:rPr>
        <w:t>Trespass to Person</w:t>
      </w:r>
    </w:p>
    <w:p w14:paraId="1663A8F5">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Trespass to person refers to the deliberate and immediate intrusion upon body or personal integrity of others. Some significant differences in the applicable principles include:</w:t>
      </w:r>
    </w:p>
    <w:p w14:paraId="54AB6BBA">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a. Physical Contact: Trespass to person requires physical contact or to create a reasonable apprehension of imminent contact which is harmful or offensive. The focus is on physical intrusion and bodily integrity.</w:t>
      </w:r>
    </w:p>
    <w:p w14:paraId="4C451D58">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b. Consent: Consent plays a role in trespass to person. If the plaintiff consents to the contact voluntarily, it may defeat the claim for trespass.</w:t>
      </w:r>
    </w:p>
    <w:p w14:paraId="59F7F94A">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c. Harm or Offense: Trespass to person requires proof of harm or offense which results from the physical interference. The nature and extent of the harm can vary, which ranges from minor injuries to emotional distress.</w:t>
      </w:r>
    </w:p>
    <w:p w14:paraId="2D252EDC">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Engaging in self-help to deal with a trespasser on one's land leads to legal consequences for the person who takes such actions. These consequences may include civil liability for any harm caused to the trespasser or damage to their property, potential criminal charges, or even counterclaims by the trespasser for assault, battery, or other legal violations. By resorting to self-help, individuals risk which escalate the situation and violate the principle of the rule of law.</w:t>
      </w:r>
    </w:p>
    <w:p w14:paraId="17E1FF61">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Self-help is not recognised as a defense to trespass in Nigeria. However, there may be circumstances where it could be considered. These exceptions arise in situations of imminent danger or emergency, where immediate action is required to protect life or prevent serious harm. In the event that an individual unlawfully enters someone else's property with the intention of causing harm or engaging in illegal activities, the owner of the property may be permitted to protect themselves and their belongings within certain boundaries by taking appropriate and fair actions. Nonetheless, it is of utmost importance to be careful and take into account the potential legal ramifications, even in such situations.</w:t>
      </w:r>
    </w:p>
    <w:p w14:paraId="06D271D5">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b/>
          <w:lang w:val="en-US"/>
        </w:rPr>
        <w:t>5.2.</w:t>
      </w:r>
      <w:r>
        <w:rPr>
          <w:rFonts w:cs="Times New Roman"/>
          <w:b/>
          <w:bCs/>
          <w:lang w:val="en-US"/>
        </w:rPr>
        <w:tab/>
      </w:r>
      <w:r>
        <w:rPr>
          <w:rFonts w:cs="Times New Roman"/>
          <w:b/>
          <w:bCs/>
          <w:lang w:val="en-US"/>
        </w:rPr>
        <w:t xml:space="preserve">Recommendations </w:t>
      </w:r>
    </w:p>
    <w:p w14:paraId="4119DEDB">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1. Resolve Conflicts through Mediation or Negotiation before Resorting To Litigation</w:t>
      </w:r>
    </w:p>
    <w:p w14:paraId="2F822659">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Encourage individuals who are involved in land disputes to seek legal advice and resolve conflicts through mediation or negotiation before they resort to litigation. Promote the use of surveyors and proper land documentation to prevent boundary disputes and unauthorized encroachments.</w:t>
      </w:r>
    </w:p>
    <w:p w14:paraId="2718B73E">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 xml:space="preserve">2. Promote initiatives that raise awareness about personal safety and emphasise the significance of securing consent. </w:t>
      </w:r>
    </w:p>
    <w:p w14:paraId="0CC95932">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Advocate for public awareness campaigns on personal safety and the importance of obtaining consent before entering another person's property. Encourage individuals to report incidents of trespass and assault to the appropriate authorities, such as the police, and seek legal remedies to hold the wrongdoers accountable.</w:t>
      </w:r>
    </w:p>
    <w:p w14:paraId="029272D4">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 xml:space="preserve">3. Advocate for the establishing and implementing  laws on privacy </w:t>
      </w:r>
    </w:p>
    <w:p w14:paraId="131F17BB">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 xml:space="preserve">Promote enacting and enforcing privacy laws that address the use of surveillance technologies and protect individual’s privacy rights. Raise awareness about the implications of surveillance systems and encourage individuals to take legal action when their rights to privacy is violated. </w:t>
      </w:r>
    </w:p>
    <w:p w14:paraId="67708BB1">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6A9D2644">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4. Proactive Measures to Prevent Trespass</w:t>
      </w:r>
    </w:p>
    <w:p w14:paraId="62F1E526">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Encourage landowners and property occupiers to take measures to prevent trespass. These include installing fences, signage, or security systems. Promote community awareness and cooperation in monitoring and reporting suspicious activities or trespass incidents to deter potential trespassers.</w:t>
      </w:r>
    </w:p>
    <w:p w14:paraId="6A30FFBE">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5. Empowering Law Enforcement Agencies</w:t>
      </w:r>
    </w:p>
    <w:p w14:paraId="71BF56FA">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Offer tailored training to enforcement officers on recognising and handling trespass-related matters. Collaborate with law enforcement agencies to improve their capacity to respond to trespass incidents promptly and effectively. Foster cooperation between the police and the judiciary to ensure prosecution of trespass and enforcing court orders or injunctions.</w:t>
      </w:r>
    </w:p>
    <w:p w14:paraId="7CB3409D">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6. Data Collection and Research</w:t>
      </w:r>
    </w:p>
    <w:p w14:paraId="4785E657">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Encourage academic institutions, research organisations, and government agencies to conduct studies and collect data on issues which relate to trespass. Analyse trends, patterns, and underlying factors which contribute to trespass incidents to inform policy decisions and preventive measures. Support interdisciplinary research that examines the social, economic, and environmental implications of trespass.</w:t>
      </w:r>
    </w:p>
    <w:p w14:paraId="7ACC3496">
      <w:pPr>
        <w:pageBreakBefore w:val="0"/>
        <w:widowControl/>
        <w:kinsoku/>
        <w:wordWrap/>
        <w:overflowPunct/>
        <w:topLinePunct w:val="0"/>
        <w:autoSpaceDE/>
        <w:autoSpaceDN/>
        <w:bidi w:val="0"/>
        <w:adjustRightInd/>
        <w:snapToGrid/>
        <w:spacing w:beforeAutospacing="0" w:after="0" w:afterAutospacing="0"/>
        <w:textAlignment w:val="auto"/>
        <w:rPr>
          <w:rFonts w:cs="Times New Roman"/>
          <w:b/>
          <w:lang w:val="en-US"/>
        </w:rPr>
      </w:pPr>
      <w:r>
        <w:rPr>
          <w:rFonts w:cs="Times New Roman"/>
          <w:b/>
          <w:lang w:val="en-US"/>
        </w:rPr>
        <w:t xml:space="preserve">5.3. Conclusion </w:t>
      </w:r>
    </w:p>
    <w:p w14:paraId="78395AB8">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Under the Nigerian Law of Tort not all trespasses are necessarily actionable. In order for a trespass to be actionable, certain conditions must be met. A trespass generally refers to the unlawful intrusion or entry onto people’s land or property without their permission. However, whether a trespass is actionable depends on the specific circumstances and factors involved. The following elements generally need to be established for a trespass to be considered actionable</w:t>
      </w:r>
    </w:p>
    <w:p w14:paraId="34B475CB">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Intentional entry</w:t>
      </w:r>
    </w:p>
    <w:p w14:paraId="25FBE1E1">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The trespasser must have intentionally entered or intruded upon another person's land or property. Accidental or unintentional entries may not be actionable, although they may still be subject to other legal remedies or considerations.</w:t>
      </w:r>
    </w:p>
    <w:p w14:paraId="0C03D124">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Lack of consent</w:t>
      </w:r>
    </w:p>
    <w:p w14:paraId="79A68016">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The entry must be without the lawful occupier's consent. If the occupier of the land or property has given permission or consent for the entry, it may not be actionable as a trespass.</w:t>
      </w:r>
    </w:p>
    <w:p w14:paraId="7E7DBC03">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Occupier's rights</w:t>
      </w:r>
    </w:p>
    <w:p w14:paraId="04E51100">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The land or property in question must be owned or lawfully possessed by the occupier. Trespassing on public land or land owned by the government may have different legal implications, and the rights of the public or the government as the lawful owners may come into play.</w:t>
      </w:r>
    </w:p>
    <w:p w14:paraId="78921644">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Damage or harm</w:t>
      </w:r>
    </w:p>
    <w:p w14:paraId="46169583">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While not always a requirement, actionable trespasses often involve some form of damage, harm, or interference with the occupier's rights or enjoyment of the property. Actual harm or damage can strengthen the case for an actionable trespass, but it may not always be necessary for a claim.</w:t>
      </w:r>
    </w:p>
    <w:p w14:paraId="58B4229A">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r>
        <w:rPr>
          <w:rFonts w:cs="Times New Roman"/>
          <w:lang w:val="en-US"/>
        </w:rPr>
        <w:t>It is important to note that there may be certain exceptions or defenses that can affect the action ability of a trespass. For instance, a defendant may raise a defense such as necessity or lawful authority to justify their entry onto the property. Ultimately, whether a trespass is actionable depends based on the context of each instance.</w:t>
      </w:r>
    </w:p>
    <w:p w14:paraId="1F9817A3">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33498CC7">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4E8F149C">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3F4619DE">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3FB03468">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jc w:val="center"/>
        <w:textAlignment w:val="auto"/>
        <w:rPr>
          <w:rFonts w:cs="Times New Roman"/>
          <w:lang w:val="en-US"/>
        </w:rPr>
      </w:pPr>
      <w:r>
        <w:rPr>
          <w:rFonts w:cs="Times New Roman"/>
          <w:b/>
          <w:bCs/>
          <w:lang w:val="en-US"/>
        </w:rPr>
        <w:t>BIBLIOGRAPHY</w:t>
      </w:r>
      <w:r>
        <w:rPr>
          <w:rFonts w:cs="Times New Roman"/>
          <w:lang w:val="en-US"/>
        </w:rPr>
        <w:t xml:space="preserve"> </w:t>
      </w:r>
    </w:p>
    <w:p w14:paraId="2A916D2B">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b/>
          <w:bCs/>
          <w:lang w:val="en-US"/>
        </w:rPr>
      </w:pPr>
      <w:r>
        <w:rPr>
          <w:rFonts w:cs="Times New Roman"/>
          <w:b/>
          <w:bCs/>
          <w:lang w:val="en-US"/>
        </w:rPr>
        <w:t>BOOKS</w:t>
      </w:r>
    </w:p>
    <w:p w14:paraId="6EDD4338">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Barker D and Padfield C, Law (8th edn, Made Simple Books 1970).</w:t>
      </w:r>
    </w:p>
    <w:p w14:paraId="671DE1E2">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Blackstone W, Commentaries on the Laws of England (University of Chicago Press 1979).</w:t>
      </w:r>
    </w:p>
    <w:p w14:paraId="514C6D07">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Chianu E, School Law for Proprietors, Teachers and Parents (New System Press Ltd 1980).</w:t>
      </w:r>
    </w:p>
    <w:p w14:paraId="0A45AA7F">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Fleming G, Fleming's The Law of Tort (Thomson Reuters Ltd 2011).</w:t>
      </w:r>
    </w:p>
    <w:p w14:paraId="160A7B36">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Harpwood V, Modern Tort Law (5th edn, Cavendish Publishing Ltd 2003).</w:t>
      </w:r>
    </w:p>
    <w:p w14:paraId="586F3F80">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Heuston R, Salmond and Heuston on the Law of Torts (18th edn, Sweet &amp; Maxwell 1996).</w:t>
      </w:r>
    </w:p>
    <w:p w14:paraId="39B039DD">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Kodilinye G, The Nigerian Law of Torts (2nd edn, Spectrum Books 1990).</w:t>
      </w:r>
    </w:p>
    <w:p w14:paraId="2716C25A">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Kodilinye G and Aluko O, Nigerian Law of Torts (3rd edn, Spectrum Books 2018).</w:t>
      </w:r>
    </w:p>
    <w:p w14:paraId="4D41DDF3">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Kodilinye G and Corthesy N, Commonwealth Caribbean Tort Law (6th edn, Routledge 2022).</w:t>
      </w:r>
    </w:p>
    <w:p w14:paraId="78303C13">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Kodilinye G, The Nigerian Law of Torts (Sweet &amp; Maxwell 1980).</w:t>
      </w:r>
    </w:p>
    <w:p w14:paraId="777D3C35">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Mukaddam SB, Trespass under Nigerian Tort Law (Legal Studies Press 2023).</w:t>
      </w:r>
    </w:p>
    <w:p w14:paraId="2CEC752A">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Peel E and Goudkamp J, Winfield and Jolowicz on Tort (19th edn, Sweet &amp; Maxwell 2014).</w:t>
      </w:r>
    </w:p>
    <w:p w14:paraId="052F381B">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Pesce and Varacallo, Tort and Liability (StatPearls Publishing 2018).</w:t>
      </w:r>
    </w:p>
    <w:p w14:paraId="1E29B996">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Rogers W, Winfield and Jolowicz on Tort (Sweet &amp; Maxwell 2002).</w:t>
      </w:r>
    </w:p>
    <w:p w14:paraId="13E8F39E">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Salmond H, The Law of Torts (Universal Law Publishing Co Ltd 2004).</w:t>
      </w:r>
    </w:p>
    <w:p w14:paraId="657D4B23">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Street A, The Law of Torts (Sweet &amp; Maxwell 2017).</w:t>
      </w:r>
    </w:p>
    <w:p w14:paraId="58605359">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Susu BA, Law of Torts (CJC Press 1996).</w:t>
      </w:r>
    </w:p>
    <w:p w14:paraId="6BAE61C7">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Ward P, The Tort Cause of Action (2nd edn, 1974).</w:t>
      </w:r>
    </w:p>
    <w:p w14:paraId="6A0E1C89">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Yerokun O, Casebook on Law of Tort: Comments and Cases (Princeton &amp; Associates Co Ltd 2015).</w:t>
      </w:r>
    </w:p>
    <w:p w14:paraId="41CE4C85">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p>
    <w:p w14:paraId="38B8B8F2">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b/>
          <w:bCs/>
          <w:lang w:val="en-US"/>
        </w:rPr>
      </w:pPr>
      <w:r>
        <w:rPr>
          <w:rFonts w:cs="Times New Roman"/>
          <w:b/>
          <w:bCs/>
          <w:lang w:val="en-US"/>
        </w:rPr>
        <w:t>JOURNAL ARTICLES</w:t>
      </w:r>
    </w:p>
    <w:p w14:paraId="654E1263">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i/>
          <w:iCs/>
          <w:lang w:val="en-US"/>
        </w:rPr>
      </w:pPr>
      <w:r>
        <w:rPr>
          <w:rFonts w:cs="Times New Roman"/>
          <w:lang w:val="en-US"/>
        </w:rPr>
        <w:t xml:space="preserve">Claeys ER, 'On the "Property" and the "Tort" in Trespass' (2013) </w:t>
      </w:r>
      <w:r>
        <w:rPr>
          <w:rFonts w:cs="Times New Roman"/>
          <w:i/>
          <w:iCs/>
          <w:lang w:val="en-US"/>
        </w:rPr>
        <w:t>George Mason University Law and Economics Research Paper Series.</w:t>
      </w:r>
    </w:p>
    <w:p w14:paraId="75B02B34">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Iroaganachi N, 'Trespass to Land in Nigeria: Associated Violence and Volatility' (2022) 9(1) Nnamdi Azikiw</w:t>
      </w:r>
      <w:r>
        <w:rPr>
          <w:rFonts w:cs="Times New Roman"/>
          <w:i/>
          <w:iCs/>
          <w:lang w:val="en-US"/>
        </w:rPr>
        <w:t>e Journal of Commercial and Property</w:t>
      </w:r>
      <w:r>
        <w:rPr>
          <w:rFonts w:cs="Times New Roman"/>
          <w:lang w:val="en-US"/>
        </w:rPr>
        <w:t xml:space="preserve"> Law 57.</w:t>
      </w:r>
    </w:p>
    <w:p w14:paraId="11BDFF8D">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Pollock F and Burdick FM, 'The Law of Torts' (1906) 6(3) Columbia Law Review 208.</w:t>
      </w:r>
    </w:p>
    <w:p w14:paraId="521EBD94">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hint="default"/>
          <w:lang w:val="en-US"/>
        </w:rPr>
      </w:pPr>
    </w:p>
    <w:p w14:paraId="0717263B">
      <w:pPr>
        <w:keepNext w:val="0"/>
        <w:keepLines w:val="0"/>
        <w:pageBreakBefore w:val="0"/>
        <w:widowControl/>
        <w:kinsoku/>
        <w:wordWrap/>
        <w:overflowPunct/>
        <w:topLinePunct w:val="0"/>
        <w:autoSpaceDE/>
        <w:autoSpaceDN/>
        <w:bidi w:val="0"/>
        <w:adjustRightInd/>
        <w:snapToGrid/>
        <w:spacing w:beforeAutospacing="0" w:after="0" w:afterAutospacing="0"/>
        <w:ind w:left="0" w:leftChars="0" w:firstLine="0" w:firstLineChars="0"/>
        <w:textAlignment w:val="auto"/>
        <w:rPr>
          <w:rFonts w:cs="Times New Roman"/>
          <w:lang w:val="en-US"/>
        </w:rPr>
      </w:pPr>
    </w:p>
    <w:p w14:paraId="69E8643E">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b/>
          <w:bCs/>
          <w:lang w:val="en-US"/>
        </w:rPr>
      </w:pPr>
      <w:r>
        <w:rPr>
          <w:rFonts w:cs="Times New Roman"/>
          <w:b/>
          <w:bCs/>
          <w:lang w:val="en-US"/>
        </w:rPr>
        <w:t>ONLINE SOURCES</w:t>
      </w:r>
    </w:p>
    <w:p w14:paraId="3C93E937">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'Battery' Legal Information Institute &lt;https://www.law.cornell.edu&gt; accessed 4 June 2026.</w:t>
      </w:r>
    </w:p>
    <w:p w14:paraId="761CDFC3">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'Law of Torts' Thomson Reuters Practical Law &lt;https://uk.practicallaw.thomsonreuters.com&gt; accessed 24 May 2026.</w:t>
      </w:r>
    </w:p>
    <w:p w14:paraId="4C55994A">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'Meaning of Assault' Cornell Law School Legal Information Institute &lt;https://www.law.cornell.edu/wex/assault&gt; accessed 23 May 2026.</w:t>
      </w:r>
    </w:p>
    <w:p w14:paraId="2F8F491B">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'The Meaning and Nature of Defences' iPleaders &lt;https://blog.ipleaders.in/trespass-meaning-nature-types-defences-case-laws/ &gt;accessed 24 June 2026.</w:t>
      </w:r>
    </w:p>
    <w:p w14:paraId="588F0BD5">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'Trespass' Encyclopedia.com&lt;https://www.encyclopedia.com/social-sciences-and-law/law/crime-and-law-enforcement/trespass&gt; accessed 30 May 2026.</w:t>
      </w:r>
    </w:p>
    <w:p w14:paraId="4A70CE60">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'Trespass to Chattel' Learn Nigerian Law &lt;https://www.learnnigerianlaw.com/learn/law-of-torts/trespass-to-chattel&gt; accessed 24 June 2026.</w:t>
      </w:r>
    </w:p>
    <w:p w14:paraId="1044B7E0">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'Trespass to Person' Learn Nigerian Law &lt;https://www.learnnigerianlaw.com/learn/law-of-torts/trespass-to-person&gt; accessed 25 June 2026.</w:t>
      </w:r>
    </w:p>
    <w:p w14:paraId="3B87D27E">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Odutuyo A, 'Police and Army, I Know: Who Are the Guys in These Uniforms?' Zikoko &lt;https://www.zikoko.com&gt; accessed 15 March 2026.</w:t>
      </w:r>
    </w:p>
    <w:p w14:paraId="75823A9B">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r>
        <w:rPr>
          <w:rFonts w:cs="Times New Roman"/>
          <w:lang w:val="en-US"/>
        </w:rPr>
        <w:t>Temituro R, '10 Law Enforcement Agencies in Nigeria and Their Duties' Zikoko &lt;https://www.zikoko.com&gt; accessed 15 March 2026.</w:t>
      </w:r>
    </w:p>
    <w:p w14:paraId="3F86DBEF">
      <w:pPr>
        <w:keepNext w:val="0"/>
        <w:keepLines w:val="0"/>
        <w:pageBreakBefore w:val="0"/>
        <w:widowControl/>
        <w:kinsoku/>
        <w:wordWrap/>
        <w:overflowPunct/>
        <w:topLinePunct w:val="0"/>
        <w:autoSpaceDE/>
        <w:autoSpaceDN/>
        <w:bidi w:val="0"/>
        <w:adjustRightInd/>
        <w:snapToGrid/>
        <w:spacing w:beforeAutospacing="0" w:after="0" w:afterAutospacing="0"/>
        <w:ind w:left="720" w:hanging="720" w:hangingChars="300"/>
        <w:textAlignment w:val="auto"/>
        <w:rPr>
          <w:rFonts w:cs="Times New Roman"/>
          <w:lang w:val="en-US"/>
        </w:rPr>
      </w:pPr>
    </w:p>
    <w:p w14:paraId="1AAC10FD">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2950FF10">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18C76951">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360FF793">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4984C580">
      <w:pPr>
        <w:pageBreakBefore w:val="0"/>
        <w:widowControl/>
        <w:kinsoku/>
        <w:wordWrap/>
        <w:overflowPunct/>
        <w:topLinePunct w:val="0"/>
        <w:autoSpaceDE/>
        <w:autoSpaceDN/>
        <w:bidi w:val="0"/>
        <w:adjustRightInd/>
        <w:snapToGrid/>
        <w:spacing w:beforeAutospacing="0" w:after="0" w:afterAutospacing="0"/>
        <w:textAlignment w:val="auto"/>
        <w:rPr>
          <w:rFonts w:cs="Times New Roman"/>
          <w:lang w:val="en-US"/>
        </w:rPr>
      </w:pPr>
    </w:p>
    <w:p w14:paraId="6E910916">
      <w:pPr>
        <w:pageBreakBefore w:val="0"/>
        <w:widowControl/>
        <w:kinsoku/>
        <w:wordWrap/>
        <w:overflowPunct/>
        <w:topLinePunct w:val="0"/>
        <w:autoSpaceDE/>
        <w:autoSpaceDN/>
        <w:bidi w:val="0"/>
        <w:adjustRightInd/>
        <w:snapToGrid/>
        <w:spacing w:beforeAutospacing="0" w:after="0" w:afterAutospacing="0"/>
        <w:textAlignment w:val="auto"/>
      </w:pPr>
    </w:p>
    <w:sectPr>
      <w:headerReference r:id="rId4" w:type="default"/>
      <w:footerReference r:id="rId5" w:type="default"/>
      <w:pgSz w:w="12240" w:h="15840"/>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86"/>
    <w:family w:val="swiss"/>
    <w:pitch w:val="default"/>
    <w:sig w:usb0="00000000" w:usb1="00000000" w:usb2="00000001" w:usb3="00000000" w:csb0="0000019F" w:csb1="00000000"/>
  </w:font>
  <w:font w:name="SimSun">
    <w:panose1 w:val="02010600030101010101"/>
    <w:charset w:val="86"/>
    <w:family w:val="auto"/>
    <w:pitch w:val="default"/>
    <w:sig w:usb0="00000000" w:usb1="00000000" w:usb2="00000006" w:usb3="00000000" w:csb0="00040001"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sz w:val="20"/>
        <w:szCs w:val="20"/>
      </w:rPr>
      <w:id w:val="-787352663"/>
    </w:sdtPr>
    <w:sdtEndPr>
      <w:rPr>
        <w:rFonts w:hint="default" w:ascii="Times New Roman" w:hAnsi="Times New Roman" w:cs="Times New Roman"/>
        <w:sz w:val="20"/>
        <w:szCs w:val="20"/>
      </w:rPr>
    </w:sdtEndPr>
    <w:sdtContent>
      <w:p w14:paraId="33E17547">
        <w:pPr>
          <w:pStyle w:val="5"/>
          <w:jc w:val="center"/>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   \* MERGEFORMAT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4</w:t>
        </w:r>
        <w:r>
          <w:rPr>
            <w:rFonts w:hint="default" w:ascii="Times New Roman" w:hAnsi="Times New Roman" w:cs="Times New Roman"/>
            <w:sz w:val="20"/>
            <w:szCs w:val="20"/>
          </w:rPr>
          <w:fldChar w:fldCharType="end"/>
        </w:r>
      </w:p>
    </w:sdtContent>
  </w:sdt>
  <w:p w14:paraId="274ED6E4">
    <w:pPr>
      <w:pStyle w:val="5"/>
      <w:rPr>
        <w:rFonts w:hint="default"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14:paraId="566772B5">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Hueston Salmond, </w:t>
      </w:r>
      <w:r>
        <w:rPr>
          <w:rFonts w:hint="default" w:ascii="Times New Roman" w:hAnsi="Times New Roman" w:cs="Times New Roman"/>
          <w:i/>
          <w:iCs/>
          <w:sz w:val="20"/>
          <w:szCs w:val="20"/>
        </w:rPr>
        <w:t>The Law of Torts</w:t>
      </w:r>
      <w:r>
        <w:rPr>
          <w:rFonts w:hint="default" w:ascii="Times New Roman" w:hAnsi="Times New Roman" w:cs="Times New Roman"/>
          <w:sz w:val="20"/>
          <w:szCs w:val="20"/>
        </w:rPr>
        <w:t xml:space="preserve"> (Universal Law Publishing Co Ltd 2004). </w:t>
      </w:r>
      <w:r>
        <w:rPr>
          <w:rFonts w:hint="default" w:cs="Times New Roman"/>
          <w:sz w:val="20"/>
          <w:szCs w:val="20"/>
          <w:lang w:val="en-US"/>
        </w:rPr>
        <w:t>34 2 G kodilinye,</w:t>
      </w:r>
    </w:p>
    <w:p w14:paraId="252BA59C">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1">
    <w:p w14:paraId="63DD8B4D">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Interpretation Act 2004</w:t>
      </w:r>
    </w:p>
  </w:footnote>
  <w:footnote w:id="2">
    <w:p w14:paraId="5241D4B8">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i/>
          <w:iCs/>
          <w:sz w:val="20"/>
          <w:szCs w:val="20"/>
        </w:rPr>
        <w:t>The Nigerian Law of Torts</w:t>
      </w:r>
      <w:r>
        <w:rPr>
          <w:rFonts w:hint="default" w:ascii="Times New Roman" w:hAnsi="Times New Roman" w:cs="Times New Roman"/>
          <w:sz w:val="20"/>
          <w:szCs w:val="20"/>
        </w:rPr>
        <w:t xml:space="preserve"> (2nd edition, Spectrum Books 1990). 12</w:t>
      </w:r>
    </w:p>
    <w:p w14:paraId="060F3B4F">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p>
  </w:footnote>
  <w:footnote w:id="3">
    <w:p w14:paraId="3D728383">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Benedicta Ada Susu, </w:t>
      </w:r>
      <w:r>
        <w:rPr>
          <w:rFonts w:hint="default" w:ascii="Times New Roman" w:hAnsi="Times New Roman" w:cs="Times New Roman"/>
          <w:i/>
          <w:iCs/>
          <w:sz w:val="20"/>
          <w:szCs w:val="20"/>
        </w:rPr>
        <w:t>Law of Torts</w:t>
      </w:r>
      <w:r>
        <w:rPr>
          <w:rFonts w:hint="default" w:ascii="Times New Roman" w:hAnsi="Times New Roman" w:cs="Times New Roman"/>
          <w:sz w:val="20"/>
          <w:szCs w:val="20"/>
        </w:rPr>
        <w:t xml:space="preserve"> (CJC Press 1996) 20.</w:t>
      </w:r>
    </w:p>
    <w:p w14:paraId="499CD6DA">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4">
    <w:p w14:paraId="7632C037">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Emeka Chianu, School Law for Proprietors, Teachers and Parents (Lagos: New System Press limited 1980) 45.</w:t>
      </w:r>
    </w:p>
  </w:footnote>
  <w:footnote w:id="5">
    <w:p w14:paraId="41AF023A">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Kodilinye, The Nigerian Law of Torts (London: Maxwell and Sweet 1980) </w:t>
      </w:r>
    </w:p>
  </w:footnote>
  <w:footnote w:id="6">
    <w:p w14:paraId="2EDA0012">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Edwin Peel and James Goudkamp, Winfield And Jolowicz on Tort(9th edn London: Sweet and Maxwell 2014) </w:t>
      </w:r>
    </w:p>
  </w:footnote>
  <w:footnote w:id="7">
    <w:p w14:paraId="44891BAC">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Pdfcoffee.com </w:t>
      </w:r>
    </w:p>
  </w:footnote>
  <w:footnote w:id="8">
    <w:p w14:paraId="150F07C9">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Harpwood Vivienne, Modern Tort Law (5th edn, United States: Caveendish Publishing Ltd 2003) 23.</w:t>
      </w:r>
    </w:p>
    <w:p w14:paraId="68D22D50">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9">
    <w:p w14:paraId="14A1BEF8">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Fedrerick Pollok and Francis M Burdick </w:t>
      </w:r>
      <w:r>
        <w:rPr>
          <w:rFonts w:hint="default" w:cs="Times New Roman"/>
          <w:i/>
          <w:iCs/>
          <w:sz w:val="20"/>
          <w:szCs w:val="20"/>
          <w:lang w:val="en-US"/>
        </w:rPr>
        <w:t>Th</w:t>
      </w:r>
      <w:r>
        <w:rPr>
          <w:rFonts w:hint="default" w:ascii="Times New Roman" w:hAnsi="Times New Roman" w:cs="Times New Roman"/>
          <w:i/>
          <w:iCs/>
          <w:sz w:val="20"/>
          <w:szCs w:val="20"/>
        </w:rPr>
        <w:t xml:space="preserve">e Law of Torts </w:t>
      </w:r>
      <w:r>
        <w:rPr>
          <w:rFonts w:hint="default" w:ascii="Times New Roman" w:hAnsi="Times New Roman" w:cs="Times New Roman"/>
          <w:sz w:val="20"/>
          <w:szCs w:val="20"/>
        </w:rPr>
        <w:t>[1906] (6) (3) Columbia Law Review 208.</w:t>
      </w:r>
    </w:p>
  </w:footnote>
  <w:footnote w:id="10">
    <w:p w14:paraId="4ABEF712">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Nneoma Iroaganachi ‘Trespass to Land in Nigeria: Associated Violence and Volatility’ [2022] (9) (1) Nnamdi </w:t>
      </w:r>
    </w:p>
    <w:p w14:paraId="3F1AB675">
      <w:pPr>
        <w:pStyle w:val="6"/>
        <w:keepNext w:val="0"/>
        <w:keepLines w:val="0"/>
        <w:pageBreakBefore w:val="0"/>
        <w:widowControl/>
        <w:kinsoku/>
        <w:wordWrap/>
        <w:overflowPunct/>
        <w:topLinePunct w:val="0"/>
        <w:bidi w:val="0"/>
        <w:adjustRightInd/>
        <w:snapToGrid/>
        <w:spacing w:line="240" w:lineRule="auto"/>
        <w:ind w:firstLine="200" w:firstLineChars="100"/>
        <w:textAlignment w:val="auto"/>
        <w:rPr>
          <w:rFonts w:hint="default" w:ascii="Times New Roman" w:hAnsi="Times New Roman" w:cs="Times New Roman"/>
          <w:sz w:val="20"/>
          <w:szCs w:val="20"/>
        </w:rPr>
      </w:pPr>
      <w:r>
        <w:rPr>
          <w:rFonts w:hint="default" w:ascii="Times New Roman" w:hAnsi="Times New Roman" w:cs="Times New Roman"/>
          <w:sz w:val="20"/>
          <w:szCs w:val="20"/>
        </w:rPr>
        <w:t>Azikiwe Journal of Commercial and Property Law 57.</w:t>
      </w:r>
    </w:p>
  </w:footnote>
  <w:footnote w:id="11">
    <w:p w14:paraId="1DAD62D9">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A Street, </w:t>
      </w:r>
      <w:r>
        <w:rPr>
          <w:rFonts w:hint="default" w:ascii="Times New Roman" w:hAnsi="Times New Roman" w:cs="Times New Roman"/>
          <w:i/>
          <w:iCs/>
          <w:sz w:val="20"/>
          <w:szCs w:val="20"/>
        </w:rPr>
        <w:t>The Law of Torts</w:t>
      </w:r>
      <w:r>
        <w:rPr>
          <w:rFonts w:hint="default" w:ascii="Times New Roman" w:hAnsi="Times New Roman" w:cs="Times New Roman"/>
          <w:sz w:val="20"/>
          <w:szCs w:val="20"/>
        </w:rPr>
        <w:t xml:space="preserve"> ( London: Sweet &amp; Maxwell 2017) 78.</w:t>
      </w:r>
    </w:p>
    <w:p w14:paraId="5A4B9278">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12">
    <w:p w14:paraId="18A0F33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Pesce</w:t>
      </w:r>
      <w:r>
        <w:rPr>
          <w:rFonts w:hint="default" w:cs="Times New Roman"/>
          <w:sz w:val="20"/>
          <w:szCs w:val="20"/>
          <w:lang w:val="en-US"/>
        </w:rPr>
        <w:t xml:space="preserve">, Michael </w:t>
      </w:r>
      <w:r>
        <w:rPr>
          <w:rFonts w:hint="default" w:ascii="Times New Roman" w:hAnsi="Times New Roman" w:cs="Times New Roman"/>
          <w:sz w:val="20"/>
          <w:szCs w:val="20"/>
        </w:rPr>
        <w:t>&amp;Varacallo</w:t>
      </w:r>
      <w:r>
        <w:rPr>
          <w:rFonts w:hint="default" w:cs="Times New Roman"/>
          <w:sz w:val="20"/>
          <w:szCs w:val="20"/>
          <w:lang w:val="en-US"/>
        </w:rPr>
        <w:t xml:space="preserve">, Mathew A. </w:t>
      </w:r>
      <w:r>
        <w:rPr>
          <w:rFonts w:hint="default" w:ascii="Times New Roman" w:hAnsi="Times New Roman" w:cs="Times New Roman"/>
          <w:sz w:val="20"/>
          <w:szCs w:val="20"/>
        </w:rPr>
        <w:t xml:space="preserve">Tort and Liability. </w:t>
      </w:r>
      <w:r>
        <w:rPr>
          <w:rFonts w:hint="default" w:cs="Times New Roman"/>
          <w:sz w:val="20"/>
          <w:szCs w:val="20"/>
          <w:lang w:val="en-US"/>
        </w:rPr>
        <w:t>T</w:t>
      </w:r>
      <w:r>
        <w:rPr>
          <w:rFonts w:hint="default" w:ascii="Times New Roman" w:hAnsi="Times New Roman" w:cs="Times New Roman"/>
          <w:sz w:val="20"/>
          <w:szCs w:val="20"/>
        </w:rPr>
        <w:t>reasure Island</w:t>
      </w:r>
      <w:r>
        <w:rPr>
          <w:rFonts w:hint="default" w:cs="Times New Roman"/>
          <w:sz w:val="20"/>
          <w:szCs w:val="20"/>
          <w:lang w:val="en-US"/>
        </w:rPr>
        <w:t xml:space="preserve"> (FL): </w:t>
      </w:r>
      <w:r>
        <w:rPr>
          <w:rFonts w:hint="default" w:ascii="Times New Roman" w:hAnsi="Times New Roman" w:cs="Times New Roman"/>
          <w:sz w:val="20"/>
          <w:szCs w:val="20"/>
        </w:rPr>
        <w:t>StatPearls Publishing 2018</w:t>
      </w:r>
      <w:r>
        <w:rPr>
          <w:rFonts w:hint="default" w:cs="Times New Roman"/>
          <w:sz w:val="20"/>
          <w:szCs w:val="20"/>
          <w:lang w:val="en-US"/>
        </w:rPr>
        <w:t>.</w:t>
      </w:r>
    </w:p>
  </w:footnote>
  <w:footnote w:id="13">
    <w:p w14:paraId="3D7A670E">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Peter Ward, The Tort cause of Action (2nd edn 1974).</w:t>
      </w:r>
    </w:p>
  </w:footnote>
  <w:footnote w:id="14">
    <w:p w14:paraId="10206CCA">
      <w:pPr>
        <w:pStyle w:val="6"/>
        <w:keepNext w:val="0"/>
        <w:keepLines w:val="0"/>
        <w:pageBreakBefore w:val="0"/>
        <w:widowControl/>
        <w:kinsoku/>
        <w:wordWrap/>
        <w:overflowPunct/>
        <w:topLinePunct w:val="0"/>
        <w:bidi w:val="0"/>
        <w:adjustRightInd/>
        <w:snapToGrid/>
        <w:spacing w:line="240" w:lineRule="auto"/>
        <w:ind w:left="193" w:leftChars="-18" w:hanging="236" w:hangingChars="118"/>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Eric R. Claeys, On the “Property” and the “Tort” in Trespass [2013] George Mason University Law and Economics Research Paper Series2.</w:t>
      </w:r>
    </w:p>
  </w:footnote>
  <w:footnote w:id="15">
    <w:p w14:paraId="33FEC232">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cs="Times New Roman"/>
          <w:sz w:val="20"/>
          <w:szCs w:val="20"/>
          <w:lang w:val="en-US"/>
        </w:rPr>
        <w:t>S.B mukaddam</w:t>
      </w:r>
      <w:r>
        <w:rPr>
          <w:rFonts w:hint="default" w:ascii="Times New Roman" w:hAnsi="Times New Roman" w:cs="Times New Roman"/>
          <w:sz w:val="20"/>
          <w:szCs w:val="20"/>
          <w:lang w:val="en-US"/>
        </w:rPr>
        <w:t>, “</w:t>
      </w:r>
      <w:r>
        <w:rPr>
          <w:rFonts w:hint="default" w:ascii="Times New Roman" w:hAnsi="Times New Roman" w:cs="Times New Roman"/>
          <w:i/>
          <w:iCs/>
          <w:sz w:val="20"/>
          <w:szCs w:val="20"/>
          <w:lang w:val="en-US"/>
        </w:rPr>
        <w:t>Trespass under Nigerian Tort Law</w:t>
      </w:r>
      <w:r>
        <w:rPr>
          <w:rFonts w:hint="default" w:ascii="Times New Roman" w:hAnsi="Times New Roman" w:cs="Times New Roman"/>
          <w:sz w:val="20"/>
          <w:szCs w:val="20"/>
          <w:lang w:val="en-US"/>
        </w:rPr>
        <w:t xml:space="preserve"> (Legal Studies Press, Abuja, 2023)</w:t>
      </w:r>
    </w:p>
  </w:footnote>
  <w:footnote w:id="16">
    <w:p w14:paraId="0844DDA5">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cs="Times New Roman"/>
          <w:sz w:val="20"/>
          <w:szCs w:val="20"/>
          <w:lang w:val="en-US"/>
        </w:rPr>
        <w:t xml:space="preserve"> &lt;</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"http://www.scribd.com" </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lang w:val="en-US"/>
        </w:rPr>
        <w:t>www.scribd.com</w:t>
      </w:r>
      <w:r>
        <w:rPr>
          <w:rStyle w:val="13"/>
          <w:rFonts w:hint="default" w:ascii="Times New Roman" w:hAnsi="Times New Roman" w:cs="Times New Roman"/>
          <w:sz w:val="20"/>
          <w:szCs w:val="20"/>
          <w:lang w:val="en-US"/>
        </w:rPr>
        <w:fldChar w:fldCharType="end"/>
      </w:r>
      <w:r>
        <w:rPr>
          <w:rStyle w:val="13"/>
          <w:rFonts w:hint="default" w:cs="Times New Roman"/>
          <w:sz w:val="20"/>
          <w:szCs w:val="20"/>
          <w:lang w:val="en-US"/>
        </w:rPr>
        <w:t>&gt;</w:t>
      </w:r>
    </w:p>
  </w:footnote>
  <w:footnote w:id="17">
    <w:p w14:paraId="39625515">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The Meaning and nature of defenses, TheIP leaders</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"https://blog.ipleaders.in/trespass-meaning-nature-types</w:instrText>
      </w:r>
    </w:p>
    <w:p w14:paraId="43F0C2F1">
      <w:pPr>
        <w:pStyle w:val="6"/>
        <w:keepNext w:val="0"/>
        <w:keepLines w:val="0"/>
        <w:pageBreakBefore w:val="0"/>
        <w:widowControl/>
        <w:kinsoku/>
        <w:wordWrap/>
        <w:overflowPunct/>
        <w:topLinePunct w:val="0"/>
        <w:bidi w:val="0"/>
        <w:adjustRightInd/>
        <w:snapToGrid/>
        <w:spacing w:line="240" w:lineRule="auto"/>
        <w:ind w:left="720" w:hanging="720"/>
        <w:textAlignment w:val="auto"/>
        <w:rPr>
          <w:rStyle w:val="13"/>
          <w:rFonts w:hint="default" w:ascii="Times New Roman" w:hAnsi="Times New Roman" w:cs="Times New Roman"/>
          <w:sz w:val="20"/>
          <w:szCs w:val="20"/>
        </w:rPr>
      </w:pPr>
      <w:r>
        <w:rPr>
          <w:rFonts w:hint="default" w:ascii="Times New Roman" w:hAnsi="Times New Roman" w:cs="Times New Roman"/>
          <w:sz w:val="20"/>
          <w:szCs w:val="20"/>
        </w:rPr>
        <w:instrText xml:space="preserve">   defenses-case-laws/?amp=1"</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rPr>
        <w:t>https://blog.ipleaders.in/trespass-meaning-nature-types</w:t>
      </w:r>
    </w:p>
    <w:p w14:paraId="4022B360">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3"/>
          <w:rFonts w:hint="default" w:ascii="Times New Roman" w:hAnsi="Times New Roman" w:cs="Times New Roman"/>
          <w:sz w:val="20"/>
          <w:szCs w:val="20"/>
        </w:rPr>
        <w:t xml:space="preserve">   defenses-case-laws/?amp=1</w:t>
      </w:r>
      <w:r>
        <w:rPr>
          <w:rFonts w:hint="default" w:ascii="Times New Roman" w:hAnsi="Times New Roman" w:cs="Times New Roman"/>
          <w:sz w:val="20"/>
          <w:szCs w:val="20"/>
        </w:rPr>
        <w:fldChar w:fldCharType="end"/>
      </w:r>
      <w:r>
        <w:rPr>
          <w:rFonts w:hint="default" w:ascii="Times New Roman" w:hAnsi="Times New Roman" w:cs="Times New Roman"/>
          <w:sz w:val="20"/>
          <w:szCs w:val="20"/>
        </w:rPr>
        <w:t>&gt;accessed 24 June 202</w:t>
      </w:r>
      <w:r>
        <w:rPr>
          <w:rFonts w:hint="default" w:cs="Times New Roman"/>
          <w:sz w:val="20"/>
          <w:szCs w:val="20"/>
          <w:lang w:val="en-US"/>
        </w:rPr>
        <w:t>6.</w:t>
      </w:r>
    </w:p>
    <w:p w14:paraId="20367A64">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18">
    <w:p w14:paraId="54C633E7">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Black’s law dictionary pp1646 of 11</w:t>
      </w:r>
      <w:r>
        <w:rPr>
          <w:rFonts w:hint="default" w:ascii="Times New Roman" w:hAnsi="Times New Roman" w:cs="Times New Roman"/>
          <w:sz w:val="20"/>
          <w:szCs w:val="20"/>
          <w:vertAlign w:val="superscript"/>
        </w:rPr>
        <w:t>th</w:t>
      </w:r>
      <w:r>
        <w:rPr>
          <w:rFonts w:hint="default" w:ascii="Times New Roman" w:hAnsi="Times New Roman" w:cs="Times New Roman"/>
          <w:sz w:val="20"/>
          <w:szCs w:val="20"/>
        </w:rPr>
        <w:t xml:space="preserve"> edition</w:t>
      </w:r>
    </w:p>
  </w:footnote>
  <w:footnote w:id="19">
    <w:p w14:paraId="1C73E3D4">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Oxford English Dictionary pp837 2</w:t>
      </w:r>
      <w:r>
        <w:rPr>
          <w:rFonts w:hint="default" w:ascii="Times New Roman" w:hAnsi="Times New Roman" w:cs="Times New Roman"/>
          <w:sz w:val="20"/>
          <w:szCs w:val="20"/>
          <w:vertAlign w:val="superscript"/>
        </w:rPr>
        <w:t>nd</w:t>
      </w:r>
      <w:r>
        <w:rPr>
          <w:rFonts w:hint="default" w:ascii="Times New Roman" w:hAnsi="Times New Roman" w:cs="Times New Roman"/>
          <w:sz w:val="20"/>
          <w:szCs w:val="20"/>
        </w:rPr>
        <w:t xml:space="preserve"> Edition.</w:t>
      </w:r>
    </w:p>
  </w:footnote>
  <w:footnote w:id="20">
    <w:p w14:paraId="21E03654">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Tress pass to person, Learn Nigeria Law&lt;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"https://www.learnnigerianlaw.com/learn/law-of-torts/trespass-to</w:instrText>
      </w:r>
    </w:p>
    <w:p w14:paraId="4F283449">
      <w:pPr>
        <w:pStyle w:val="6"/>
        <w:keepNext w:val="0"/>
        <w:keepLines w:val="0"/>
        <w:pageBreakBefore w:val="0"/>
        <w:widowControl/>
        <w:kinsoku/>
        <w:wordWrap/>
        <w:overflowPunct/>
        <w:topLinePunct w:val="0"/>
        <w:bidi w:val="0"/>
        <w:adjustRightInd/>
        <w:snapToGrid/>
        <w:spacing w:line="240" w:lineRule="auto"/>
        <w:ind w:left="720" w:hanging="720"/>
        <w:textAlignment w:val="auto"/>
        <w:rPr>
          <w:rStyle w:val="13"/>
          <w:rFonts w:hint="default" w:ascii="Times New Roman" w:hAnsi="Times New Roman" w:cs="Times New Roman"/>
          <w:sz w:val="20"/>
          <w:szCs w:val="20"/>
        </w:rPr>
      </w:pPr>
      <w:r>
        <w:rPr>
          <w:rFonts w:hint="default" w:ascii="Times New Roman" w:hAnsi="Times New Roman" w:cs="Times New Roman"/>
          <w:sz w:val="20"/>
          <w:szCs w:val="20"/>
        </w:rPr>
        <w:instrText xml:space="preserve">   person"</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rPr>
        <w:t>https://www.learnnigerianlaw.com/learn/law-of-torts/trespass-to</w:t>
      </w:r>
    </w:p>
    <w:p w14:paraId="71A0D05F">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3"/>
          <w:rFonts w:hint="default" w:ascii="Times New Roman" w:hAnsi="Times New Roman" w:cs="Times New Roman"/>
          <w:sz w:val="20"/>
          <w:szCs w:val="20"/>
        </w:rPr>
        <w:t xml:space="preserve">   person</w:t>
      </w:r>
      <w:r>
        <w:rPr>
          <w:rFonts w:hint="default" w:ascii="Times New Roman" w:hAnsi="Times New Roman" w:cs="Times New Roman"/>
          <w:sz w:val="20"/>
          <w:szCs w:val="20"/>
        </w:rPr>
        <w:fldChar w:fldCharType="end"/>
      </w:r>
      <w:r>
        <w:rPr>
          <w:rFonts w:hint="default" w:ascii="Times New Roman" w:hAnsi="Times New Roman" w:cs="Times New Roman"/>
          <w:sz w:val="20"/>
          <w:szCs w:val="20"/>
        </w:rPr>
        <w:t>&gt;accessed 25 June 202</w:t>
      </w:r>
      <w:r>
        <w:rPr>
          <w:rFonts w:hint="default" w:cs="Times New Roman"/>
          <w:sz w:val="20"/>
          <w:szCs w:val="20"/>
          <w:lang w:val="en-US"/>
        </w:rPr>
        <w:t>6.</w:t>
      </w:r>
    </w:p>
    <w:p w14:paraId="05C79507">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21">
    <w:p w14:paraId="21455152">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Meaning of Assault, Corenll.edu&lt;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"https://www.law.cornmell.edu/wex/assault" </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rPr>
        <w:t>https://www.law.cornmell.edu/wex/assault</w:t>
      </w:r>
      <w:r>
        <w:rPr>
          <w:rStyle w:val="13"/>
          <w:rFonts w:hint="default" w:ascii="Times New Roman" w:hAnsi="Times New Roman" w:cs="Times New Roman"/>
          <w:sz w:val="20"/>
          <w:szCs w:val="20"/>
        </w:rPr>
        <w:fldChar w:fldCharType="end"/>
      </w:r>
      <w:r>
        <w:rPr>
          <w:rFonts w:hint="default" w:ascii="Times New Roman" w:hAnsi="Times New Roman" w:cs="Times New Roman"/>
          <w:sz w:val="20"/>
          <w:szCs w:val="20"/>
        </w:rPr>
        <w:t>&gt;aceessed the 23</w:t>
      </w:r>
      <w:r>
        <w:rPr>
          <w:rFonts w:hint="default" w:ascii="Times New Roman" w:hAnsi="Times New Roman" w:cs="Times New Roman"/>
          <w:sz w:val="20"/>
          <w:szCs w:val="20"/>
          <w:vertAlign w:val="superscript"/>
        </w:rPr>
        <w:t>rd</w:t>
      </w:r>
      <w:r>
        <w:rPr>
          <w:rFonts w:hint="default" w:ascii="Times New Roman" w:hAnsi="Times New Roman" w:cs="Times New Roman"/>
          <w:sz w:val="20"/>
          <w:szCs w:val="20"/>
        </w:rPr>
        <w:t xml:space="preserve"> may 202</w:t>
      </w:r>
      <w:r>
        <w:rPr>
          <w:rFonts w:hint="default" w:cs="Times New Roman"/>
          <w:sz w:val="20"/>
          <w:szCs w:val="20"/>
          <w:lang w:val="en-US"/>
        </w:rPr>
        <w:t>6</w:t>
      </w:r>
    </w:p>
  </w:footnote>
  <w:footnote w:id="22">
    <w:p w14:paraId="3DE2F733">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G</w:t>
      </w:r>
      <w:r>
        <w:rPr>
          <w:rFonts w:hint="default" w:cs="Times New Roman"/>
          <w:sz w:val="20"/>
          <w:szCs w:val="20"/>
          <w:lang w:val="en-US"/>
        </w:rPr>
        <w:t>.</w:t>
      </w:r>
      <w:r>
        <w:rPr>
          <w:rFonts w:hint="default" w:ascii="Times New Roman" w:hAnsi="Times New Roman" w:cs="Times New Roman"/>
          <w:sz w:val="20"/>
          <w:szCs w:val="20"/>
        </w:rPr>
        <w:t>Kodilinye and O</w:t>
      </w:r>
      <w:r>
        <w:rPr>
          <w:rFonts w:hint="default" w:cs="Times New Roman"/>
          <w:sz w:val="20"/>
          <w:szCs w:val="20"/>
          <w:lang w:val="en-US"/>
        </w:rPr>
        <w:t>.A</w:t>
      </w:r>
      <w:r>
        <w:rPr>
          <w:rFonts w:hint="default" w:ascii="Times New Roman" w:hAnsi="Times New Roman" w:cs="Times New Roman"/>
          <w:sz w:val="20"/>
          <w:szCs w:val="20"/>
        </w:rPr>
        <w:t>luko, Nigerian law of torts (3</w:t>
      </w:r>
      <w:r>
        <w:rPr>
          <w:rFonts w:hint="default" w:ascii="Times New Roman" w:hAnsi="Times New Roman" w:cs="Times New Roman"/>
          <w:sz w:val="20"/>
          <w:szCs w:val="20"/>
          <w:vertAlign w:val="superscript"/>
        </w:rPr>
        <w:t>rd</w:t>
      </w:r>
      <w:r>
        <w:rPr>
          <w:rFonts w:hint="default" w:ascii="Times New Roman" w:hAnsi="Times New Roman" w:cs="Times New Roman"/>
          <w:sz w:val="20"/>
          <w:szCs w:val="20"/>
        </w:rPr>
        <w:t xml:space="preserve"> edn Ibadan: Spectrum publication</w:t>
      </w:r>
      <w:r>
        <w:rPr>
          <w:rFonts w:hint="default" w:cs="Times New Roman"/>
          <w:sz w:val="20"/>
          <w:szCs w:val="20"/>
          <w:lang w:val="en-US"/>
        </w:rPr>
        <w:t xml:space="preserve"> </w:t>
      </w:r>
      <w:r>
        <w:rPr>
          <w:rFonts w:hint="default" w:ascii="Times New Roman" w:hAnsi="Times New Roman" w:cs="Times New Roman"/>
          <w:sz w:val="20"/>
          <w:szCs w:val="20"/>
        </w:rPr>
        <w:t>2018) 12.</w:t>
      </w:r>
    </w:p>
  </w:footnote>
  <w:footnote w:id="23">
    <w:p w14:paraId="50C3A49C">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CFRN, 1999 (as amended)</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"Constitution of The Federal Republic Of Nigeria, 1999 (as amended)" \s "Constitution of The Federal Republic Of Nigeria, 1999 (as amended)" \c 2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s 41.</w:t>
      </w:r>
    </w:p>
    <w:p w14:paraId="1EC6A25D">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24">
    <w:p w14:paraId="66F4E773">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William Blackstone, Commentaries on the Laws of England(University of Chicago Press 1979) 127.</w:t>
      </w:r>
    </w:p>
  </w:footnote>
  <w:footnote w:id="25">
    <w:p w14:paraId="33F74929">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iCs/>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i/>
          <w:iCs/>
          <w:sz w:val="20"/>
          <w:szCs w:val="20"/>
        </w:rPr>
        <w:t xml:space="preserve">Birds v Jones </w:t>
      </w:r>
      <w:r>
        <w:rPr>
          <w:rFonts w:hint="default" w:ascii="Times New Roman" w:hAnsi="Times New Roman" w:cs="Times New Roman"/>
          <w:iCs/>
          <w:sz w:val="20"/>
          <w:szCs w:val="20"/>
        </w:rPr>
        <w:t>[1845] 7 QBR 742</w:t>
      </w:r>
    </w:p>
  </w:footnote>
  <w:footnote w:id="26">
    <w:p w14:paraId="50D94A5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iCs/>
          <w:sz w:val="20"/>
          <w:szCs w:val="20"/>
          <w:lang w:val="en-US"/>
        </w:rPr>
        <w:t xml:space="preserve"> </w:t>
      </w:r>
      <w:r>
        <w:rPr>
          <w:rFonts w:hint="default" w:ascii="Times New Roman" w:hAnsi="Times New Roman" w:cs="Times New Roman"/>
          <w:sz w:val="20"/>
          <w:szCs w:val="20"/>
          <w:lang w:val="en-US"/>
        </w:rPr>
        <w:t>Criminal Code Act 2004</w:t>
      </w:r>
    </w:p>
  </w:footnote>
  <w:footnote w:id="27">
    <w:p w14:paraId="136E051A">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Violence Against Person’s Prohibition Act of F.c.t Abuja,2015,s 19(1).</w:t>
      </w:r>
    </w:p>
  </w:footnote>
  <w:footnote w:id="28">
    <w:p w14:paraId="5C6C33FE">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Criminal Code Act, s 351.</w:t>
      </w:r>
    </w:p>
  </w:footnote>
  <w:footnote w:id="29">
    <w:p w14:paraId="14C495D9">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Violence Against Persons Prohibition Act 2015</w:t>
      </w:r>
    </w:p>
  </w:footnote>
  <w:footnote w:id="30">
    <w:p w14:paraId="20515D40">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R Heuston, Salmond and Heuston on Law of Tort (18th edn London: Sweet and Maxwell 1996) 11. Violence      </w:t>
      </w:r>
    </w:p>
    <w:p w14:paraId="2536C2B6">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    Against Person’s Prohibition Act, 2015</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"Violence Against Person’s Prohibition Act, 2015" \s "Violence Against Person’s Prohibition Act, 2015" \c 2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s 19(1).</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"Criminal Code Act Criminal Code Act (1916) (Cap C.38 LFN 2004)." \s "Criminal Code Act" \c 2 </w:instrText>
      </w:r>
      <w:r>
        <w:rPr>
          <w:rFonts w:hint="default" w:ascii="Times New Roman" w:hAnsi="Times New Roman" w:cs="Times New Roman"/>
          <w:sz w:val="20"/>
          <w:szCs w:val="20"/>
        </w:rPr>
        <w:fldChar w:fldCharType="end"/>
      </w:r>
    </w:p>
  </w:footnote>
  <w:footnote w:id="31">
    <w:p w14:paraId="4A65A034">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Williams Rogers, Winfield and Jolowicz, on Tort (London: Sweet and Maxwell 2002) 3.</w:t>
      </w:r>
    </w:p>
  </w:footnote>
  <w:footnote w:id="32">
    <w:p w14:paraId="001B2482">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i/>
          <w:iCs/>
          <w:sz w:val="20"/>
          <w:szCs w:val="20"/>
        </w:rPr>
        <w:t>Garratt v. Dailey</w:t>
      </w:r>
      <w:r>
        <w:rPr>
          <w:rFonts w:hint="default" w:cs="Times New Roman"/>
          <w:sz w:val="20"/>
          <w:szCs w:val="20"/>
          <w:lang w:val="en-US"/>
        </w:rPr>
        <w:t xml:space="preserve"> </w:t>
      </w:r>
      <w:r>
        <w:rPr>
          <w:rFonts w:hint="default" w:ascii="Times New Roman" w:hAnsi="Times New Roman" w:cs="Times New Roman"/>
          <w:sz w:val="20"/>
          <w:szCs w:val="20"/>
        </w:rPr>
        <w:t>[1955] 46 Wash. 2d 197.</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"Garratt v. Dailey [1955] 46 Wash. 2d 197." \s "Garratt v. Dailey [1955] 46 Wash. 2d 197." \c 1 </w:instrText>
      </w:r>
      <w:r>
        <w:rPr>
          <w:rFonts w:hint="default" w:ascii="Times New Roman" w:hAnsi="Times New Roman" w:cs="Times New Roman"/>
          <w:sz w:val="20"/>
          <w:szCs w:val="20"/>
        </w:rPr>
        <w:fldChar w:fldCharType="end"/>
      </w:r>
    </w:p>
    <w:p w14:paraId="297E1A56">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33">
    <w:p w14:paraId="074A103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Williams Rogers, Winfield and Jolowicz, on Tort (London: Sweet and Maxwell 2002) 26.</w:t>
      </w:r>
    </w:p>
  </w:footnote>
  <w:footnote w:id="34">
    <w:p w14:paraId="0E5EE4C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ibid</w:t>
      </w:r>
    </w:p>
  </w:footnote>
  <w:footnote w:id="35">
    <w:p w14:paraId="091A47F5">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i/>
          <w:iCs/>
          <w:sz w:val="20"/>
          <w:szCs w:val="20"/>
        </w:rPr>
        <w:t>Donoghue v. Stevenson</w:t>
      </w:r>
      <w:r>
        <w:rPr>
          <w:rFonts w:hint="default" w:ascii="Times New Roman" w:hAnsi="Times New Roman" w:cs="Times New Roman"/>
          <w:sz w:val="20"/>
          <w:szCs w:val="20"/>
        </w:rPr>
        <w:t xml:space="preserve">  [1932] AC 562.</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"Donoghue v. Stevenson  [1932] AC 562." \s "Donoghue v. Stevenson  [1932] AC 562." \c 1 </w:instrText>
      </w:r>
      <w:r>
        <w:rPr>
          <w:rFonts w:hint="default" w:ascii="Times New Roman" w:hAnsi="Times New Roman" w:cs="Times New Roman"/>
          <w:sz w:val="20"/>
          <w:szCs w:val="20"/>
        </w:rPr>
        <w:fldChar w:fldCharType="end"/>
      </w:r>
    </w:p>
    <w:p w14:paraId="445EFDF0">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36">
    <w:p w14:paraId="3816731B">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Heuston (n31) 35.</w:t>
      </w:r>
    </w:p>
    <w:p w14:paraId="7ADC121F">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37">
    <w:p w14:paraId="7EEA27D7">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 </w:t>
      </w:r>
      <w:r>
        <w:rPr>
          <w:rFonts w:hint="default" w:ascii="Times New Roman" w:hAnsi="Times New Roman" w:cs="Times New Roman"/>
          <w:i/>
          <w:iCs/>
          <w:sz w:val="20"/>
          <w:szCs w:val="20"/>
        </w:rPr>
        <w:t xml:space="preserve">Entick v Carrington </w:t>
      </w:r>
      <w:r>
        <w:rPr>
          <w:rFonts w:hint="default" w:ascii="Times New Roman" w:hAnsi="Times New Roman" w:cs="Times New Roman"/>
          <w:sz w:val="20"/>
          <w:szCs w:val="20"/>
        </w:rPr>
        <w:t>[1765] 95 ER 807.</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"Entick v Carrington [1765] 95 ER 807." \s "Entick v Carrington [1765] 95 ER 807." \c 1 </w:instrText>
      </w:r>
      <w:r>
        <w:rPr>
          <w:rFonts w:hint="default" w:ascii="Times New Roman" w:hAnsi="Times New Roman" w:cs="Times New Roman"/>
          <w:sz w:val="20"/>
          <w:szCs w:val="20"/>
        </w:rPr>
        <w:fldChar w:fldCharType="end"/>
      </w:r>
    </w:p>
  </w:footnote>
  <w:footnote w:id="38">
    <w:p w14:paraId="5490E239">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Trespass, The Encyclopedia.com (23rd May 2018) &lt;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"https://www.encyclopedia.com/social-sciences-and</w:instrText>
      </w:r>
    </w:p>
    <w:p w14:paraId="6A75066D">
      <w:pPr>
        <w:pStyle w:val="6"/>
        <w:keepNext w:val="0"/>
        <w:keepLines w:val="0"/>
        <w:pageBreakBefore w:val="0"/>
        <w:widowControl/>
        <w:kinsoku/>
        <w:wordWrap/>
        <w:overflowPunct/>
        <w:topLinePunct w:val="0"/>
        <w:bidi w:val="0"/>
        <w:adjustRightInd/>
        <w:snapToGrid/>
        <w:spacing w:line="240" w:lineRule="auto"/>
        <w:ind w:left="720" w:hanging="720"/>
        <w:textAlignment w:val="auto"/>
        <w:rPr>
          <w:rStyle w:val="13"/>
          <w:rFonts w:hint="default" w:ascii="Times New Roman" w:hAnsi="Times New Roman" w:cs="Times New Roman"/>
          <w:sz w:val="20"/>
          <w:szCs w:val="20"/>
        </w:rPr>
      </w:pPr>
      <w:r>
        <w:rPr>
          <w:rFonts w:hint="default" w:ascii="Times New Roman" w:hAnsi="Times New Roman" w:cs="Times New Roman"/>
          <w:sz w:val="20"/>
          <w:szCs w:val="20"/>
        </w:rPr>
        <w:instrText xml:space="preserve">     law/law/crime-and-law-enforcement/trespass"</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rPr>
        <w:t>https://www.encyclopedia.com/social-sciences-and</w:t>
      </w:r>
    </w:p>
    <w:p w14:paraId="4C7615BA">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3"/>
          <w:rFonts w:hint="default" w:ascii="Times New Roman" w:hAnsi="Times New Roman" w:cs="Times New Roman"/>
          <w:sz w:val="20"/>
          <w:szCs w:val="20"/>
        </w:rPr>
        <w:t xml:space="preserve">     law/law/crime-and-law-enforcement/trespass</w:t>
      </w:r>
      <w:r>
        <w:rPr>
          <w:rFonts w:hint="default" w:ascii="Times New Roman" w:hAnsi="Times New Roman" w:cs="Times New Roman"/>
          <w:sz w:val="20"/>
          <w:szCs w:val="20"/>
        </w:rPr>
        <w:fldChar w:fldCharType="end"/>
      </w:r>
      <w:r>
        <w:rPr>
          <w:rFonts w:hint="default" w:ascii="Times New Roman" w:hAnsi="Times New Roman" w:cs="Times New Roman"/>
          <w:sz w:val="20"/>
          <w:szCs w:val="20"/>
        </w:rPr>
        <w:t>&gt;accessed 30 May 202</w:t>
      </w:r>
      <w:r>
        <w:rPr>
          <w:rFonts w:hint="default" w:cs="Times New Roman"/>
          <w:sz w:val="20"/>
          <w:szCs w:val="20"/>
          <w:lang w:val="en-US"/>
        </w:rPr>
        <w:t>6.</w:t>
      </w:r>
    </w:p>
  </w:footnote>
  <w:footnote w:id="39">
    <w:p w14:paraId="651751A7">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[1995] 6 NWLR pt 404, p.639 Sc.</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"Eze v Obiefuna [1995] 6 NWLR pt 404, p.639 Sc." \s "Eze v Obiefuna [1995] 6 NWLR pt 404, p.639 Sc." \c 1 </w:instrText>
      </w:r>
      <w:r>
        <w:rPr>
          <w:rFonts w:hint="default" w:ascii="Times New Roman" w:hAnsi="Times New Roman" w:cs="Times New Roman"/>
          <w:sz w:val="20"/>
          <w:szCs w:val="20"/>
        </w:rPr>
        <w:fldChar w:fldCharType="end"/>
      </w:r>
    </w:p>
  </w:footnote>
  <w:footnote w:id="40">
    <w:p w14:paraId="3025F72E">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Kodilinye and Aluko  (n23) 1</w:t>
      </w:r>
    </w:p>
  </w:footnote>
  <w:footnote w:id="41">
    <w:p w14:paraId="516F02E8">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cs="Times New Roman"/>
          <w:sz w:val="20"/>
          <w:szCs w:val="20"/>
          <w:lang w:val="en-US"/>
        </w:rPr>
        <w:t xml:space="preserve"> </w:t>
      </w:r>
      <w:r>
        <w:rPr>
          <w:rFonts w:hint="default" w:ascii="Times New Roman" w:hAnsi="Times New Roman" w:cs="Times New Roman"/>
          <w:sz w:val="20"/>
          <w:szCs w:val="20"/>
        </w:rPr>
        <w:t>Law of Torts, Thomas Reuters Practical Law&lt;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"https://uk.practicallaw.thomsonreuters.com" </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rPr>
        <w:t>https://uk.practicallaw.thomsonreuters.com</w:t>
      </w:r>
      <w:r>
        <w:rPr>
          <w:rStyle w:val="13"/>
          <w:rFonts w:hint="default" w:ascii="Times New Roman" w:hAnsi="Times New Roman" w:cs="Times New Roman"/>
          <w:sz w:val="20"/>
          <w:szCs w:val="20"/>
        </w:rPr>
        <w:fldChar w:fldCharType="end"/>
      </w:r>
      <w:r>
        <w:rPr>
          <w:rFonts w:hint="default" w:ascii="Times New Roman" w:hAnsi="Times New Roman" w:cs="Times New Roman"/>
          <w:sz w:val="20"/>
          <w:szCs w:val="20"/>
        </w:rPr>
        <w:t>&gt;accessed24  May 202</w:t>
      </w:r>
      <w:r>
        <w:rPr>
          <w:rFonts w:hint="default" w:cs="Times New Roman"/>
          <w:sz w:val="20"/>
          <w:szCs w:val="20"/>
          <w:lang w:val="en-US"/>
        </w:rPr>
        <w:t>6.</w:t>
      </w:r>
    </w:p>
    <w:p w14:paraId="4B034ECF">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42">
    <w:p w14:paraId="39E25750">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[18</w:t>
      </w:r>
      <w:r>
        <w:rPr>
          <w:rFonts w:hint="default" w:cs="Times New Roman"/>
          <w:sz w:val="20"/>
          <w:szCs w:val="20"/>
          <w:lang w:val="en-US"/>
        </w:rPr>
        <w:t>68</w:t>
      </w:r>
      <w:r>
        <w:rPr>
          <w:rFonts w:hint="default" w:ascii="Times New Roman" w:hAnsi="Times New Roman" w:cs="Times New Roman"/>
          <w:sz w:val="20"/>
          <w:szCs w:val="20"/>
        </w:rPr>
        <w:t>]</w:t>
      </w:r>
      <w:r>
        <w:rPr>
          <w:rFonts w:hint="default" w:cs="Times New Roman"/>
          <w:sz w:val="20"/>
          <w:szCs w:val="20"/>
          <w:lang w:val="en-US"/>
        </w:rPr>
        <w:t xml:space="preserve"> </w:t>
      </w:r>
      <w:r>
        <w:rPr>
          <w:rFonts w:hint="default" w:ascii="Times New Roman" w:hAnsi="Times New Roman" w:cs="Times New Roman"/>
          <w:sz w:val="20"/>
          <w:szCs w:val="20"/>
        </w:rPr>
        <w:t>LR</w:t>
      </w:r>
      <w:r>
        <w:rPr>
          <w:rFonts w:hint="default" w:cs="Times New Roman"/>
          <w:sz w:val="20"/>
          <w:szCs w:val="20"/>
          <w:lang w:val="en-US"/>
        </w:rPr>
        <w:t xml:space="preserve"> 3HL 330.</w:t>
      </w:r>
    </w:p>
  </w:footnote>
  <w:footnote w:id="43">
    <w:p w14:paraId="333D37B7">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[1975] 11.SC.155.</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"Umudje v. Shell-B.P Petroleum Development Co. of Nigeria Ltd[1975] 11. SC. 155." \s "Umudje v. Shell-B.P Petroleum Development Co. of Nigeria Ltd[1975] 11. SC. 155." \c 1 </w:instrText>
      </w:r>
      <w:r>
        <w:rPr>
          <w:rFonts w:hint="default" w:ascii="Times New Roman" w:hAnsi="Times New Roman" w:cs="Times New Roman"/>
          <w:sz w:val="20"/>
          <w:szCs w:val="20"/>
        </w:rPr>
        <w:fldChar w:fldCharType="end"/>
      </w:r>
    </w:p>
  </w:footnote>
  <w:footnote w:id="44">
    <w:p w14:paraId="386CB518">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[1868] LR3</w:t>
      </w:r>
      <w:r>
        <w:rPr>
          <w:rFonts w:hint="default" w:cs="Times New Roman"/>
          <w:sz w:val="20"/>
          <w:szCs w:val="20"/>
          <w:lang w:val="en-US"/>
        </w:rPr>
        <w:t xml:space="preserve"> </w:t>
      </w:r>
      <w:r>
        <w:rPr>
          <w:rFonts w:hint="default" w:ascii="Times New Roman" w:hAnsi="Times New Roman" w:cs="Times New Roman"/>
          <w:sz w:val="20"/>
          <w:szCs w:val="20"/>
        </w:rPr>
        <w:t>HL</w:t>
      </w:r>
      <w:r>
        <w:rPr>
          <w:rFonts w:hint="default" w:cs="Times New Roman"/>
          <w:sz w:val="20"/>
          <w:szCs w:val="20"/>
          <w:lang w:val="en-US"/>
        </w:rPr>
        <w:t xml:space="preserve"> </w:t>
      </w:r>
      <w:r>
        <w:rPr>
          <w:rFonts w:hint="default" w:ascii="Times New Roman" w:hAnsi="Times New Roman" w:cs="Times New Roman"/>
          <w:sz w:val="20"/>
          <w:szCs w:val="20"/>
        </w:rPr>
        <w:t>330</w:t>
      </w:r>
    </w:p>
    <w:p w14:paraId="412D4DD0">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p>
    <w:p w14:paraId="2927067E">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45">
    <w:p w14:paraId="6D3E64B2">
      <w:pPr>
        <w:pStyle w:val="6"/>
        <w:keepNext w:val="0"/>
        <w:keepLines w:val="0"/>
        <w:pageBreakBefore w:val="0"/>
        <w:widowControl/>
        <w:kinsoku/>
        <w:wordWrap/>
        <w:overflowPunct/>
        <w:topLinePunct w:val="0"/>
        <w:bidi w:val="0"/>
        <w:adjustRightInd/>
        <w:snapToGrid/>
        <w:spacing w:line="240" w:lineRule="auto"/>
        <w:ind w:left="200" w:hanging="200" w:hangingChars="100"/>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Raymond Temituro, Zikoko </w:t>
      </w:r>
      <w:r>
        <w:rPr>
          <w:rFonts w:hint="default" w:ascii="Times New Roman" w:hAnsi="Times New Roman" w:cs="Times New Roman"/>
          <w:i/>
          <w:iCs/>
          <w:sz w:val="20"/>
          <w:szCs w:val="20"/>
          <w:lang w:val="en-US"/>
        </w:rPr>
        <w:t>“10 Law Enforcements Agencies in Nigeria and their Duties”</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"http://www.zikoko.com" </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lang w:val="en-US"/>
        </w:rPr>
        <w:t>www.zikoko.com</w:t>
      </w:r>
      <w:r>
        <w:rPr>
          <w:rStyle w:val="13"/>
          <w:rFonts w:hint="default" w:ascii="Times New Roman" w:hAnsi="Times New Roman" w:cs="Times New Roman"/>
          <w:sz w:val="20"/>
          <w:szCs w:val="20"/>
          <w:lang w:val="en-US"/>
        </w:rPr>
        <w:fldChar w:fldCharType="end"/>
      </w:r>
      <w:r>
        <w:rPr>
          <w:rFonts w:hint="default" w:ascii="Times New Roman" w:hAnsi="Times New Roman" w:cs="Times New Roman"/>
          <w:sz w:val="20"/>
          <w:szCs w:val="20"/>
          <w:lang w:val="en-US"/>
        </w:rPr>
        <w:t xml:space="preserve"> Accessed 15 March 2026.</w:t>
      </w:r>
    </w:p>
  </w:footnote>
  <w:footnote w:id="46">
    <w:p w14:paraId="2D8FA6B2">
      <w:pPr>
        <w:pStyle w:val="6"/>
        <w:keepNext w:val="0"/>
        <w:keepLines w:val="0"/>
        <w:pageBreakBefore w:val="0"/>
        <w:widowControl/>
        <w:kinsoku/>
        <w:wordWrap/>
        <w:overflowPunct/>
        <w:topLinePunct w:val="0"/>
        <w:bidi w:val="0"/>
        <w:adjustRightInd/>
        <w:snapToGrid/>
        <w:spacing w:line="240" w:lineRule="auto"/>
        <w:ind w:left="200" w:hanging="200" w:hangingChars="100"/>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National Agency for the Prohibition of Trafficking in Persons (NAPTIP) </w:t>
      </w:r>
      <w:r>
        <w:rPr>
          <w:rFonts w:hint="default" w:cs="Times New Roman"/>
          <w:sz w:val="20"/>
          <w:szCs w:val="20"/>
          <w:lang w:val="en-US"/>
        </w:rPr>
        <w:t>&lt;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"http://www.naptip.gov.ng" </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lang w:val="en-US"/>
        </w:rPr>
        <w:t>www.naptip.gov.ng</w:t>
      </w:r>
      <w:r>
        <w:rPr>
          <w:rStyle w:val="13"/>
          <w:rFonts w:hint="default" w:ascii="Times New Roman" w:hAnsi="Times New Roman" w:cs="Times New Roman"/>
          <w:sz w:val="20"/>
          <w:szCs w:val="20"/>
          <w:lang w:val="en-US"/>
        </w:rPr>
        <w:fldChar w:fldCharType="end"/>
      </w:r>
      <w:r>
        <w:rPr>
          <w:rStyle w:val="13"/>
          <w:rFonts w:hint="default" w:cs="Times New Roman"/>
          <w:sz w:val="20"/>
          <w:szCs w:val="20"/>
          <w:lang w:val="en-US"/>
        </w:rPr>
        <w:t xml:space="preserve">&gt; </w:t>
      </w:r>
      <w:r>
        <w:rPr>
          <w:rFonts w:hint="default" w:ascii="Times New Roman" w:hAnsi="Times New Roman" w:cs="Times New Roman"/>
          <w:sz w:val="20"/>
          <w:szCs w:val="20"/>
          <w:lang w:val="en-US"/>
        </w:rPr>
        <w:t>Accessed 15 March 2026.</w:t>
      </w:r>
    </w:p>
  </w:footnote>
  <w:footnote w:id="47">
    <w:p w14:paraId="6910499F">
      <w:pPr>
        <w:pStyle w:val="6"/>
        <w:keepNext w:val="0"/>
        <w:keepLines w:val="0"/>
        <w:pageBreakBefore w:val="0"/>
        <w:widowControl/>
        <w:kinsoku/>
        <w:wordWrap/>
        <w:overflowPunct/>
        <w:topLinePunct w:val="0"/>
        <w:bidi w:val="0"/>
        <w:adjustRightInd/>
        <w:snapToGrid/>
        <w:spacing w:line="240" w:lineRule="auto"/>
        <w:ind w:left="200" w:hanging="200" w:hangingChars="100"/>
        <w:textAlignment w:val="auto"/>
        <w:rPr>
          <w:rFonts w:hint="default" w:ascii="Times New Roman" w:hAnsi="Times New Roman" w:cs="Times New Roman"/>
          <w:sz w:val="20"/>
          <w:szCs w:val="20"/>
          <w:lang w:val="en-US"/>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lang w:val="en-US"/>
        </w:rPr>
        <w:t xml:space="preserve">Adeyinka Odutuyo, Zikoko </w:t>
      </w:r>
      <w:r>
        <w:rPr>
          <w:rFonts w:hint="default" w:ascii="Times New Roman" w:hAnsi="Times New Roman" w:cs="Times New Roman"/>
          <w:i/>
          <w:iCs/>
          <w:sz w:val="20"/>
          <w:szCs w:val="20"/>
          <w:lang w:val="en-US"/>
        </w:rPr>
        <w:t>“Police and Army, I know: Who are the guys in these Uniforms?”</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"http://www.zikoko.com" </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lang w:val="en-US"/>
        </w:rPr>
        <w:t>www.zikoko.com</w:t>
      </w:r>
      <w:r>
        <w:rPr>
          <w:rStyle w:val="13"/>
          <w:rFonts w:hint="default" w:ascii="Times New Roman" w:hAnsi="Times New Roman" w:cs="Times New Roman"/>
          <w:sz w:val="20"/>
          <w:szCs w:val="20"/>
          <w:lang w:val="en-US"/>
        </w:rPr>
        <w:fldChar w:fldCharType="end"/>
      </w:r>
      <w:r>
        <w:rPr>
          <w:rFonts w:hint="default" w:ascii="Times New Roman" w:hAnsi="Times New Roman" w:cs="Times New Roman"/>
          <w:sz w:val="20"/>
          <w:szCs w:val="20"/>
          <w:lang w:val="en-US"/>
        </w:rPr>
        <w:t xml:space="preserve"> Accessed 15 March 2026.</w:t>
      </w:r>
    </w:p>
  </w:footnote>
  <w:footnote w:id="48">
    <w:p w14:paraId="046377BB">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Williams Rogers, Winfield and Jolowicz on Tort (London: Sweet and Maxwell 2002) 33.</w:t>
      </w:r>
    </w:p>
    <w:p w14:paraId="7AB35C27">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49">
    <w:p w14:paraId="726F9464">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The Nigerian Criminal code</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\s "Criminal Code Act"</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s 252.</w:t>
      </w:r>
    </w:p>
  </w:footnote>
  <w:footnote w:id="50">
    <w:p w14:paraId="0E567D56">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David Barker &amp; Colin Padfield, Law (8th edn Oxford: Made Simple Books 1970)</w:t>
      </w:r>
    </w:p>
  </w:footnote>
  <w:footnote w:id="51">
    <w:p w14:paraId="3A686714">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G Kodilinye &amp; N Corthesy, Commonwealth Caribbean Tort Law (6th edn: Routledge 2022) 50.</w:t>
      </w:r>
    </w:p>
  </w:footnote>
  <w:footnote w:id="52">
    <w:p w14:paraId="30B8CFDE">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Battery, Legal Information Institute - accessed 4 June 2023.</w:t>
      </w:r>
    </w:p>
  </w:footnote>
  <w:footnote w:id="53">
    <w:p w14:paraId="5AFF6748">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David Barker &amp; Colin Padfield, Law (8th edn Oxford: Made Simple Books 1970) Accessed 5 June 2023</w:t>
      </w:r>
    </w:p>
  </w:footnote>
  <w:footnote w:id="54">
    <w:p w14:paraId="669A69F8">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Kodilinye and Corthesy (n52)50.</w:t>
      </w:r>
    </w:p>
  </w:footnote>
  <w:footnote w:id="55">
    <w:p w14:paraId="0CA6BF5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[1704] Holt, KB 108; 6 Mod Rep 149; [1704] 90 ER 958</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"Cole v Turner High Court Citations [1704] Holt, KB 108; 6 Mod Rep 149; [1704] 90 ER 958" \s "Cole v Turner High Court Citations [1704] Holt, KB 108; 6 Mod Rep 149; [1704] 90 ER 958" \c 1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w:t>
      </w:r>
    </w:p>
  </w:footnote>
  <w:footnote w:id="56">
    <w:p w14:paraId="7E3BCBD7">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Olusegun Yerokun, Casebook on law of tort: comments &amp; cases (Ikeja: Lagos Princeton &amp; associates</w:t>
      </w:r>
    </w:p>
    <w:p w14:paraId="272FCA60">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    Company Ltd 2015) 34.</w:t>
      </w:r>
    </w:p>
    <w:p w14:paraId="09DCFC3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57">
    <w:p w14:paraId="4AE75D94">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Ekpoudo v. State</w:t>
      </w:r>
      <w:r>
        <w:rPr>
          <w:rFonts w:hint="default" w:ascii="Times New Roman" w:hAnsi="Times New Roman" w:cs="Times New Roman"/>
          <w:sz w:val="20"/>
          <w:szCs w:val="20"/>
        </w:rPr>
        <w:t xml:space="preserve"> [</w:t>
      </w:r>
      <w:r>
        <w:rPr>
          <w:rFonts w:hint="default" w:cs="Times New Roman"/>
          <w:sz w:val="20"/>
          <w:szCs w:val="20"/>
          <w:lang w:val="en-US"/>
        </w:rPr>
        <w:t>1993</w:t>
      </w:r>
      <w:r>
        <w:rPr>
          <w:rFonts w:hint="default" w:ascii="Times New Roman" w:hAnsi="Times New Roman" w:cs="Times New Roman"/>
          <w:sz w:val="20"/>
          <w:szCs w:val="20"/>
        </w:rPr>
        <w:t>]</w:t>
      </w:r>
      <w:r>
        <w:rPr>
          <w:rFonts w:hint="default" w:cs="Times New Roman"/>
          <w:sz w:val="20"/>
          <w:szCs w:val="20"/>
          <w:lang w:val="en-US"/>
        </w:rPr>
        <w:t xml:space="preserve"> 6NWLR (Pt.299) 332</w:t>
      </w:r>
      <w:r>
        <w:rPr>
          <w:rFonts w:hint="default" w:ascii="Times New Roman" w:hAnsi="Times New Roman" w:cs="Times New Roman"/>
          <w:sz w:val="20"/>
          <w:szCs w:val="20"/>
        </w:rPr>
        <w: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"Ekpoudo v. State [2021] LCN/15024(CA)" \s "Ekpoudo v. State [2021] LCN/15024(CA)." \c 1 </w:instrText>
      </w:r>
      <w:r>
        <w:rPr>
          <w:rFonts w:hint="default" w:ascii="Times New Roman" w:hAnsi="Times New Roman" w:cs="Times New Roman"/>
          <w:sz w:val="20"/>
          <w:szCs w:val="20"/>
        </w:rPr>
        <w:fldChar w:fldCharType="end"/>
      </w:r>
    </w:p>
    <w:p w14:paraId="44BB06A9">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58">
    <w:p w14:paraId="1C71D3E0">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[1971] H&amp;FLR 2014-5.</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"McNamara v Duncan [1971] H&amp;FLR 2014-5." \s "McNamara v Duncan [1971] H&amp;FLR 2014-5." \c 1 </w:instrText>
      </w:r>
      <w:r>
        <w:rPr>
          <w:rFonts w:hint="default" w:ascii="Times New Roman" w:hAnsi="Times New Roman" w:cs="Times New Roman"/>
          <w:sz w:val="20"/>
          <w:szCs w:val="20"/>
        </w:rPr>
        <w:fldChar w:fldCharType="end"/>
      </w:r>
    </w:p>
  </w:footnote>
  <w:footnote w:id="59">
    <w:p w14:paraId="2EDFA24D">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Police Act 2020</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"Police Act 2020" \s "Police Act 2020" \c 2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s 29.</w:t>
      </w:r>
    </w:p>
    <w:p w14:paraId="78D1EC4A">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60">
    <w:p w14:paraId="654F12F7">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[1947] AC 573.</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"Christie v Leachinsky [1947] AC 573." \s "Christie v Leachinsky [1947] AC 573." \c 1 </w:instrText>
      </w:r>
      <w:r>
        <w:rPr>
          <w:rFonts w:hint="default" w:ascii="Times New Roman" w:hAnsi="Times New Roman" w:cs="Times New Roman"/>
          <w:sz w:val="20"/>
          <w:szCs w:val="20"/>
        </w:rPr>
        <w:fldChar w:fldCharType="end"/>
      </w:r>
    </w:p>
  </w:footnote>
  <w:footnote w:id="61">
    <w:p w14:paraId="71CF3E42">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[1909] 26 TLR 139.</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"Leigh v Gladstone [1909] 26 TLR 139" \s "Leigh v Gladstone [1909] 26 TLR 139" \c 1 </w:instrText>
      </w:r>
      <w:r>
        <w:rPr>
          <w:rFonts w:hint="default" w:ascii="Times New Roman" w:hAnsi="Times New Roman" w:cs="Times New Roman"/>
          <w:sz w:val="20"/>
          <w:szCs w:val="20"/>
        </w:rPr>
        <w:fldChar w:fldCharType="end"/>
      </w:r>
    </w:p>
    <w:p w14:paraId="0BEED786">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62">
    <w:p w14:paraId="250878E3">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Interpretation Act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"Interpretation Act" \s "Interpretation Act" \c 2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xml:space="preserve"> (CAP 89, Laws of the Federation and corresponding provisions in Regional Laws), s 3.</w:t>
      </w:r>
    </w:p>
  </w:footnote>
  <w:footnote w:id="63">
    <w:p w14:paraId="3E740568">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CFRN Nigeria 1999</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\s "Constitution of The Federal Republic Of Nigeria, 1999 (as amended)"</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xml:space="preserve"> (as amended), s 37.</w:t>
      </w:r>
    </w:p>
    <w:p w14:paraId="236C629F">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64">
    <w:p w14:paraId="0CD43EB2">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w:t>
      </w:r>
      <w:r>
        <w:rPr>
          <w:rFonts w:hint="default" w:cs="Times New Roman"/>
          <w:sz w:val="20"/>
          <w:szCs w:val="20"/>
          <w:lang w:val="en-US"/>
        </w:rPr>
        <w:t>74</w:t>
      </w:r>
      <w:r>
        <w:rPr>
          <w:rFonts w:hint="default" w:ascii="Times New Roman" w:hAnsi="Times New Roman" w:cs="Times New Roman"/>
          <w:sz w:val="20"/>
          <w:szCs w:val="20"/>
        </w:rPr>
        <w:t xml:space="preserve">] </w:t>
      </w:r>
      <w:r>
        <w:rPr>
          <w:rFonts w:hint="default" w:cs="Times New Roman"/>
          <w:sz w:val="20"/>
          <w:szCs w:val="20"/>
          <w:lang w:val="en-US"/>
        </w:rPr>
        <w:t>NNLR</w:t>
      </w:r>
      <w:r>
        <w:rPr>
          <w:rFonts w:hint="default" w:ascii="Times New Roman" w:hAnsi="Times New Roman" w:cs="Times New Roman"/>
          <w:sz w:val="20"/>
          <w:szCs w:val="20"/>
        </w:rPr>
        <w:t xml:space="preserve"> </w:t>
      </w:r>
      <w:r>
        <w:rPr>
          <w:rFonts w:hint="default" w:cs="Times New Roman"/>
          <w:sz w:val="20"/>
          <w:szCs w:val="20"/>
          <w:lang w:val="en-US"/>
        </w:rPr>
        <w:t>157</w:t>
      </w:r>
      <w:r>
        <w:rPr>
          <w:rFonts w:hint="default" w:ascii="Times New Roman" w:hAnsi="Times New Roman" w:cs="Times New Roman"/>
          <w:sz w:val="20"/>
          <w:szCs w:val="20"/>
        </w:rPr>
        <w:t>.</w:t>
      </w:r>
    </w:p>
  </w:footnote>
  <w:footnote w:id="65">
    <w:p w14:paraId="05637B5F">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[1974] 9 CCHJC 1477</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"Onasanya v. Emmauel [1974] 9 CCHJC 1477" \s "Onasanya v. Emmauel [1974] 9 CCHJC 1477" \c 1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xml:space="preserve"> at p. 1481, per Omolulu-Thomas J.</w:t>
      </w:r>
    </w:p>
  </w:footnote>
  <w:footnote w:id="66">
    <w:p w14:paraId="14A9A539">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Heuston (n31)38.</w:t>
      </w:r>
    </w:p>
  </w:footnote>
  <w:footnote w:id="67">
    <w:p w14:paraId="5AD03A93">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[1765] 19 St. Tr. 1030</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"Entick v. Carrington [1765] 19 St. Tr. 1030" \s "Entick v. Carrington [1765] 19 St. Tr. 1030" \c 1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xml:space="preserve"> at p 1066.</w:t>
      </w:r>
    </w:p>
  </w:footnote>
  <w:footnote w:id="68">
    <w:p w14:paraId="285E303C">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Ashby v. White</w:t>
      </w:r>
      <w:r>
        <w:rPr>
          <w:rFonts w:hint="default" w:ascii="Times New Roman" w:hAnsi="Times New Roman" w:cs="Times New Roman"/>
          <w:sz w:val="20"/>
          <w:szCs w:val="20"/>
        </w:rPr>
        <w:t xml:space="preserve"> [1703] 87 E.R. 810</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"Ashby v. White [1703] 87 E.R. 810" \s "Ashby v. White [1703] 87 E.R. 810" \c 1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w:t>
      </w:r>
    </w:p>
  </w:footnote>
  <w:footnote w:id="69">
    <w:p w14:paraId="1F4B75D2">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Basely v. Clarkson</w:t>
      </w:r>
      <w:r>
        <w:rPr>
          <w:rFonts w:hint="default" w:ascii="Times New Roman" w:hAnsi="Times New Roman" w:cs="Times New Roman"/>
          <w:sz w:val="20"/>
          <w:szCs w:val="20"/>
        </w:rPr>
        <w:t xml:space="preserve"> [1681] 83 E.R. 565</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"Basely v. Clarkson [1681] 83 E.R. 565" \s "Basely v. Clarkson [1681] 83 E.R. 565" \c 1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w:t>
      </w:r>
    </w:p>
  </w:footnote>
  <w:footnote w:id="70">
    <w:p w14:paraId="3707864F">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G Fleming, Fleming’s the Law of Tort (Thomas Reuters limited 2011) 38.</w:t>
      </w:r>
    </w:p>
  </w:footnote>
  <w:footnote w:id="71">
    <w:p w14:paraId="46D8A55B">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[1963] 2 All NLR 175</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"Balogun v Alakija [1963] 2 All NLR 175" \s "Balogun v Alakija [1963] 2 All NLR 175" \c 1 </w:instrText>
      </w:r>
      <w:r>
        <w:rPr>
          <w:rFonts w:hint="default" w:ascii="Times New Roman" w:hAnsi="Times New Roman" w:cs="Times New Roman"/>
          <w:sz w:val="20"/>
          <w:szCs w:val="20"/>
        </w:rPr>
        <w:fldChar w:fldCharType="end"/>
      </w:r>
      <w:r>
        <w:rPr>
          <w:rFonts w:hint="default" w:ascii="Times New Roman" w:hAnsi="Times New Roman" w:cs="Times New Roman"/>
          <w:sz w:val="20"/>
          <w:szCs w:val="20"/>
        </w:rPr>
        <w:t>; [1843-60] All ER Rep 190.</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"Wood v Leadbitter [1843-60] All ER Rep 190." \s "Wood v Leadbitter [1843-60] All ER Rep 190." \c 1 </w:instrText>
      </w:r>
      <w:r>
        <w:rPr>
          <w:rFonts w:hint="default" w:ascii="Times New Roman" w:hAnsi="Times New Roman" w:cs="Times New Roman"/>
          <w:sz w:val="20"/>
          <w:szCs w:val="20"/>
        </w:rPr>
        <w:fldChar w:fldCharType="end"/>
      </w:r>
    </w:p>
  </w:footnote>
  <w:footnote w:id="72">
    <w:p w14:paraId="575DE03D">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Heuston (n31)42.</w:t>
      </w:r>
    </w:p>
  </w:footnote>
  <w:footnote w:id="73">
    <w:p w14:paraId="1DDF19D4">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Smith v Giddy</w:t>
      </w:r>
      <w:r>
        <w:rPr>
          <w:rFonts w:hint="default" w:ascii="Times New Roman" w:hAnsi="Times New Roman" w:cs="Times New Roman"/>
          <w:sz w:val="20"/>
          <w:szCs w:val="20"/>
        </w:rPr>
        <w:t xml:space="preserve"> [1904] 2 K.B. 44.</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"Smith v Giddy [1904] 2 K.B. 44." \s "Smith v Giddy [1904] 2 K.B. 44." \c 1 </w:instrText>
      </w:r>
      <w:r>
        <w:rPr>
          <w:rFonts w:hint="default" w:ascii="Times New Roman" w:hAnsi="Times New Roman" w:cs="Times New Roman"/>
          <w:sz w:val="20"/>
          <w:szCs w:val="20"/>
        </w:rPr>
        <w:fldChar w:fldCharType="end"/>
      </w:r>
    </w:p>
  </w:footnote>
  <w:footnote w:id="74">
    <w:p w14:paraId="05119988">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 xml:space="preserve">Onansanya v Emannuel </w:t>
      </w:r>
      <w:r>
        <w:rPr>
          <w:rFonts w:hint="default" w:ascii="Times New Roman" w:hAnsi="Times New Roman" w:cs="Times New Roman"/>
          <w:sz w:val="20"/>
          <w:szCs w:val="20"/>
        </w:rPr>
        <w:t>[1974] 9 CCHCJ 1477.</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"Onansanya v Emannuel [1974] 9 CCHCJ 1477." \s "Onansanya v Emannuel [1974] 9 CCHCJ 1477." \c 1 </w:instrText>
      </w:r>
      <w:r>
        <w:rPr>
          <w:rFonts w:hint="default" w:ascii="Times New Roman" w:hAnsi="Times New Roman" w:cs="Times New Roman"/>
          <w:sz w:val="20"/>
          <w:szCs w:val="20"/>
        </w:rPr>
        <w:fldChar w:fldCharType="end"/>
      </w:r>
    </w:p>
  </w:footnote>
  <w:footnote w:id="75">
    <w:p w14:paraId="3A0ECAB8">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Gregory v Piper</w:t>
      </w:r>
      <w:r>
        <w:rPr>
          <w:rFonts w:hint="default" w:ascii="Times New Roman" w:hAnsi="Times New Roman" w:cs="Times New Roman"/>
          <w:sz w:val="20"/>
          <w:szCs w:val="20"/>
        </w:rPr>
        <w:t xml:space="preserve"> [1829]9B&amp;C591.</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"Gregory v Piper [1829] 9 B &amp; C 591." \s "Gregory v Piper [1829] 9 B &amp; C 591." \c 1 </w:instrText>
      </w:r>
      <w:r>
        <w:rPr>
          <w:rFonts w:hint="default" w:ascii="Times New Roman" w:hAnsi="Times New Roman" w:cs="Times New Roman"/>
          <w:sz w:val="20"/>
          <w:szCs w:val="20"/>
        </w:rPr>
        <w:fldChar w:fldCharType="end"/>
      </w:r>
    </w:p>
  </w:footnote>
  <w:footnote w:id="76">
    <w:p w14:paraId="5A2991FF">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Six Carpenter’s Case</w:t>
      </w:r>
      <w:r>
        <w:rPr>
          <w:rFonts w:hint="default" w:ascii="Times New Roman" w:hAnsi="Times New Roman" w:cs="Times New Roman"/>
          <w:sz w:val="20"/>
          <w:szCs w:val="20"/>
        </w:rPr>
        <w:t xml:space="preserve"> [1610] 77 E.R. 695.</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"Six Carpenter’s Case [1610] 77 E.R. 695." \s "Six Carpenter’s Case [1610] 77 E.R. 695." \c 1 </w:instrText>
      </w:r>
      <w:r>
        <w:rPr>
          <w:rFonts w:hint="default" w:ascii="Times New Roman" w:hAnsi="Times New Roman" w:cs="Times New Roman"/>
          <w:sz w:val="20"/>
          <w:szCs w:val="20"/>
        </w:rPr>
        <w:fldChar w:fldCharType="end"/>
      </w:r>
    </w:p>
  </w:footnote>
  <w:footnote w:id="77">
    <w:p w14:paraId="21239AE6">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Ajibade v. Pedro</w:t>
      </w:r>
      <w:r>
        <w:rPr>
          <w:rFonts w:hint="default" w:ascii="Times New Roman" w:hAnsi="Times New Roman" w:cs="Times New Roman"/>
          <w:sz w:val="20"/>
          <w:szCs w:val="20"/>
        </w:rPr>
        <w:t xml:space="preserve"> [1992] 5NWLR(Pt 241)257.</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"Ajibade v Pedro [1992] 5 NWLR (Pt 241) 257." \s "Ajibade v Pedro [1992] 5 NWLR (Pt 241) 257." \c 1 </w:instrText>
      </w:r>
      <w:r>
        <w:rPr>
          <w:rFonts w:hint="default" w:ascii="Times New Roman" w:hAnsi="Times New Roman" w:cs="Times New Roman"/>
          <w:sz w:val="20"/>
          <w:szCs w:val="20"/>
        </w:rPr>
        <w:fldChar w:fldCharType="end"/>
      </w:r>
    </w:p>
  </w:footnote>
  <w:footnote w:id="78">
    <w:p w14:paraId="0E1D8A1C">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Lajide v Oyelaran</w:t>
      </w:r>
      <w:r>
        <w:rPr>
          <w:rFonts w:hint="default" w:ascii="Times New Roman" w:hAnsi="Times New Roman" w:cs="Times New Roman"/>
          <w:sz w:val="20"/>
          <w:szCs w:val="20"/>
        </w:rPr>
        <w:t xml:space="preserve"> [1973] 1 KB 421.</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"Lajide v Oyelaran [1973] 1 KB 421." \s "Lajide v Oyelaran [1973] 1 KB 421." \c 1 </w:instrText>
      </w:r>
      <w:r>
        <w:rPr>
          <w:rFonts w:hint="default" w:ascii="Times New Roman" w:hAnsi="Times New Roman" w:cs="Times New Roman"/>
          <w:sz w:val="20"/>
          <w:szCs w:val="20"/>
        </w:rPr>
        <w:fldChar w:fldCharType="end"/>
      </w:r>
    </w:p>
    <w:p w14:paraId="60E8D001">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79">
    <w:p w14:paraId="37A10BFC">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Kodilinye and Corthesy (n52) 190.</w:t>
      </w:r>
    </w:p>
    <w:p w14:paraId="599BFCDE">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80">
    <w:p w14:paraId="3D1D76A9">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[1951] 2 KB 861.</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TA \l "National Coal Board v J E Evans &amp; Co (Cardiff) LD 2 KB 861." \s "National Coal Board v J E Evans &amp; Co (Cardiff) LD 2 KB 861." \c 1 </w:instrText>
      </w:r>
      <w:r>
        <w:rPr>
          <w:rFonts w:hint="default" w:ascii="Times New Roman" w:hAnsi="Times New Roman" w:cs="Times New Roman"/>
          <w:sz w:val="20"/>
          <w:szCs w:val="20"/>
        </w:rPr>
        <w:fldChar w:fldCharType="end"/>
      </w:r>
    </w:p>
    <w:p w14:paraId="26C2B585">
      <w:pPr>
        <w:pStyle w:val="6"/>
        <w:keepNext w:val="0"/>
        <w:keepLines w:val="0"/>
        <w:pageBreakBefore w:val="0"/>
        <w:widowControl/>
        <w:kinsoku/>
        <w:wordWrap/>
        <w:overflowPunct/>
        <w:topLinePunct w:val="0"/>
        <w:bidi w:val="0"/>
        <w:adjustRightInd/>
        <w:snapToGrid/>
        <w:spacing w:line="240" w:lineRule="auto"/>
        <w:textAlignment w:val="auto"/>
        <w:rPr>
          <w:rFonts w:hint="default" w:ascii="Times New Roman" w:hAnsi="Times New Roman" w:cs="Times New Roman"/>
          <w:sz w:val="20"/>
          <w:szCs w:val="20"/>
        </w:rPr>
      </w:pPr>
    </w:p>
  </w:footnote>
  <w:footnote w:id="81">
    <w:p w14:paraId="0EA1BBF4">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2"/>
          <w:rFonts w:hint="default" w:ascii="Times New Roman" w:hAnsi="Times New Roman" w:cs="Times New Roman"/>
          <w:sz w:val="20"/>
          <w:szCs w:val="20"/>
        </w:rPr>
        <w:footnoteRef/>
      </w:r>
      <w:r>
        <w:rPr>
          <w:rFonts w:hint="default" w:ascii="Times New Roman" w:hAnsi="Times New Roman" w:cs="Times New Roman"/>
          <w:sz w:val="20"/>
          <w:szCs w:val="20"/>
        </w:rPr>
        <w:t xml:space="preserve"> Trespass to Chattel, Learning Law in Nigeria &lt;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"https://www.learnnigerianlaw.com/learn/law-of-torts/trespass-to</w:instrText>
      </w:r>
    </w:p>
    <w:p w14:paraId="7FA81B8D">
      <w:pPr>
        <w:pStyle w:val="6"/>
        <w:keepNext w:val="0"/>
        <w:keepLines w:val="0"/>
        <w:pageBreakBefore w:val="0"/>
        <w:widowControl/>
        <w:kinsoku/>
        <w:wordWrap/>
        <w:overflowPunct/>
        <w:topLinePunct w:val="0"/>
        <w:bidi w:val="0"/>
        <w:adjustRightInd/>
        <w:snapToGrid/>
        <w:spacing w:line="240" w:lineRule="auto"/>
        <w:ind w:left="720" w:hanging="720"/>
        <w:textAlignment w:val="auto"/>
        <w:rPr>
          <w:rStyle w:val="13"/>
          <w:rFonts w:hint="default" w:ascii="Times New Roman" w:hAnsi="Times New Roman" w:cs="Times New Roman"/>
          <w:sz w:val="20"/>
          <w:szCs w:val="20"/>
        </w:rPr>
      </w:pPr>
      <w:r>
        <w:rPr>
          <w:rFonts w:hint="default" w:ascii="Times New Roman" w:hAnsi="Times New Roman" w:cs="Times New Roman"/>
          <w:sz w:val="20"/>
          <w:szCs w:val="20"/>
        </w:rPr>
        <w:instrText xml:space="preserve">    chattel"</w:instrText>
      </w:r>
      <w:r>
        <w:rPr>
          <w:rFonts w:hint="default" w:ascii="Times New Roman" w:hAnsi="Times New Roman" w:cs="Times New Roman"/>
          <w:sz w:val="20"/>
          <w:szCs w:val="20"/>
        </w:rPr>
        <w:fldChar w:fldCharType="separate"/>
      </w:r>
      <w:r>
        <w:rPr>
          <w:rStyle w:val="13"/>
          <w:rFonts w:hint="default" w:ascii="Times New Roman" w:hAnsi="Times New Roman" w:cs="Times New Roman"/>
          <w:sz w:val="20"/>
          <w:szCs w:val="20"/>
        </w:rPr>
        <w:t>https://www.learnnigerianlaw.com/learn/law-of-torts/trespass-to</w:t>
      </w:r>
    </w:p>
    <w:p w14:paraId="5D377937">
      <w:pPr>
        <w:pStyle w:val="6"/>
        <w:keepNext w:val="0"/>
        <w:keepLines w:val="0"/>
        <w:pageBreakBefore w:val="0"/>
        <w:widowControl/>
        <w:kinsoku/>
        <w:wordWrap/>
        <w:overflowPunct/>
        <w:topLinePunct w:val="0"/>
        <w:bidi w:val="0"/>
        <w:adjustRightInd/>
        <w:snapToGrid/>
        <w:spacing w:line="240" w:lineRule="auto"/>
        <w:ind w:left="720" w:hanging="720"/>
        <w:textAlignment w:val="auto"/>
        <w:rPr>
          <w:rFonts w:hint="default" w:ascii="Times New Roman" w:hAnsi="Times New Roman" w:cs="Times New Roman"/>
          <w:sz w:val="20"/>
          <w:szCs w:val="20"/>
        </w:rPr>
      </w:pPr>
      <w:r>
        <w:rPr>
          <w:rStyle w:val="13"/>
          <w:rFonts w:hint="default" w:ascii="Times New Roman" w:hAnsi="Times New Roman" w:cs="Times New Roman"/>
          <w:sz w:val="20"/>
          <w:szCs w:val="20"/>
        </w:rPr>
        <w:t xml:space="preserve">    chattel</w:t>
      </w:r>
      <w:r>
        <w:rPr>
          <w:rFonts w:hint="default" w:ascii="Times New Roman" w:hAnsi="Times New Roman" w:cs="Times New Roman"/>
          <w:sz w:val="20"/>
          <w:szCs w:val="20"/>
        </w:rPr>
        <w:fldChar w:fldCharType="end"/>
      </w:r>
      <w:r>
        <w:rPr>
          <w:rFonts w:hint="default" w:ascii="Times New Roman" w:hAnsi="Times New Roman" w:cs="Times New Roman"/>
          <w:sz w:val="20"/>
          <w:szCs w:val="20"/>
        </w:rPr>
        <w:t>&gt;accessed 24 June 202</w:t>
      </w:r>
      <w:r>
        <w:rPr>
          <w:rFonts w:hint="default" w:cs="Times New Roman"/>
          <w:sz w:val="20"/>
          <w:szCs w:val="20"/>
          <w:lang w:val="en-US"/>
        </w:rPr>
        <w:t>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9CD37">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22665A"/>
    <w:multiLevelType w:val="multilevel"/>
    <w:tmpl w:val="CD22665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D775CE74"/>
    <w:multiLevelType w:val="singleLevel"/>
    <w:tmpl w:val="D775CE74"/>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00000001"/>
    <w:multiLevelType w:val="multilevel"/>
    <w:tmpl w:val="0000000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9"/>
    <w:multiLevelType w:val="multilevel"/>
    <w:tmpl w:val="0000000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000000A"/>
    <w:multiLevelType w:val="multilevel"/>
    <w:tmpl w:val="0000000A"/>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000000C"/>
    <w:multiLevelType w:val="multilevel"/>
    <w:tmpl w:val="0000000C"/>
    <w:lvl w:ilvl="0" w:tentative="0">
      <w:start w:val="1"/>
      <w:numFmt w:val="upp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0275A8C9"/>
    <w:multiLevelType w:val="singleLevel"/>
    <w:tmpl w:val="0275A8C9"/>
    <w:lvl w:ilvl="0" w:tentative="0">
      <w:start w:val="1"/>
      <w:numFmt w:val="lowerRoman"/>
      <w:lvlText w:val="%1."/>
      <w:lvlJc w:val="left"/>
      <w:pPr>
        <w:tabs>
          <w:tab w:val="left" w:pos="425"/>
        </w:tabs>
        <w:ind w:left="425" w:leftChars="0" w:hanging="425" w:firstLineChars="0"/>
      </w:pPr>
      <w:rPr>
        <w:rFonts w:hint="default"/>
      </w:rPr>
    </w:lvl>
  </w:abstractNum>
  <w:abstractNum w:abstractNumId="7">
    <w:nsid w:val="4315FA9E"/>
    <w:multiLevelType w:val="singleLevel"/>
    <w:tmpl w:val="4315FA9E"/>
    <w:lvl w:ilvl="0" w:tentative="0">
      <w:start w:val="1"/>
      <w:numFmt w:val="lowerRoman"/>
      <w:lvlText w:val="%1."/>
      <w:lvlJc w:val="left"/>
      <w:pPr>
        <w:tabs>
          <w:tab w:val="left" w:pos="425"/>
        </w:tabs>
        <w:ind w:left="425" w:leftChars="0" w:hanging="425" w:firstLineChars="0"/>
      </w:pPr>
      <w:rPr>
        <w:rFonts w:hint="default"/>
      </w:rPr>
    </w:lvl>
  </w:abstractNum>
  <w:abstractNum w:abstractNumId="8">
    <w:nsid w:val="55F63F64"/>
    <w:multiLevelType w:val="singleLevel"/>
    <w:tmpl w:val="55F63F64"/>
    <w:lvl w:ilvl="0" w:tentative="0">
      <w:start w:val="1"/>
      <w:numFmt w:val="decimal"/>
      <w:lvlText w:val="%1."/>
      <w:lvlJc w:val="left"/>
      <w:pPr>
        <w:tabs>
          <w:tab w:val="left" w:pos="425"/>
        </w:tabs>
        <w:ind w:left="425" w:leftChars="0" w:hanging="425" w:firstLineChars="0"/>
      </w:pPr>
      <w:rPr>
        <w:rFonts w:hint="default"/>
      </w:rPr>
    </w:lvl>
  </w:abstractNum>
  <w:abstractNum w:abstractNumId="9">
    <w:nsid w:val="6A42B1C6"/>
    <w:multiLevelType w:val="multilevel"/>
    <w:tmpl w:val="6A42B1C6"/>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A5E08DF"/>
    <w:multiLevelType w:val="singleLevel"/>
    <w:tmpl w:val="6A5E08DF"/>
    <w:lvl w:ilvl="0" w:tentative="0">
      <w:start w:val="1"/>
      <w:numFmt w:val="decimal"/>
      <w:lvlText w:val="%1)"/>
      <w:lvlJc w:val="left"/>
    </w:lvl>
  </w:abstractNum>
  <w:abstractNum w:abstractNumId="11">
    <w:nsid w:val="6A5E2AAF"/>
    <w:multiLevelType w:val="singleLevel"/>
    <w:tmpl w:val="6A5E2AAF"/>
    <w:lvl w:ilvl="0" w:tentative="0">
      <w:start w:val="5"/>
      <w:numFmt w:val="decimal"/>
      <w:lvlText w:val="%1."/>
      <w:lvlJc w:val="left"/>
    </w:lvl>
  </w:abstractNum>
  <w:abstractNum w:abstractNumId="12">
    <w:nsid w:val="6A5E2ACE"/>
    <w:multiLevelType w:val="singleLevel"/>
    <w:tmpl w:val="6A5E2ACE"/>
    <w:lvl w:ilvl="0" w:tentative="0">
      <w:start w:val="4"/>
      <w:numFmt w:val="decimal"/>
      <w:lvlText w:val="%1."/>
      <w:lvlJc w:val="left"/>
    </w:lvl>
  </w:abstractNum>
  <w:abstractNum w:abstractNumId="13">
    <w:nsid w:val="6A5E2AE1"/>
    <w:multiLevelType w:val="singleLevel"/>
    <w:tmpl w:val="6A5E2AE1"/>
    <w:lvl w:ilvl="0" w:tentative="0">
      <w:start w:val="3"/>
      <w:numFmt w:val="decimal"/>
      <w:lvlText w:val="%1."/>
      <w:lvlJc w:val="left"/>
    </w:lvl>
  </w:abstractNum>
  <w:abstractNum w:abstractNumId="14">
    <w:nsid w:val="6A5E2AF5"/>
    <w:multiLevelType w:val="singleLevel"/>
    <w:tmpl w:val="6A5E2AF5"/>
    <w:lvl w:ilvl="0" w:tentative="0">
      <w:start w:val="2"/>
      <w:numFmt w:val="decimal"/>
      <w:lvlText w:val="%1."/>
      <w:lvlJc w:val="left"/>
    </w:lvl>
  </w:abstractNum>
  <w:abstractNum w:abstractNumId="15">
    <w:nsid w:val="6A5E2B17"/>
    <w:multiLevelType w:val="singleLevel"/>
    <w:tmpl w:val="6A5E2B17"/>
    <w:lvl w:ilvl="0" w:tentative="0">
      <w:start w:val="1"/>
      <w:numFmt w:val="decimal"/>
      <w:lvlText w:val="%1."/>
      <w:lvlJc w:val="left"/>
    </w:lvl>
  </w:abstractNum>
  <w:abstractNum w:abstractNumId="16">
    <w:nsid w:val="6A5E2BB0"/>
    <w:multiLevelType w:val="singleLevel"/>
    <w:tmpl w:val="6A5E2BB0"/>
    <w:lvl w:ilvl="0" w:tentative="0">
      <w:start w:val="1"/>
      <w:numFmt w:val="decimal"/>
      <w:lvlText w:val="%1."/>
      <w:lvlJc w:val="left"/>
    </w:lvl>
  </w:abstractNum>
  <w:abstractNum w:abstractNumId="17">
    <w:nsid w:val="6A5E2BEC"/>
    <w:multiLevelType w:val="singleLevel"/>
    <w:tmpl w:val="6A5E2BEC"/>
    <w:lvl w:ilvl="0" w:tentative="0">
      <w:start w:val="1"/>
      <w:numFmt w:val="decimal"/>
      <w:lvlText w:val="%1)"/>
      <w:lvlJc w:val="left"/>
    </w:lvl>
  </w:abstractNum>
  <w:abstractNum w:abstractNumId="18">
    <w:nsid w:val="6A5E2CA4"/>
    <w:multiLevelType w:val="singleLevel"/>
    <w:tmpl w:val="6A5E2CA4"/>
    <w:lvl w:ilvl="0" w:tentative="0">
      <w:start w:val="1"/>
      <w:numFmt w:val="decimal"/>
      <w:lvlText w:val="%1)"/>
      <w:lvlJc w:val="left"/>
    </w:lvl>
  </w:abstractNum>
  <w:abstractNum w:abstractNumId="19">
    <w:nsid w:val="6A5E2CF7"/>
    <w:multiLevelType w:val="singleLevel"/>
    <w:tmpl w:val="6A5E2CF7"/>
    <w:lvl w:ilvl="0" w:tentative="0">
      <w:start w:val="1"/>
      <w:numFmt w:val="decimal"/>
      <w:lvlText w:val="%1)"/>
      <w:lvlJc w:val="left"/>
    </w:lvl>
  </w:abstractNum>
  <w:num w:numId="1">
    <w:abstractNumId w:val="4"/>
  </w:num>
  <w:num w:numId="2">
    <w:abstractNumId w:val="17"/>
  </w:num>
  <w:num w:numId="3">
    <w:abstractNumId w:val="5"/>
  </w:num>
  <w:num w:numId="4">
    <w:abstractNumId w:val="7"/>
  </w:num>
  <w:num w:numId="5">
    <w:abstractNumId w:val="8"/>
  </w:num>
  <w:num w:numId="6">
    <w:abstractNumId w:val="18"/>
  </w:num>
  <w:num w:numId="7">
    <w:abstractNumId w:val="10"/>
  </w:num>
  <w:num w:numId="8">
    <w:abstractNumId w:val="19"/>
  </w:num>
  <w:num w:numId="9">
    <w:abstractNumId w:val="9"/>
  </w:num>
  <w:num w:numId="10">
    <w:abstractNumId w:val="2"/>
  </w:num>
  <w:num w:numId="11">
    <w:abstractNumId w:val="3"/>
  </w:num>
  <w:num w:numId="12">
    <w:abstractNumId w:val="0"/>
  </w:num>
  <w:num w:numId="13">
    <w:abstractNumId w:val="15"/>
  </w:num>
  <w:num w:numId="14">
    <w:abstractNumId w:val="14"/>
  </w:num>
  <w:num w:numId="15">
    <w:abstractNumId w:val="13"/>
  </w:num>
  <w:num w:numId="16">
    <w:abstractNumId w:val="12"/>
  </w:num>
  <w:num w:numId="17">
    <w:abstractNumId w:val="11"/>
  </w:num>
  <w:num w:numId="18">
    <w:abstractNumId w:val="16"/>
  </w:num>
  <w:num w:numId="19">
    <w:abstractNumId w:val="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SimSu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480" w:lineRule="auto"/>
      <w:jc w:val="both"/>
    </w:pPr>
    <w:rPr>
      <w:rFonts w:ascii="Times New Roman" w:hAnsi="Times New Roman" w:eastAsia="Calibri" w:cs="SimSun"/>
      <w:sz w:val="24"/>
      <w:szCs w:val="22"/>
      <w:lang w:val="en-GB" w:eastAsia="en-US" w:bidi="ar-SA"/>
    </w:rPr>
  </w:style>
  <w:style w:type="paragraph" w:styleId="2">
    <w:name w:val="heading 1"/>
    <w:basedOn w:val="1"/>
    <w:next w:val="1"/>
    <w:link w:val="20"/>
    <w:qFormat/>
    <w:uiPriority w:val="9"/>
    <w:pPr>
      <w:keepNext/>
      <w:keepLines/>
      <w:spacing w:before="240" w:after="0"/>
      <w:jc w:val="center"/>
      <w:outlineLvl w:val="0"/>
    </w:pPr>
    <w:rPr>
      <w:rFonts w:eastAsia="SimSun" w:cs="Times New Roman"/>
      <w:b/>
      <w:color w:val="000000"/>
      <w:szCs w:val="24"/>
    </w:rPr>
  </w:style>
  <w:style w:type="paragraph" w:styleId="3">
    <w:name w:val="heading 2"/>
    <w:basedOn w:val="1"/>
    <w:next w:val="1"/>
    <w:link w:val="21"/>
    <w:qFormat/>
    <w:uiPriority w:val="9"/>
    <w:pPr>
      <w:keepNext/>
      <w:keepLines/>
      <w:spacing w:before="40" w:after="0"/>
      <w:outlineLvl w:val="1"/>
    </w:pPr>
    <w:rPr>
      <w:rFonts w:ascii="Cambria" w:hAnsi="Cambria" w:eastAsia="SimSun"/>
      <w:color w:val="365F91"/>
      <w:sz w:val="26"/>
      <w:szCs w:val="26"/>
    </w:rPr>
  </w:style>
  <w:style w:type="paragraph" w:styleId="4">
    <w:name w:val="heading 3"/>
    <w:basedOn w:val="1"/>
    <w:next w:val="1"/>
    <w:link w:val="22"/>
    <w:qFormat/>
    <w:uiPriority w:val="9"/>
    <w:pPr>
      <w:keepNext/>
      <w:keepLines/>
      <w:spacing w:before="40" w:after="0"/>
      <w:outlineLvl w:val="2"/>
    </w:pPr>
    <w:rPr>
      <w:rFonts w:ascii="Cambria" w:hAnsi="Cambria" w:eastAsia="SimSun"/>
      <w:color w:val="243F60"/>
      <w:szCs w:val="24"/>
    </w:rPr>
  </w:style>
  <w:style w:type="character" w:default="1" w:styleId="10">
    <w:name w:val="Default Paragraph Font"/>
    <w:unhideWhenUsed/>
    <w:uiPriority w:val="1"/>
  </w:style>
  <w:style w:type="table" w:default="1" w:styleId="15">
    <w:name w:val="Normal Table"/>
    <w:unhideWhenUsed/>
    <w:uiPriority w:val="99"/>
    <w:tblPr>
      <w:tblLayout w:type="fixed"/>
      <w:tblCellMar>
        <w:top w:w="0" w:type="dxa"/>
        <w:left w:w="108" w:type="dxa"/>
        <w:bottom w:w="0" w:type="dxa"/>
        <w:right w:w="108" w:type="dxa"/>
      </w:tblCellMar>
    </w:tblPr>
  </w:style>
  <w:style w:type="paragraph" w:styleId="5">
    <w:name w:val="footer"/>
    <w:basedOn w:val="1"/>
    <w:link w:val="19"/>
    <w:uiPriority w:val="99"/>
    <w:pPr>
      <w:tabs>
        <w:tab w:val="center" w:pos="4680"/>
        <w:tab w:val="right" w:pos="9360"/>
      </w:tabs>
      <w:spacing w:after="0" w:line="240" w:lineRule="auto"/>
    </w:pPr>
  </w:style>
  <w:style w:type="paragraph" w:styleId="6">
    <w:name w:val="footnote text"/>
    <w:basedOn w:val="1"/>
    <w:link w:val="17"/>
    <w:uiPriority w:val="99"/>
    <w:pPr>
      <w:spacing w:after="0" w:line="240" w:lineRule="auto"/>
    </w:pPr>
    <w:rPr>
      <w:sz w:val="20"/>
      <w:szCs w:val="20"/>
    </w:rPr>
  </w:style>
  <w:style w:type="paragraph" w:styleId="7">
    <w:name w:val="header"/>
    <w:basedOn w:val="1"/>
    <w:link w:val="18"/>
    <w:uiPriority w:val="99"/>
    <w:pPr>
      <w:tabs>
        <w:tab w:val="center" w:pos="4680"/>
        <w:tab w:val="right" w:pos="9360"/>
      </w:tabs>
      <w:spacing w:after="0" w:line="240" w:lineRule="auto"/>
    </w:pPr>
  </w:style>
  <w:style w:type="paragraph" w:styleId="8">
    <w:name w:val="Normal (Web)"/>
    <w:basedOn w:val="1"/>
    <w:qFormat/>
    <w:uiPriority w:val="99"/>
    <w:pPr>
      <w:spacing w:before="100" w:beforeAutospacing="1" w:after="100" w:afterAutospacing="1" w:line="240" w:lineRule="auto"/>
      <w:jc w:val="left"/>
    </w:pPr>
    <w:rPr>
      <w:rFonts w:eastAsia="Times New Roman" w:cs="Times New Roman"/>
      <w:szCs w:val="24"/>
      <w:lang w:val="en-US"/>
    </w:rPr>
  </w:style>
  <w:style w:type="paragraph" w:styleId="9">
    <w:name w:val="table of authorities"/>
    <w:basedOn w:val="1"/>
    <w:next w:val="1"/>
    <w:qFormat/>
    <w:uiPriority w:val="99"/>
    <w:pPr>
      <w:spacing w:after="0"/>
      <w:ind w:left="240" w:hanging="240"/>
      <w:jc w:val="left"/>
    </w:pPr>
    <w:rPr>
      <w:rFonts w:ascii="Calibri" w:hAnsi="Calibri" w:cs="Calibri"/>
      <w:sz w:val="20"/>
      <w:szCs w:val="20"/>
    </w:rPr>
  </w:style>
  <w:style w:type="character" w:styleId="11">
    <w:name w:val="Emphasis"/>
    <w:basedOn w:val="10"/>
    <w:qFormat/>
    <w:uiPriority w:val="20"/>
    <w:rPr>
      <w:i/>
      <w:iCs/>
    </w:rPr>
  </w:style>
  <w:style w:type="character" w:styleId="12">
    <w:name w:val="footnote reference"/>
    <w:basedOn w:val="10"/>
    <w:qFormat/>
    <w:uiPriority w:val="99"/>
    <w:rPr>
      <w:vertAlign w:val="superscript"/>
    </w:rPr>
  </w:style>
  <w:style w:type="character" w:styleId="13">
    <w:name w:val="Hyperlink"/>
    <w:basedOn w:val="10"/>
    <w:qFormat/>
    <w:uiPriority w:val="99"/>
    <w:rPr>
      <w:color w:val="0000FF"/>
      <w:u w:val="single"/>
    </w:rPr>
  </w:style>
  <w:style w:type="character" w:styleId="14">
    <w:name w:val="Strong"/>
    <w:basedOn w:val="10"/>
    <w:qFormat/>
    <w:uiPriority w:val="22"/>
    <w:rPr>
      <w:b/>
      <w:bCs/>
    </w:rPr>
  </w:style>
  <w:style w:type="paragraph" w:customStyle="1" w:styleId="16">
    <w:name w:val="List Paragraph"/>
    <w:basedOn w:val="1"/>
    <w:qFormat/>
    <w:uiPriority w:val="34"/>
    <w:pPr>
      <w:ind w:left="720"/>
      <w:contextualSpacing/>
    </w:pPr>
  </w:style>
  <w:style w:type="character" w:customStyle="1" w:styleId="17">
    <w:name w:val="Footnote Text Char"/>
    <w:basedOn w:val="10"/>
    <w:link w:val="6"/>
    <w:qFormat/>
    <w:uiPriority w:val="99"/>
    <w:rPr>
      <w:rFonts w:ascii="Times New Roman" w:hAnsi="Times New Roman"/>
      <w:sz w:val="20"/>
      <w:szCs w:val="20"/>
      <w:lang w:val="en-GB"/>
    </w:rPr>
  </w:style>
  <w:style w:type="character" w:customStyle="1" w:styleId="18">
    <w:name w:val="Header Char"/>
    <w:basedOn w:val="10"/>
    <w:link w:val="7"/>
    <w:uiPriority w:val="99"/>
    <w:rPr>
      <w:rFonts w:ascii="Times New Roman" w:hAnsi="Times New Roman"/>
      <w:sz w:val="24"/>
      <w:lang w:val="en-GB"/>
    </w:rPr>
  </w:style>
  <w:style w:type="character" w:customStyle="1" w:styleId="19">
    <w:name w:val="Footer Char"/>
    <w:basedOn w:val="10"/>
    <w:link w:val="5"/>
    <w:qFormat/>
    <w:uiPriority w:val="99"/>
    <w:rPr>
      <w:rFonts w:ascii="Times New Roman" w:hAnsi="Times New Roman"/>
      <w:sz w:val="24"/>
      <w:lang w:val="en-GB"/>
    </w:rPr>
  </w:style>
  <w:style w:type="character" w:customStyle="1" w:styleId="20">
    <w:name w:val="Heading 1 Char"/>
    <w:basedOn w:val="10"/>
    <w:link w:val="2"/>
    <w:qFormat/>
    <w:uiPriority w:val="9"/>
    <w:rPr>
      <w:rFonts w:ascii="Times New Roman" w:hAnsi="Times New Roman" w:eastAsia="SimSun" w:cs="Times New Roman"/>
      <w:b/>
      <w:color w:val="000000"/>
      <w:sz w:val="24"/>
      <w:szCs w:val="24"/>
      <w:lang w:val="en-GB"/>
    </w:rPr>
  </w:style>
  <w:style w:type="character" w:customStyle="1" w:styleId="21">
    <w:name w:val="Heading 2 Char"/>
    <w:basedOn w:val="10"/>
    <w:link w:val="3"/>
    <w:qFormat/>
    <w:uiPriority w:val="9"/>
    <w:rPr>
      <w:rFonts w:ascii="Cambria" w:hAnsi="Cambria" w:eastAsia="SimSun" w:cs="SimSun"/>
      <w:color w:val="365F91"/>
      <w:sz w:val="26"/>
      <w:szCs w:val="26"/>
      <w:lang w:val="en-GB"/>
    </w:rPr>
  </w:style>
  <w:style w:type="character" w:customStyle="1" w:styleId="22">
    <w:name w:val="Heading 3 Char"/>
    <w:basedOn w:val="10"/>
    <w:link w:val="4"/>
    <w:qFormat/>
    <w:uiPriority w:val="9"/>
    <w:rPr>
      <w:rFonts w:ascii="Cambria" w:hAnsi="Cambria" w:eastAsia="SimSun" w:cs="SimSun"/>
      <w:color w:val="243F60"/>
      <w:sz w:val="24"/>
      <w:szCs w:val="24"/>
      <w:lang w:val="en-GB"/>
    </w:rPr>
  </w:style>
  <w:style w:type="character" w:customStyle="1" w:styleId="23">
    <w:name w:val="Unresolved Mention"/>
    <w:basedOn w:val="10"/>
    <w:qFormat/>
    <w:uiPriority w:val="99"/>
    <w:rPr>
      <w:color w:val="605E5C"/>
      <w:shd w:val="clear" w:color="auto" w:fill="E1DFDD"/>
    </w:rPr>
  </w:style>
  <w:style w:type="character" w:customStyle="1" w:styleId="24">
    <w:name w:val="whitespace-normal"/>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17214</Words>
  <Characters>98122</Characters>
  <Lines>817</Lines>
  <Paragraphs>230</Paragraphs>
  <ScaleCrop>false</ScaleCrop>
  <LinksUpToDate>false</LinksUpToDate>
  <CharactersWithSpaces>115106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2026-06-29T06:19:00Z</dcterms:created>
  <dc:creator>DELL</dc:creator>
  <cp:lastModifiedBy>iPhone</cp:lastModifiedBy>
  <cp:lastPrinted>2026-07-03T16:25:24Z</cp:lastPrinted>
  <dcterms:modified xsi:type="dcterms:W3CDTF">2026-07-27T14:01:12Z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A6064B68D4A124C0382E5E6AFC4D4BD1_33</vt:lpwstr>
  </property>
  <property fmtid="{D5CDD505-2E9C-101B-9397-08002B2CF9AE}" pid="3" name="KSOProductBuildVer">
    <vt:lpwstr>3081-26.7.0</vt:lpwstr>
  </property>
</Properties>
</file>