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F6198">
      <w:pPr>
        <w:spacing w:line="360" w:lineRule="auto"/>
        <w:jc w:val="both"/>
        <w:rPr>
          <w:rFonts w:ascii="Times New Roman" w:hAnsi="Times New Roman" w:cs="Times New Roman"/>
          <w:sz w:val="24"/>
          <w:szCs w:val="24"/>
        </w:rPr>
      </w:pPr>
      <w:bookmarkStart w:id="0" w:name="_Toc17372"/>
    </w:p>
    <w:p w14:paraId="5467BE8B">
      <w:pPr>
        <w:spacing w:line="360" w:lineRule="auto"/>
        <w:jc w:val="both"/>
        <w:rPr>
          <w:rFonts w:ascii="Times New Roman" w:hAnsi="Times New Roman" w:cs="Times New Roman"/>
          <w:sz w:val="24"/>
          <w:szCs w:val="24"/>
        </w:rPr>
      </w:pPr>
    </w:p>
    <w:p w14:paraId="13E9A7C8">
      <w:pPr>
        <w:spacing w:line="360" w:lineRule="auto"/>
        <w:jc w:val="both"/>
        <w:rPr>
          <w:rFonts w:ascii="Times New Roman" w:hAnsi="Times New Roman" w:cs="Times New Roman"/>
          <w:sz w:val="24"/>
          <w:szCs w:val="24"/>
        </w:rPr>
      </w:pPr>
    </w:p>
    <w:p w14:paraId="44BBBD64">
      <w:pPr>
        <w:spacing w:line="360" w:lineRule="auto"/>
        <w:jc w:val="both"/>
        <w:rPr>
          <w:rFonts w:ascii="Times New Roman" w:hAnsi="Times New Roman" w:cs="Times New Roman"/>
          <w:sz w:val="24"/>
          <w:szCs w:val="24"/>
        </w:rPr>
      </w:pPr>
    </w:p>
    <w:p w14:paraId="44DF4E2E">
      <w:pPr>
        <w:spacing w:line="360" w:lineRule="auto"/>
        <w:jc w:val="both"/>
        <w:rPr>
          <w:rFonts w:ascii="Times New Roman" w:hAnsi="Times New Roman" w:cs="Times New Roman"/>
          <w:sz w:val="24"/>
          <w:szCs w:val="24"/>
        </w:rPr>
      </w:pPr>
    </w:p>
    <w:p w14:paraId="4426F82A">
      <w:pPr>
        <w:spacing w:line="360" w:lineRule="auto"/>
        <w:jc w:val="both"/>
        <w:rPr>
          <w:rFonts w:ascii="Times New Roman" w:hAnsi="Times New Roman" w:cs="Times New Roman"/>
          <w:sz w:val="24"/>
          <w:szCs w:val="24"/>
        </w:rPr>
      </w:pPr>
    </w:p>
    <w:p w14:paraId="76DB3A27">
      <w:pPr>
        <w:spacing w:line="360" w:lineRule="auto"/>
        <w:jc w:val="both"/>
        <w:rPr>
          <w:rFonts w:ascii="Times New Roman" w:hAnsi="Times New Roman" w:cs="Times New Roman"/>
          <w:sz w:val="24"/>
          <w:szCs w:val="24"/>
        </w:rPr>
      </w:pPr>
    </w:p>
    <w:p w14:paraId="03E142C7">
      <w:pPr>
        <w:spacing w:line="360" w:lineRule="auto"/>
        <w:jc w:val="both"/>
        <w:rPr>
          <w:rFonts w:ascii="Times New Roman" w:hAnsi="Times New Roman" w:cs="Times New Roman"/>
          <w:sz w:val="24"/>
          <w:szCs w:val="24"/>
        </w:rPr>
      </w:pPr>
    </w:p>
    <w:p w14:paraId="7353DAF0">
      <w:pPr>
        <w:spacing w:line="360" w:lineRule="auto"/>
        <w:jc w:val="both"/>
        <w:rPr>
          <w:rFonts w:ascii="Times New Roman" w:hAnsi="Times New Roman" w:cs="Times New Roman"/>
          <w:sz w:val="24"/>
          <w:szCs w:val="24"/>
        </w:rPr>
      </w:pPr>
    </w:p>
    <w:p w14:paraId="0377279A">
      <w:pPr>
        <w:spacing w:line="360" w:lineRule="auto"/>
        <w:jc w:val="both"/>
        <w:rPr>
          <w:rFonts w:ascii="Times New Roman" w:hAnsi="Times New Roman" w:cs="Times New Roman"/>
          <w:sz w:val="24"/>
          <w:szCs w:val="24"/>
        </w:rPr>
      </w:pPr>
    </w:p>
    <w:p w14:paraId="53F64C84">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418B11A1">
      <w:pPr>
        <w:spacing w:line="360" w:lineRule="auto"/>
        <w:jc w:val="both"/>
        <w:rPr>
          <w:rFonts w:ascii="Times New Roman" w:hAnsi="Times New Roman" w:cs="Times New Roman"/>
          <w:sz w:val="24"/>
          <w:szCs w:val="24"/>
        </w:rPr>
      </w:pPr>
    </w:p>
    <w:p w14:paraId="4B5ACB34">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46BF0128">
      <w:pPr>
        <w:rPr>
          <w:rFonts w:ascii="Times New Roman" w:hAnsi="Times New Roman" w:cs="Times New Roman"/>
          <w:sz w:val="24"/>
          <w:szCs w:val="24"/>
        </w:rPr>
      </w:pPr>
      <w:r>
        <w:rPr>
          <w:rFonts w:ascii="Times New Roman" w:hAnsi="Times New Roman" w:cs="Times New Roman"/>
          <w:sz w:val="24"/>
          <w:szCs w:val="24"/>
        </w:rPr>
        <w:br w:type="page"/>
      </w:r>
    </w:p>
    <w:p w14:paraId="1FE2534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CHALLENGES OF COPYRIGHT ENFORCEMENT IN THE ERA OF ARTIFICIAL INTELLIGENCE IN NIGERIA.</w:t>
      </w:r>
    </w:p>
    <w:p w14:paraId="7068FF96">
      <w:pPr>
        <w:spacing w:line="360" w:lineRule="auto"/>
        <w:jc w:val="center"/>
        <w:rPr>
          <w:rFonts w:ascii="Times New Roman" w:hAnsi="Times New Roman" w:cs="Times New Roman"/>
          <w:b/>
          <w:sz w:val="24"/>
          <w:szCs w:val="24"/>
        </w:rPr>
      </w:pPr>
    </w:p>
    <w:p w14:paraId="670B385A">
      <w:pPr>
        <w:spacing w:line="360" w:lineRule="auto"/>
        <w:jc w:val="center"/>
        <w:rPr>
          <w:rFonts w:ascii="Times New Roman" w:hAnsi="Times New Roman" w:cs="Times New Roman"/>
          <w:b/>
          <w:sz w:val="24"/>
          <w:szCs w:val="24"/>
        </w:rPr>
      </w:pPr>
    </w:p>
    <w:p w14:paraId="550D3564">
      <w:pPr>
        <w:spacing w:line="360" w:lineRule="auto"/>
        <w:jc w:val="center"/>
        <w:rPr>
          <w:rFonts w:ascii="Times New Roman" w:hAnsi="Times New Roman" w:cs="Times New Roman"/>
          <w:b/>
          <w:sz w:val="24"/>
          <w:szCs w:val="24"/>
        </w:rPr>
      </w:pPr>
    </w:p>
    <w:p w14:paraId="08C8F7C6">
      <w:pPr>
        <w:spacing w:line="240" w:lineRule="auto"/>
        <w:jc w:val="center"/>
        <w:rPr>
          <w:rFonts w:ascii="Times New Roman" w:hAnsi="Times New Roman" w:cs="Times New Roman"/>
          <w:b/>
          <w:sz w:val="24"/>
          <w:szCs w:val="24"/>
        </w:rPr>
      </w:pPr>
    </w:p>
    <w:p w14:paraId="511E6BA8">
      <w:pPr>
        <w:spacing w:line="240" w:lineRule="auto"/>
        <w:jc w:val="center"/>
        <w:rPr>
          <w:rFonts w:ascii="Times New Roman" w:hAnsi="Times New Roman" w:cs="Times New Roman"/>
          <w:b/>
          <w:sz w:val="24"/>
          <w:szCs w:val="24"/>
        </w:rPr>
      </w:pPr>
    </w:p>
    <w:p w14:paraId="3171F03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r>
        <w:rPr>
          <w:rFonts w:ascii="Times New Roman" w:hAnsi="Times New Roman" w:cs="Times New Roman"/>
          <w:b/>
          <w:sz w:val="24"/>
          <w:szCs w:val="24"/>
        </w:rPr>
        <w:t>IBEKWE NGOZI STEPHANIE</w:t>
      </w:r>
    </w:p>
    <w:p w14:paraId="4FD7D9F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r>
        <w:rPr>
          <w:rFonts w:ascii="Times New Roman" w:hAnsi="Times New Roman" w:cs="Times New Roman"/>
          <w:b/>
          <w:sz w:val="24"/>
          <w:szCs w:val="24"/>
        </w:rPr>
        <w:t>GOU/U21/LAW/377</w:t>
      </w:r>
    </w:p>
    <w:p w14:paraId="67D414A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p>
    <w:p w14:paraId="6379DD5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p>
    <w:p w14:paraId="4D449B0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p>
    <w:p w14:paraId="1B47995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p>
    <w:p w14:paraId="722BC85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p>
    <w:p w14:paraId="089340F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p>
    <w:p w14:paraId="039B4AF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p>
    <w:p w14:paraId="2F5646C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p>
    <w:p w14:paraId="28B6997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p>
    <w:p w14:paraId="5FCE6C4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FACULTY OF LAW</w:t>
      </w:r>
    </w:p>
    <w:p w14:paraId="177A163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GODFREY OKOYE UNIVERSITY</w:t>
      </w:r>
    </w:p>
    <w:p w14:paraId="5E34D21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UGWU-OMU NIKE</w:t>
      </w:r>
    </w:p>
    <w:p w14:paraId="77C34AF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p>
    <w:p w14:paraId="5D375B8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p>
    <w:p w14:paraId="796B5BD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p>
    <w:p w14:paraId="3AF1116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p>
    <w:p w14:paraId="3B8B84D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p>
    <w:p w14:paraId="00C0C68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p>
    <w:p w14:paraId="22DE7CE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p>
    <w:p w14:paraId="34B5DB8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p>
    <w:p w14:paraId="45212E7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p>
    <w:p w14:paraId="12FBA7D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lang w:val="en-US"/>
        </w:rPr>
      </w:pPr>
    </w:p>
    <w:p w14:paraId="385F2697">
      <w:pPr>
        <w:spacing w:line="360" w:lineRule="auto"/>
        <w:jc w:val="center"/>
        <w:rPr>
          <w:rFonts w:ascii="Times New Roman" w:hAnsi="Times New Roman" w:cs="Times New Roman"/>
          <w:b/>
          <w:sz w:val="24"/>
          <w:szCs w:val="24"/>
        </w:rPr>
      </w:pPr>
    </w:p>
    <w:p w14:paraId="75D8B29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JULY 2026</w:t>
      </w:r>
    </w:p>
    <w:p w14:paraId="74B68573">
      <w:pPr>
        <w:spacing w:line="360" w:lineRule="auto"/>
        <w:jc w:val="both"/>
        <w:rPr>
          <w:rFonts w:ascii="Times New Roman" w:hAnsi="Times New Roman" w:cs="Times New Roman"/>
          <w:sz w:val="24"/>
          <w:szCs w:val="24"/>
        </w:rPr>
      </w:pPr>
    </w:p>
    <w:p w14:paraId="53F9218E">
      <w:pPr>
        <w:spacing w:line="360" w:lineRule="auto"/>
        <w:jc w:val="both"/>
        <w:rPr>
          <w:rFonts w:ascii="Times New Roman" w:hAnsi="Times New Roman" w:cs="Times New Roman"/>
          <w:sz w:val="24"/>
          <w:szCs w:val="24"/>
        </w:rPr>
      </w:pPr>
    </w:p>
    <w:p w14:paraId="5849ED7D">
      <w:pPr>
        <w:spacing w:line="360" w:lineRule="auto"/>
        <w:jc w:val="both"/>
        <w:rPr>
          <w:rFonts w:ascii="Times New Roman" w:hAnsi="Times New Roman" w:cs="Times New Roman"/>
          <w:sz w:val="24"/>
          <w:szCs w:val="24"/>
        </w:rPr>
      </w:pPr>
    </w:p>
    <w:p w14:paraId="10256E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2E543D1">
      <w:pPr>
        <w:rPr>
          <w:rFonts w:ascii="Times New Roman" w:hAnsi="Times New Roman" w:cs="Times New Roman"/>
          <w:sz w:val="24"/>
          <w:szCs w:val="24"/>
        </w:rPr>
        <w:sectPr>
          <w:pgSz w:w="11907" w:h="16839"/>
          <w:pgMar w:top="1440" w:right="1440" w:bottom="1440" w:left="1440" w:header="720" w:footer="720" w:gutter="0"/>
          <w:cols w:space="720" w:num="1"/>
          <w:docGrid w:linePitch="360" w:charSpace="0"/>
        </w:sectPr>
      </w:pPr>
      <w:r>
        <w:rPr>
          <w:rFonts w:ascii="Times New Roman" w:hAnsi="Times New Roman" w:cs="Times New Roman"/>
          <w:sz w:val="24"/>
          <w:szCs w:val="24"/>
        </w:rPr>
        <w:br w:type="page"/>
      </w:r>
    </w:p>
    <w:p w14:paraId="3DD2B97C">
      <w:pPr>
        <w:spacing w:after="200" w:line="480" w:lineRule="auto"/>
        <w:jc w:val="center"/>
        <w:outlineLvl w:val="0"/>
        <w:rPr>
          <w:rFonts w:ascii="Times New Roman" w:hAnsi="Times New Roman" w:cs="Times New Roman" w:eastAsiaTheme="minorHAnsi"/>
          <w:b/>
          <w:sz w:val="24"/>
          <w:szCs w:val="24"/>
          <w:lang w:val="en-GB" w:eastAsia="en-US" w:bidi="ar-SA"/>
        </w:rPr>
      </w:pPr>
      <w:bookmarkStart w:id="1" w:name="_Toc233693027"/>
      <w:r>
        <w:rPr>
          <w:rFonts w:ascii="Times New Roman" w:hAnsi="Times New Roman" w:cs="Times New Roman" w:eastAsiaTheme="minorHAnsi"/>
          <w:b/>
          <w:sz w:val="24"/>
          <w:szCs w:val="24"/>
          <w:lang w:val="en-GB" w:eastAsia="en-US" w:bidi="ar-SA"/>
        </w:rPr>
        <w:t>TITLE PAGE</w:t>
      </w:r>
      <w:bookmarkEnd w:id="1"/>
    </w:p>
    <w:p w14:paraId="17789023">
      <w:pPr>
        <w:spacing w:line="360" w:lineRule="auto"/>
        <w:jc w:val="center"/>
        <w:rPr>
          <w:rFonts w:ascii="Times New Roman" w:hAnsi="Times New Roman" w:cs="Times New Roman"/>
          <w:sz w:val="24"/>
          <w:szCs w:val="24"/>
        </w:rPr>
      </w:pPr>
    </w:p>
    <w:p w14:paraId="01AC4A1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CHALLENGES OF COPYRIGHT ENFORCEMENT IN THE ERA OF ARTIFICIAL INTELLIGENCE IN NIGERIA.</w:t>
      </w:r>
    </w:p>
    <w:p w14:paraId="0D62C9DD">
      <w:pPr>
        <w:spacing w:line="360" w:lineRule="auto"/>
        <w:jc w:val="center"/>
        <w:rPr>
          <w:rFonts w:ascii="Times New Roman" w:hAnsi="Times New Roman" w:cs="Times New Roman"/>
          <w:b/>
          <w:bCs/>
          <w:sz w:val="24"/>
          <w:szCs w:val="24"/>
        </w:rPr>
      </w:pPr>
    </w:p>
    <w:p w14:paraId="1C341BCE">
      <w:pPr>
        <w:spacing w:line="360" w:lineRule="auto"/>
        <w:jc w:val="center"/>
        <w:rPr>
          <w:rFonts w:ascii="Times New Roman" w:hAnsi="Times New Roman" w:cs="Times New Roman"/>
          <w:b/>
          <w:bCs/>
          <w:sz w:val="24"/>
          <w:szCs w:val="24"/>
        </w:rPr>
      </w:pPr>
    </w:p>
    <w:p w14:paraId="00AA82C9">
      <w:pPr>
        <w:spacing w:line="360" w:lineRule="auto"/>
        <w:jc w:val="center"/>
        <w:rPr>
          <w:rFonts w:ascii="Times New Roman" w:hAnsi="Times New Roman" w:cs="Times New Roman"/>
          <w:b/>
          <w:bCs/>
          <w:sz w:val="24"/>
          <w:szCs w:val="24"/>
        </w:rPr>
      </w:pPr>
    </w:p>
    <w:p w14:paraId="1E43B268">
      <w:pPr>
        <w:spacing w:line="360" w:lineRule="auto"/>
        <w:jc w:val="center"/>
        <w:rPr>
          <w:rFonts w:ascii="Times New Roman" w:hAnsi="Times New Roman" w:cs="Times New Roman"/>
          <w:b/>
          <w:bCs/>
          <w:sz w:val="24"/>
          <w:szCs w:val="24"/>
        </w:rPr>
      </w:pPr>
    </w:p>
    <w:p w14:paraId="19CC3BC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IBEKWE NGOZI STEPHANIE</w:t>
      </w:r>
    </w:p>
    <w:p w14:paraId="28DD067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GOU/U21/LAW/377</w:t>
      </w:r>
    </w:p>
    <w:p w14:paraId="6DF25091">
      <w:pPr>
        <w:spacing w:line="360" w:lineRule="auto"/>
        <w:jc w:val="center"/>
        <w:rPr>
          <w:rFonts w:ascii="Times New Roman" w:hAnsi="Times New Roman" w:cs="Times New Roman"/>
          <w:b/>
          <w:bCs/>
          <w:sz w:val="24"/>
          <w:szCs w:val="24"/>
        </w:rPr>
      </w:pPr>
    </w:p>
    <w:p w14:paraId="13B12907">
      <w:pPr>
        <w:spacing w:line="360" w:lineRule="auto"/>
        <w:jc w:val="center"/>
        <w:rPr>
          <w:rFonts w:ascii="Times New Roman" w:hAnsi="Times New Roman" w:cs="Times New Roman"/>
          <w:b/>
          <w:bCs/>
          <w:sz w:val="24"/>
          <w:szCs w:val="24"/>
        </w:rPr>
      </w:pPr>
    </w:p>
    <w:p w14:paraId="09CAAF4B">
      <w:pPr>
        <w:spacing w:line="360" w:lineRule="auto"/>
        <w:jc w:val="center"/>
        <w:rPr>
          <w:rFonts w:ascii="Times New Roman" w:hAnsi="Times New Roman" w:cs="Times New Roman"/>
          <w:b/>
          <w:bCs/>
          <w:sz w:val="24"/>
          <w:szCs w:val="24"/>
        </w:rPr>
      </w:pPr>
    </w:p>
    <w:p w14:paraId="5B4DEF8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BEING A LONG ESSAY PRESENTED TO THE FACULTY OF LAW, GODFREY OKOYE UNIVERSITY, ENUGU STATE, IN PARTIAL FULFILMENT OF THE REQUIREMENTS FOR THE AWARD FO</w:t>
      </w:r>
      <w:r>
        <w:rPr>
          <w:rFonts w:hint="default" w:ascii="Times New Roman" w:hAnsi="Times New Roman" w:cs="Times New Roman"/>
          <w:b/>
          <w:bCs/>
          <w:sz w:val="24"/>
          <w:szCs w:val="24"/>
          <w:lang w:val="en-US"/>
        </w:rPr>
        <w:t>R</w:t>
      </w:r>
      <w:r>
        <w:rPr>
          <w:rFonts w:ascii="Times New Roman" w:hAnsi="Times New Roman" w:cs="Times New Roman"/>
          <w:b/>
          <w:bCs/>
          <w:sz w:val="24"/>
          <w:szCs w:val="24"/>
        </w:rPr>
        <w:t xml:space="preserve"> THE BACHELOR OF LAW (LL.B) DEGREE</w:t>
      </w:r>
    </w:p>
    <w:p w14:paraId="2747859B">
      <w:pPr>
        <w:spacing w:line="360" w:lineRule="auto"/>
        <w:jc w:val="center"/>
        <w:rPr>
          <w:rFonts w:ascii="Times New Roman" w:hAnsi="Times New Roman" w:cs="Times New Roman"/>
          <w:b/>
          <w:bCs/>
          <w:sz w:val="24"/>
          <w:szCs w:val="24"/>
        </w:rPr>
      </w:pPr>
    </w:p>
    <w:p w14:paraId="1EBA0126">
      <w:pPr>
        <w:spacing w:line="360" w:lineRule="auto"/>
        <w:jc w:val="center"/>
        <w:rPr>
          <w:rFonts w:ascii="Times New Roman" w:hAnsi="Times New Roman" w:cs="Times New Roman"/>
          <w:b/>
          <w:bCs/>
          <w:sz w:val="24"/>
          <w:szCs w:val="24"/>
        </w:rPr>
      </w:pPr>
    </w:p>
    <w:p w14:paraId="3D6226D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SUPERVISOR: REV. DR. VICTOR MUNACHI NZEBUNACHI</w:t>
      </w:r>
    </w:p>
    <w:p w14:paraId="5B2BA18B">
      <w:pPr>
        <w:spacing w:line="360" w:lineRule="auto"/>
        <w:jc w:val="center"/>
        <w:rPr>
          <w:rFonts w:ascii="Times New Roman" w:hAnsi="Times New Roman" w:cs="Times New Roman"/>
          <w:b/>
          <w:bCs/>
          <w:sz w:val="24"/>
          <w:szCs w:val="24"/>
        </w:rPr>
      </w:pPr>
    </w:p>
    <w:p w14:paraId="6A8EB0E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JULY 2026</w:t>
      </w:r>
    </w:p>
    <w:p w14:paraId="53D2B42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w:t>
      </w:r>
    </w:p>
    <w:p w14:paraId="2BFF97A5">
      <w:pPr>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1DD8C161">
      <w:pPr>
        <w:spacing w:after="200" w:line="480" w:lineRule="auto"/>
        <w:jc w:val="center"/>
        <w:outlineLvl w:val="0"/>
        <w:rPr>
          <w:rFonts w:ascii="Times New Roman" w:hAnsi="Times New Roman" w:cs="Times New Roman" w:eastAsiaTheme="minorHAnsi"/>
          <w:b/>
          <w:sz w:val="24"/>
          <w:szCs w:val="24"/>
          <w:lang w:val="en-GB" w:eastAsia="en-US" w:bidi="ar-SA"/>
        </w:rPr>
      </w:pPr>
      <w:bookmarkStart w:id="2" w:name="_Toc233693028"/>
      <w:r>
        <w:rPr>
          <w:rFonts w:ascii="Times New Roman" w:hAnsi="Times New Roman" w:cs="Times New Roman" w:eastAsiaTheme="minorHAnsi"/>
          <w:b/>
          <w:sz w:val="24"/>
          <w:szCs w:val="24"/>
          <w:lang w:val="en-GB" w:eastAsia="en-US" w:bidi="ar-SA"/>
        </w:rPr>
        <w:t>DECLARATION</w:t>
      </w:r>
      <w:bookmarkEnd w:id="2"/>
    </w:p>
    <w:p w14:paraId="5F33BD46">
      <w:pPr>
        <w:spacing w:line="360" w:lineRule="auto"/>
        <w:jc w:val="both"/>
        <w:rPr>
          <w:rFonts w:ascii="Times New Roman" w:hAnsi="Times New Roman" w:cs="Times New Roman"/>
          <w:sz w:val="24"/>
          <w:szCs w:val="24"/>
        </w:rPr>
      </w:pPr>
      <w:r>
        <w:rPr>
          <w:rFonts w:ascii="Times New Roman" w:hAnsi="Times New Roman" w:cs="Times New Roman"/>
          <w:sz w:val="24"/>
          <w:szCs w:val="24"/>
        </w:rPr>
        <w:t>I, Ibekwe Ngozi Stephanie, with the Registration Number GOU/U21/Law/377, hereby affirm that this work was duly and diligently carried out by me. The primary and secondary sources used to carry out this legal research, are acknowledged appropriately and referenced herein, within this project. This work is an original and has not been submitted in part or in full for the award of any degree in this or any other Faculty of Law within and outside Nigeria.</w:t>
      </w:r>
    </w:p>
    <w:p w14:paraId="17103757">
      <w:pPr>
        <w:spacing w:line="360" w:lineRule="auto"/>
        <w:jc w:val="both"/>
        <w:rPr>
          <w:rFonts w:ascii="Times New Roman" w:hAnsi="Times New Roman" w:cs="Times New Roman"/>
          <w:sz w:val="24"/>
          <w:szCs w:val="24"/>
        </w:rPr>
      </w:pPr>
    </w:p>
    <w:p w14:paraId="0AD28588">
      <w:pPr>
        <w:spacing w:line="360" w:lineRule="auto"/>
        <w:jc w:val="both"/>
        <w:rPr>
          <w:rFonts w:ascii="Times New Roman" w:hAnsi="Times New Roman" w:cs="Times New Roman"/>
          <w:sz w:val="24"/>
          <w:szCs w:val="24"/>
        </w:rPr>
      </w:pPr>
    </w:p>
    <w:p w14:paraId="0529DBF0">
      <w:pPr>
        <w:spacing w:line="360" w:lineRule="auto"/>
        <w:jc w:val="both"/>
        <w:rPr>
          <w:rFonts w:ascii="Times New Roman" w:hAnsi="Times New Roman" w:cs="Times New Roman"/>
          <w:sz w:val="24"/>
          <w:szCs w:val="24"/>
        </w:rPr>
      </w:pPr>
    </w:p>
    <w:p w14:paraId="2A9F1AE8">
      <w:pPr>
        <w:spacing w:line="360" w:lineRule="auto"/>
        <w:jc w:val="both"/>
        <w:rPr>
          <w:rFonts w:ascii="Times New Roman" w:hAnsi="Times New Roman" w:cs="Times New Roman"/>
          <w:sz w:val="24"/>
          <w:szCs w:val="24"/>
        </w:rPr>
      </w:pPr>
    </w:p>
    <w:p w14:paraId="76C4ACC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___________________________</w:t>
      </w:r>
    </w:p>
    <w:p w14:paraId="1149BC9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Ibekwe Ngozi Stephanie</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 xml:space="preserve">   Date</w:t>
      </w:r>
    </w:p>
    <w:p w14:paraId="304405E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GOU/U21/Law/377</w:t>
      </w:r>
      <w:r>
        <w:rPr>
          <w:rFonts w:ascii="Times New Roman" w:hAnsi="Times New Roman" w:cs="Times New Roman"/>
          <w:b/>
          <w:bCs/>
          <w:sz w:val="24"/>
          <w:szCs w:val="24"/>
        </w:rPr>
        <w:tab/>
      </w:r>
    </w:p>
    <w:p w14:paraId="1110587C">
      <w:pPr>
        <w:spacing w:line="240" w:lineRule="auto"/>
        <w:jc w:val="both"/>
        <w:rPr>
          <w:rFonts w:ascii="Times New Roman" w:hAnsi="Times New Roman" w:cs="Times New Roman"/>
          <w:b/>
          <w:bCs/>
          <w:sz w:val="24"/>
          <w:szCs w:val="24"/>
        </w:rPr>
      </w:pPr>
    </w:p>
    <w:p w14:paraId="3D4A7539">
      <w:pPr>
        <w:spacing w:line="360" w:lineRule="auto"/>
        <w:jc w:val="both"/>
        <w:rPr>
          <w:rFonts w:ascii="Times New Roman" w:hAnsi="Times New Roman" w:cs="Times New Roman"/>
          <w:sz w:val="24"/>
          <w:szCs w:val="24"/>
        </w:rPr>
      </w:pPr>
    </w:p>
    <w:p w14:paraId="5A988192">
      <w:pPr>
        <w:spacing w:line="360" w:lineRule="auto"/>
        <w:jc w:val="both"/>
        <w:rPr>
          <w:rFonts w:ascii="Times New Roman" w:hAnsi="Times New Roman" w:cs="Times New Roman"/>
          <w:sz w:val="24"/>
          <w:szCs w:val="24"/>
        </w:rPr>
      </w:pPr>
    </w:p>
    <w:p w14:paraId="2FF37F62">
      <w:pPr>
        <w:spacing w:line="360" w:lineRule="auto"/>
        <w:jc w:val="both"/>
        <w:rPr>
          <w:rFonts w:ascii="Times New Roman" w:hAnsi="Times New Roman" w:cs="Times New Roman"/>
          <w:sz w:val="24"/>
          <w:szCs w:val="24"/>
        </w:rPr>
      </w:pPr>
    </w:p>
    <w:p w14:paraId="7EF35D52">
      <w:pPr>
        <w:spacing w:line="360" w:lineRule="auto"/>
        <w:jc w:val="both"/>
        <w:rPr>
          <w:rFonts w:ascii="Times New Roman" w:hAnsi="Times New Roman" w:cs="Times New Roman"/>
          <w:sz w:val="24"/>
          <w:szCs w:val="24"/>
        </w:rPr>
      </w:pPr>
    </w:p>
    <w:p w14:paraId="5A07BE8D">
      <w:pPr>
        <w:spacing w:line="360" w:lineRule="auto"/>
        <w:jc w:val="both"/>
        <w:rPr>
          <w:rFonts w:ascii="Times New Roman" w:hAnsi="Times New Roman" w:cs="Times New Roman"/>
          <w:sz w:val="24"/>
          <w:szCs w:val="24"/>
        </w:rPr>
      </w:pPr>
    </w:p>
    <w:p w14:paraId="137CB891">
      <w:pPr>
        <w:spacing w:line="360" w:lineRule="auto"/>
        <w:jc w:val="both"/>
        <w:rPr>
          <w:rFonts w:ascii="Times New Roman" w:hAnsi="Times New Roman" w:cs="Times New Roman"/>
          <w:sz w:val="24"/>
          <w:szCs w:val="24"/>
        </w:rPr>
      </w:pPr>
    </w:p>
    <w:p w14:paraId="46E21BF3">
      <w:pPr>
        <w:spacing w:line="360" w:lineRule="auto"/>
        <w:jc w:val="both"/>
        <w:rPr>
          <w:rFonts w:ascii="Times New Roman" w:hAnsi="Times New Roman" w:cs="Times New Roman"/>
          <w:sz w:val="24"/>
          <w:szCs w:val="24"/>
        </w:rPr>
      </w:pPr>
    </w:p>
    <w:p w14:paraId="7882D775">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0A361F1B">
      <w:pPr>
        <w:rPr>
          <w:rFonts w:ascii="Times New Roman" w:hAnsi="Times New Roman" w:cs="Times New Roman"/>
          <w:sz w:val="24"/>
          <w:szCs w:val="24"/>
        </w:rPr>
      </w:pPr>
      <w:r>
        <w:rPr>
          <w:rFonts w:ascii="Times New Roman" w:hAnsi="Times New Roman" w:cs="Times New Roman"/>
          <w:sz w:val="24"/>
          <w:szCs w:val="24"/>
        </w:rPr>
        <w:br w:type="page"/>
      </w:r>
    </w:p>
    <w:p w14:paraId="21A72947">
      <w:pPr>
        <w:spacing w:after="200" w:line="480" w:lineRule="auto"/>
        <w:jc w:val="center"/>
        <w:outlineLvl w:val="0"/>
        <w:rPr>
          <w:rFonts w:ascii="Times New Roman" w:hAnsi="Times New Roman" w:cs="Times New Roman" w:eastAsiaTheme="minorHAnsi"/>
          <w:b/>
          <w:sz w:val="24"/>
          <w:szCs w:val="24"/>
          <w:lang w:val="en-GB" w:eastAsia="en-US" w:bidi="ar-SA"/>
        </w:rPr>
      </w:pPr>
      <w:bookmarkStart w:id="3" w:name="_Toc233693029"/>
      <w:r>
        <w:rPr>
          <w:rFonts w:ascii="Times New Roman" w:hAnsi="Times New Roman" w:cs="Times New Roman" w:eastAsiaTheme="minorHAnsi"/>
          <w:b/>
          <w:sz w:val="24"/>
          <w:szCs w:val="24"/>
          <w:lang w:val="en-GB" w:eastAsia="en-US" w:bidi="ar-SA"/>
        </w:rPr>
        <w:t>APPROVAL PAGE</w:t>
      </w:r>
      <w:bookmarkEnd w:id="3"/>
    </w:p>
    <w:p w14:paraId="2B3184B0">
      <w:pPr>
        <w:spacing w:line="360" w:lineRule="auto"/>
        <w:jc w:val="both"/>
        <w:rPr>
          <w:rFonts w:ascii="Times New Roman" w:hAnsi="Times New Roman" w:cs="Times New Roman"/>
          <w:sz w:val="24"/>
          <w:szCs w:val="24"/>
        </w:rPr>
      </w:pPr>
      <w:r>
        <w:rPr>
          <w:rFonts w:ascii="Times New Roman" w:hAnsi="Times New Roman" w:cs="Times New Roman"/>
          <w:sz w:val="24"/>
          <w:szCs w:val="24"/>
        </w:rPr>
        <w:t>I, Ibekwe Ngozi Stephanie, with Registration Number GOU/U21/Law/377, hereby certify that this project research was done by me, with the direct and diligent supervision of Rev. Dr. Victor Munachi Nzebunachi, has been approved by the administrative and academic staff of the Faculty of Law, Godfrey Okoye University, Enugu. In partial fulfilment of the requirement for the award of Bachelor of Law (LL. B) Degree.</w:t>
      </w:r>
    </w:p>
    <w:p w14:paraId="3F2B24DD">
      <w:pPr>
        <w:spacing w:line="360" w:lineRule="auto"/>
        <w:jc w:val="both"/>
        <w:rPr>
          <w:rFonts w:ascii="Times New Roman" w:hAnsi="Times New Roman" w:cs="Times New Roman"/>
          <w:sz w:val="24"/>
          <w:szCs w:val="24"/>
        </w:rPr>
      </w:pPr>
      <w:r>
        <w:rPr>
          <w:rFonts w:ascii="Times New Roman" w:hAnsi="Times New Roman" w:cs="Times New Roman"/>
          <w:sz w:val="24"/>
          <w:szCs w:val="24"/>
        </w:rPr>
        <w:t>Apart from the references made and acknowledged herein within this research work, this research work is an original work and has not been presented in part or in full, for any degree of this University or any other University.</w:t>
      </w:r>
    </w:p>
    <w:p w14:paraId="499ADC3D">
      <w:pPr>
        <w:spacing w:after="0" w:line="360" w:lineRule="auto"/>
        <w:jc w:val="both"/>
        <w:rPr>
          <w:rFonts w:ascii="Times New Roman" w:hAnsi="Times New Roman" w:cs="Times New Roman"/>
          <w:sz w:val="24"/>
          <w:szCs w:val="24"/>
        </w:rPr>
      </w:pPr>
    </w:p>
    <w:p w14:paraId="7AD3074C">
      <w:pPr>
        <w:spacing w:after="0" w:line="360" w:lineRule="auto"/>
        <w:jc w:val="both"/>
        <w:rPr>
          <w:rFonts w:ascii="Times New Roman" w:hAnsi="Times New Roman" w:cs="Times New Roman"/>
          <w:sz w:val="24"/>
          <w:szCs w:val="24"/>
        </w:rPr>
      </w:pPr>
    </w:p>
    <w:p w14:paraId="53A7F782">
      <w:pPr>
        <w:spacing w:after="0" w:line="360" w:lineRule="auto"/>
        <w:jc w:val="both"/>
        <w:rPr>
          <w:rFonts w:ascii="Times New Roman" w:hAnsi="Times New Roman" w:cs="Times New Roman"/>
          <w:sz w:val="24"/>
          <w:szCs w:val="24"/>
        </w:rPr>
      </w:pPr>
    </w:p>
    <w:p w14:paraId="759F47F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_______________________   </w:t>
      </w:r>
      <w:r>
        <w:rPr>
          <w:rFonts w:ascii="Times New Roman" w:hAnsi="Times New Roman" w:cs="Times New Roman"/>
          <w:b/>
          <w:bCs/>
          <w:sz w:val="24"/>
          <w:szCs w:val="24"/>
        </w:rPr>
        <w:tab/>
      </w:r>
      <w:r>
        <w:rPr>
          <w:rFonts w:ascii="Times New Roman" w:hAnsi="Times New Roman" w:cs="Times New Roman"/>
          <w:b/>
          <w:bCs/>
          <w:sz w:val="24"/>
          <w:szCs w:val="24"/>
        </w:rPr>
        <w:t xml:space="preserve">                          ______________________</w:t>
      </w:r>
      <w:r>
        <w:rPr>
          <w:rFonts w:ascii="Times New Roman" w:hAnsi="Times New Roman" w:cs="Times New Roman"/>
          <w:b/>
          <w:bCs/>
          <w:sz w:val="24"/>
          <w:szCs w:val="24"/>
        </w:rPr>
        <w:tab/>
      </w:r>
      <w:r>
        <w:rPr>
          <w:rFonts w:ascii="Times New Roman" w:hAnsi="Times New Roman" w:cs="Times New Roman"/>
          <w:b/>
          <w:bCs/>
          <w:sz w:val="24"/>
          <w:szCs w:val="24"/>
        </w:rPr>
        <w:tab/>
      </w:r>
    </w:p>
    <w:p w14:paraId="3AD7452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Rev. Dr. Victor Munachi Nzebunachi.</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Date</w:t>
      </w:r>
      <w:r>
        <w:rPr>
          <w:rFonts w:ascii="Times New Roman" w:hAnsi="Times New Roman" w:cs="Times New Roman"/>
          <w:b/>
          <w:bCs/>
          <w:sz w:val="24"/>
          <w:szCs w:val="24"/>
        </w:rPr>
        <w:tab/>
      </w:r>
      <w:r>
        <w:rPr>
          <w:rFonts w:ascii="Times New Roman" w:hAnsi="Times New Roman" w:cs="Times New Roman"/>
          <w:b/>
          <w:bCs/>
          <w:sz w:val="24"/>
          <w:szCs w:val="24"/>
        </w:rPr>
        <w:tab/>
      </w:r>
    </w:p>
    <w:p w14:paraId="06FBB23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Project Supervisor </w:t>
      </w:r>
    </w:p>
    <w:p w14:paraId="53BA96F6">
      <w:pPr>
        <w:spacing w:after="0" w:line="240" w:lineRule="auto"/>
        <w:jc w:val="both"/>
        <w:rPr>
          <w:rFonts w:ascii="Times New Roman" w:hAnsi="Times New Roman" w:cs="Times New Roman"/>
          <w:b/>
          <w:bCs/>
          <w:sz w:val="24"/>
          <w:szCs w:val="24"/>
        </w:rPr>
      </w:pPr>
    </w:p>
    <w:p w14:paraId="36166449">
      <w:pPr>
        <w:spacing w:after="0" w:line="240" w:lineRule="auto"/>
        <w:jc w:val="both"/>
        <w:rPr>
          <w:rFonts w:ascii="Times New Roman" w:hAnsi="Times New Roman" w:cs="Times New Roman"/>
          <w:b/>
          <w:bCs/>
          <w:sz w:val="24"/>
          <w:szCs w:val="24"/>
        </w:rPr>
      </w:pPr>
    </w:p>
    <w:p w14:paraId="1CFCD966">
      <w:pPr>
        <w:spacing w:after="0" w:line="240" w:lineRule="auto"/>
        <w:jc w:val="both"/>
        <w:rPr>
          <w:rFonts w:ascii="Times New Roman" w:hAnsi="Times New Roman" w:cs="Times New Roman"/>
          <w:b/>
          <w:bCs/>
          <w:sz w:val="24"/>
          <w:szCs w:val="24"/>
        </w:rPr>
      </w:pPr>
    </w:p>
    <w:p w14:paraId="5FEFC6D1">
      <w:pPr>
        <w:spacing w:after="0" w:line="240" w:lineRule="auto"/>
        <w:jc w:val="both"/>
        <w:rPr>
          <w:rFonts w:ascii="Times New Roman" w:hAnsi="Times New Roman" w:cs="Times New Roman"/>
          <w:b/>
          <w:bCs/>
          <w:sz w:val="24"/>
          <w:szCs w:val="24"/>
        </w:rPr>
      </w:pPr>
    </w:p>
    <w:p w14:paraId="4813B0AA">
      <w:pPr>
        <w:spacing w:after="0" w:line="240" w:lineRule="auto"/>
        <w:jc w:val="both"/>
        <w:rPr>
          <w:rFonts w:ascii="Times New Roman" w:hAnsi="Times New Roman" w:cs="Times New Roman"/>
          <w:b/>
          <w:bCs/>
          <w:sz w:val="24"/>
          <w:szCs w:val="24"/>
        </w:rPr>
      </w:pPr>
    </w:p>
    <w:p w14:paraId="6C1FF65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________________________                   </w:t>
      </w:r>
      <w:r>
        <w:rPr>
          <w:rFonts w:ascii="Times New Roman" w:hAnsi="Times New Roman" w:cs="Times New Roman"/>
          <w:b/>
          <w:bCs/>
          <w:sz w:val="24"/>
          <w:szCs w:val="24"/>
        </w:rPr>
        <w:tab/>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 xml:space="preserve"> ________________________</w:t>
      </w:r>
    </w:p>
    <w:p w14:paraId="136EB3C5">
      <w:pPr>
        <w:spacing w:after="0" w:line="240" w:lineRule="auto"/>
        <w:jc w:val="both"/>
        <w:rPr>
          <w:rFonts w:ascii="Times New Roman" w:hAnsi="Times New Roman" w:cs="Times New Roman"/>
          <w:b/>
          <w:bCs/>
          <w:sz w:val="24"/>
          <w:szCs w:val="24"/>
        </w:rPr>
      </w:pPr>
      <w:r>
        <w:rPr>
          <w:rFonts w:hint="default" w:ascii="Times New Roman" w:hAnsi="Times New Roman" w:cs="Times New Roman"/>
          <w:b/>
          <w:bCs/>
          <w:sz w:val="24"/>
          <w:szCs w:val="24"/>
          <w:lang w:val="en-US"/>
        </w:rPr>
        <w:t>Dr. Geoffrey Okechukwu Omeh</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hint="default" w:ascii="Times New Roman" w:hAnsi="Times New Roman" w:cs="Times New Roman"/>
          <w:b/>
          <w:bCs/>
          <w:sz w:val="24"/>
          <w:szCs w:val="24"/>
          <w:lang w:val="en-US"/>
        </w:rPr>
        <w:tab/>
      </w:r>
      <w:r>
        <w:rPr>
          <w:rFonts w:hint="default" w:ascii="Times New Roman" w:hAnsi="Times New Roman" w:cs="Times New Roman"/>
          <w:b/>
          <w:bCs/>
          <w:sz w:val="24"/>
          <w:szCs w:val="24"/>
          <w:lang w:val="en-US"/>
        </w:rPr>
        <w:tab/>
      </w:r>
      <w:r>
        <w:rPr>
          <w:rFonts w:ascii="Times New Roman" w:hAnsi="Times New Roman" w:cs="Times New Roman"/>
          <w:b/>
          <w:bCs/>
          <w:sz w:val="24"/>
          <w:szCs w:val="24"/>
        </w:rPr>
        <w:t>Date</w:t>
      </w:r>
    </w:p>
    <w:p w14:paraId="33CD22F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r>
        <w:rPr>
          <w:rFonts w:hint="default" w:ascii="Times New Roman" w:hAnsi="Times New Roman" w:cs="Times New Roman"/>
          <w:b/>
          <w:bCs/>
          <w:sz w:val="24"/>
          <w:szCs w:val="24"/>
          <w:lang w:val="en-US"/>
        </w:rPr>
        <w:t xml:space="preserve">AG. </w:t>
      </w:r>
      <w:r>
        <w:rPr>
          <w:rFonts w:ascii="Times New Roman" w:hAnsi="Times New Roman" w:cs="Times New Roman"/>
          <w:b/>
          <w:bCs/>
          <w:sz w:val="24"/>
          <w:szCs w:val="24"/>
        </w:rPr>
        <w:t>Dean, Faculty of Law)</w:t>
      </w:r>
    </w:p>
    <w:p w14:paraId="60BC7F47">
      <w:pPr>
        <w:spacing w:after="0" w:line="240" w:lineRule="auto"/>
        <w:jc w:val="both"/>
        <w:rPr>
          <w:rFonts w:ascii="Times New Roman" w:hAnsi="Times New Roman" w:cs="Times New Roman"/>
          <w:b/>
          <w:bCs/>
          <w:sz w:val="24"/>
          <w:szCs w:val="24"/>
        </w:rPr>
      </w:pPr>
    </w:p>
    <w:p w14:paraId="62C7616D">
      <w:pPr>
        <w:spacing w:after="0" w:line="240" w:lineRule="auto"/>
        <w:jc w:val="both"/>
        <w:rPr>
          <w:rFonts w:ascii="Times New Roman" w:hAnsi="Times New Roman" w:cs="Times New Roman"/>
          <w:b/>
          <w:bCs/>
          <w:sz w:val="24"/>
          <w:szCs w:val="24"/>
        </w:rPr>
      </w:pPr>
    </w:p>
    <w:p w14:paraId="521BADA8">
      <w:pPr>
        <w:spacing w:after="0" w:line="240" w:lineRule="auto"/>
        <w:jc w:val="both"/>
        <w:rPr>
          <w:rFonts w:ascii="Times New Roman" w:hAnsi="Times New Roman" w:cs="Times New Roman"/>
          <w:b/>
          <w:bCs/>
          <w:sz w:val="24"/>
          <w:szCs w:val="24"/>
        </w:rPr>
      </w:pPr>
    </w:p>
    <w:p w14:paraId="6C73FC11">
      <w:pPr>
        <w:spacing w:after="0" w:line="240" w:lineRule="auto"/>
        <w:jc w:val="both"/>
        <w:rPr>
          <w:rFonts w:ascii="Times New Roman" w:hAnsi="Times New Roman" w:cs="Times New Roman"/>
          <w:b/>
          <w:bCs/>
          <w:sz w:val="24"/>
          <w:szCs w:val="24"/>
        </w:rPr>
      </w:pPr>
    </w:p>
    <w:p w14:paraId="1B7A9A1D">
      <w:pPr>
        <w:spacing w:after="0" w:line="240" w:lineRule="auto"/>
        <w:jc w:val="both"/>
        <w:rPr>
          <w:rFonts w:ascii="Times New Roman" w:hAnsi="Times New Roman" w:cs="Times New Roman"/>
          <w:b/>
          <w:bCs/>
          <w:sz w:val="24"/>
          <w:szCs w:val="24"/>
        </w:rPr>
      </w:pPr>
    </w:p>
    <w:p w14:paraId="49415C2E">
      <w:pPr>
        <w:spacing w:after="0" w:line="240" w:lineRule="auto"/>
        <w:jc w:val="both"/>
        <w:rPr>
          <w:rFonts w:ascii="Times New Roman" w:hAnsi="Times New Roman" w:cs="Times New Roman"/>
          <w:b/>
          <w:bCs/>
          <w:sz w:val="24"/>
          <w:szCs w:val="24"/>
        </w:rPr>
      </w:pPr>
    </w:p>
    <w:p w14:paraId="469D163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________________________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________________________</w:t>
      </w:r>
    </w:p>
    <w:p w14:paraId="6449A331">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External Examiner</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hint="default" w:ascii="Times New Roman" w:hAnsi="Times New Roman" w:cs="Times New Roman"/>
          <w:b/>
          <w:bCs/>
          <w:sz w:val="24"/>
          <w:szCs w:val="24"/>
          <w:lang w:val="en-US"/>
        </w:rPr>
        <w:tab/>
      </w:r>
      <w:r>
        <w:rPr>
          <w:rFonts w:ascii="Times New Roman" w:hAnsi="Times New Roman" w:cs="Times New Roman"/>
          <w:b/>
          <w:bCs/>
          <w:sz w:val="24"/>
          <w:szCs w:val="24"/>
        </w:rPr>
        <w:t>Date</w:t>
      </w:r>
    </w:p>
    <w:p w14:paraId="6B538335">
      <w:pPr>
        <w:jc w:val="center"/>
        <w:rPr>
          <w:rFonts w:hint="default" w:ascii="Times New Roman" w:hAnsi="Times New Roman" w:cs="Times New Roman"/>
          <w:b/>
          <w:bCs/>
          <w:sz w:val="24"/>
          <w:szCs w:val="24"/>
        </w:rPr>
      </w:pPr>
      <w:bookmarkStart w:id="4" w:name="_Toc233693030"/>
    </w:p>
    <w:p w14:paraId="4BC9FB3D">
      <w:pPr>
        <w:jc w:val="center"/>
        <w:rPr>
          <w:rFonts w:hint="default" w:ascii="Times New Roman" w:hAnsi="Times New Roman" w:cs="Times New Roman"/>
          <w:b/>
          <w:bCs/>
          <w:sz w:val="24"/>
          <w:szCs w:val="24"/>
        </w:rPr>
      </w:pPr>
    </w:p>
    <w:p w14:paraId="7012F4A6">
      <w:pPr>
        <w:jc w:val="center"/>
        <w:rPr>
          <w:rFonts w:hint="default" w:ascii="Times New Roman" w:hAnsi="Times New Roman" w:cs="Times New Roman"/>
          <w:b/>
          <w:bCs/>
          <w:sz w:val="24"/>
          <w:szCs w:val="24"/>
        </w:rPr>
      </w:pPr>
    </w:p>
    <w:p w14:paraId="48547A4B">
      <w:pPr>
        <w:jc w:val="center"/>
        <w:rPr>
          <w:rFonts w:hint="default" w:ascii="Times New Roman" w:hAnsi="Times New Roman" w:cs="Times New Roman"/>
          <w:b/>
          <w:bCs/>
          <w:sz w:val="24"/>
          <w:szCs w:val="24"/>
        </w:rPr>
      </w:pPr>
    </w:p>
    <w:p w14:paraId="7DDDE47D">
      <w:pPr>
        <w:jc w:val="center"/>
        <w:rPr>
          <w:rFonts w:hint="default" w:ascii="Times New Roman" w:hAnsi="Times New Roman" w:cs="Times New Roman"/>
          <w:b/>
          <w:bCs/>
          <w:sz w:val="24"/>
          <w:szCs w:val="24"/>
        </w:rPr>
      </w:pPr>
    </w:p>
    <w:p w14:paraId="0CC5D845">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DEDICATION</w:t>
      </w:r>
      <w:bookmarkEnd w:id="4"/>
    </w:p>
    <w:p w14:paraId="03934CF6">
      <w:pPr>
        <w:jc w:val="both"/>
        <w:rPr>
          <w:rFonts w:ascii="Times New Roman" w:hAnsi="Times New Roman" w:cs="Times New Roman"/>
          <w:sz w:val="24"/>
          <w:szCs w:val="24"/>
          <w:lang w:val="en-US"/>
        </w:rPr>
      </w:pPr>
      <w:r>
        <w:rPr>
          <w:rFonts w:ascii="Times New Roman" w:hAnsi="Times New Roman" w:cs="Times New Roman"/>
          <w:sz w:val="24"/>
          <w:szCs w:val="24"/>
          <w:lang w:val="en-US"/>
        </w:rPr>
        <w:t>This work is dedicated to God Almighty, for His guidance, wisdom, and grace throughout this journey.</w:t>
      </w:r>
    </w:p>
    <w:p w14:paraId="21D7C314">
      <w:pPr>
        <w:jc w:val="both"/>
        <w:rPr>
          <w:rFonts w:ascii="Times New Roman" w:hAnsi="Times New Roman" w:cs="Times New Roman"/>
          <w:sz w:val="24"/>
          <w:szCs w:val="24"/>
          <w:lang w:val="en-US"/>
        </w:rPr>
      </w:pPr>
      <w:r>
        <w:rPr>
          <w:rFonts w:ascii="Times New Roman" w:hAnsi="Times New Roman" w:cs="Times New Roman"/>
          <w:sz w:val="24"/>
          <w:szCs w:val="24"/>
          <w:lang w:val="en-US"/>
        </w:rPr>
        <w:t>To my parents and family, for their unwavering love, prayers, and support.</w:t>
      </w:r>
    </w:p>
    <w:p w14:paraId="5EC0291E">
      <w:pPr>
        <w:jc w:val="both"/>
        <w:rPr>
          <w:rFonts w:ascii="Times New Roman" w:hAnsi="Times New Roman" w:cs="Times New Roman"/>
          <w:sz w:val="24"/>
          <w:szCs w:val="24"/>
          <w:lang w:val="en-US"/>
        </w:rPr>
      </w:pPr>
      <w:r>
        <w:rPr>
          <w:rFonts w:ascii="Times New Roman" w:hAnsi="Times New Roman" w:cs="Times New Roman"/>
          <w:sz w:val="24"/>
          <w:szCs w:val="24"/>
          <w:lang w:val="en-US"/>
        </w:rPr>
        <w:t>And to all those who strive to uphold the principles of freedom and justice in the digital age, may this research contribute meaningfully to the discourse.</w:t>
      </w:r>
    </w:p>
    <w:p w14:paraId="63B496D3">
      <w:pPr>
        <w:spacing w:line="360" w:lineRule="auto"/>
        <w:jc w:val="both"/>
        <w:rPr>
          <w:rFonts w:ascii="Times New Roman" w:hAnsi="Times New Roman" w:cs="Times New Roman"/>
          <w:sz w:val="24"/>
          <w:szCs w:val="24"/>
        </w:rPr>
      </w:pPr>
    </w:p>
    <w:p w14:paraId="1268D10A">
      <w:pPr>
        <w:spacing w:line="360" w:lineRule="auto"/>
        <w:jc w:val="both"/>
        <w:rPr>
          <w:rFonts w:ascii="Times New Roman" w:hAnsi="Times New Roman" w:cs="Times New Roman"/>
          <w:sz w:val="24"/>
          <w:szCs w:val="24"/>
        </w:rPr>
      </w:pPr>
    </w:p>
    <w:p w14:paraId="102059BA">
      <w:pPr>
        <w:spacing w:line="360" w:lineRule="auto"/>
        <w:jc w:val="both"/>
        <w:rPr>
          <w:rFonts w:ascii="Times New Roman" w:hAnsi="Times New Roman" w:cs="Times New Roman"/>
          <w:sz w:val="24"/>
          <w:szCs w:val="24"/>
        </w:rPr>
      </w:pPr>
    </w:p>
    <w:p w14:paraId="5FD4CDB6">
      <w:pPr>
        <w:spacing w:line="360" w:lineRule="auto"/>
        <w:jc w:val="both"/>
        <w:rPr>
          <w:rFonts w:ascii="Times New Roman" w:hAnsi="Times New Roman" w:cs="Times New Roman"/>
          <w:sz w:val="24"/>
          <w:szCs w:val="24"/>
        </w:rPr>
      </w:pPr>
    </w:p>
    <w:p w14:paraId="3F20988C">
      <w:pPr>
        <w:spacing w:line="360" w:lineRule="auto"/>
        <w:jc w:val="both"/>
        <w:rPr>
          <w:rFonts w:ascii="Times New Roman" w:hAnsi="Times New Roman" w:cs="Times New Roman"/>
          <w:sz w:val="24"/>
          <w:szCs w:val="24"/>
        </w:rPr>
      </w:pPr>
    </w:p>
    <w:p w14:paraId="45CCE247">
      <w:pPr>
        <w:spacing w:line="360" w:lineRule="auto"/>
        <w:jc w:val="both"/>
        <w:rPr>
          <w:rFonts w:ascii="Times New Roman" w:hAnsi="Times New Roman" w:cs="Times New Roman"/>
          <w:sz w:val="24"/>
          <w:szCs w:val="24"/>
        </w:rPr>
      </w:pPr>
    </w:p>
    <w:p w14:paraId="4150212A">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1D841B88">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25D3B83C">
      <w:pPr>
        <w:rPr>
          <w:rFonts w:ascii="Times New Roman" w:hAnsi="Times New Roman" w:cs="Times New Roman"/>
          <w:sz w:val="24"/>
          <w:szCs w:val="24"/>
        </w:rPr>
      </w:pPr>
      <w:r>
        <w:rPr>
          <w:rFonts w:ascii="Times New Roman" w:hAnsi="Times New Roman" w:cs="Times New Roman"/>
          <w:sz w:val="24"/>
          <w:szCs w:val="24"/>
        </w:rPr>
        <w:br w:type="page"/>
      </w:r>
    </w:p>
    <w:p w14:paraId="7371B596">
      <w:pPr>
        <w:spacing w:after="200" w:line="360" w:lineRule="auto"/>
        <w:jc w:val="center"/>
        <w:outlineLvl w:val="0"/>
        <w:rPr>
          <w:rFonts w:ascii="Times New Roman" w:hAnsi="Times New Roman" w:cs="Times New Roman" w:eastAsiaTheme="minorHAnsi"/>
          <w:b/>
          <w:sz w:val="24"/>
          <w:szCs w:val="24"/>
          <w:lang w:val="en-GB" w:eastAsia="en-US" w:bidi="ar-SA"/>
        </w:rPr>
      </w:pPr>
      <w:bookmarkStart w:id="5" w:name="_Toc233693031"/>
      <w:r>
        <w:rPr>
          <w:rFonts w:ascii="Times New Roman" w:hAnsi="Times New Roman" w:cs="Times New Roman" w:eastAsiaTheme="minorHAnsi"/>
          <w:b/>
          <w:sz w:val="24"/>
          <w:szCs w:val="24"/>
          <w:lang w:val="en-GB" w:eastAsia="en-US" w:bidi="ar-SA"/>
        </w:rPr>
        <w:t>ACKNOWLEDGEMENTS</w:t>
      </w:r>
      <w:bookmarkEnd w:id="5"/>
    </w:p>
    <w:p w14:paraId="78CE124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 specially acknowledge God Almighty for His grace and sustenance upon me throughout the period of this research work.</w:t>
      </w:r>
    </w:p>
    <w:p w14:paraId="359C3609">
      <w:pPr>
        <w:jc w:val="both"/>
        <w:rPr>
          <w:rFonts w:ascii="Times New Roman" w:hAnsi="Times New Roman" w:cs="Times New Roman"/>
          <w:sz w:val="24"/>
          <w:szCs w:val="24"/>
          <w:lang w:val="en-US"/>
        </w:rPr>
      </w:pPr>
      <w:r>
        <w:rPr>
          <w:rFonts w:ascii="Times New Roman" w:hAnsi="Times New Roman" w:cs="Times New Roman"/>
          <w:sz w:val="24"/>
          <w:szCs w:val="24"/>
          <w:lang w:val="en-US"/>
        </w:rPr>
        <w:t>My gratitude goes to my supervisor, Rev. Dr. Victor Munachi Nzebunachi, for his guidance, encouragement, and constructive criticisms that ensured this work came out as one of the best. His patience and expert advice were instrumental in shaping this research.</w:t>
      </w:r>
    </w:p>
    <w:p w14:paraId="7E8545E5">
      <w:pPr>
        <w:jc w:val="both"/>
        <w:rPr>
          <w:rFonts w:ascii="Times New Roman" w:hAnsi="Times New Roman" w:cs="Times New Roman"/>
          <w:sz w:val="24"/>
          <w:szCs w:val="24"/>
          <w:lang w:val="en-US"/>
        </w:rPr>
      </w:pPr>
      <w:r>
        <w:rPr>
          <w:rFonts w:ascii="Times New Roman" w:hAnsi="Times New Roman" w:cs="Times New Roman"/>
          <w:sz w:val="24"/>
          <w:szCs w:val="24"/>
          <w:lang w:val="en-US"/>
        </w:rPr>
        <w:t>I am also appreciative of the Dean of the Faculty of Law, Godfrey Okoye University, and my lecturers for their unwavering support and knowledge impartation throughout my academic journey.</w:t>
      </w:r>
    </w:p>
    <w:p w14:paraId="3665ABDA">
      <w:pPr>
        <w:jc w:val="both"/>
        <w:rPr>
          <w:rFonts w:ascii="Times New Roman" w:hAnsi="Times New Roman" w:cs="Times New Roman"/>
          <w:sz w:val="24"/>
          <w:szCs w:val="24"/>
          <w:lang w:val="en-US"/>
        </w:rPr>
      </w:pPr>
      <w:r>
        <w:rPr>
          <w:rFonts w:ascii="Times New Roman" w:hAnsi="Times New Roman" w:cs="Times New Roman"/>
          <w:sz w:val="24"/>
          <w:szCs w:val="24"/>
          <w:lang w:val="en-US"/>
        </w:rPr>
        <w:t>Special thanks to my dad, Mr. Godfrey Ibekwe, for his support, encouragement, and the invaluable knowledge he has contributed to this research, and to my mom, Mrs. Uche Ibekwe, for her unwavering support, prayers, and understanding.</w:t>
      </w:r>
    </w:p>
    <w:p w14:paraId="604F264C">
      <w:pPr>
        <w:jc w:val="both"/>
        <w:rPr>
          <w:rFonts w:ascii="Times New Roman" w:hAnsi="Times New Roman" w:cs="Times New Roman"/>
          <w:sz w:val="24"/>
          <w:szCs w:val="24"/>
          <w:lang w:val="en-US"/>
        </w:rPr>
      </w:pPr>
      <w:r>
        <w:rPr>
          <w:rFonts w:ascii="Times New Roman" w:hAnsi="Times New Roman" w:cs="Times New Roman"/>
          <w:sz w:val="24"/>
          <w:szCs w:val="24"/>
          <w:lang w:val="en-US"/>
        </w:rPr>
        <w:t>I would also like to appreciate my siblings, friends, and colleagues for their support, companionship, and shared knowledge throughout this journey.</w:t>
      </w:r>
    </w:p>
    <w:p w14:paraId="5DF21416">
      <w:pPr>
        <w:jc w:val="both"/>
        <w:rPr>
          <w:rFonts w:ascii="Times New Roman" w:hAnsi="Times New Roman" w:cs="Times New Roman"/>
          <w:sz w:val="24"/>
          <w:szCs w:val="24"/>
          <w:lang w:val="en-US"/>
        </w:rPr>
      </w:pPr>
      <w:r>
        <w:rPr>
          <w:rFonts w:ascii="Times New Roman" w:hAnsi="Times New Roman" w:cs="Times New Roman"/>
          <w:sz w:val="24"/>
          <w:szCs w:val="24"/>
          <w:lang w:val="en-US"/>
        </w:rPr>
        <w:t>Finally, I extend my appreciation to all authors and researchers whose works were consulted to enrich this research. Your contributions to the academic world are invaluable and deeply appreciated.</w:t>
      </w:r>
    </w:p>
    <w:p w14:paraId="1BCD74FB">
      <w:pPr>
        <w:jc w:val="both"/>
        <w:rPr>
          <w:rFonts w:ascii="Times New Roman" w:hAnsi="Times New Roman" w:cs="Times New Roman"/>
          <w:sz w:val="24"/>
          <w:szCs w:val="24"/>
        </w:rPr>
      </w:pPr>
    </w:p>
    <w:p w14:paraId="5C94CC5C">
      <w:pPr>
        <w:spacing w:line="360" w:lineRule="auto"/>
        <w:jc w:val="both"/>
        <w:rPr>
          <w:rFonts w:ascii="Times New Roman" w:hAnsi="Times New Roman" w:cs="Times New Roman"/>
          <w:sz w:val="24"/>
          <w:szCs w:val="24"/>
        </w:rPr>
      </w:pPr>
    </w:p>
    <w:p w14:paraId="45B6ABB7">
      <w:pPr>
        <w:spacing w:line="360" w:lineRule="auto"/>
        <w:jc w:val="both"/>
        <w:rPr>
          <w:rFonts w:ascii="Times New Roman" w:hAnsi="Times New Roman" w:cs="Times New Roman"/>
          <w:sz w:val="24"/>
          <w:szCs w:val="24"/>
        </w:rPr>
      </w:pPr>
    </w:p>
    <w:p w14:paraId="74DBCE0B">
      <w:pPr>
        <w:spacing w:line="360" w:lineRule="auto"/>
        <w:jc w:val="both"/>
        <w:rPr>
          <w:rFonts w:ascii="Times New Roman" w:hAnsi="Times New Roman" w:cs="Times New Roman"/>
          <w:sz w:val="24"/>
          <w:szCs w:val="24"/>
        </w:rPr>
      </w:pPr>
    </w:p>
    <w:p w14:paraId="2986BCE2">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26D48A31">
      <w:pPr>
        <w:rPr>
          <w:rFonts w:ascii="Times New Roman" w:hAnsi="Times New Roman" w:cs="Times New Roman"/>
          <w:sz w:val="24"/>
          <w:szCs w:val="24"/>
        </w:rPr>
      </w:pPr>
      <w:r>
        <w:rPr>
          <w:rFonts w:ascii="Times New Roman" w:hAnsi="Times New Roman" w:cs="Times New Roman"/>
          <w:sz w:val="24"/>
          <w:szCs w:val="24"/>
        </w:rPr>
        <w:br w:type="page"/>
      </w:r>
    </w:p>
    <w:p w14:paraId="40CBFB7D">
      <w:pPr>
        <w:spacing w:after="200" w:line="480" w:lineRule="auto"/>
        <w:jc w:val="center"/>
        <w:outlineLvl w:val="0"/>
        <w:rPr>
          <w:rFonts w:ascii="Times New Roman" w:hAnsi="Times New Roman" w:cs="Times New Roman" w:eastAsiaTheme="minorHAnsi"/>
          <w:b/>
          <w:sz w:val="24"/>
          <w:szCs w:val="24"/>
          <w:lang w:val="en-GB" w:eastAsia="en-US" w:bidi="ar-SA"/>
        </w:rPr>
      </w:pPr>
      <w:bookmarkStart w:id="6" w:name="_Toc233693032"/>
      <w:r>
        <w:rPr>
          <w:rFonts w:ascii="Times New Roman" w:hAnsi="Times New Roman" w:cs="Times New Roman" w:eastAsiaTheme="minorHAnsi"/>
          <w:b/>
          <w:sz w:val="24"/>
          <w:szCs w:val="24"/>
          <w:lang w:val="en-GB" w:eastAsia="en-US" w:bidi="ar-SA"/>
        </w:rPr>
        <w:t>TABLE OF CONTENT</w:t>
      </w:r>
      <w:bookmarkEnd w:id="6"/>
    </w:p>
    <w:p w14:paraId="6DCE15EC">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US" w:eastAsia="en-US" w:bidi="ar-SA"/>
        </w:rPr>
      </w:pPr>
      <w:bookmarkStart w:id="7" w:name="_Toc233693033"/>
      <w:r>
        <w:rPr>
          <w:rFonts w:hint="default" w:ascii="Times New Roman" w:hAnsi="Times New Roman" w:cs="Times New Roman" w:eastAsiaTheme="minorHAnsi"/>
          <w:b w:val="0"/>
          <w:bCs/>
          <w:sz w:val="24"/>
          <w:szCs w:val="24"/>
          <w:lang w:val="en-US" w:eastAsia="en-US" w:bidi="ar-SA"/>
        </w:rPr>
        <w:t>Title Page</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US" w:eastAsia="en-US" w:bidi="ar-SA"/>
        </w:rPr>
        <w:t>i</w:t>
      </w:r>
    </w:p>
    <w:p w14:paraId="058653EA">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US" w:eastAsia="en-US" w:bidi="ar-SA"/>
        </w:rPr>
      </w:pPr>
      <w:r>
        <w:rPr>
          <w:rFonts w:hint="default" w:ascii="Times New Roman" w:hAnsi="Times New Roman" w:cs="Times New Roman" w:eastAsiaTheme="minorHAnsi"/>
          <w:b w:val="0"/>
          <w:bCs/>
          <w:sz w:val="24"/>
          <w:szCs w:val="24"/>
          <w:lang w:val="en-US" w:eastAsia="en-US" w:bidi="ar-SA"/>
        </w:rPr>
        <w:t>Approval Page</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US" w:eastAsia="en-US" w:bidi="ar-SA"/>
        </w:rPr>
        <w:t>ii</w:t>
      </w:r>
    </w:p>
    <w:p w14:paraId="75448637">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US" w:eastAsia="en-US" w:bidi="ar-SA"/>
        </w:rPr>
      </w:pPr>
      <w:r>
        <w:rPr>
          <w:rFonts w:hint="default" w:ascii="Times New Roman" w:hAnsi="Times New Roman" w:cs="Times New Roman" w:eastAsiaTheme="minorHAnsi"/>
          <w:b w:val="0"/>
          <w:bCs/>
          <w:sz w:val="24"/>
          <w:szCs w:val="24"/>
          <w:lang w:val="en-US" w:eastAsia="en-US" w:bidi="ar-SA"/>
        </w:rPr>
        <w:t>Declaration</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US" w:eastAsia="en-US" w:bidi="ar-SA"/>
        </w:rPr>
        <w:t>iii</w:t>
      </w:r>
    </w:p>
    <w:p w14:paraId="254B6A6F">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US" w:eastAsia="en-US" w:bidi="ar-SA"/>
        </w:rPr>
      </w:pPr>
      <w:r>
        <w:rPr>
          <w:rFonts w:hint="default" w:ascii="Times New Roman" w:hAnsi="Times New Roman" w:cs="Times New Roman" w:eastAsiaTheme="minorHAnsi"/>
          <w:b w:val="0"/>
          <w:bCs/>
          <w:sz w:val="24"/>
          <w:szCs w:val="24"/>
          <w:lang w:val="en-US" w:eastAsia="en-US" w:bidi="ar-SA"/>
        </w:rPr>
        <w:t>Dedication</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US" w:eastAsia="en-US" w:bidi="ar-SA"/>
        </w:rPr>
        <w:t>iv</w:t>
      </w:r>
    </w:p>
    <w:p w14:paraId="23DC0353">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US" w:eastAsia="en-US" w:bidi="ar-SA"/>
        </w:rPr>
      </w:pPr>
      <w:r>
        <w:rPr>
          <w:rFonts w:hint="default" w:ascii="Times New Roman" w:hAnsi="Times New Roman" w:cs="Times New Roman" w:eastAsiaTheme="minorHAnsi"/>
          <w:b w:val="0"/>
          <w:bCs/>
          <w:sz w:val="24"/>
          <w:szCs w:val="24"/>
          <w:lang w:val="en-US" w:eastAsia="en-US" w:bidi="ar-SA"/>
        </w:rPr>
        <w:t>Acknowlegdement</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US" w:eastAsia="en-US" w:bidi="ar-SA"/>
        </w:rPr>
        <w:t>v</w:t>
      </w:r>
    </w:p>
    <w:p w14:paraId="5DAEBD9E">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US" w:eastAsia="en-US" w:bidi="ar-SA"/>
        </w:rPr>
      </w:pPr>
      <w:r>
        <w:rPr>
          <w:rFonts w:hint="default" w:ascii="Times New Roman" w:hAnsi="Times New Roman" w:cs="Times New Roman" w:eastAsiaTheme="minorHAnsi"/>
          <w:b w:val="0"/>
          <w:bCs/>
          <w:sz w:val="24"/>
          <w:szCs w:val="24"/>
          <w:lang w:val="en-US" w:eastAsia="en-US" w:bidi="ar-SA"/>
        </w:rPr>
        <w:t>Table of Contents</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US" w:eastAsia="en-US" w:bidi="ar-SA"/>
        </w:rPr>
        <w:t>vi</w:t>
      </w:r>
    </w:p>
    <w:p w14:paraId="3AADC80E">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US" w:eastAsia="en-US" w:bidi="ar-SA"/>
        </w:rPr>
      </w:pPr>
      <w:r>
        <w:rPr>
          <w:rFonts w:hint="default" w:ascii="Times New Roman" w:hAnsi="Times New Roman" w:cs="Times New Roman" w:eastAsiaTheme="minorHAnsi"/>
          <w:b w:val="0"/>
          <w:bCs/>
          <w:sz w:val="24"/>
          <w:szCs w:val="24"/>
          <w:lang w:val="en-US" w:eastAsia="en-US" w:bidi="ar-SA"/>
        </w:rPr>
        <w:t>Table of Cases</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US" w:eastAsia="en-US" w:bidi="ar-SA"/>
        </w:rPr>
        <w:t>ix</w:t>
      </w:r>
    </w:p>
    <w:p w14:paraId="5538B3D1">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US" w:eastAsia="en-US" w:bidi="ar-SA"/>
        </w:rPr>
      </w:pPr>
      <w:r>
        <w:rPr>
          <w:rFonts w:hint="default" w:ascii="Times New Roman" w:hAnsi="Times New Roman" w:cs="Times New Roman" w:eastAsiaTheme="minorHAnsi"/>
          <w:b w:val="0"/>
          <w:bCs/>
          <w:sz w:val="24"/>
          <w:szCs w:val="24"/>
          <w:lang w:val="en-US" w:eastAsia="en-US" w:bidi="ar-SA"/>
        </w:rPr>
        <w:t>Table of Statutes, Treaties and Other International Instruments</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US" w:eastAsia="en-US" w:bidi="ar-SA"/>
        </w:rPr>
        <w:t>x</w:t>
      </w:r>
    </w:p>
    <w:p w14:paraId="60A3BAAD">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US" w:eastAsia="en-US" w:bidi="ar-SA"/>
        </w:rPr>
      </w:pPr>
      <w:r>
        <w:rPr>
          <w:rFonts w:hint="default" w:ascii="Times New Roman" w:hAnsi="Times New Roman" w:cs="Times New Roman" w:eastAsiaTheme="minorHAnsi"/>
          <w:b w:val="0"/>
          <w:bCs/>
          <w:sz w:val="24"/>
          <w:szCs w:val="24"/>
          <w:lang w:val="en-US" w:eastAsia="en-US" w:bidi="ar-SA"/>
        </w:rPr>
        <w:t>List of Abbreviations</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US" w:eastAsia="en-US" w:bidi="ar-SA"/>
        </w:rPr>
        <w:t>xi</w:t>
      </w:r>
    </w:p>
    <w:p w14:paraId="6776080C">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US" w:eastAsia="en-US" w:bidi="ar-SA"/>
        </w:rPr>
      </w:pPr>
      <w:r>
        <w:rPr>
          <w:rFonts w:hint="default" w:ascii="Times New Roman" w:hAnsi="Times New Roman" w:cs="Times New Roman" w:eastAsiaTheme="minorHAnsi"/>
          <w:b w:val="0"/>
          <w:bCs/>
          <w:sz w:val="24"/>
          <w:szCs w:val="24"/>
          <w:lang w:val="en-US" w:eastAsia="en-US" w:bidi="ar-SA"/>
        </w:rPr>
        <w:t>Abstract</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US" w:eastAsia="en-US" w:bidi="ar-SA"/>
        </w:rPr>
        <w:t>xiii</w:t>
      </w:r>
    </w:p>
    <w:p w14:paraId="3DCB8AE3">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bCs w:val="0"/>
          <w:sz w:val="24"/>
          <w:szCs w:val="24"/>
          <w:lang w:val="en-GB" w:eastAsia="en-US" w:bidi="ar-SA"/>
        </w:rPr>
      </w:pPr>
      <w:r>
        <w:rPr>
          <w:rFonts w:hint="default" w:ascii="Times New Roman" w:hAnsi="Times New Roman" w:cs="Times New Roman" w:eastAsiaTheme="minorHAnsi"/>
          <w:b/>
          <w:bCs w:val="0"/>
          <w:sz w:val="24"/>
          <w:szCs w:val="24"/>
          <w:lang w:val="en-GB" w:eastAsia="en-US" w:bidi="ar-SA"/>
        </w:rPr>
        <w:t>CHAPTER ONE</w:t>
      </w:r>
      <w:r>
        <w:rPr>
          <w:rFonts w:hint="default" w:ascii="Times New Roman" w:hAnsi="Times New Roman" w:cs="Times New Roman" w:eastAsiaTheme="minorHAnsi"/>
          <w:b/>
          <w:bCs w:val="0"/>
          <w:sz w:val="24"/>
          <w:szCs w:val="24"/>
          <w:lang w:val="en-US" w:eastAsia="en-US" w:bidi="ar-SA"/>
        </w:rPr>
        <w:t xml:space="preserve">: </w:t>
      </w:r>
      <w:r>
        <w:rPr>
          <w:rFonts w:hint="default" w:ascii="Times New Roman" w:hAnsi="Times New Roman" w:cs="Times New Roman" w:eastAsiaTheme="minorHAnsi"/>
          <w:b/>
          <w:bCs w:val="0"/>
          <w:sz w:val="24"/>
          <w:szCs w:val="24"/>
          <w:lang w:val="en-GB" w:eastAsia="en-US" w:bidi="ar-SA"/>
        </w:rPr>
        <w:t>INTRODUCTION</w:t>
      </w:r>
      <w:r>
        <w:rPr>
          <w:rFonts w:hint="default" w:ascii="Times New Roman" w:hAnsi="Times New Roman" w:cs="Times New Roman" w:eastAsiaTheme="minorHAnsi"/>
          <w:b/>
          <w:bCs w:val="0"/>
          <w:sz w:val="24"/>
          <w:szCs w:val="24"/>
          <w:lang w:val="en-GB" w:eastAsia="en-US" w:bidi="ar-SA"/>
        </w:rPr>
        <w:tab/>
      </w:r>
      <w:r>
        <w:rPr>
          <w:rFonts w:hint="default" w:ascii="Times New Roman" w:hAnsi="Times New Roman" w:cs="Times New Roman" w:eastAsiaTheme="minorHAnsi"/>
          <w:b/>
          <w:bCs w:val="0"/>
          <w:sz w:val="24"/>
          <w:szCs w:val="24"/>
          <w:lang w:val="en-GB" w:eastAsia="en-US" w:bidi="ar-SA"/>
        </w:rPr>
        <w:t>1</w:t>
      </w:r>
    </w:p>
    <w:p w14:paraId="6B6D9696">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 xml:space="preserve">1.1 </w:t>
      </w:r>
      <w:r>
        <w:rPr>
          <w:rFonts w:hint="default" w:ascii="Times New Roman" w:hAnsi="Times New Roman" w:cs="Times New Roman" w:eastAsiaTheme="minorHAnsi"/>
          <w:b w:val="0"/>
          <w:bCs/>
          <w:sz w:val="24"/>
          <w:szCs w:val="24"/>
          <w:lang w:val="en-US" w:eastAsia="en-US" w:bidi="ar-SA"/>
        </w:rPr>
        <w:t xml:space="preserve"> </w:t>
      </w:r>
      <w:r>
        <w:rPr>
          <w:rFonts w:hint="default" w:ascii="Times New Roman" w:hAnsi="Times New Roman" w:cs="Times New Roman" w:eastAsiaTheme="minorHAnsi"/>
          <w:b w:val="0"/>
          <w:bCs/>
          <w:sz w:val="24"/>
          <w:szCs w:val="24"/>
          <w:lang w:val="en-GB" w:eastAsia="en-US" w:bidi="ar-SA"/>
        </w:rPr>
        <w:t>Background to the Study</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1</w:t>
      </w:r>
    </w:p>
    <w:p w14:paraId="3F36EE39">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1.2 Statement of the Problem</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2</w:t>
      </w:r>
    </w:p>
    <w:p w14:paraId="2E8EEB7D">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1.3 Research Questions</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3</w:t>
      </w:r>
    </w:p>
    <w:p w14:paraId="6FA8CC44">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1.4 Aim and Objectives of the Research</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4</w:t>
      </w:r>
    </w:p>
    <w:p w14:paraId="66B7F29C">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1.5 Research Methodology</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4</w:t>
      </w:r>
    </w:p>
    <w:p w14:paraId="3DB1CE00">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1.6 Scope of the Study</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5</w:t>
      </w:r>
    </w:p>
    <w:p w14:paraId="69511657">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1.7 Significance of the Study</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5</w:t>
      </w:r>
    </w:p>
    <w:p w14:paraId="6A7EAF16">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1.8 Literature Review.</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6</w:t>
      </w:r>
    </w:p>
    <w:p w14:paraId="7349A453">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bCs w:val="0"/>
          <w:sz w:val="24"/>
          <w:szCs w:val="24"/>
          <w:lang w:val="en-GB" w:eastAsia="en-US" w:bidi="ar-SA"/>
        </w:rPr>
      </w:pPr>
      <w:r>
        <w:rPr>
          <w:rFonts w:hint="default" w:ascii="Times New Roman" w:hAnsi="Times New Roman" w:cs="Times New Roman" w:eastAsiaTheme="minorHAnsi"/>
          <w:b/>
          <w:bCs w:val="0"/>
          <w:sz w:val="24"/>
          <w:szCs w:val="24"/>
          <w:lang w:val="en-GB" w:eastAsia="en-US" w:bidi="ar-SA"/>
        </w:rPr>
        <w:t>CHAPTER TWO</w:t>
      </w:r>
      <w:r>
        <w:rPr>
          <w:rFonts w:hint="default" w:ascii="Times New Roman" w:hAnsi="Times New Roman" w:cs="Times New Roman" w:eastAsiaTheme="minorHAnsi"/>
          <w:b/>
          <w:bCs w:val="0"/>
          <w:sz w:val="24"/>
          <w:szCs w:val="24"/>
          <w:lang w:val="en-US" w:eastAsia="en-US" w:bidi="ar-SA"/>
        </w:rPr>
        <w:t xml:space="preserve">: </w:t>
      </w:r>
      <w:r>
        <w:rPr>
          <w:rFonts w:hint="default" w:ascii="Times New Roman" w:hAnsi="Times New Roman" w:cs="Times New Roman" w:eastAsiaTheme="minorHAnsi"/>
          <w:b/>
          <w:bCs w:val="0"/>
          <w:sz w:val="24"/>
          <w:szCs w:val="24"/>
          <w:lang w:val="en-GB" w:eastAsia="en-US" w:bidi="ar-SA"/>
        </w:rPr>
        <w:t>CONCEPTUAL AND THEORETICAL FRAMEWORK</w:t>
      </w:r>
      <w:r>
        <w:rPr>
          <w:rFonts w:hint="default" w:ascii="Times New Roman" w:hAnsi="Times New Roman" w:cs="Times New Roman" w:eastAsiaTheme="minorHAnsi"/>
          <w:b/>
          <w:bCs w:val="0"/>
          <w:sz w:val="24"/>
          <w:szCs w:val="24"/>
          <w:lang w:val="en-GB" w:eastAsia="en-US" w:bidi="ar-SA"/>
        </w:rPr>
        <w:tab/>
      </w:r>
      <w:r>
        <w:rPr>
          <w:rFonts w:hint="default" w:ascii="Times New Roman" w:hAnsi="Times New Roman" w:cs="Times New Roman" w:eastAsiaTheme="minorHAnsi"/>
          <w:b/>
          <w:bCs w:val="0"/>
          <w:sz w:val="24"/>
          <w:szCs w:val="24"/>
          <w:lang w:val="en-GB" w:eastAsia="en-US" w:bidi="ar-SA"/>
        </w:rPr>
        <w:t>14</w:t>
      </w:r>
    </w:p>
    <w:p w14:paraId="169B6078">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2.1</w:t>
      </w:r>
      <w:r>
        <w:rPr>
          <w:rFonts w:hint="default" w:ascii="Times New Roman" w:hAnsi="Times New Roman" w:cs="Times New Roman" w:eastAsiaTheme="minorHAnsi"/>
          <w:b w:val="0"/>
          <w:bCs/>
          <w:sz w:val="24"/>
          <w:szCs w:val="24"/>
          <w:lang w:val="en-US" w:eastAsia="en-US" w:bidi="ar-SA"/>
        </w:rPr>
        <w:t xml:space="preserve"> </w:t>
      </w:r>
      <w:r>
        <w:rPr>
          <w:rFonts w:hint="default" w:ascii="Times New Roman" w:hAnsi="Times New Roman" w:cs="Times New Roman" w:eastAsiaTheme="minorHAnsi"/>
          <w:b w:val="0"/>
          <w:bCs/>
          <w:sz w:val="24"/>
          <w:szCs w:val="24"/>
          <w:lang w:val="en-GB" w:eastAsia="en-US" w:bidi="ar-SA"/>
        </w:rPr>
        <w:t>Conceptual Framework</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14</w:t>
      </w:r>
    </w:p>
    <w:p w14:paraId="53EDB773">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2.1.1</w:t>
      </w:r>
      <w:r>
        <w:rPr>
          <w:rFonts w:hint="default" w:ascii="Times New Roman" w:hAnsi="Times New Roman" w:cs="Times New Roman" w:eastAsiaTheme="minorHAnsi"/>
          <w:b w:val="0"/>
          <w:bCs/>
          <w:sz w:val="24"/>
          <w:szCs w:val="24"/>
          <w:lang w:val="en-US" w:eastAsia="en-US" w:bidi="ar-SA"/>
        </w:rPr>
        <w:t xml:space="preserve"> </w:t>
      </w:r>
      <w:r>
        <w:rPr>
          <w:rFonts w:hint="default" w:ascii="Times New Roman" w:hAnsi="Times New Roman" w:cs="Times New Roman" w:eastAsiaTheme="minorHAnsi"/>
          <w:b w:val="0"/>
          <w:bCs/>
          <w:sz w:val="24"/>
          <w:szCs w:val="24"/>
          <w:lang w:val="en-GB" w:eastAsia="en-US" w:bidi="ar-SA"/>
        </w:rPr>
        <w:t>Meaning of Copyright</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14</w:t>
      </w:r>
    </w:p>
    <w:p w14:paraId="6842B5A8">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 xml:space="preserve">2.1.2 </w:t>
      </w:r>
      <w:r>
        <w:rPr>
          <w:rFonts w:hint="default" w:ascii="Times New Roman" w:hAnsi="Times New Roman" w:cs="Times New Roman" w:eastAsiaTheme="minorHAnsi"/>
          <w:b w:val="0"/>
          <w:bCs/>
          <w:sz w:val="24"/>
          <w:szCs w:val="24"/>
          <w:lang w:val="en-US" w:eastAsia="en-US" w:bidi="ar-SA"/>
        </w:rPr>
        <w:t xml:space="preserve"> </w:t>
      </w:r>
      <w:r>
        <w:rPr>
          <w:rFonts w:hint="default" w:ascii="Times New Roman" w:hAnsi="Times New Roman" w:cs="Times New Roman" w:eastAsiaTheme="minorHAnsi"/>
          <w:b w:val="0"/>
          <w:bCs/>
          <w:sz w:val="24"/>
          <w:szCs w:val="24"/>
          <w:lang w:val="en-GB" w:eastAsia="en-US" w:bidi="ar-SA"/>
        </w:rPr>
        <w:t>Forms of Copyright</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15</w:t>
      </w:r>
    </w:p>
    <w:p w14:paraId="7B7884A5">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2.1.3</w:t>
      </w:r>
      <w:r>
        <w:rPr>
          <w:rFonts w:hint="default" w:ascii="Times New Roman" w:hAnsi="Times New Roman" w:cs="Times New Roman" w:eastAsiaTheme="minorHAnsi"/>
          <w:b w:val="0"/>
          <w:bCs/>
          <w:sz w:val="24"/>
          <w:szCs w:val="24"/>
          <w:lang w:val="en-US" w:eastAsia="en-US" w:bidi="ar-SA"/>
        </w:rPr>
        <w:t xml:space="preserve"> </w:t>
      </w:r>
      <w:r>
        <w:rPr>
          <w:rFonts w:hint="default" w:ascii="Times New Roman" w:hAnsi="Times New Roman" w:cs="Times New Roman" w:eastAsiaTheme="minorHAnsi"/>
          <w:b w:val="0"/>
          <w:bCs/>
          <w:sz w:val="24"/>
          <w:szCs w:val="24"/>
          <w:lang w:val="en-GB" w:eastAsia="en-US" w:bidi="ar-SA"/>
        </w:rPr>
        <w:t>Meaning of Artificial Intelligence</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16</w:t>
      </w:r>
    </w:p>
    <w:p w14:paraId="324B6E94">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2.1.4 Emergence of Artificial Intelligence in Nigeria</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17</w:t>
      </w:r>
    </w:p>
    <w:p w14:paraId="674F596A">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2.2 Theoretical Framework</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21</w:t>
      </w:r>
    </w:p>
    <w:p w14:paraId="377953C6">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2.2.1 Natural Law Theory</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21</w:t>
      </w:r>
    </w:p>
    <w:p w14:paraId="0E49F5E9">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2.2.2 Legal Positivism</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23</w:t>
      </w:r>
    </w:p>
    <w:p w14:paraId="2C8E6769">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2.2.3 Utilitarianism</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24</w:t>
      </w:r>
    </w:p>
    <w:p w14:paraId="7A5C8E87">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2.2.4 Personhood Theory</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25</w:t>
      </w:r>
    </w:p>
    <w:p w14:paraId="483A94C1">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bCs w:val="0"/>
          <w:sz w:val="24"/>
          <w:szCs w:val="24"/>
          <w:lang w:val="en-GB" w:eastAsia="en-US" w:bidi="ar-SA"/>
        </w:rPr>
      </w:pPr>
      <w:r>
        <w:rPr>
          <w:rFonts w:hint="default" w:ascii="Times New Roman" w:hAnsi="Times New Roman" w:cs="Times New Roman" w:eastAsiaTheme="minorHAnsi"/>
          <w:b/>
          <w:bCs w:val="0"/>
          <w:sz w:val="24"/>
          <w:szCs w:val="24"/>
          <w:lang w:val="en-GB" w:eastAsia="en-US" w:bidi="ar-SA"/>
        </w:rPr>
        <w:t>CHAPTER THREE</w:t>
      </w:r>
      <w:r>
        <w:rPr>
          <w:rFonts w:hint="default" w:ascii="Times New Roman" w:hAnsi="Times New Roman" w:cs="Times New Roman" w:eastAsiaTheme="minorHAnsi"/>
          <w:b/>
          <w:bCs w:val="0"/>
          <w:sz w:val="24"/>
          <w:szCs w:val="24"/>
          <w:lang w:val="en-US" w:eastAsia="en-US" w:bidi="ar-SA"/>
        </w:rPr>
        <w:t xml:space="preserve">: </w:t>
      </w:r>
      <w:r>
        <w:rPr>
          <w:rFonts w:hint="default" w:ascii="Times New Roman" w:hAnsi="Times New Roman" w:cs="Times New Roman" w:eastAsiaTheme="minorHAnsi"/>
          <w:b/>
          <w:bCs w:val="0"/>
          <w:sz w:val="24"/>
          <w:szCs w:val="24"/>
          <w:lang w:val="en-GB" w:eastAsia="en-US" w:bidi="ar-SA"/>
        </w:rPr>
        <w:t>LEGISLATIVE AND INSTITUTIONAL FRAMEWORKS FOR COPYRIGHT ENFORCEMENT IN NIGERIA</w:t>
      </w:r>
      <w:r>
        <w:rPr>
          <w:rFonts w:hint="default" w:ascii="Times New Roman" w:hAnsi="Times New Roman" w:cs="Times New Roman" w:eastAsiaTheme="minorHAnsi"/>
          <w:b/>
          <w:bCs w:val="0"/>
          <w:sz w:val="24"/>
          <w:szCs w:val="24"/>
          <w:lang w:val="en-GB" w:eastAsia="en-US" w:bidi="ar-SA"/>
        </w:rPr>
        <w:tab/>
      </w:r>
      <w:r>
        <w:rPr>
          <w:rFonts w:hint="default" w:ascii="Times New Roman" w:hAnsi="Times New Roman" w:cs="Times New Roman" w:eastAsiaTheme="minorHAnsi"/>
          <w:b/>
          <w:bCs w:val="0"/>
          <w:sz w:val="24"/>
          <w:szCs w:val="24"/>
          <w:lang w:val="en-GB" w:eastAsia="en-US" w:bidi="ar-SA"/>
        </w:rPr>
        <w:t>27</w:t>
      </w:r>
    </w:p>
    <w:p w14:paraId="0BBAB8CB">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3.1 Legislative Framework</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27</w:t>
      </w:r>
    </w:p>
    <w:p w14:paraId="0CF6AF0D">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3.1.1 Core Municipal Legislative Framework</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27</w:t>
      </w:r>
    </w:p>
    <w:p w14:paraId="1905902D">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3.1.2 Core Regional Legislative Framework</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31</w:t>
      </w:r>
    </w:p>
    <w:p w14:paraId="06C340FF">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3.1.3 Core International Legislative Framework</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32</w:t>
      </w:r>
    </w:p>
    <w:p w14:paraId="6044E8B4">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3.2 Institutional Framework</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35</w:t>
      </w:r>
    </w:p>
    <w:p w14:paraId="7888060B">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3.2.1 Core Municipal Institutional Framework</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35</w:t>
      </w:r>
    </w:p>
    <w:p w14:paraId="46ED5064">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3.2.2 Core Regional Institutional Framework</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40</w:t>
      </w:r>
    </w:p>
    <w:p w14:paraId="19CF6671">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3.2.3 Core International Institutional Framework</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41</w:t>
      </w:r>
    </w:p>
    <w:p w14:paraId="3CA22A7F">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bCs w:val="0"/>
          <w:sz w:val="24"/>
          <w:szCs w:val="24"/>
          <w:lang w:val="en-GB" w:eastAsia="en-US" w:bidi="ar-SA"/>
        </w:rPr>
      </w:pPr>
      <w:r>
        <w:rPr>
          <w:rFonts w:hint="default" w:ascii="Times New Roman" w:hAnsi="Times New Roman" w:cs="Times New Roman" w:eastAsiaTheme="minorHAnsi"/>
          <w:b/>
          <w:bCs w:val="0"/>
          <w:sz w:val="24"/>
          <w:szCs w:val="24"/>
          <w:lang w:val="en-GB" w:eastAsia="en-US" w:bidi="ar-SA"/>
        </w:rPr>
        <w:t>CHAPTER FOUR</w:t>
      </w:r>
      <w:r>
        <w:rPr>
          <w:rFonts w:hint="default" w:ascii="Times New Roman" w:hAnsi="Times New Roman" w:cs="Times New Roman" w:eastAsiaTheme="minorHAnsi"/>
          <w:b/>
          <w:bCs w:val="0"/>
          <w:sz w:val="24"/>
          <w:szCs w:val="24"/>
          <w:lang w:val="en-US" w:eastAsia="en-US" w:bidi="ar-SA"/>
        </w:rPr>
        <w:t xml:space="preserve">: </w:t>
      </w:r>
      <w:r>
        <w:rPr>
          <w:rFonts w:hint="default" w:ascii="Times New Roman" w:hAnsi="Times New Roman" w:cs="Times New Roman" w:eastAsiaTheme="minorHAnsi"/>
          <w:b/>
          <w:bCs w:val="0"/>
          <w:sz w:val="24"/>
          <w:szCs w:val="24"/>
          <w:lang w:val="en-GB" w:eastAsia="en-US" w:bidi="ar-SA"/>
        </w:rPr>
        <w:t>THE CHALLENGES OF COPYRIGHT ENFORCEMENT IN THE ERA OF ARTIFICIAL INTELLIGENCE IN NIGERIA</w:t>
      </w:r>
      <w:r>
        <w:rPr>
          <w:rFonts w:hint="default" w:ascii="Times New Roman" w:hAnsi="Times New Roman" w:cs="Times New Roman" w:eastAsiaTheme="minorHAnsi"/>
          <w:b/>
          <w:bCs w:val="0"/>
          <w:sz w:val="24"/>
          <w:szCs w:val="24"/>
          <w:lang w:val="en-GB" w:eastAsia="en-US" w:bidi="ar-SA"/>
        </w:rPr>
        <w:tab/>
      </w:r>
      <w:r>
        <w:rPr>
          <w:rFonts w:hint="default" w:ascii="Times New Roman" w:hAnsi="Times New Roman" w:cs="Times New Roman" w:eastAsiaTheme="minorHAnsi"/>
          <w:b/>
          <w:bCs w:val="0"/>
          <w:sz w:val="24"/>
          <w:szCs w:val="24"/>
          <w:lang w:val="en-GB" w:eastAsia="en-US" w:bidi="ar-SA"/>
        </w:rPr>
        <w:t>44</w:t>
      </w:r>
    </w:p>
    <w:p w14:paraId="787F427C">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4.1 Core Substantive Challenges</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44</w:t>
      </w:r>
    </w:p>
    <w:p w14:paraId="23545644">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4.1.1 Unclear Authorship and Ownership</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44</w:t>
      </w:r>
    </w:p>
    <w:p w14:paraId="61EBFC0E">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4.1.2 Status of Derivative Works</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45</w:t>
      </w:r>
    </w:p>
    <w:p w14:paraId="2D595A1F">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4.1.3 Legality of Training on Copyrighted Data</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47</w:t>
      </w:r>
    </w:p>
    <w:p w14:paraId="7253861F">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4.2 Core Procedural Challenges</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48</w:t>
      </w:r>
    </w:p>
    <w:p w14:paraId="65F29D0D">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4.2.1 Opacity of AI Models</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48</w:t>
      </w:r>
    </w:p>
    <w:p w14:paraId="68D94DC3">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4.2.2 Jurisdiction</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49</w:t>
      </w:r>
    </w:p>
    <w:p w14:paraId="71E28847">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4.2.3 Limited Forensic Tools</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50</w:t>
      </w:r>
    </w:p>
    <w:p w14:paraId="545600AA">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4.3 Core Institutional Challenges</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51</w:t>
      </w:r>
    </w:p>
    <w:p w14:paraId="232D6927">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4.3.1 Resource Constraints</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51</w:t>
      </w:r>
    </w:p>
    <w:p w14:paraId="0EA7A37A">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4.3.2 Limited Specialized IP Benches</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53</w:t>
      </w:r>
    </w:p>
    <w:p w14:paraId="5E9A886A">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4.3.3 Gaps in Coordination among Government Agencies</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54</w:t>
      </w:r>
    </w:p>
    <w:p w14:paraId="561296DD">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bCs w:val="0"/>
          <w:sz w:val="24"/>
          <w:szCs w:val="24"/>
          <w:lang w:val="en-GB" w:eastAsia="en-US" w:bidi="ar-SA"/>
        </w:rPr>
      </w:pPr>
      <w:r>
        <w:rPr>
          <w:rFonts w:hint="default" w:ascii="Times New Roman" w:hAnsi="Times New Roman" w:cs="Times New Roman" w:eastAsiaTheme="minorHAnsi"/>
          <w:b/>
          <w:bCs w:val="0"/>
          <w:sz w:val="24"/>
          <w:szCs w:val="24"/>
          <w:lang w:val="en-GB" w:eastAsia="en-US" w:bidi="ar-SA"/>
        </w:rPr>
        <w:t>CHAPTER FIVE</w:t>
      </w:r>
      <w:r>
        <w:rPr>
          <w:rFonts w:hint="default" w:ascii="Times New Roman" w:hAnsi="Times New Roman" w:cs="Times New Roman" w:eastAsiaTheme="minorHAnsi"/>
          <w:b/>
          <w:bCs w:val="0"/>
          <w:sz w:val="24"/>
          <w:szCs w:val="24"/>
          <w:lang w:val="en-US" w:eastAsia="en-US" w:bidi="ar-SA"/>
        </w:rPr>
        <w:t xml:space="preserve">; </w:t>
      </w:r>
      <w:r>
        <w:rPr>
          <w:rFonts w:hint="default" w:ascii="Times New Roman" w:hAnsi="Times New Roman" w:cs="Times New Roman" w:eastAsiaTheme="minorHAnsi"/>
          <w:b/>
          <w:bCs w:val="0"/>
          <w:sz w:val="24"/>
          <w:szCs w:val="24"/>
          <w:lang w:val="en-GB" w:eastAsia="en-US" w:bidi="ar-SA"/>
        </w:rPr>
        <w:t>SUMMARY OF FINDINGS, RECOMMENDATIONS AND CONCLUSION</w:t>
      </w:r>
      <w:r>
        <w:rPr>
          <w:rFonts w:hint="default" w:ascii="Times New Roman" w:hAnsi="Times New Roman" w:cs="Times New Roman" w:eastAsiaTheme="minorHAnsi"/>
          <w:b/>
          <w:bCs w:val="0"/>
          <w:sz w:val="24"/>
          <w:szCs w:val="24"/>
          <w:lang w:val="en-GB" w:eastAsia="en-US" w:bidi="ar-SA"/>
        </w:rPr>
        <w:tab/>
      </w:r>
      <w:r>
        <w:rPr>
          <w:rFonts w:hint="default" w:ascii="Times New Roman" w:hAnsi="Times New Roman" w:cs="Times New Roman" w:eastAsiaTheme="minorHAnsi"/>
          <w:b/>
          <w:bCs w:val="0"/>
          <w:sz w:val="24"/>
          <w:szCs w:val="24"/>
          <w:lang w:val="en-GB" w:eastAsia="en-US" w:bidi="ar-SA"/>
        </w:rPr>
        <w:t>56</w:t>
      </w:r>
    </w:p>
    <w:p w14:paraId="2F95028F">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5.1 Summary of Findings</w:t>
      </w:r>
      <w:r>
        <w:rPr>
          <w:rFonts w:hint="default" w:ascii="Times New Roman" w:hAnsi="Times New Roman" w:cs="Times New Roman" w:eastAsiaTheme="minorHAnsi"/>
          <w:b w:val="0"/>
          <w:bCs/>
          <w:sz w:val="24"/>
          <w:szCs w:val="24"/>
          <w:lang w:val="en-GB" w:eastAsia="en-US" w:bidi="ar-SA"/>
        </w:rPr>
        <w:tab/>
      </w:r>
      <w:r>
        <w:rPr>
          <w:rFonts w:hint="default" w:ascii="Times New Roman" w:hAnsi="Times New Roman" w:cs="Times New Roman" w:eastAsiaTheme="minorHAnsi"/>
          <w:b w:val="0"/>
          <w:bCs/>
          <w:sz w:val="24"/>
          <w:szCs w:val="24"/>
          <w:lang w:val="en-GB" w:eastAsia="en-US" w:bidi="ar-SA"/>
        </w:rPr>
        <w:t>56</w:t>
      </w:r>
    </w:p>
    <w:p w14:paraId="01B4A335">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5.2 Recommendations</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GB" w:eastAsia="en-US" w:bidi="ar-SA"/>
        </w:rPr>
        <w:t>60</w:t>
      </w:r>
    </w:p>
    <w:p w14:paraId="4BDE38A6">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val="0"/>
          <w:bCs/>
          <w:sz w:val="24"/>
          <w:szCs w:val="24"/>
          <w:lang w:val="en-GB" w:eastAsia="en-US" w:bidi="ar-SA"/>
        </w:rPr>
      </w:pPr>
      <w:r>
        <w:rPr>
          <w:rFonts w:hint="default" w:ascii="Times New Roman" w:hAnsi="Times New Roman" w:cs="Times New Roman" w:eastAsiaTheme="minorHAnsi"/>
          <w:b w:val="0"/>
          <w:bCs/>
          <w:sz w:val="24"/>
          <w:szCs w:val="24"/>
          <w:lang w:val="en-GB" w:eastAsia="en-US" w:bidi="ar-SA"/>
        </w:rPr>
        <w:t>5.3 Conclusion</w:t>
      </w:r>
      <w:r>
        <w:rPr>
          <w:rFonts w:hint="default" w:ascii="Times New Roman" w:hAnsi="Times New Roman" w:cs="Times New Roman" w:eastAsiaTheme="minorHAnsi"/>
          <w:b w:val="0"/>
          <w:bCs/>
          <w:sz w:val="24"/>
          <w:szCs w:val="24"/>
          <w:lang w:val="en-US" w:eastAsia="en-US" w:bidi="ar-SA"/>
        </w:rPr>
        <w:tab/>
      </w:r>
      <w:r>
        <w:rPr>
          <w:rFonts w:hint="default" w:ascii="Times New Roman" w:hAnsi="Times New Roman" w:cs="Times New Roman" w:eastAsiaTheme="minorHAnsi"/>
          <w:b w:val="0"/>
          <w:bCs/>
          <w:sz w:val="24"/>
          <w:szCs w:val="24"/>
          <w:lang w:val="en-GB" w:eastAsia="en-US" w:bidi="ar-SA"/>
        </w:rPr>
        <w:t>63</w:t>
      </w:r>
    </w:p>
    <w:p w14:paraId="0D67CAED">
      <w:pPr>
        <w:keepNext w:val="0"/>
        <w:keepLines w:val="0"/>
        <w:pageBreakBefore w:val="0"/>
        <w:widowControl/>
        <w:tabs>
          <w:tab w:val="left" w:leader="dot" w:pos="9030"/>
        </w:tabs>
        <w:kinsoku/>
        <w:wordWrap/>
        <w:overflowPunct/>
        <w:topLinePunct w:val="0"/>
        <w:autoSpaceDE/>
        <w:autoSpaceDN/>
        <w:bidi w:val="0"/>
        <w:adjustRightInd/>
        <w:snapToGrid/>
        <w:spacing w:after="200" w:line="360" w:lineRule="auto"/>
        <w:jc w:val="both"/>
        <w:textAlignment w:val="auto"/>
        <w:outlineLvl w:val="0"/>
        <w:rPr>
          <w:rFonts w:hint="default" w:ascii="Times New Roman" w:hAnsi="Times New Roman" w:cs="Times New Roman" w:eastAsiaTheme="minorHAnsi"/>
          <w:b/>
          <w:bCs w:val="0"/>
          <w:sz w:val="24"/>
          <w:szCs w:val="24"/>
          <w:lang w:val="en-US" w:eastAsia="en-US" w:bidi="ar-SA"/>
        </w:rPr>
      </w:pPr>
      <w:r>
        <w:rPr>
          <w:rFonts w:hint="default" w:ascii="Times New Roman" w:hAnsi="Times New Roman" w:cs="Times New Roman" w:eastAsiaTheme="minorHAnsi"/>
          <w:b/>
          <w:bCs w:val="0"/>
          <w:sz w:val="24"/>
          <w:szCs w:val="24"/>
          <w:lang w:val="en-US" w:eastAsia="en-US" w:bidi="ar-SA"/>
        </w:rPr>
        <w:t>BIBLOGRAPHY</w:t>
      </w:r>
      <w:r>
        <w:rPr>
          <w:rFonts w:hint="default" w:ascii="Times New Roman" w:hAnsi="Times New Roman" w:cs="Times New Roman" w:eastAsiaTheme="minorHAnsi"/>
          <w:b/>
          <w:bCs w:val="0"/>
          <w:sz w:val="24"/>
          <w:szCs w:val="24"/>
          <w:lang w:val="en-US" w:eastAsia="en-US" w:bidi="ar-SA"/>
        </w:rPr>
        <w:tab/>
      </w:r>
      <w:r>
        <w:rPr>
          <w:rFonts w:hint="default" w:ascii="Times New Roman" w:hAnsi="Times New Roman" w:cs="Times New Roman" w:eastAsiaTheme="minorHAnsi"/>
          <w:b/>
          <w:bCs w:val="0"/>
          <w:sz w:val="24"/>
          <w:szCs w:val="24"/>
          <w:lang w:val="en-US" w:eastAsia="en-US" w:bidi="ar-SA"/>
        </w:rPr>
        <w:t>65</w:t>
      </w:r>
    </w:p>
    <w:p w14:paraId="39E842C0">
      <w:pPr>
        <w:spacing w:after="200" w:line="480" w:lineRule="auto"/>
        <w:jc w:val="both"/>
        <w:outlineLvl w:val="0"/>
        <w:rPr>
          <w:rFonts w:ascii="Times New Roman" w:hAnsi="Times New Roman" w:cs="Times New Roman" w:eastAsiaTheme="minorHAnsi"/>
          <w:b/>
          <w:sz w:val="24"/>
          <w:szCs w:val="24"/>
          <w:lang w:val="en-GB" w:eastAsia="en-US" w:bidi="ar-SA"/>
        </w:rPr>
      </w:pPr>
    </w:p>
    <w:p w14:paraId="052A1C1B">
      <w:pPr>
        <w:spacing w:after="200" w:line="480" w:lineRule="auto"/>
        <w:jc w:val="center"/>
        <w:outlineLvl w:val="0"/>
        <w:rPr>
          <w:rFonts w:ascii="Times New Roman" w:hAnsi="Times New Roman" w:cs="Times New Roman" w:eastAsiaTheme="minorHAnsi"/>
          <w:b/>
          <w:sz w:val="24"/>
          <w:szCs w:val="24"/>
          <w:lang w:val="en-GB" w:eastAsia="en-US" w:bidi="ar-SA"/>
        </w:rPr>
      </w:pPr>
    </w:p>
    <w:p w14:paraId="134FE2FA">
      <w:pPr>
        <w:spacing w:after="200" w:line="480" w:lineRule="auto"/>
        <w:jc w:val="center"/>
        <w:outlineLvl w:val="0"/>
        <w:rPr>
          <w:rFonts w:ascii="Times New Roman" w:hAnsi="Times New Roman" w:cs="Times New Roman" w:eastAsiaTheme="minorHAnsi"/>
          <w:b/>
          <w:sz w:val="24"/>
          <w:szCs w:val="24"/>
          <w:lang w:val="en-GB" w:eastAsia="en-US" w:bidi="ar-SA"/>
        </w:rPr>
      </w:pPr>
    </w:p>
    <w:p w14:paraId="338FC834">
      <w:pPr>
        <w:spacing w:after="200" w:line="480" w:lineRule="auto"/>
        <w:jc w:val="center"/>
        <w:outlineLvl w:val="0"/>
        <w:rPr>
          <w:rFonts w:ascii="Times New Roman" w:hAnsi="Times New Roman" w:cs="Times New Roman" w:eastAsiaTheme="minorHAnsi"/>
          <w:b/>
          <w:sz w:val="24"/>
          <w:szCs w:val="24"/>
          <w:lang w:val="en-GB" w:eastAsia="en-US" w:bidi="ar-SA"/>
        </w:rPr>
      </w:pPr>
    </w:p>
    <w:p w14:paraId="55E5F6FA">
      <w:pPr>
        <w:spacing w:after="200" w:line="480" w:lineRule="auto"/>
        <w:jc w:val="center"/>
        <w:outlineLvl w:val="0"/>
        <w:rPr>
          <w:rFonts w:ascii="Times New Roman" w:hAnsi="Times New Roman" w:cs="Times New Roman" w:eastAsiaTheme="minorHAnsi"/>
          <w:b/>
          <w:sz w:val="24"/>
          <w:szCs w:val="24"/>
          <w:lang w:val="en-GB" w:eastAsia="en-US" w:bidi="ar-SA"/>
        </w:rPr>
      </w:pPr>
    </w:p>
    <w:p w14:paraId="7B350978">
      <w:pPr>
        <w:spacing w:after="200" w:line="480" w:lineRule="auto"/>
        <w:jc w:val="center"/>
        <w:outlineLvl w:val="0"/>
        <w:rPr>
          <w:rFonts w:ascii="Times New Roman" w:hAnsi="Times New Roman" w:cs="Times New Roman" w:eastAsiaTheme="minorHAnsi"/>
          <w:b/>
          <w:sz w:val="24"/>
          <w:szCs w:val="24"/>
          <w:lang w:val="en-GB" w:eastAsia="en-US" w:bidi="ar-SA"/>
        </w:rPr>
      </w:pPr>
    </w:p>
    <w:p w14:paraId="128E757D">
      <w:pPr>
        <w:spacing w:after="200" w:line="480" w:lineRule="auto"/>
        <w:jc w:val="center"/>
        <w:outlineLvl w:val="0"/>
        <w:rPr>
          <w:rFonts w:ascii="Times New Roman" w:hAnsi="Times New Roman" w:cs="Times New Roman" w:eastAsiaTheme="minorHAnsi"/>
          <w:b/>
          <w:sz w:val="24"/>
          <w:szCs w:val="24"/>
          <w:lang w:val="en-GB" w:eastAsia="en-US" w:bidi="ar-SA"/>
        </w:rPr>
      </w:pPr>
    </w:p>
    <w:p w14:paraId="0D57C14F">
      <w:pPr>
        <w:spacing w:after="200" w:line="480" w:lineRule="auto"/>
        <w:jc w:val="center"/>
        <w:outlineLvl w:val="0"/>
        <w:rPr>
          <w:rFonts w:ascii="Times New Roman" w:hAnsi="Times New Roman" w:cs="Times New Roman" w:eastAsiaTheme="minorHAnsi"/>
          <w:b/>
          <w:sz w:val="24"/>
          <w:szCs w:val="24"/>
          <w:lang w:val="en-GB" w:eastAsia="en-US" w:bidi="ar-SA"/>
        </w:rPr>
      </w:pPr>
      <w:r>
        <w:rPr>
          <w:rFonts w:hint="default" w:ascii="Times New Roman" w:hAnsi="Times New Roman" w:cs="Times New Roman" w:eastAsiaTheme="minorHAnsi"/>
          <w:b/>
          <w:sz w:val="24"/>
          <w:szCs w:val="24"/>
          <w:lang w:val="en-US" w:eastAsia="en-US" w:bidi="ar-SA"/>
        </w:rPr>
        <w:t xml:space="preserve">LIST </w:t>
      </w:r>
      <w:r>
        <w:rPr>
          <w:rFonts w:ascii="Times New Roman" w:hAnsi="Times New Roman" w:cs="Times New Roman" w:eastAsiaTheme="minorHAnsi"/>
          <w:b/>
          <w:sz w:val="24"/>
          <w:szCs w:val="24"/>
          <w:lang w:val="en-GB" w:eastAsia="en-US" w:bidi="ar-SA"/>
        </w:rPr>
        <w:t>OF CASES</w:t>
      </w:r>
      <w:bookmarkEnd w:id="7"/>
    </w:p>
    <w:p w14:paraId="3CC3DD16">
      <w:pPr>
        <w:pStyle w:val="14"/>
        <w:keepNext w:val="0"/>
        <w:keepLines w:val="0"/>
        <w:pageBreakBefore w:val="0"/>
        <w:widowControl/>
        <w:tabs>
          <w:tab w:val="left" w:leader="dot" w:pos="9030"/>
        </w:tabs>
        <w:kinsoku/>
        <w:wordWrap/>
        <w:overflowPunct/>
        <w:topLinePunct w:val="0"/>
        <w:autoSpaceDE/>
        <w:autoSpaceDN/>
        <w:bidi w:val="0"/>
        <w:adjustRightInd/>
        <w:snapToGrid/>
        <w:spacing w:before="0" w:beforeAutospacing="0" w:after="0" w:afterAutospacing="0" w:line="480" w:lineRule="auto"/>
        <w:textAlignment w:val="auto"/>
        <w:rPr>
          <w:rFonts w:hint="default"/>
          <w:lang w:val="en-US"/>
        </w:rPr>
      </w:pPr>
      <w:r>
        <w:rPr>
          <w:i/>
          <w:iCs/>
        </w:rPr>
        <w:t xml:space="preserve">Adeokin Records &amp; Anor v MCSN Ltd </w:t>
      </w:r>
      <w:r>
        <w:t xml:space="preserve">Suit No SC.336/2008 (SC) </w:t>
      </w:r>
      <w:r>
        <w:rPr>
          <w:rFonts w:hint="default"/>
          <w:lang w:val="en-US"/>
        </w:rPr>
        <w:tab/>
      </w:r>
      <w:r>
        <w:t xml:space="preserve"> </w:t>
      </w:r>
      <w:r>
        <w:rPr>
          <w:rFonts w:hint="default"/>
          <w:lang w:val="en-US"/>
        </w:rPr>
        <w:t>36</w:t>
      </w:r>
    </w:p>
    <w:p w14:paraId="12171A6E">
      <w:pPr>
        <w:pStyle w:val="14"/>
        <w:keepNext w:val="0"/>
        <w:keepLines w:val="0"/>
        <w:pageBreakBefore w:val="0"/>
        <w:widowControl/>
        <w:tabs>
          <w:tab w:val="left" w:leader="dot" w:pos="9030"/>
        </w:tabs>
        <w:kinsoku/>
        <w:wordWrap/>
        <w:overflowPunct/>
        <w:topLinePunct w:val="0"/>
        <w:autoSpaceDE/>
        <w:autoSpaceDN/>
        <w:bidi w:val="0"/>
        <w:adjustRightInd/>
        <w:snapToGrid/>
        <w:spacing w:before="0" w:beforeAutospacing="0" w:after="0" w:afterAutospacing="0" w:line="480" w:lineRule="auto"/>
        <w:textAlignment w:val="auto"/>
        <w:rPr>
          <w:rFonts w:hint="default"/>
          <w:lang w:val="en-US"/>
        </w:rPr>
      </w:pPr>
      <w:r>
        <w:rPr>
          <w:i/>
          <w:iCs/>
        </w:rPr>
        <w:t>Falcon v Famous Players Film Co</w:t>
      </w:r>
      <w:r>
        <w:t xml:space="preserve"> [1926] 2 KB 474 </w:t>
      </w:r>
      <w:r>
        <w:rPr>
          <w:rFonts w:hint="default"/>
          <w:lang w:val="en-US"/>
        </w:rPr>
        <w:tab/>
      </w:r>
      <w:r>
        <w:rPr>
          <w:rFonts w:hint="default"/>
          <w:lang w:val="en-US"/>
        </w:rPr>
        <w:t>46</w:t>
      </w:r>
    </w:p>
    <w:p w14:paraId="13F4ED82">
      <w:pPr>
        <w:pStyle w:val="14"/>
        <w:keepNext w:val="0"/>
        <w:keepLines w:val="0"/>
        <w:pageBreakBefore w:val="0"/>
        <w:widowControl/>
        <w:tabs>
          <w:tab w:val="left" w:leader="dot" w:pos="9030"/>
        </w:tabs>
        <w:kinsoku/>
        <w:wordWrap/>
        <w:overflowPunct/>
        <w:topLinePunct w:val="0"/>
        <w:autoSpaceDE/>
        <w:autoSpaceDN/>
        <w:bidi w:val="0"/>
        <w:adjustRightInd/>
        <w:snapToGrid/>
        <w:spacing w:before="0" w:beforeAutospacing="0" w:after="0" w:afterAutospacing="0" w:line="480" w:lineRule="auto"/>
        <w:textAlignment w:val="auto"/>
        <w:rPr>
          <w:rFonts w:hint="default"/>
          <w:lang w:val="en-US"/>
        </w:rPr>
      </w:pPr>
      <w:r>
        <w:rPr>
          <w:i/>
          <w:iCs/>
        </w:rPr>
        <w:t>Ifeanyi Okoye v Prompt and Quality Services Ltd</w:t>
      </w:r>
      <w:r>
        <w:t xml:space="preserve"> [1996] FHCLR 814</w:t>
      </w:r>
      <w:r>
        <w:rPr>
          <w:rFonts w:hint="default"/>
          <w:lang w:val="en-US"/>
        </w:rPr>
        <w:tab/>
      </w:r>
      <w:r>
        <w:t xml:space="preserve"> </w:t>
      </w:r>
      <w:r>
        <w:rPr>
          <w:rFonts w:hint="default"/>
          <w:lang w:val="en-US"/>
        </w:rPr>
        <w:t>21</w:t>
      </w:r>
    </w:p>
    <w:p w14:paraId="683FD93C">
      <w:pPr>
        <w:pStyle w:val="14"/>
        <w:keepNext w:val="0"/>
        <w:keepLines w:val="0"/>
        <w:pageBreakBefore w:val="0"/>
        <w:widowControl/>
        <w:tabs>
          <w:tab w:val="left" w:leader="dot" w:pos="9030"/>
        </w:tabs>
        <w:kinsoku/>
        <w:wordWrap/>
        <w:overflowPunct/>
        <w:topLinePunct w:val="0"/>
        <w:autoSpaceDE/>
        <w:autoSpaceDN/>
        <w:bidi w:val="0"/>
        <w:adjustRightInd/>
        <w:snapToGrid/>
        <w:spacing w:before="0" w:beforeAutospacing="0" w:after="0" w:afterAutospacing="0" w:line="480" w:lineRule="auto"/>
        <w:textAlignment w:val="auto"/>
        <w:rPr>
          <w:rFonts w:hint="default"/>
          <w:lang w:val="en-US"/>
        </w:rPr>
      </w:pPr>
      <w:r>
        <w:rPr>
          <w:i/>
          <w:iCs/>
        </w:rPr>
        <w:t xml:space="preserve">Li v Liu </w:t>
      </w:r>
      <w:r>
        <w:t xml:space="preserve">[2023] Jing 0491 Min Chu No 11279 (Beijing Internet Court, 27 November 2023) </w:t>
      </w:r>
      <w:r>
        <w:rPr>
          <w:rFonts w:hint="default"/>
          <w:lang w:val="en-US"/>
        </w:rPr>
        <w:tab/>
      </w:r>
      <w:r>
        <w:t xml:space="preserve"> </w:t>
      </w:r>
      <w:r>
        <w:rPr>
          <w:rFonts w:hint="default"/>
          <w:lang w:val="en-US"/>
        </w:rPr>
        <w:t>21</w:t>
      </w:r>
    </w:p>
    <w:p w14:paraId="57B2EC4F">
      <w:pPr>
        <w:pStyle w:val="14"/>
        <w:keepNext w:val="0"/>
        <w:keepLines w:val="0"/>
        <w:pageBreakBefore w:val="0"/>
        <w:widowControl/>
        <w:tabs>
          <w:tab w:val="left" w:leader="dot" w:pos="9030"/>
        </w:tabs>
        <w:kinsoku/>
        <w:wordWrap/>
        <w:overflowPunct/>
        <w:topLinePunct w:val="0"/>
        <w:autoSpaceDE/>
        <w:autoSpaceDN/>
        <w:bidi w:val="0"/>
        <w:adjustRightInd/>
        <w:snapToGrid/>
        <w:spacing w:before="0" w:beforeAutospacing="0" w:after="0" w:afterAutospacing="0" w:line="480" w:lineRule="auto"/>
        <w:ind w:right="-431" w:rightChars="-196"/>
        <w:textAlignment w:val="auto"/>
        <w:rPr>
          <w:rFonts w:hint="default"/>
          <w:lang w:val="en-US"/>
        </w:rPr>
      </w:pPr>
      <w:r>
        <w:rPr>
          <w:i/>
          <w:iCs/>
        </w:rPr>
        <w:t>MCSN v Compact Disc</w:t>
      </w:r>
      <w:r>
        <w:t xml:space="preserve"> [2018] LPELR-46353 (SC)</w:t>
      </w:r>
      <w:r>
        <w:rPr>
          <w:rFonts w:hint="default"/>
          <w:lang w:val="en-US"/>
        </w:rPr>
        <w:t>…………………………………27, 35, 39, 54</w:t>
      </w:r>
    </w:p>
    <w:p w14:paraId="0597D98B">
      <w:pPr>
        <w:pStyle w:val="14"/>
        <w:keepNext w:val="0"/>
        <w:keepLines w:val="0"/>
        <w:pageBreakBefore w:val="0"/>
        <w:widowControl/>
        <w:tabs>
          <w:tab w:val="left" w:leader="dot" w:pos="9030"/>
        </w:tabs>
        <w:kinsoku/>
        <w:wordWrap/>
        <w:overflowPunct/>
        <w:topLinePunct w:val="0"/>
        <w:autoSpaceDE/>
        <w:autoSpaceDN/>
        <w:bidi w:val="0"/>
        <w:adjustRightInd/>
        <w:snapToGrid/>
        <w:spacing w:before="0" w:beforeAutospacing="0" w:after="0" w:afterAutospacing="0" w:line="480" w:lineRule="auto"/>
        <w:textAlignment w:val="auto"/>
        <w:rPr>
          <w:rFonts w:hint="default"/>
          <w:lang w:val="en-US"/>
        </w:rPr>
      </w:pPr>
      <w:r>
        <w:rPr>
          <w:i/>
          <w:iCs/>
        </w:rPr>
        <w:t>Naruto v Slater</w:t>
      </w:r>
      <w:r>
        <w:t xml:space="preserve"> 888 F 3d 418 (9th Cir 2018) .</w:t>
      </w:r>
      <w:r>
        <w:rPr>
          <w:rFonts w:hint="default"/>
          <w:lang w:val="en-US"/>
        </w:rPr>
        <w:tab/>
      </w:r>
      <w:r>
        <w:rPr>
          <w:rFonts w:hint="default"/>
          <w:lang w:val="en-US"/>
        </w:rPr>
        <w:t>44</w:t>
      </w:r>
    </w:p>
    <w:p w14:paraId="6FC3C50E">
      <w:pPr>
        <w:pStyle w:val="14"/>
        <w:keepNext w:val="0"/>
        <w:keepLines w:val="0"/>
        <w:pageBreakBefore w:val="0"/>
        <w:widowControl/>
        <w:tabs>
          <w:tab w:val="left" w:leader="dot" w:pos="9030"/>
        </w:tabs>
        <w:kinsoku/>
        <w:wordWrap/>
        <w:overflowPunct/>
        <w:topLinePunct w:val="0"/>
        <w:autoSpaceDE/>
        <w:autoSpaceDN/>
        <w:bidi w:val="0"/>
        <w:adjustRightInd/>
        <w:snapToGrid/>
        <w:spacing w:before="0" w:beforeAutospacing="0" w:after="0" w:afterAutospacing="0" w:line="480" w:lineRule="auto"/>
        <w:textAlignment w:val="auto"/>
        <w:rPr>
          <w:rFonts w:hint="default"/>
          <w:lang w:val="en-US"/>
        </w:rPr>
      </w:pPr>
      <w:r>
        <w:rPr>
          <w:i/>
          <w:iCs/>
        </w:rPr>
        <w:t>State of Washington v Joshua Puloka</w:t>
      </w:r>
      <w:r>
        <w:t xml:space="preserve"> (aka Joshua EverybodyTalksAbout) No 21-1-04851-2 KNT (Wash Super Ct, King County, 29 March 2024) </w:t>
      </w:r>
      <w:r>
        <w:rPr>
          <w:rFonts w:hint="default"/>
          <w:lang w:val="en-US"/>
        </w:rPr>
        <w:tab/>
      </w:r>
      <w:r>
        <w:rPr>
          <w:rFonts w:hint="default"/>
          <w:lang w:val="en-US"/>
        </w:rPr>
        <w:t>49</w:t>
      </w:r>
    </w:p>
    <w:p w14:paraId="5F8286EA">
      <w:pPr>
        <w:pStyle w:val="14"/>
        <w:keepNext w:val="0"/>
        <w:keepLines w:val="0"/>
        <w:pageBreakBefore w:val="0"/>
        <w:widowControl/>
        <w:tabs>
          <w:tab w:val="left" w:leader="dot" w:pos="9030"/>
        </w:tabs>
        <w:kinsoku/>
        <w:wordWrap/>
        <w:overflowPunct/>
        <w:topLinePunct w:val="0"/>
        <w:autoSpaceDE/>
        <w:autoSpaceDN/>
        <w:bidi w:val="0"/>
        <w:adjustRightInd/>
        <w:snapToGrid/>
        <w:spacing w:before="0" w:beforeAutospacing="0" w:after="0" w:afterAutospacing="0" w:line="480" w:lineRule="auto"/>
        <w:textAlignment w:val="auto"/>
        <w:rPr>
          <w:rFonts w:hint="default"/>
          <w:lang w:val="en-US"/>
        </w:rPr>
      </w:pPr>
      <w:r>
        <w:rPr>
          <w:i/>
          <w:iCs/>
        </w:rPr>
        <w:t>Sylva v Dickson</w:t>
      </w:r>
      <w:r>
        <w:t xml:space="preserve"> [2016] LPELR-41257 (SC)</w:t>
      </w:r>
      <w:r>
        <w:rPr>
          <w:rFonts w:hint="default"/>
          <w:lang w:val="en-US"/>
        </w:rPr>
        <w:tab/>
      </w:r>
      <w:r>
        <w:rPr>
          <w:rFonts w:hint="default"/>
          <w:lang w:val="en-US"/>
        </w:rPr>
        <w:t>29</w:t>
      </w:r>
    </w:p>
    <w:p w14:paraId="15B0D2FA">
      <w:pPr>
        <w:pStyle w:val="14"/>
        <w:keepNext w:val="0"/>
        <w:keepLines w:val="0"/>
        <w:pageBreakBefore w:val="0"/>
        <w:widowControl/>
        <w:tabs>
          <w:tab w:val="left" w:leader="dot" w:pos="9240"/>
        </w:tabs>
        <w:kinsoku/>
        <w:wordWrap/>
        <w:overflowPunct/>
        <w:topLinePunct w:val="0"/>
        <w:autoSpaceDE/>
        <w:autoSpaceDN/>
        <w:bidi w:val="0"/>
        <w:adjustRightInd/>
        <w:snapToGrid/>
        <w:spacing w:before="0" w:beforeAutospacing="0" w:after="0" w:afterAutospacing="0" w:line="480" w:lineRule="auto"/>
        <w:ind w:right="-651" w:rightChars="-296"/>
        <w:textAlignment w:val="auto"/>
        <w:rPr>
          <w:rFonts w:hint="default"/>
          <w:lang w:val="en-US"/>
        </w:rPr>
      </w:pPr>
      <w:r>
        <w:rPr>
          <w:i/>
          <w:iCs/>
        </w:rPr>
        <w:t xml:space="preserve">Thaler v Perlmutter </w:t>
      </w:r>
      <w:r>
        <w:t>687 F Supp 3d 140 (DDC 2023)</w:t>
      </w:r>
      <w:r>
        <w:rPr>
          <w:rFonts w:hint="default"/>
          <w:lang w:val="en-US"/>
        </w:rPr>
        <w:t>……………………………………….21, 45</w:t>
      </w:r>
    </w:p>
    <w:p w14:paraId="4068621E">
      <w:pPr>
        <w:pStyle w:val="14"/>
        <w:keepNext w:val="0"/>
        <w:keepLines w:val="0"/>
        <w:pageBreakBefore w:val="0"/>
        <w:widowControl/>
        <w:tabs>
          <w:tab w:val="left" w:leader="dot" w:pos="9030"/>
        </w:tabs>
        <w:kinsoku/>
        <w:wordWrap/>
        <w:overflowPunct/>
        <w:topLinePunct w:val="0"/>
        <w:autoSpaceDE/>
        <w:autoSpaceDN/>
        <w:bidi w:val="0"/>
        <w:adjustRightInd/>
        <w:snapToGrid/>
        <w:spacing w:before="0" w:beforeAutospacing="0" w:after="0" w:afterAutospacing="0" w:line="480" w:lineRule="auto"/>
        <w:textAlignment w:val="auto"/>
        <w:rPr>
          <w:i/>
          <w:iCs/>
        </w:rPr>
      </w:pPr>
      <w:r>
        <w:rPr>
          <w:i/>
          <w:iCs/>
        </w:rPr>
        <w:t xml:space="preserve">TV Xtra Productions Ltd v NUC &amp; Zain Nigeria Ltd </w:t>
      </w:r>
    </w:p>
    <w:p w14:paraId="25CF486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right="-651" w:rightChars="-296"/>
        <w:textAlignment w:val="auto"/>
        <w:rPr>
          <w:rFonts w:hint="default"/>
          <w:lang w:val="en-US"/>
        </w:rPr>
      </w:pPr>
      <w:r>
        <w:t>Suit No FHC/ABJ/CS/680/2008 (FHC)</w:t>
      </w:r>
      <w:r>
        <w:rPr>
          <w:rFonts w:hint="default"/>
          <w:lang w:val="en-US"/>
        </w:rPr>
        <w:t>………………………………………………………52, 53</w:t>
      </w:r>
    </w:p>
    <w:p w14:paraId="761E5A51">
      <w:pPr>
        <w:spacing w:line="360" w:lineRule="auto"/>
        <w:jc w:val="both"/>
        <w:rPr>
          <w:rFonts w:ascii="Times New Roman" w:hAnsi="Times New Roman" w:cs="Times New Roman"/>
          <w:sz w:val="24"/>
          <w:szCs w:val="24"/>
        </w:rPr>
      </w:pPr>
    </w:p>
    <w:p w14:paraId="66375B70">
      <w:pPr>
        <w:spacing w:line="360" w:lineRule="auto"/>
        <w:jc w:val="both"/>
        <w:rPr>
          <w:rFonts w:ascii="Times New Roman" w:hAnsi="Times New Roman" w:cs="Times New Roman"/>
          <w:sz w:val="24"/>
          <w:szCs w:val="24"/>
        </w:rPr>
      </w:pPr>
    </w:p>
    <w:p w14:paraId="329DA5A5">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1F84384D">
      <w:pPr>
        <w:rPr>
          <w:rFonts w:ascii="Times New Roman" w:hAnsi="Times New Roman" w:cs="Times New Roman"/>
          <w:sz w:val="24"/>
          <w:szCs w:val="24"/>
        </w:rPr>
      </w:pPr>
      <w:r>
        <w:rPr>
          <w:rFonts w:ascii="Times New Roman" w:hAnsi="Times New Roman" w:cs="Times New Roman"/>
          <w:sz w:val="24"/>
          <w:szCs w:val="24"/>
        </w:rPr>
        <w:br w:type="page"/>
      </w:r>
    </w:p>
    <w:p w14:paraId="6A4CF130">
      <w:pPr>
        <w:spacing w:after="200" w:line="480" w:lineRule="auto"/>
        <w:jc w:val="center"/>
        <w:outlineLvl w:val="0"/>
        <w:rPr>
          <w:rFonts w:ascii="Times New Roman" w:hAnsi="Times New Roman" w:cs="Times New Roman" w:eastAsiaTheme="minorHAnsi"/>
          <w:b/>
          <w:sz w:val="24"/>
          <w:szCs w:val="24"/>
          <w:lang w:val="en-GB" w:eastAsia="en-US" w:bidi="ar-SA"/>
        </w:rPr>
      </w:pPr>
      <w:bookmarkStart w:id="8" w:name="_Toc233693034"/>
      <w:r>
        <w:rPr>
          <w:rFonts w:hint="default" w:ascii="Times New Roman" w:hAnsi="Times New Roman" w:cs="Times New Roman" w:eastAsiaTheme="minorHAnsi"/>
          <w:b/>
          <w:sz w:val="24"/>
          <w:szCs w:val="24"/>
          <w:lang w:val="en-US" w:eastAsia="en-US" w:bidi="ar-SA"/>
        </w:rPr>
        <w:t xml:space="preserve">LIST </w:t>
      </w:r>
      <w:r>
        <w:rPr>
          <w:rFonts w:ascii="Times New Roman" w:hAnsi="Times New Roman" w:cs="Times New Roman" w:eastAsiaTheme="minorHAnsi"/>
          <w:b/>
          <w:sz w:val="24"/>
          <w:szCs w:val="24"/>
          <w:lang w:val="en-GB" w:eastAsia="en-US" w:bidi="ar-SA"/>
        </w:rPr>
        <w:t>OF STATUTES, TREATIES AND OTHER INTERNATIONAL INSTRUMENTS</w:t>
      </w:r>
      <w:bookmarkEnd w:id="8"/>
    </w:p>
    <w:p w14:paraId="40A18AC3">
      <w:pPr>
        <w:keepNext w:val="0"/>
        <w:keepLines w:val="0"/>
        <w:pageBreakBefore w:val="0"/>
        <w:widowControl/>
        <w:tabs>
          <w:tab w:val="left" w:leader="dot" w:pos="9460"/>
        </w:tabs>
        <w:kinsoku/>
        <w:wordWrap/>
        <w:overflowPunct/>
        <w:topLinePunct w:val="0"/>
        <w:autoSpaceDE/>
        <w:autoSpaceDN/>
        <w:bidi w:val="0"/>
        <w:adjustRightInd/>
        <w:snapToGrid/>
        <w:spacing w:after="0" w:line="360" w:lineRule="auto"/>
        <w:ind w:right="-651" w:rightChars="-2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AfCFTA Protocol on Intellectual Property Rights 2023</w:t>
      </w:r>
      <w:r>
        <w:rPr>
          <w:rFonts w:hint="default" w:ascii="Times New Roman" w:hAnsi="Times New Roman" w:cs="Times New Roman"/>
          <w:sz w:val="24"/>
          <w:szCs w:val="24"/>
          <w:lang w:val="en-US"/>
        </w:rPr>
        <w:t>………………31, 32, 40, 41, 57, 63, 64</w:t>
      </w:r>
    </w:p>
    <w:p w14:paraId="24B2B362">
      <w:pPr>
        <w:keepNext w:val="0"/>
        <w:keepLines w:val="0"/>
        <w:pageBreakBefore w:val="0"/>
        <w:widowControl/>
        <w:tabs>
          <w:tab w:val="left" w:leader="dot" w:pos="9240"/>
        </w:tabs>
        <w:kinsoku/>
        <w:wordWrap/>
        <w:overflowPunct/>
        <w:topLinePunct w:val="0"/>
        <w:autoSpaceDE/>
        <w:autoSpaceDN/>
        <w:bidi w:val="0"/>
        <w:adjustRightInd/>
        <w:snapToGrid/>
        <w:spacing w:after="0" w:line="360" w:lineRule="auto"/>
        <w:ind w:right="-431" w:rightChars="-1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 xml:space="preserve">Agreement on Trade-Related Aspects of Intellectual Property Rights 1994 </w:t>
      </w:r>
      <w:r>
        <w:rPr>
          <w:rFonts w:hint="default" w:ascii="Times New Roman" w:hAnsi="Times New Roman" w:cs="Times New Roman"/>
          <w:sz w:val="24"/>
          <w:szCs w:val="24"/>
          <w:lang w:val="en-US"/>
        </w:rPr>
        <w:t>…………..32, 33, 57</w:t>
      </w:r>
    </w:p>
    <w:p w14:paraId="2CD846AC">
      <w:pPr>
        <w:keepNext w:val="0"/>
        <w:keepLines w:val="0"/>
        <w:pageBreakBefore w:val="0"/>
        <w:widowControl/>
        <w:tabs>
          <w:tab w:val="left" w:leader="dot" w:pos="9030"/>
        </w:tabs>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 xml:space="preserve">AI Control Bill 2023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19</w:t>
      </w:r>
    </w:p>
    <w:p w14:paraId="1EA920DB">
      <w:pPr>
        <w:keepNext w:val="0"/>
        <w:keepLines w:val="0"/>
        <w:pageBreakBefore w:val="0"/>
        <w:widowControl/>
        <w:tabs>
          <w:tab w:val="left" w:leader="dot" w:pos="9680"/>
        </w:tabs>
        <w:kinsoku/>
        <w:wordWrap/>
        <w:overflowPunct/>
        <w:topLinePunct w:val="0"/>
        <w:autoSpaceDE/>
        <w:autoSpaceDN/>
        <w:bidi w:val="0"/>
        <w:adjustRightInd/>
        <w:snapToGrid/>
        <w:spacing w:after="0" w:line="360" w:lineRule="auto"/>
        <w:ind w:right="-651" w:rightChars="-2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 xml:space="preserve">Beijing Treaty on Audiovisual Performances 2012 </w:t>
      </w:r>
      <w:r>
        <w:rPr>
          <w:rFonts w:hint="default" w:ascii="Times New Roman" w:hAnsi="Times New Roman" w:cs="Times New Roman"/>
          <w:sz w:val="24"/>
          <w:szCs w:val="24"/>
          <w:lang w:val="en-US"/>
        </w:rPr>
        <w:t>…………………………………….34, 57, 63</w:t>
      </w:r>
    </w:p>
    <w:p w14:paraId="17D93B9F">
      <w:pPr>
        <w:keepNext w:val="0"/>
        <w:keepLines w:val="0"/>
        <w:pageBreakBefore w:val="0"/>
        <w:widowControl/>
        <w:tabs>
          <w:tab w:val="left" w:leader="dot" w:pos="9030"/>
        </w:tabs>
        <w:kinsoku/>
        <w:wordWrap/>
        <w:overflowPunct/>
        <w:topLinePunct w:val="0"/>
        <w:autoSpaceDE/>
        <w:autoSpaceDN/>
        <w:bidi w:val="0"/>
        <w:adjustRightInd/>
        <w:snapToGrid/>
        <w:spacing w:after="0" w:line="360" w:lineRule="auto"/>
        <w:textAlignment w:val="auto"/>
        <w:rPr>
          <w:rFonts w:ascii="Times New Roman" w:hAnsi="Times New Roman" w:cs="Times New Roman"/>
          <w:sz w:val="24"/>
          <w:szCs w:val="24"/>
          <w:lang w:val="en-US"/>
        </w:rPr>
      </w:pPr>
      <w:r>
        <w:rPr>
          <w:rFonts w:ascii="Times New Roman" w:hAnsi="Times New Roman" w:cs="Times New Roman"/>
          <w:sz w:val="24"/>
          <w:szCs w:val="24"/>
          <w:lang w:val="en-US"/>
        </w:rPr>
        <w:t xml:space="preserve">Berne Convention for the Protection of Literary and Artistic </w:t>
      </w:r>
    </w:p>
    <w:p w14:paraId="1805B31D">
      <w:pPr>
        <w:keepNext w:val="0"/>
        <w:keepLines w:val="0"/>
        <w:pageBreakBefore w:val="0"/>
        <w:widowControl/>
        <w:kinsoku/>
        <w:wordWrap/>
        <w:overflowPunct/>
        <w:topLinePunct w:val="0"/>
        <w:autoSpaceDE/>
        <w:autoSpaceDN/>
        <w:bidi w:val="0"/>
        <w:adjustRightInd/>
        <w:snapToGrid/>
        <w:spacing w:after="0" w:line="360" w:lineRule="auto"/>
        <w:ind w:right="-211" w:rightChars="-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 xml:space="preserve">Works 1886 </w:t>
      </w:r>
      <w:r>
        <w:rPr>
          <w:rFonts w:hint="default" w:ascii="Times New Roman" w:hAnsi="Times New Roman" w:cs="Times New Roman"/>
          <w:sz w:val="24"/>
          <w:szCs w:val="24"/>
          <w:lang w:val="en-US"/>
        </w:rPr>
        <w:t>…………………………………………………………………….22, 32, 50, 57, 63</w:t>
      </w:r>
    </w:p>
    <w:p w14:paraId="597F65EE">
      <w:pPr>
        <w:keepNext w:val="0"/>
        <w:keepLines w:val="0"/>
        <w:pageBreakBefore w:val="0"/>
        <w:widowControl/>
        <w:tabs>
          <w:tab w:val="left" w:leader="dot" w:pos="9030"/>
        </w:tabs>
        <w:kinsoku/>
        <w:wordWrap/>
        <w:overflowPunct/>
        <w:topLinePunct w:val="0"/>
        <w:autoSpaceDE/>
        <w:autoSpaceDN/>
        <w:bidi w:val="0"/>
        <w:adjustRightInd/>
        <w:snapToGrid/>
        <w:spacing w:after="0" w:line="360" w:lineRule="auto"/>
        <w:textAlignment w:val="auto"/>
        <w:rPr>
          <w:rFonts w:ascii="Times New Roman" w:hAnsi="Times New Roman" w:cs="Times New Roman"/>
          <w:sz w:val="24"/>
          <w:szCs w:val="24"/>
          <w:lang w:val="en-US"/>
        </w:rPr>
      </w:pPr>
      <w:r>
        <w:rPr>
          <w:rFonts w:ascii="Times New Roman" w:hAnsi="Times New Roman" w:cs="Times New Roman"/>
          <w:sz w:val="24"/>
          <w:szCs w:val="24"/>
          <w:lang w:val="en-US"/>
        </w:rPr>
        <w:t xml:space="preserve">Collective Management Regulations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3</w:t>
      </w:r>
      <w:r>
        <w:rPr>
          <w:rFonts w:ascii="Times New Roman" w:hAnsi="Times New Roman" w:cs="Times New Roman"/>
          <w:sz w:val="24"/>
          <w:szCs w:val="24"/>
          <w:lang w:val="en-US"/>
        </w:rPr>
        <w:t>9</w:t>
      </w:r>
    </w:p>
    <w:p w14:paraId="31B93E3A">
      <w:pPr>
        <w:keepNext w:val="0"/>
        <w:keepLines w:val="0"/>
        <w:pageBreakBefore w:val="0"/>
        <w:widowControl/>
        <w:tabs>
          <w:tab w:val="left" w:leader="dot" w:pos="9900"/>
        </w:tabs>
        <w:kinsoku/>
        <w:wordWrap/>
        <w:overflowPunct/>
        <w:topLinePunct w:val="0"/>
        <w:autoSpaceDE/>
        <w:autoSpaceDN/>
        <w:bidi w:val="0"/>
        <w:adjustRightInd/>
        <w:snapToGrid/>
        <w:spacing w:after="0" w:line="360" w:lineRule="auto"/>
        <w:ind w:right="-431" w:rightChars="-1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Copyright Act 2022</w:t>
      </w:r>
      <w:r>
        <w:rPr>
          <w:rFonts w:hint="default" w:ascii="Times New Roman" w:hAnsi="Times New Roman" w:cs="Times New Roman"/>
          <w:sz w:val="24"/>
          <w:szCs w:val="24"/>
          <w:lang w:val="en-US"/>
        </w:rPr>
        <w:t>…………………………………………………………………..2, 5, 6, 7, 8, 10, 11, 14, 15, 16, 21, 22, 23, 24, 25, 27, 28, 32, 33, 34, 35, 37, 39, 41, 44, 45, 46, 47, 58, 60, 63</w:t>
      </w:r>
    </w:p>
    <w:p w14:paraId="4B2BE63D">
      <w:pPr>
        <w:keepNext w:val="0"/>
        <w:keepLines w:val="0"/>
        <w:pageBreakBefore w:val="0"/>
        <w:widowControl/>
        <w:tabs>
          <w:tab w:val="left" w:leader="dot" w:pos="9030"/>
        </w:tabs>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 xml:space="preserve">Copyright Act, Cap C28, Laws of the Federation of Nigeria 2004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1</w:t>
      </w:r>
    </w:p>
    <w:p w14:paraId="45098E6D">
      <w:pPr>
        <w:keepNext w:val="0"/>
        <w:keepLines w:val="0"/>
        <w:pageBreakBefore w:val="0"/>
        <w:widowControl/>
        <w:tabs>
          <w:tab w:val="left" w:leader="dot" w:pos="9030"/>
        </w:tabs>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 xml:space="preserve">Copyright, Designs and Patents Act 1988 (UK)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21</w:t>
      </w:r>
    </w:p>
    <w:p w14:paraId="1500A7CA">
      <w:pPr>
        <w:keepNext w:val="0"/>
        <w:keepLines w:val="0"/>
        <w:pageBreakBefore w:val="0"/>
        <w:widowControl/>
        <w:tabs>
          <w:tab w:val="left" w:leader="dot" w:pos="9460"/>
        </w:tabs>
        <w:kinsoku/>
        <w:wordWrap/>
        <w:overflowPunct/>
        <w:topLinePunct w:val="0"/>
        <w:autoSpaceDE/>
        <w:autoSpaceDN/>
        <w:bidi w:val="0"/>
        <w:adjustRightInd/>
        <w:snapToGrid/>
        <w:spacing w:after="0" w:line="360" w:lineRule="auto"/>
        <w:ind w:right="-651" w:rightChars="-2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 xml:space="preserve">Cybercrimes (Prohibition, Prevention, etc.) Act 2015 </w:t>
      </w:r>
      <w:r>
        <w:rPr>
          <w:rFonts w:hint="default" w:ascii="Times New Roman" w:hAnsi="Times New Roman" w:cs="Times New Roman"/>
          <w:sz w:val="24"/>
          <w:szCs w:val="24"/>
          <w:lang w:val="en-US"/>
        </w:rPr>
        <w:t>………………………………………29, 63</w:t>
      </w:r>
    </w:p>
    <w:p w14:paraId="0442691D">
      <w:pPr>
        <w:keepNext w:val="0"/>
        <w:keepLines w:val="0"/>
        <w:pageBreakBefore w:val="0"/>
        <w:widowControl/>
        <w:tabs>
          <w:tab w:val="left" w:leader="dot" w:pos="9680"/>
        </w:tabs>
        <w:kinsoku/>
        <w:wordWrap/>
        <w:overflowPunct/>
        <w:topLinePunct w:val="0"/>
        <w:autoSpaceDE/>
        <w:autoSpaceDN/>
        <w:bidi w:val="0"/>
        <w:adjustRightInd/>
        <w:snapToGrid/>
        <w:spacing w:after="0" w:line="360" w:lineRule="auto"/>
        <w:ind w:right="-651" w:rightChars="-2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Evidence Act 2011</w:t>
      </w:r>
      <w:r>
        <w:rPr>
          <w:rFonts w:hint="default" w:ascii="Times New Roman" w:hAnsi="Times New Roman" w:cs="Times New Roman"/>
          <w:sz w:val="24"/>
          <w:szCs w:val="24"/>
          <w:lang w:val="en-US"/>
        </w:rPr>
        <w:t>……………………………………………………………………29, 30, 51, 56</w:t>
      </w:r>
    </w:p>
    <w:p w14:paraId="062D12F1">
      <w:pPr>
        <w:keepNext w:val="0"/>
        <w:keepLines w:val="0"/>
        <w:pageBreakBefore w:val="0"/>
        <w:widowControl/>
        <w:tabs>
          <w:tab w:val="left" w:leader="dot" w:pos="9030"/>
        </w:tabs>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Internet Code of Practice 2025</w:t>
      </w:r>
      <w:r>
        <w:rPr>
          <w:rFonts w:hint="default" w:ascii="Times New Roman" w:hAnsi="Times New Roman" w:cs="Times New Roman"/>
          <w:sz w:val="24"/>
          <w:szCs w:val="24"/>
          <w:lang w:val="en-US"/>
        </w:rPr>
        <w:tab/>
      </w:r>
      <w:r>
        <w:rPr>
          <w:rFonts w:ascii="Times New Roman" w:hAnsi="Times New Roman" w:cs="Times New Roman"/>
          <w:sz w:val="24"/>
          <w:szCs w:val="24"/>
          <w:lang w:val="en-US"/>
        </w:rPr>
        <w:t xml:space="preserve"> </w:t>
      </w:r>
      <w:r>
        <w:rPr>
          <w:rFonts w:hint="default" w:ascii="Times New Roman" w:hAnsi="Times New Roman" w:cs="Times New Roman"/>
          <w:sz w:val="24"/>
          <w:szCs w:val="24"/>
          <w:lang w:val="en-US"/>
        </w:rPr>
        <w:t>20</w:t>
      </w:r>
    </w:p>
    <w:p w14:paraId="1DD1DD4D">
      <w:pPr>
        <w:keepNext w:val="0"/>
        <w:keepLines w:val="0"/>
        <w:pageBreakBefore w:val="0"/>
        <w:widowControl/>
        <w:tabs>
          <w:tab w:val="left" w:leader="dot" w:pos="9030"/>
        </w:tabs>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John S McCain National Defense Authorization Act for Fiscal Year 2019 (United States) .</w:t>
      </w:r>
      <w:r>
        <w:rPr>
          <w:rFonts w:hint="default" w:ascii="Times New Roman" w:hAnsi="Times New Roman" w:cs="Times New Roman"/>
          <w:sz w:val="24"/>
          <w:szCs w:val="24"/>
          <w:lang w:val="en-US"/>
        </w:rPr>
        <w:tab/>
      </w:r>
      <w:r>
        <w:rPr>
          <w:rFonts w:ascii="Times New Roman" w:hAnsi="Times New Roman" w:cs="Times New Roman"/>
          <w:sz w:val="24"/>
          <w:szCs w:val="24"/>
          <w:lang w:val="en-US"/>
        </w:rPr>
        <w:t xml:space="preserve"> </w:t>
      </w:r>
      <w:r>
        <w:rPr>
          <w:rFonts w:hint="default" w:ascii="Times New Roman" w:hAnsi="Times New Roman" w:cs="Times New Roman"/>
          <w:sz w:val="24"/>
          <w:szCs w:val="24"/>
          <w:lang w:val="en-US"/>
        </w:rPr>
        <w:t>17</w:t>
      </w:r>
    </w:p>
    <w:p w14:paraId="66AE2042">
      <w:pPr>
        <w:keepNext w:val="0"/>
        <w:keepLines w:val="0"/>
        <w:pageBreakBefore w:val="0"/>
        <w:widowControl/>
        <w:tabs>
          <w:tab w:val="left" w:leader="dot" w:pos="9680"/>
        </w:tabs>
        <w:kinsoku/>
        <w:wordWrap/>
        <w:overflowPunct/>
        <w:topLinePunct w:val="0"/>
        <w:autoSpaceDE/>
        <w:autoSpaceDN/>
        <w:bidi w:val="0"/>
        <w:adjustRightInd/>
        <w:snapToGrid/>
        <w:spacing w:after="0" w:line="360" w:lineRule="auto"/>
        <w:ind w:right="-871" w:rightChars="-3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 xml:space="preserve">Marrakesh Treaty to Facilitate Access to Published Works for Persons Who Are Blind, Visually Impaired or Otherwise Print Disabled 2013 </w:t>
      </w:r>
      <w:r>
        <w:rPr>
          <w:rFonts w:hint="default" w:ascii="Times New Roman" w:hAnsi="Times New Roman" w:cs="Times New Roman"/>
          <w:sz w:val="24"/>
          <w:szCs w:val="24"/>
          <w:lang w:val="en-US"/>
        </w:rPr>
        <w:t>………………………………………..34, 42, 57, 63</w:t>
      </w:r>
    </w:p>
    <w:p w14:paraId="12C783E4">
      <w:pPr>
        <w:keepNext w:val="0"/>
        <w:keepLines w:val="0"/>
        <w:pageBreakBefore w:val="0"/>
        <w:widowControl/>
        <w:tabs>
          <w:tab w:val="left" w:leader="dot" w:pos="9030"/>
        </w:tabs>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National Artificial Intelligence Policy</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19</w:t>
      </w:r>
    </w:p>
    <w:p w14:paraId="0C480392">
      <w:pPr>
        <w:keepNext w:val="0"/>
        <w:keepLines w:val="0"/>
        <w:pageBreakBefore w:val="0"/>
        <w:widowControl/>
        <w:tabs>
          <w:tab w:val="left" w:leader="dot" w:pos="9030"/>
        </w:tabs>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 xml:space="preserve">National Artificial Intelligence Strategy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19</w:t>
      </w:r>
    </w:p>
    <w:p w14:paraId="285BF21B">
      <w:pPr>
        <w:keepNext w:val="0"/>
        <w:keepLines w:val="0"/>
        <w:pageBreakBefore w:val="0"/>
        <w:widowControl/>
        <w:tabs>
          <w:tab w:val="left" w:leader="dot" w:pos="9900"/>
        </w:tabs>
        <w:kinsoku/>
        <w:wordWrap/>
        <w:overflowPunct/>
        <w:topLinePunct w:val="0"/>
        <w:autoSpaceDE/>
        <w:autoSpaceDN/>
        <w:bidi w:val="0"/>
        <w:adjustRightInd/>
        <w:snapToGrid/>
        <w:spacing w:after="0" w:line="360" w:lineRule="auto"/>
        <w:ind w:right="-431" w:rightChars="-1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 xml:space="preserve">National Digital Economy Policy and Strategy 2020–2030 </w:t>
      </w:r>
      <w:r>
        <w:rPr>
          <w:rFonts w:hint="default" w:ascii="Times New Roman" w:hAnsi="Times New Roman" w:cs="Times New Roman"/>
          <w:sz w:val="24"/>
          <w:szCs w:val="24"/>
          <w:lang w:val="en-US"/>
        </w:rPr>
        <w:t>………………………………..31, 40</w:t>
      </w:r>
    </w:p>
    <w:p w14:paraId="5687AE0A">
      <w:pPr>
        <w:keepNext w:val="0"/>
        <w:keepLines w:val="0"/>
        <w:pageBreakBefore w:val="0"/>
        <w:widowControl/>
        <w:tabs>
          <w:tab w:val="left" w:leader="dot" w:pos="9030"/>
        </w:tabs>
        <w:kinsoku/>
        <w:wordWrap/>
        <w:overflowPunct/>
        <w:topLinePunct w:val="0"/>
        <w:autoSpaceDE/>
        <w:autoSpaceDN/>
        <w:bidi w:val="0"/>
        <w:adjustRightInd/>
        <w:snapToGrid/>
        <w:spacing w:after="0" w:line="360" w:lineRule="auto"/>
        <w:ind w:right="-651" w:rightChars="-2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National Information Technology Development Agency Act 2007</w:t>
      </w:r>
      <w:r>
        <w:rPr>
          <w:rFonts w:hint="default" w:ascii="Times New Roman" w:hAnsi="Times New Roman" w:cs="Times New Roman"/>
          <w:sz w:val="24"/>
          <w:szCs w:val="24"/>
          <w:lang w:val="en-US"/>
        </w:rPr>
        <w:t>………………3, 18, 31, 40, 61</w:t>
      </w:r>
    </w:p>
    <w:p w14:paraId="5A34A9CE">
      <w:pPr>
        <w:keepNext w:val="0"/>
        <w:keepLines w:val="0"/>
        <w:pageBreakBefore w:val="0"/>
        <w:widowControl/>
        <w:kinsoku/>
        <w:wordWrap/>
        <w:overflowPunct/>
        <w:topLinePunct w:val="0"/>
        <w:autoSpaceDE/>
        <w:autoSpaceDN/>
        <w:bidi w:val="0"/>
        <w:adjustRightInd/>
        <w:snapToGrid/>
        <w:spacing w:after="0" w:line="360" w:lineRule="auto"/>
        <w:ind w:right="-651" w:rightChars="-2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Nigeria Data Protection Act 2023</w:t>
      </w:r>
      <w:r>
        <w:rPr>
          <w:rFonts w:hint="default" w:ascii="Times New Roman" w:hAnsi="Times New Roman" w:cs="Times New Roman"/>
          <w:sz w:val="24"/>
          <w:szCs w:val="24"/>
          <w:lang w:val="en-US"/>
        </w:rPr>
        <w:t>………………………………………………………..</w:t>
      </w:r>
      <w:r>
        <w:rPr>
          <w:rFonts w:ascii="Times New Roman" w:hAnsi="Times New Roman" w:cs="Times New Roman"/>
          <w:sz w:val="24"/>
          <w:szCs w:val="24"/>
          <w:lang w:val="en-US"/>
        </w:rPr>
        <w:t>1</w:t>
      </w:r>
      <w:r>
        <w:rPr>
          <w:rFonts w:hint="default" w:ascii="Times New Roman" w:hAnsi="Times New Roman" w:cs="Times New Roman"/>
          <w:sz w:val="24"/>
          <w:szCs w:val="24"/>
          <w:lang w:val="en-US"/>
        </w:rPr>
        <w:t>9, 30, 63</w:t>
      </w:r>
    </w:p>
    <w:p w14:paraId="1E0A549F">
      <w:pPr>
        <w:keepNext w:val="0"/>
        <w:keepLines w:val="0"/>
        <w:pageBreakBefore w:val="0"/>
        <w:widowControl/>
        <w:tabs>
          <w:tab w:val="left" w:leader="dot" w:pos="9460"/>
        </w:tabs>
        <w:kinsoku/>
        <w:wordWrap/>
        <w:overflowPunct/>
        <w:topLinePunct w:val="0"/>
        <w:autoSpaceDE/>
        <w:autoSpaceDN/>
        <w:bidi w:val="0"/>
        <w:adjustRightInd/>
        <w:snapToGrid/>
        <w:spacing w:after="0" w:line="360" w:lineRule="auto"/>
        <w:ind w:right="-871" w:rightChars="-3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Nigeria Data Protection Regulation 2019</w:t>
      </w:r>
      <w:r>
        <w:rPr>
          <w:rFonts w:hint="default" w:ascii="Times New Roman" w:hAnsi="Times New Roman" w:cs="Times New Roman"/>
          <w:sz w:val="24"/>
          <w:szCs w:val="24"/>
          <w:lang w:val="en-US"/>
        </w:rPr>
        <w:t>……………………………………………………31, 40</w:t>
      </w:r>
    </w:p>
    <w:p w14:paraId="48A3E793">
      <w:pPr>
        <w:keepNext w:val="0"/>
        <w:keepLines w:val="0"/>
        <w:pageBreakBefore w:val="0"/>
        <w:widowControl/>
        <w:tabs>
          <w:tab w:val="left" w:leader="dot" w:pos="9030"/>
        </w:tabs>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 xml:space="preserve">Proceeds of Crime Act 2022 </w:t>
      </w:r>
      <w:r>
        <w:rPr>
          <w:rFonts w:hint="default" w:ascii="Times New Roman" w:hAnsi="Times New Roman" w:cs="Times New Roman"/>
          <w:sz w:val="24"/>
          <w:szCs w:val="24"/>
          <w:lang w:val="en-US"/>
        </w:rPr>
        <w:tab/>
      </w:r>
      <w:r>
        <w:rPr>
          <w:rFonts w:ascii="Times New Roman" w:hAnsi="Times New Roman" w:cs="Times New Roman"/>
          <w:sz w:val="24"/>
          <w:szCs w:val="24"/>
          <w:lang w:val="en-US"/>
        </w:rPr>
        <w:t>5</w:t>
      </w:r>
      <w:r>
        <w:rPr>
          <w:rFonts w:hint="default" w:ascii="Times New Roman" w:hAnsi="Times New Roman" w:cs="Times New Roman"/>
          <w:sz w:val="24"/>
          <w:szCs w:val="24"/>
          <w:lang w:val="en-US"/>
        </w:rPr>
        <w:t>0</w:t>
      </w:r>
    </w:p>
    <w:p w14:paraId="4461BE80">
      <w:pPr>
        <w:keepNext w:val="0"/>
        <w:keepLines w:val="0"/>
        <w:pageBreakBefore w:val="0"/>
        <w:widowControl/>
        <w:tabs>
          <w:tab w:val="left" w:leader="dot" w:pos="9680"/>
        </w:tabs>
        <w:kinsoku/>
        <w:wordWrap/>
        <w:overflowPunct/>
        <w:topLinePunct w:val="0"/>
        <w:autoSpaceDE/>
        <w:autoSpaceDN/>
        <w:bidi w:val="0"/>
        <w:adjustRightInd/>
        <w:snapToGrid/>
        <w:spacing w:after="0" w:line="360" w:lineRule="auto"/>
        <w:ind w:right="-431" w:rightChars="-1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WIPO Copyright Treaty 1996</w:t>
      </w:r>
      <w:r>
        <w:rPr>
          <w:rFonts w:hint="default" w:ascii="Times New Roman" w:hAnsi="Times New Roman" w:cs="Times New Roman"/>
          <w:sz w:val="24"/>
          <w:szCs w:val="24"/>
          <w:lang w:val="en-US"/>
        </w:rPr>
        <w:t>……………………………………………………………33, 57, 63</w:t>
      </w:r>
    </w:p>
    <w:p w14:paraId="4A97F24F">
      <w:pPr>
        <w:keepNext w:val="0"/>
        <w:keepLines w:val="0"/>
        <w:pageBreakBefore w:val="0"/>
        <w:widowControl/>
        <w:tabs>
          <w:tab w:val="left" w:leader="dot" w:pos="9680"/>
        </w:tabs>
        <w:kinsoku/>
        <w:wordWrap/>
        <w:overflowPunct/>
        <w:topLinePunct w:val="0"/>
        <w:autoSpaceDE/>
        <w:autoSpaceDN/>
        <w:bidi w:val="0"/>
        <w:adjustRightInd/>
        <w:snapToGrid/>
        <w:spacing w:after="0" w:line="360" w:lineRule="auto"/>
        <w:ind w:right="-431" w:rightChars="-196"/>
        <w:textAlignment w:val="auto"/>
        <w:rPr>
          <w:rFonts w:hint="default" w:ascii="Times New Roman" w:hAnsi="Times New Roman" w:cs="Times New Roman"/>
          <w:sz w:val="24"/>
          <w:szCs w:val="24"/>
          <w:lang w:val="en-US"/>
        </w:rPr>
      </w:pPr>
      <w:r>
        <w:rPr>
          <w:rFonts w:ascii="Times New Roman" w:hAnsi="Times New Roman" w:cs="Times New Roman"/>
          <w:sz w:val="24"/>
          <w:szCs w:val="24"/>
          <w:lang w:val="en-US"/>
        </w:rPr>
        <w:t>WIPO Performances and Phonograms Treaty 1996</w:t>
      </w:r>
      <w:r>
        <w:rPr>
          <w:rFonts w:hint="default" w:ascii="Times New Roman" w:hAnsi="Times New Roman" w:cs="Times New Roman"/>
          <w:sz w:val="24"/>
          <w:szCs w:val="24"/>
          <w:lang w:val="en-US"/>
        </w:rPr>
        <w:t>………………………………………33, 57, 63</w:t>
      </w:r>
    </w:p>
    <w:p w14:paraId="0EE0ECEC">
      <w:pPr>
        <w:spacing w:line="360" w:lineRule="auto"/>
        <w:jc w:val="both"/>
        <w:rPr>
          <w:rFonts w:ascii="Times New Roman" w:hAnsi="Times New Roman" w:cs="Times New Roman"/>
          <w:sz w:val="24"/>
          <w:szCs w:val="24"/>
        </w:rPr>
      </w:pPr>
    </w:p>
    <w:p w14:paraId="7CFBBB9A">
      <w:pPr>
        <w:spacing w:line="360" w:lineRule="auto"/>
        <w:jc w:val="both"/>
        <w:rPr>
          <w:rFonts w:ascii="Times New Roman" w:hAnsi="Times New Roman" w:cs="Times New Roman"/>
          <w:sz w:val="24"/>
          <w:szCs w:val="24"/>
        </w:rPr>
      </w:pPr>
    </w:p>
    <w:p w14:paraId="25A7E208">
      <w:pPr>
        <w:spacing w:line="360" w:lineRule="auto"/>
        <w:jc w:val="both"/>
        <w:rPr>
          <w:rFonts w:ascii="Times New Roman" w:hAnsi="Times New Roman" w:cs="Times New Roman"/>
          <w:sz w:val="24"/>
          <w:szCs w:val="24"/>
        </w:rPr>
      </w:pPr>
    </w:p>
    <w:p w14:paraId="6E6F5BAE">
      <w:pPr>
        <w:spacing w:after="200" w:line="480" w:lineRule="auto"/>
        <w:jc w:val="center"/>
        <w:outlineLvl w:val="0"/>
        <w:rPr>
          <w:rFonts w:ascii="Times New Roman" w:hAnsi="Times New Roman" w:cs="Times New Roman" w:eastAsiaTheme="minorHAnsi"/>
          <w:b/>
          <w:sz w:val="24"/>
          <w:szCs w:val="24"/>
          <w:lang w:val="en-GB" w:eastAsia="en-US" w:bidi="ar-SA"/>
        </w:rPr>
      </w:pPr>
      <w:bookmarkStart w:id="9" w:name="_Toc233693035"/>
      <w:r>
        <w:rPr>
          <w:rFonts w:ascii="Times New Roman" w:hAnsi="Times New Roman" w:cs="Times New Roman" w:eastAsiaTheme="minorHAnsi"/>
          <w:b/>
          <w:sz w:val="24"/>
          <w:szCs w:val="24"/>
          <w:lang w:val="en-GB" w:eastAsia="en-US" w:bidi="ar-SA"/>
        </w:rPr>
        <w:t>LIST OF ABBREVIATIONS</w:t>
      </w:r>
      <w:bookmarkEnd w:id="9"/>
    </w:p>
    <w:p w14:paraId="750153D0">
      <w:pPr>
        <w:pStyle w:val="14"/>
        <w:spacing w:before="0" w:beforeAutospacing="0" w:after="0" w:afterAutospacing="0"/>
      </w:pPr>
      <w:r>
        <w:t xml:space="preserve">ABUAD </w:t>
      </w:r>
      <w:r>
        <w:tab/>
      </w:r>
      <w:r>
        <w:tab/>
      </w:r>
      <w:r>
        <w:t>Afe Babalola University, Ado-Ekiti</w:t>
      </w:r>
    </w:p>
    <w:p w14:paraId="081C3BDE">
      <w:pPr>
        <w:pStyle w:val="14"/>
        <w:spacing w:before="0" w:beforeAutospacing="0" w:after="0" w:afterAutospacing="0"/>
      </w:pPr>
      <w:r>
        <w:t xml:space="preserve">AfCFTA </w:t>
      </w:r>
      <w:r>
        <w:tab/>
      </w:r>
      <w:r>
        <w:tab/>
      </w:r>
      <w:r>
        <w:t>African Continental Free Trade Area</w:t>
      </w:r>
    </w:p>
    <w:p w14:paraId="75D8A4E7">
      <w:pPr>
        <w:pStyle w:val="14"/>
        <w:spacing w:before="0" w:beforeAutospacing="0" w:after="0" w:afterAutospacing="0"/>
      </w:pPr>
      <w:r>
        <w:t xml:space="preserve">AI </w:t>
      </w:r>
      <w:r>
        <w:tab/>
      </w:r>
      <w:r>
        <w:tab/>
      </w:r>
      <w:r>
        <w:tab/>
      </w:r>
      <w:r>
        <w:t>Artificial Intelligence</w:t>
      </w:r>
    </w:p>
    <w:p w14:paraId="46F0BFC9">
      <w:pPr>
        <w:pStyle w:val="14"/>
        <w:spacing w:before="0" w:beforeAutospacing="0" w:after="0" w:afterAutospacing="0"/>
      </w:pPr>
      <w:r>
        <w:t xml:space="preserve">AIRe </w:t>
      </w:r>
      <w:r>
        <w:tab/>
      </w:r>
      <w:r>
        <w:tab/>
      </w:r>
      <w:r>
        <w:tab/>
      </w:r>
      <w:r>
        <w:t>Journal of AI Law and Regulation</w:t>
      </w:r>
    </w:p>
    <w:p w14:paraId="35E6F9E4">
      <w:pPr>
        <w:pStyle w:val="14"/>
        <w:spacing w:before="0" w:beforeAutospacing="0" w:after="0" w:afterAutospacing="0"/>
      </w:pPr>
      <w:r>
        <w:t xml:space="preserve">AJOL </w:t>
      </w:r>
      <w:r>
        <w:tab/>
      </w:r>
      <w:r>
        <w:tab/>
      </w:r>
      <w:r>
        <w:tab/>
      </w:r>
      <w:r>
        <w:t>African Journals Online</w:t>
      </w:r>
    </w:p>
    <w:p w14:paraId="396E947A">
      <w:pPr>
        <w:pStyle w:val="14"/>
        <w:spacing w:before="0" w:beforeAutospacing="0" w:after="0" w:afterAutospacing="0"/>
      </w:pPr>
      <w:r>
        <w:t xml:space="preserve">ARIPO </w:t>
      </w:r>
      <w:r>
        <w:tab/>
      </w:r>
      <w:r>
        <w:tab/>
      </w:r>
      <w:r>
        <w:t>African Regional Intellectual Property Organisation</w:t>
      </w:r>
    </w:p>
    <w:p w14:paraId="6887B9A7">
      <w:pPr>
        <w:pStyle w:val="14"/>
        <w:spacing w:before="0" w:beforeAutospacing="0" w:after="0" w:afterAutospacing="0"/>
      </w:pPr>
      <w:r>
        <w:t xml:space="preserve">AVRS </w:t>
      </w:r>
      <w:r>
        <w:tab/>
      </w:r>
      <w:r>
        <w:tab/>
      </w:r>
      <w:r>
        <w:tab/>
      </w:r>
      <w:r>
        <w:t>Audio-Visual Rights Society</w:t>
      </w:r>
    </w:p>
    <w:p w14:paraId="5463BAF5">
      <w:pPr>
        <w:pStyle w:val="14"/>
        <w:spacing w:before="0" w:beforeAutospacing="0" w:after="0" w:afterAutospacing="0"/>
      </w:pPr>
      <w:r>
        <w:t xml:space="preserve">CMO </w:t>
      </w:r>
      <w:r>
        <w:tab/>
      </w:r>
      <w:r>
        <w:tab/>
      </w:r>
      <w:r>
        <w:tab/>
      </w:r>
      <w:r>
        <w:t>Collective Management Organisation</w:t>
      </w:r>
    </w:p>
    <w:p w14:paraId="1CF8D47A">
      <w:pPr>
        <w:pStyle w:val="14"/>
        <w:spacing w:before="0" w:beforeAutospacing="0" w:after="0" w:afterAutospacing="0"/>
      </w:pPr>
      <w:r>
        <w:t xml:space="preserve">CMOs </w:t>
      </w:r>
      <w:r>
        <w:tab/>
      </w:r>
      <w:r>
        <w:tab/>
      </w:r>
      <w:r>
        <w:tab/>
      </w:r>
      <w:r>
        <w:t>Collective Management Organisations</w:t>
      </w:r>
    </w:p>
    <w:p w14:paraId="1449036C">
      <w:pPr>
        <w:pStyle w:val="14"/>
        <w:spacing w:before="0" w:beforeAutospacing="0" w:after="0" w:afterAutospacing="0"/>
      </w:pPr>
      <w:r>
        <w:t xml:space="preserve">COSON </w:t>
      </w:r>
      <w:r>
        <w:tab/>
      </w:r>
      <w:r>
        <w:tab/>
      </w:r>
      <w:r>
        <w:t>Copyright Society of Nigeria</w:t>
      </w:r>
    </w:p>
    <w:p w14:paraId="666DD8F7">
      <w:pPr>
        <w:pStyle w:val="14"/>
        <w:spacing w:before="0" w:beforeAutospacing="0" w:after="0" w:afterAutospacing="0"/>
      </w:pPr>
      <w:r>
        <w:t xml:space="preserve">CR </w:t>
      </w:r>
      <w:r>
        <w:tab/>
      </w:r>
      <w:r>
        <w:tab/>
      </w:r>
      <w:r>
        <w:tab/>
      </w:r>
      <w:r>
        <w:t>Criminal Record / Charge Number</w:t>
      </w:r>
    </w:p>
    <w:p w14:paraId="14808C83">
      <w:pPr>
        <w:pStyle w:val="14"/>
        <w:spacing w:before="0" w:beforeAutospacing="0" w:after="0" w:afterAutospacing="0"/>
      </w:pPr>
      <w:r>
        <w:t xml:space="preserve">DG </w:t>
      </w:r>
      <w:r>
        <w:tab/>
      </w:r>
      <w:r>
        <w:tab/>
      </w:r>
      <w:r>
        <w:tab/>
      </w:r>
      <w:r>
        <w:t>Director-General</w:t>
      </w:r>
    </w:p>
    <w:p w14:paraId="49E7A0F6">
      <w:pPr>
        <w:pStyle w:val="14"/>
        <w:spacing w:before="0" w:beforeAutospacing="0" w:after="0" w:afterAutospacing="0"/>
      </w:pPr>
      <w:r>
        <w:t xml:space="preserve">EFCC </w:t>
      </w:r>
      <w:r>
        <w:tab/>
      </w:r>
      <w:r>
        <w:tab/>
      </w:r>
      <w:r>
        <w:tab/>
      </w:r>
      <w:r>
        <w:t>Economic and Financial Crimes Commission</w:t>
      </w:r>
    </w:p>
    <w:p w14:paraId="09327370">
      <w:pPr>
        <w:pStyle w:val="14"/>
        <w:spacing w:before="0" w:beforeAutospacing="0" w:after="0" w:afterAutospacing="0"/>
      </w:pPr>
      <w:r>
        <w:t xml:space="preserve">EU </w:t>
      </w:r>
      <w:r>
        <w:tab/>
      </w:r>
      <w:r>
        <w:tab/>
      </w:r>
      <w:r>
        <w:tab/>
      </w:r>
      <w:r>
        <w:t>European Union</w:t>
      </w:r>
    </w:p>
    <w:p w14:paraId="646A2D83">
      <w:pPr>
        <w:pStyle w:val="14"/>
        <w:spacing w:before="0" w:beforeAutospacing="0" w:after="0" w:afterAutospacing="0"/>
      </w:pPr>
      <w:r>
        <w:t xml:space="preserve">EUROPOL </w:t>
      </w:r>
      <w:r>
        <w:tab/>
      </w:r>
      <w:r>
        <w:tab/>
      </w:r>
      <w:r>
        <w:t>European Union Agency for Law Enforcement Cooperation</w:t>
      </w:r>
    </w:p>
    <w:p w14:paraId="5A2846AC">
      <w:pPr>
        <w:pStyle w:val="14"/>
        <w:spacing w:before="0" w:beforeAutospacing="0" w:after="0" w:afterAutospacing="0"/>
      </w:pPr>
      <w:r>
        <w:t xml:space="preserve">FCT </w:t>
      </w:r>
      <w:r>
        <w:tab/>
      </w:r>
      <w:r>
        <w:tab/>
      </w:r>
      <w:r>
        <w:tab/>
      </w:r>
      <w:r>
        <w:t>Federal Capital Territory</w:t>
      </w:r>
    </w:p>
    <w:p w14:paraId="2F738C94">
      <w:pPr>
        <w:pStyle w:val="14"/>
        <w:spacing w:before="0" w:beforeAutospacing="0" w:after="0" w:afterAutospacing="0"/>
      </w:pPr>
      <w:r>
        <w:t xml:space="preserve">FHC </w:t>
      </w:r>
      <w:r>
        <w:tab/>
      </w:r>
      <w:r>
        <w:tab/>
      </w:r>
      <w:r>
        <w:tab/>
      </w:r>
      <w:r>
        <w:t>Federal High Court</w:t>
      </w:r>
    </w:p>
    <w:p w14:paraId="2F80758F">
      <w:pPr>
        <w:pStyle w:val="14"/>
        <w:spacing w:before="0" w:beforeAutospacing="0" w:after="0" w:afterAutospacing="0"/>
      </w:pPr>
      <w:r>
        <w:t xml:space="preserve">FNAS </w:t>
      </w:r>
      <w:r>
        <w:tab/>
      </w:r>
      <w:r>
        <w:tab/>
      </w:r>
      <w:r>
        <w:tab/>
      </w:r>
      <w:r>
        <w:t>Faculty of Natural and Applied Sciences</w:t>
      </w:r>
    </w:p>
    <w:p w14:paraId="6591B40B">
      <w:pPr>
        <w:pStyle w:val="14"/>
        <w:spacing w:before="0" w:beforeAutospacing="0" w:after="0" w:afterAutospacing="0"/>
      </w:pPr>
      <w:r>
        <w:t xml:space="preserve">ICT </w:t>
      </w:r>
      <w:r>
        <w:tab/>
      </w:r>
      <w:r>
        <w:tab/>
      </w:r>
      <w:r>
        <w:tab/>
      </w:r>
      <w:r>
        <w:t>Information and Communication Technology</w:t>
      </w:r>
    </w:p>
    <w:p w14:paraId="7BDC6000">
      <w:pPr>
        <w:pStyle w:val="14"/>
        <w:spacing w:before="0" w:beforeAutospacing="0" w:after="0" w:afterAutospacing="0"/>
      </w:pPr>
      <w:r>
        <w:t xml:space="preserve">ICC </w:t>
      </w:r>
      <w:r>
        <w:tab/>
      </w:r>
      <w:r>
        <w:tab/>
      </w:r>
      <w:r>
        <w:tab/>
      </w:r>
      <w:r>
        <w:t>International Chamber of Commerce</w:t>
      </w:r>
    </w:p>
    <w:p w14:paraId="5F99FF68">
      <w:pPr>
        <w:pStyle w:val="14"/>
        <w:spacing w:before="0" w:beforeAutospacing="0" w:after="0" w:afterAutospacing="0"/>
      </w:pPr>
      <w:r>
        <w:t xml:space="preserve">IFPI </w:t>
      </w:r>
      <w:r>
        <w:tab/>
      </w:r>
      <w:r>
        <w:tab/>
      </w:r>
      <w:r>
        <w:tab/>
      </w:r>
      <w:r>
        <w:t>International Federation of the Phonographic Industry</w:t>
      </w:r>
    </w:p>
    <w:p w14:paraId="021EFA5D">
      <w:pPr>
        <w:pStyle w:val="14"/>
        <w:spacing w:before="0" w:beforeAutospacing="0" w:after="0" w:afterAutospacing="0"/>
      </w:pPr>
      <w:r>
        <w:t xml:space="preserve">INTERPOL </w:t>
      </w:r>
      <w:r>
        <w:tab/>
      </w:r>
      <w:r>
        <w:tab/>
      </w:r>
      <w:r>
        <w:t>International Criminal Police Organisation</w:t>
      </w:r>
    </w:p>
    <w:p w14:paraId="64CE6848">
      <w:pPr>
        <w:pStyle w:val="14"/>
        <w:spacing w:before="0" w:beforeAutospacing="0" w:after="0" w:afterAutospacing="0"/>
      </w:pPr>
      <w:r>
        <w:t xml:space="preserve">IP </w:t>
      </w:r>
      <w:r>
        <w:tab/>
      </w:r>
      <w:r>
        <w:tab/>
      </w:r>
      <w:r>
        <w:tab/>
      </w:r>
      <w:r>
        <w:t>Intellectual Property</w:t>
      </w:r>
    </w:p>
    <w:p w14:paraId="1F5E64D9">
      <w:pPr>
        <w:pStyle w:val="14"/>
        <w:spacing w:before="0" w:beforeAutospacing="0" w:after="0" w:afterAutospacing="0"/>
      </w:pPr>
      <w:r>
        <w:t xml:space="preserve">IPR </w:t>
      </w:r>
      <w:r>
        <w:tab/>
      </w:r>
      <w:r>
        <w:tab/>
      </w:r>
      <w:r>
        <w:tab/>
      </w:r>
      <w:r>
        <w:t>Intellectual Property Rights</w:t>
      </w:r>
    </w:p>
    <w:p w14:paraId="745B9450">
      <w:pPr>
        <w:pStyle w:val="14"/>
        <w:spacing w:before="0" w:beforeAutospacing="0" w:after="0" w:afterAutospacing="0"/>
      </w:pPr>
      <w:r>
        <w:t xml:space="preserve">IPT </w:t>
      </w:r>
      <w:r>
        <w:tab/>
      </w:r>
      <w:r>
        <w:tab/>
      </w:r>
      <w:r>
        <w:tab/>
      </w:r>
      <w:r>
        <w:t>Intellectual Property and Technology</w:t>
      </w:r>
    </w:p>
    <w:p w14:paraId="29C61EBD">
      <w:pPr>
        <w:pStyle w:val="14"/>
        <w:spacing w:before="0" w:beforeAutospacing="0" w:after="0" w:afterAutospacing="0"/>
      </w:pPr>
      <w:r>
        <w:t xml:space="preserve">ISPs </w:t>
      </w:r>
      <w:r>
        <w:tab/>
      </w:r>
      <w:r>
        <w:tab/>
      </w:r>
      <w:r>
        <w:tab/>
      </w:r>
      <w:r>
        <w:t>Internet Service Providers</w:t>
      </w:r>
    </w:p>
    <w:p w14:paraId="535F8816">
      <w:pPr>
        <w:pStyle w:val="14"/>
        <w:spacing w:before="0" w:beforeAutospacing="0" w:after="0" w:afterAutospacing="0"/>
      </w:pPr>
      <w:r>
        <w:t xml:space="preserve">IT </w:t>
      </w:r>
      <w:r>
        <w:tab/>
      </w:r>
      <w:r>
        <w:tab/>
      </w:r>
      <w:r>
        <w:tab/>
      </w:r>
      <w:r>
        <w:t>Information Technology</w:t>
      </w:r>
    </w:p>
    <w:p w14:paraId="4E3014E9">
      <w:pPr>
        <w:pStyle w:val="14"/>
        <w:spacing w:before="0" w:beforeAutospacing="0" w:after="0" w:afterAutospacing="0"/>
      </w:pPr>
      <w:r>
        <w:t xml:space="preserve">ITRs </w:t>
      </w:r>
      <w:r>
        <w:tab/>
      </w:r>
      <w:r>
        <w:tab/>
      </w:r>
      <w:r>
        <w:tab/>
      </w:r>
      <w:r>
        <w:t>Internet Treaties</w:t>
      </w:r>
    </w:p>
    <w:p w14:paraId="64AE190E">
      <w:pPr>
        <w:pStyle w:val="14"/>
        <w:spacing w:before="0" w:beforeAutospacing="0" w:after="0" w:afterAutospacing="0"/>
      </w:pPr>
      <w:r>
        <w:t xml:space="preserve">L </w:t>
      </w:r>
      <w:r>
        <w:tab/>
      </w:r>
      <w:r>
        <w:tab/>
      </w:r>
      <w:r>
        <w:tab/>
      </w:r>
      <w:r>
        <w:t>Law</w:t>
      </w:r>
    </w:p>
    <w:p w14:paraId="20F9C5D2">
      <w:pPr>
        <w:pStyle w:val="14"/>
        <w:spacing w:before="0" w:beforeAutospacing="0" w:after="0" w:afterAutospacing="0"/>
      </w:pPr>
      <w:r>
        <w:t xml:space="preserve">LFN </w:t>
      </w:r>
      <w:r>
        <w:tab/>
      </w:r>
      <w:r>
        <w:tab/>
      </w:r>
      <w:r>
        <w:tab/>
      </w:r>
      <w:r>
        <w:t>Laws of the Federation of Nigeria</w:t>
      </w:r>
    </w:p>
    <w:p w14:paraId="78B87B17">
      <w:pPr>
        <w:pStyle w:val="14"/>
        <w:spacing w:before="0" w:beforeAutospacing="0" w:after="0" w:afterAutospacing="0"/>
      </w:pPr>
      <w:r>
        <w:t xml:space="preserve">LL.B </w:t>
      </w:r>
      <w:r>
        <w:tab/>
      </w:r>
      <w:r>
        <w:tab/>
      </w:r>
      <w:r>
        <w:tab/>
      </w:r>
      <w:r>
        <w:t>Bachelor of Laws</w:t>
      </w:r>
    </w:p>
    <w:p w14:paraId="53E0CD00">
      <w:pPr>
        <w:pStyle w:val="14"/>
        <w:spacing w:before="0" w:beforeAutospacing="0" w:after="0" w:afterAutospacing="0"/>
      </w:pPr>
      <w:r>
        <w:t xml:space="preserve">MCSN </w:t>
      </w:r>
      <w:r>
        <w:tab/>
      </w:r>
      <w:r>
        <w:tab/>
      </w:r>
      <w:r>
        <w:t>Musical Copyright Society of Nigeria</w:t>
      </w:r>
    </w:p>
    <w:p w14:paraId="110E5221">
      <w:pPr>
        <w:pStyle w:val="14"/>
        <w:spacing w:before="0" w:beforeAutospacing="0" w:after="0" w:afterAutospacing="0"/>
      </w:pPr>
      <w:r>
        <w:t xml:space="preserve">NAIP </w:t>
      </w:r>
      <w:r>
        <w:tab/>
      </w:r>
      <w:r>
        <w:tab/>
      </w:r>
      <w:r>
        <w:tab/>
      </w:r>
      <w:r>
        <w:t>National Artificial Intelligence Policy</w:t>
      </w:r>
    </w:p>
    <w:p w14:paraId="5C2A67D4">
      <w:pPr>
        <w:pStyle w:val="14"/>
        <w:spacing w:before="0" w:beforeAutospacing="0" w:after="0" w:afterAutospacing="0"/>
      </w:pPr>
      <w:r>
        <w:t xml:space="preserve">NAIS </w:t>
      </w:r>
      <w:r>
        <w:tab/>
      </w:r>
      <w:r>
        <w:tab/>
      </w:r>
      <w:r>
        <w:tab/>
      </w:r>
      <w:r>
        <w:t>National Artificial Intelligence Strategy</w:t>
      </w:r>
    </w:p>
    <w:p w14:paraId="03241153">
      <w:pPr>
        <w:pStyle w:val="14"/>
        <w:spacing w:before="0" w:beforeAutospacing="0" w:after="0" w:afterAutospacing="0"/>
      </w:pPr>
      <w:r>
        <w:t xml:space="preserve">NAU </w:t>
      </w:r>
      <w:r>
        <w:tab/>
      </w:r>
      <w:r>
        <w:tab/>
      </w:r>
      <w:r>
        <w:tab/>
      </w:r>
      <w:r>
        <w:t>Nnamdi Azikiwe University</w:t>
      </w:r>
    </w:p>
    <w:p w14:paraId="1544A2F9">
      <w:pPr>
        <w:pStyle w:val="14"/>
        <w:spacing w:before="0" w:beforeAutospacing="0" w:after="0" w:afterAutospacing="0"/>
      </w:pPr>
      <w:r>
        <w:t xml:space="preserve">NBA </w:t>
      </w:r>
      <w:r>
        <w:tab/>
      </w:r>
      <w:r>
        <w:tab/>
      </w:r>
      <w:r>
        <w:tab/>
      </w:r>
      <w:r>
        <w:t>Nigerian Bar Association</w:t>
      </w:r>
    </w:p>
    <w:p w14:paraId="3657CBC3">
      <w:pPr>
        <w:pStyle w:val="14"/>
        <w:spacing w:before="0" w:beforeAutospacing="0" w:after="0" w:afterAutospacing="0"/>
      </w:pPr>
      <w:r>
        <w:t xml:space="preserve">NCAIR </w:t>
      </w:r>
      <w:r>
        <w:tab/>
      </w:r>
      <w:r>
        <w:tab/>
      </w:r>
      <w:r>
        <w:t>National Centre for Artificial Intelligence and Robotics</w:t>
      </w:r>
    </w:p>
    <w:p w14:paraId="280A47DB">
      <w:pPr>
        <w:pStyle w:val="14"/>
        <w:spacing w:before="0" w:beforeAutospacing="0" w:after="0" w:afterAutospacing="0"/>
      </w:pPr>
      <w:r>
        <w:t xml:space="preserve">NCC </w:t>
      </w:r>
      <w:r>
        <w:tab/>
      </w:r>
      <w:r>
        <w:tab/>
      </w:r>
      <w:r>
        <w:tab/>
      </w:r>
      <w:r>
        <w:t>Nigerian Copyright Commission</w:t>
      </w:r>
    </w:p>
    <w:p w14:paraId="4A0AFDC0">
      <w:pPr>
        <w:pStyle w:val="14"/>
        <w:spacing w:before="0" w:beforeAutospacing="0" w:after="0" w:afterAutospacing="0"/>
        <w:ind w:left="2160" w:hanging="2160"/>
      </w:pPr>
      <w:r>
        <w:t xml:space="preserve">NCC-DOST </w:t>
      </w:r>
      <w:r>
        <w:tab/>
      </w:r>
      <w:r>
        <w:t>National Commission for Culture and the Arts – Department of Science and Technology</w:t>
      </w:r>
    </w:p>
    <w:p w14:paraId="307BA865">
      <w:pPr>
        <w:pStyle w:val="14"/>
        <w:spacing w:before="0" w:beforeAutospacing="0" w:after="0" w:afterAutospacing="0"/>
      </w:pPr>
      <w:r>
        <w:t xml:space="preserve">NDPA </w:t>
      </w:r>
      <w:r>
        <w:tab/>
      </w:r>
      <w:r>
        <w:tab/>
      </w:r>
      <w:r>
        <w:tab/>
      </w:r>
      <w:r>
        <w:t>Nigeria Data Protection Act</w:t>
      </w:r>
    </w:p>
    <w:p w14:paraId="291594F7">
      <w:pPr>
        <w:pStyle w:val="14"/>
        <w:spacing w:before="0" w:beforeAutospacing="0" w:after="0" w:afterAutospacing="0"/>
      </w:pPr>
      <w:r>
        <w:t xml:space="preserve">NDPC </w:t>
      </w:r>
      <w:r>
        <w:tab/>
      </w:r>
      <w:r>
        <w:tab/>
      </w:r>
      <w:r>
        <w:tab/>
      </w:r>
      <w:r>
        <w:t>Nigeria Data Protection Commission</w:t>
      </w:r>
    </w:p>
    <w:p w14:paraId="63FDE50F">
      <w:pPr>
        <w:pStyle w:val="14"/>
        <w:spacing w:before="0" w:beforeAutospacing="0" w:after="0" w:afterAutospacing="0"/>
      </w:pPr>
      <w:r>
        <w:t xml:space="preserve">NDPR </w:t>
      </w:r>
      <w:r>
        <w:tab/>
      </w:r>
      <w:r>
        <w:tab/>
      </w:r>
      <w:r>
        <w:tab/>
      </w:r>
      <w:r>
        <w:t>Nigeria Data Protection Regulation</w:t>
      </w:r>
    </w:p>
    <w:p w14:paraId="331BA700">
      <w:pPr>
        <w:pStyle w:val="14"/>
        <w:spacing w:before="0" w:beforeAutospacing="0" w:after="0" w:afterAutospacing="0"/>
      </w:pPr>
      <w:r>
        <w:t xml:space="preserve">NITDA </w:t>
      </w:r>
      <w:r>
        <w:tab/>
      </w:r>
      <w:r>
        <w:tab/>
      </w:r>
      <w:r>
        <w:t>National Information Technology Development Agency</w:t>
      </w:r>
    </w:p>
    <w:p w14:paraId="4F7851B1">
      <w:pPr>
        <w:pStyle w:val="14"/>
        <w:spacing w:before="0" w:beforeAutospacing="0" w:after="0" w:afterAutospacing="0"/>
      </w:pPr>
      <w:r>
        <w:t xml:space="preserve">NUC </w:t>
      </w:r>
      <w:r>
        <w:tab/>
      </w:r>
      <w:r>
        <w:tab/>
      </w:r>
      <w:r>
        <w:tab/>
      </w:r>
      <w:r>
        <w:t>National Universities Commission</w:t>
      </w:r>
    </w:p>
    <w:p w14:paraId="560FD79A">
      <w:pPr>
        <w:pStyle w:val="14"/>
        <w:spacing w:before="0" w:beforeAutospacing="0" w:after="0" w:afterAutospacing="0"/>
      </w:pPr>
      <w:r>
        <w:t xml:space="preserve">NWLR </w:t>
      </w:r>
      <w:r>
        <w:tab/>
      </w:r>
      <w:r>
        <w:tab/>
      </w:r>
      <w:r>
        <w:t>Nigerian Weekly Law Reports</w:t>
      </w:r>
    </w:p>
    <w:p w14:paraId="5D53296B">
      <w:pPr>
        <w:pStyle w:val="14"/>
        <w:spacing w:before="0" w:beforeAutospacing="0" w:after="0" w:afterAutospacing="0"/>
      </w:pPr>
      <w:r>
        <w:t xml:space="preserve">OUP </w:t>
      </w:r>
      <w:r>
        <w:tab/>
      </w:r>
      <w:r>
        <w:tab/>
      </w:r>
      <w:r>
        <w:tab/>
      </w:r>
      <w:r>
        <w:t>Oxford University Press</w:t>
      </w:r>
    </w:p>
    <w:p w14:paraId="7ED55CC6">
      <w:pPr>
        <w:pStyle w:val="14"/>
        <w:spacing w:before="0" w:beforeAutospacing="0" w:after="0" w:afterAutospacing="0"/>
      </w:pPr>
      <w:r>
        <w:t xml:space="preserve">REPRONIG </w:t>
      </w:r>
      <w:r>
        <w:tab/>
      </w:r>
      <w:r>
        <w:tab/>
      </w:r>
      <w:r>
        <w:t>Reproduction Rights Organisation of Nigeria</w:t>
      </w:r>
    </w:p>
    <w:p w14:paraId="70AA6E7C">
      <w:pPr>
        <w:pStyle w:val="14"/>
        <w:spacing w:before="0" w:beforeAutospacing="0" w:after="0" w:afterAutospacing="0"/>
      </w:pPr>
      <w:r>
        <w:t xml:space="preserve">R&amp;D </w:t>
      </w:r>
      <w:r>
        <w:tab/>
      </w:r>
      <w:r>
        <w:tab/>
      </w:r>
      <w:r>
        <w:tab/>
      </w:r>
      <w:r>
        <w:t>Research and Development</w:t>
      </w:r>
    </w:p>
    <w:p w14:paraId="700C06E4">
      <w:pPr>
        <w:pStyle w:val="14"/>
        <w:spacing w:before="0" w:beforeAutospacing="0" w:after="0" w:afterAutospacing="0"/>
      </w:pPr>
      <w:r>
        <w:t xml:space="preserve">SSRN </w:t>
      </w:r>
      <w:r>
        <w:tab/>
      </w:r>
      <w:r>
        <w:tab/>
      </w:r>
      <w:r>
        <w:tab/>
      </w:r>
      <w:r>
        <w:t>Social Science Research Network</w:t>
      </w:r>
    </w:p>
    <w:p w14:paraId="79F60D90">
      <w:pPr>
        <w:pStyle w:val="14"/>
        <w:spacing w:before="0" w:beforeAutospacing="0" w:after="0" w:afterAutospacing="0"/>
      </w:pPr>
      <w:r>
        <w:t xml:space="preserve">TDM </w:t>
      </w:r>
      <w:r>
        <w:tab/>
      </w:r>
      <w:r>
        <w:tab/>
      </w:r>
      <w:r>
        <w:tab/>
      </w:r>
      <w:r>
        <w:t>Text and Data Mining</w:t>
      </w:r>
    </w:p>
    <w:p w14:paraId="7ACC0B2B">
      <w:pPr>
        <w:pStyle w:val="14"/>
        <w:spacing w:before="0" w:beforeAutospacing="0" w:after="0" w:afterAutospacing="0"/>
      </w:pPr>
      <w:r>
        <w:t xml:space="preserve">TPM </w:t>
      </w:r>
      <w:r>
        <w:tab/>
      </w:r>
      <w:r>
        <w:tab/>
      </w:r>
      <w:r>
        <w:tab/>
      </w:r>
      <w:r>
        <w:t>Technological Protection Measure</w:t>
      </w:r>
    </w:p>
    <w:p w14:paraId="0A6529E0">
      <w:pPr>
        <w:pStyle w:val="14"/>
        <w:spacing w:before="0" w:beforeAutospacing="0" w:after="0" w:afterAutospacing="0"/>
      </w:pPr>
      <w:r>
        <w:t xml:space="preserve">TPMs </w:t>
      </w:r>
      <w:r>
        <w:tab/>
      </w:r>
      <w:r>
        <w:tab/>
      </w:r>
      <w:r>
        <w:tab/>
      </w:r>
      <w:r>
        <w:t>Technological Protection Measures</w:t>
      </w:r>
    </w:p>
    <w:p w14:paraId="68C9BA17">
      <w:pPr>
        <w:pStyle w:val="14"/>
        <w:spacing w:before="0" w:beforeAutospacing="0" w:after="0" w:afterAutospacing="0"/>
      </w:pPr>
      <w:r>
        <w:t xml:space="preserve">TRIPS </w:t>
      </w:r>
      <w:r>
        <w:tab/>
      </w:r>
      <w:r>
        <w:tab/>
      </w:r>
      <w:r>
        <w:tab/>
      </w:r>
      <w:r>
        <w:t>Agreement on Trade-Related Aspects of Intellectual Property Rights</w:t>
      </w:r>
    </w:p>
    <w:p w14:paraId="7C25199C">
      <w:pPr>
        <w:pStyle w:val="14"/>
        <w:spacing w:before="0" w:beforeAutospacing="0" w:after="0" w:afterAutospacing="0"/>
      </w:pPr>
      <w:r>
        <w:t xml:space="preserve">TV </w:t>
      </w:r>
      <w:r>
        <w:tab/>
      </w:r>
      <w:r>
        <w:tab/>
      </w:r>
      <w:r>
        <w:tab/>
      </w:r>
      <w:r>
        <w:t>Television</w:t>
      </w:r>
    </w:p>
    <w:p w14:paraId="50EE3BE7">
      <w:pPr>
        <w:pStyle w:val="14"/>
        <w:spacing w:before="0" w:beforeAutospacing="0" w:after="0" w:afterAutospacing="0"/>
      </w:pPr>
      <w:r>
        <w:t xml:space="preserve">UK </w:t>
      </w:r>
      <w:r>
        <w:tab/>
      </w:r>
      <w:r>
        <w:tab/>
      </w:r>
      <w:r>
        <w:tab/>
      </w:r>
      <w:r>
        <w:t>United Kingdom</w:t>
      </w:r>
    </w:p>
    <w:p w14:paraId="57DB085A">
      <w:pPr>
        <w:pStyle w:val="14"/>
        <w:spacing w:before="0" w:beforeAutospacing="0" w:after="0" w:afterAutospacing="0"/>
      </w:pPr>
      <w:r>
        <w:t xml:space="preserve">UN </w:t>
      </w:r>
      <w:r>
        <w:tab/>
      </w:r>
      <w:r>
        <w:tab/>
      </w:r>
      <w:r>
        <w:tab/>
      </w:r>
      <w:r>
        <w:t>United Nations</w:t>
      </w:r>
    </w:p>
    <w:p w14:paraId="78EC01DD">
      <w:pPr>
        <w:pStyle w:val="14"/>
        <w:spacing w:before="0" w:beforeAutospacing="0" w:after="0" w:afterAutospacing="0"/>
      </w:pPr>
      <w:r>
        <w:t xml:space="preserve">UNESCO </w:t>
      </w:r>
      <w:r>
        <w:tab/>
      </w:r>
      <w:r>
        <w:tab/>
      </w:r>
      <w:r>
        <w:t>United Nations Educational, Scientific and Cultural Organisation</w:t>
      </w:r>
    </w:p>
    <w:p w14:paraId="54207C2B">
      <w:pPr>
        <w:pStyle w:val="14"/>
        <w:spacing w:before="0" w:beforeAutospacing="0" w:after="0" w:afterAutospacing="0"/>
      </w:pPr>
      <w:r>
        <w:t xml:space="preserve">USA </w:t>
      </w:r>
      <w:r>
        <w:tab/>
      </w:r>
      <w:r>
        <w:tab/>
      </w:r>
      <w:r>
        <w:tab/>
      </w:r>
      <w:r>
        <w:t>United States of America</w:t>
      </w:r>
    </w:p>
    <w:p w14:paraId="3DEAF41D">
      <w:pPr>
        <w:pStyle w:val="14"/>
        <w:spacing w:before="0" w:beforeAutospacing="0" w:after="0" w:afterAutospacing="0"/>
      </w:pPr>
      <w:r>
        <w:t xml:space="preserve">US </w:t>
      </w:r>
      <w:r>
        <w:tab/>
      </w:r>
      <w:r>
        <w:tab/>
      </w:r>
      <w:r>
        <w:tab/>
      </w:r>
      <w:r>
        <w:t>United States</w:t>
      </w:r>
    </w:p>
    <w:p w14:paraId="37CB42BC">
      <w:pPr>
        <w:pStyle w:val="14"/>
        <w:spacing w:before="0" w:beforeAutospacing="0" w:after="0" w:afterAutospacing="0"/>
      </w:pPr>
      <w:r>
        <w:t xml:space="preserve">WCT </w:t>
      </w:r>
      <w:r>
        <w:tab/>
      </w:r>
      <w:r>
        <w:tab/>
      </w:r>
      <w:r>
        <w:tab/>
      </w:r>
      <w:r>
        <w:t>WIPO Copyright Treaty</w:t>
      </w:r>
    </w:p>
    <w:p w14:paraId="1B5C5100">
      <w:pPr>
        <w:pStyle w:val="14"/>
        <w:spacing w:before="0" w:beforeAutospacing="0" w:after="0" w:afterAutospacing="0"/>
      </w:pPr>
      <w:r>
        <w:t xml:space="preserve">WIPO </w:t>
      </w:r>
      <w:r>
        <w:tab/>
      </w:r>
      <w:r>
        <w:tab/>
      </w:r>
      <w:r>
        <w:tab/>
      </w:r>
      <w:r>
        <w:t>World Intellectual Property Organisation</w:t>
      </w:r>
    </w:p>
    <w:p w14:paraId="3FDC1F35">
      <w:pPr>
        <w:pStyle w:val="14"/>
        <w:spacing w:before="0" w:beforeAutospacing="0" w:after="0" w:afterAutospacing="0"/>
        <w:ind w:left="2160" w:hanging="2160"/>
      </w:pPr>
      <w:r>
        <w:t xml:space="preserve">WIPO-NCC </w:t>
      </w:r>
      <w:r>
        <w:tab/>
      </w:r>
      <w:r>
        <w:t>World Intellectual Property Organisation and Nigerian Copyright Commission</w:t>
      </w:r>
    </w:p>
    <w:p w14:paraId="426F31A2">
      <w:pPr>
        <w:pStyle w:val="14"/>
        <w:spacing w:before="0" w:beforeAutospacing="0" w:after="0" w:afterAutospacing="0"/>
      </w:pPr>
      <w:r>
        <w:t xml:space="preserve">WPPT </w:t>
      </w:r>
      <w:r>
        <w:tab/>
      </w:r>
      <w:r>
        <w:tab/>
      </w:r>
      <w:r>
        <w:tab/>
      </w:r>
      <w:r>
        <w:t>WIPO Performances and Phonograms Treaty</w:t>
      </w:r>
    </w:p>
    <w:p w14:paraId="396B23A8">
      <w:pPr>
        <w:pStyle w:val="14"/>
        <w:spacing w:before="0" w:beforeAutospacing="0" w:after="0" w:afterAutospacing="0"/>
      </w:pPr>
      <w:r>
        <w:t xml:space="preserve">WTO </w:t>
      </w:r>
      <w:r>
        <w:tab/>
      </w:r>
      <w:r>
        <w:tab/>
      </w:r>
      <w:r>
        <w:tab/>
      </w:r>
      <w:r>
        <w:t>World Trade Organisation</w:t>
      </w:r>
    </w:p>
    <w:p w14:paraId="35BC0D96">
      <w:pPr>
        <w:spacing w:after="0"/>
        <w:rPr>
          <w:rFonts w:ascii="Times New Roman" w:hAnsi="Times New Roman" w:cs="Times New Roman"/>
        </w:rPr>
      </w:pPr>
    </w:p>
    <w:p w14:paraId="747D6144">
      <w:pPr>
        <w:spacing w:line="360" w:lineRule="auto"/>
        <w:jc w:val="both"/>
        <w:rPr>
          <w:rFonts w:ascii="Times New Roman" w:hAnsi="Times New Roman" w:cs="Times New Roman"/>
          <w:sz w:val="24"/>
          <w:szCs w:val="24"/>
        </w:rPr>
      </w:pPr>
    </w:p>
    <w:p w14:paraId="297109E0">
      <w:pPr>
        <w:spacing w:line="360" w:lineRule="auto"/>
        <w:jc w:val="both"/>
        <w:rPr>
          <w:rFonts w:ascii="Times New Roman" w:hAnsi="Times New Roman" w:cs="Times New Roman"/>
          <w:sz w:val="24"/>
          <w:szCs w:val="24"/>
        </w:rPr>
      </w:pPr>
    </w:p>
    <w:p w14:paraId="4F9AE593">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35AC8187">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52E97DC4">
      <w:pPr>
        <w:rPr>
          <w:rFonts w:ascii="Times New Roman" w:hAnsi="Times New Roman" w:cs="Times New Roman"/>
          <w:sz w:val="24"/>
          <w:szCs w:val="24"/>
        </w:rPr>
      </w:pPr>
      <w:r>
        <w:rPr>
          <w:rFonts w:ascii="Times New Roman" w:hAnsi="Times New Roman" w:cs="Times New Roman"/>
          <w:sz w:val="24"/>
          <w:szCs w:val="24"/>
        </w:rPr>
        <w:br w:type="page"/>
      </w:r>
    </w:p>
    <w:p w14:paraId="5A64C73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ABSTRACT </w:t>
      </w:r>
    </w:p>
    <w:p w14:paraId="673A8EC5">
      <w:pPr>
        <w:spacing w:line="240" w:lineRule="auto"/>
        <w:jc w:val="both"/>
        <w:rPr>
          <w:rFonts w:ascii="Times New Roman" w:hAnsi="Times New Roman" w:cs="Times New Roman"/>
          <w:sz w:val="24"/>
          <w:szCs w:val="24"/>
        </w:rPr>
      </w:pPr>
      <w:r>
        <w:rPr>
          <w:rFonts w:ascii="Times New Roman" w:hAnsi="Times New Roman" w:cs="Times New Roman"/>
          <w:sz w:val="24"/>
          <w:szCs w:val="24"/>
        </w:rPr>
        <w:t>Artificial intelligence has transformed the manner in which creative works are produced, reproduced, distributed and exploited in the digital age. In Nigeria, this development has created legal and institutional concerns for enforcing copyright because the existing copyright framework was designed around human authorship and traditional forms of infringement. Indeed, the Copyright Act 2022 introduced important reforms. However, it does not address the challenges which are created by AI-generated works, AI-assisted creativity, automated reproduction of content, large-scale scraping of data, text and data mining, or liability for infringement which arise from AI systems. Therefore,this research examines the challenges in enforcing copyright in the era of artificial intelligence in Nigeria. The specific objectives were to examine the legislative and institutional framework for copyright enforcement, assess the challenges which affect enforcement, and provide recommendations for reform. The study adopted the doctrinal methodology and it relied on statutes, decided cases, international treaties, textbooks, journal articles, policy documents and credible online materials. The research found that Nigeria has a broad legislative and institutional framework comprising the Copyright Act 2022, Cybercrimes Act, Evidence Act, Nigeria Data Protection Act, NITDA Act, AfCFTA Protocol on Intellectual Property Rights, Berne Convention, TRIPS Agreement, WIPO Copyright Treaty, WIPO Performances and Phonograms Treaty, Marrakesh Treaty and Beijing Treaty on Audiovisual Performances. It also found that institutions for enforcement include the Nigerian Copyright Commission, courts, CMOs, NDPC, NITDA, WIPO, WTO, ARIPO, INTERPOL and the Nigeria Police. However, enforcement remains weakened by uncertainty over human authorship, ownership of AI-generated works, legality of AI training on copyrighted materials, absence of text and data mining rules, opacity of AI systems, evidentiary difficulties, cross-border infringement, lack of forensic tools, poor funding, weak coordination among institutions and limited judicial expertise. The research recommended that the law should be amended; there should be   clearer rules on AI copyright; Strengthen the capacity of NCC capacity; specialised IP and technology courts should be established; the procedure for digital evidence should be improved; there should be cooperation among agencies; there should also be collaboration on an international scale.</w:t>
      </w:r>
    </w:p>
    <w:p w14:paraId="4C8411F4">
      <w:pPr>
        <w:spacing w:line="480" w:lineRule="auto"/>
        <w:rPr>
          <w:rFonts w:ascii="Times New Roman" w:hAnsi="Times New Roman" w:cs="Times New Roman"/>
          <w:sz w:val="24"/>
          <w:szCs w:val="24"/>
        </w:rPr>
      </w:pPr>
    </w:p>
    <w:p w14:paraId="01B1972F">
      <w:pPr>
        <w:spacing w:line="480" w:lineRule="auto"/>
        <w:rPr>
          <w:rFonts w:ascii="Times New Roman" w:hAnsi="Times New Roman" w:cs="Times New Roman"/>
          <w:sz w:val="24"/>
          <w:szCs w:val="24"/>
        </w:rPr>
      </w:pPr>
    </w:p>
    <w:p w14:paraId="15019BE0">
      <w:pPr>
        <w:spacing w:line="480" w:lineRule="auto"/>
        <w:rPr>
          <w:rFonts w:ascii="Times New Roman" w:hAnsi="Times New Roman" w:cs="Times New Roman"/>
          <w:sz w:val="24"/>
          <w:szCs w:val="24"/>
        </w:rPr>
      </w:pPr>
    </w:p>
    <w:p w14:paraId="79C5A3E2">
      <w:pPr>
        <w:spacing w:line="480" w:lineRule="auto"/>
        <w:rPr>
          <w:rFonts w:ascii="Times New Roman" w:hAnsi="Times New Roman" w:cs="Times New Roman"/>
          <w:sz w:val="24"/>
          <w:szCs w:val="24"/>
        </w:rPr>
      </w:pPr>
    </w:p>
    <w:p w14:paraId="395E50F5">
      <w:pPr>
        <w:spacing w:line="480" w:lineRule="auto"/>
        <w:jc w:val="both"/>
        <w:rPr>
          <w:rFonts w:ascii="Times New Roman" w:hAnsi="Times New Roman" w:cs="Times New Roman"/>
          <w:sz w:val="24"/>
          <w:szCs w:val="24"/>
        </w:rPr>
      </w:pPr>
    </w:p>
    <w:p w14:paraId="45A4EAED">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outlineLvl w:val="0"/>
        <w:rPr>
          <w:rFonts w:hint="default" w:ascii="Times New Roman" w:hAnsi="Times New Roman" w:cs="Times New Roman"/>
          <w:b/>
          <w:sz w:val="24"/>
          <w:szCs w:val="24"/>
        </w:rPr>
      </w:pPr>
    </w:p>
    <w:p w14:paraId="6792B977">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outlineLvl w:val="0"/>
        <w:rPr>
          <w:rFonts w:hint="default" w:ascii="Times New Roman" w:hAnsi="Times New Roman" w:cs="Times New Roman"/>
          <w:b/>
          <w:sz w:val="24"/>
          <w:szCs w:val="24"/>
        </w:rPr>
      </w:pPr>
    </w:p>
    <w:p w14:paraId="6958E5C4">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outlineLvl w:val="0"/>
        <w:rPr>
          <w:rFonts w:hint="default" w:ascii="Times New Roman" w:hAnsi="Times New Roman" w:cs="Times New Roman"/>
          <w:b/>
          <w:sz w:val="24"/>
          <w:szCs w:val="24"/>
        </w:rPr>
        <w:sectPr>
          <w:footerReference r:id="rId5" w:type="default"/>
          <w:pgSz w:w="11907" w:h="16839"/>
          <w:pgMar w:top="1440" w:right="1440" w:bottom="1440" w:left="1440" w:header="720" w:footer="720" w:gutter="0"/>
          <w:pgNumType w:fmt="lowerRoman" w:start="1"/>
          <w:cols w:space="720" w:num="1"/>
          <w:docGrid w:linePitch="360" w:charSpace="0"/>
        </w:sectPr>
      </w:pPr>
    </w:p>
    <w:p w14:paraId="2778568E">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outlineLvl w:val="0"/>
        <w:rPr>
          <w:rFonts w:hint="default" w:ascii="Times New Roman" w:hAnsi="Times New Roman" w:cs="Times New Roman"/>
          <w:b/>
          <w:sz w:val="24"/>
          <w:szCs w:val="24"/>
        </w:rPr>
      </w:pPr>
      <w:r>
        <w:rPr>
          <w:rFonts w:hint="default" w:ascii="Times New Roman" w:hAnsi="Times New Roman" w:cs="Times New Roman"/>
          <w:b/>
          <w:sz w:val="24"/>
          <w:szCs w:val="24"/>
        </w:rPr>
        <w:t>CHAPTER ONE</w:t>
      </w:r>
      <w:bookmarkEnd w:id="0"/>
    </w:p>
    <w:p w14:paraId="4E9D5AC7">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outlineLvl w:val="0"/>
        <w:rPr>
          <w:rFonts w:hint="default" w:ascii="Times New Roman" w:hAnsi="Times New Roman" w:cs="Times New Roman"/>
          <w:b/>
          <w:sz w:val="24"/>
          <w:szCs w:val="24"/>
        </w:rPr>
      </w:pPr>
      <w:bookmarkStart w:id="10" w:name="_Toc20377"/>
      <w:r>
        <w:rPr>
          <w:rFonts w:hint="default" w:ascii="Times New Roman" w:hAnsi="Times New Roman" w:cs="Times New Roman"/>
          <w:b/>
          <w:sz w:val="24"/>
          <w:szCs w:val="24"/>
        </w:rPr>
        <w:t>INTRODUCTION</w:t>
      </w:r>
      <w:bookmarkEnd w:id="10"/>
    </w:p>
    <w:p w14:paraId="05B0724B">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11" w:name="_Toc13047"/>
      <w:r>
        <w:rPr>
          <w:rFonts w:hint="default" w:ascii="Times New Roman" w:hAnsi="Times New Roman" w:cs="Times New Roman"/>
          <w:b/>
          <w:sz w:val="24"/>
          <w:szCs w:val="24"/>
        </w:rPr>
        <w:t xml:space="preserve">1.1 </w:t>
      </w:r>
      <w:r>
        <w:rPr>
          <w:rFonts w:hint="default" w:ascii="Times New Roman" w:hAnsi="Times New Roman" w:cs="Times New Roman"/>
          <w:b/>
          <w:sz w:val="24"/>
          <w:szCs w:val="24"/>
        </w:rPr>
        <w:tab/>
      </w:r>
      <w:r>
        <w:rPr>
          <w:rFonts w:hint="default" w:ascii="Times New Roman" w:hAnsi="Times New Roman" w:cs="Times New Roman"/>
          <w:b/>
          <w:sz w:val="24"/>
          <w:szCs w:val="24"/>
        </w:rPr>
        <w:t>Background to the Study</w:t>
      </w:r>
      <w:bookmarkEnd w:id="11"/>
    </w:p>
    <w:p w14:paraId="5D1D4D3C">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creative industries are a major economic force in Nigeria. However, there have been rapid technological change and this is straining for the existing framework for intellectual property (IP). It has been suggested that copyright-based industries in Nigeria contribute about ₦1.2 trillion (≈US$7.5 billion) annually to the economy.</w:t>
      </w:r>
      <w:r>
        <w:rPr>
          <w:rStyle w:val="10"/>
          <w:rFonts w:hint="default" w:ascii="Times New Roman" w:hAnsi="Times New Roman" w:cs="Times New Roman"/>
          <w:sz w:val="24"/>
          <w:szCs w:val="24"/>
        </w:rPr>
        <w:footnoteReference w:id="0"/>
      </w:r>
      <w:r>
        <w:rPr>
          <w:rFonts w:hint="default" w:ascii="Times New Roman" w:hAnsi="Times New Roman" w:cs="Times New Roman"/>
          <w:sz w:val="24"/>
          <w:szCs w:val="24"/>
        </w:rPr>
        <w:t>However, copyright is not enforced effectively and this has long undermined this potential.</w:t>
      </w:r>
      <w:r>
        <w:rPr>
          <w:rStyle w:val="10"/>
          <w:rFonts w:hint="default" w:ascii="Times New Roman" w:hAnsi="Times New Roman" w:cs="Times New Roman"/>
          <w:sz w:val="24"/>
          <w:szCs w:val="24"/>
        </w:rPr>
        <w:footnoteReference w:id="1"/>
      </w:r>
      <w:r>
        <w:rPr>
          <w:rFonts w:hint="default" w:ascii="Times New Roman" w:hAnsi="Times New Roman" w:cs="Times New Roman"/>
          <w:sz w:val="24"/>
          <w:szCs w:val="24"/>
        </w:rPr>
        <w:t>At the same time, artificial intelligence (AI) technologies are transforming how works are created and distributed. AI is “more than just a technological shift.” It is a strategic opportunity to accelerate inclusive growth. In Nigeria, the government has launched ambitious initiatives and even a National AI Strategy to spur innovation.</w:t>
      </w:r>
      <w:r>
        <w:rPr>
          <w:rStyle w:val="10"/>
          <w:rFonts w:hint="default" w:ascii="Times New Roman" w:hAnsi="Times New Roman" w:cs="Times New Roman"/>
          <w:sz w:val="24"/>
          <w:szCs w:val="24"/>
        </w:rPr>
        <w:footnoteReference w:id="2"/>
      </w:r>
      <w:r>
        <w:rPr>
          <w:rFonts w:hint="default" w:ascii="Times New Roman" w:hAnsi="Times New Roman" w:cs="Times New Roman"/>
          <w:sz w:val="24"/>
          <w:szCs w:val="24"/>
        </w:rPr>
        <w:t xml:space="preserve">Nigerian entrepreneurs are deploying AI in numerous sectors. Hence,AI is poised to grow the digital economy in Nigeria. However, it poses novel questions for the legal system in Nigeria. Traditional copyright law grants exclusive rights to human creators over literary and artistic works. However, AI blurs these categories. Works may now be generated autonomously by algorithms. In addition, AI systems themselves use massive pools of copyrighted material for training. </w:t>
      </w:r>
    </w:p>
    <w:p w14:paraId="4828D428">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The copyright regime in Nigeria has also evolved. In 2023, Nigeria enacted the Copyright Act, 2022 (Act No.8), which repealed and re-enacted the prior law,</w:t>
      </w:r>
      <w:r>
        <w:rPr>
          <w:rStyle w:val="15"/>
          <w:rFonts w:hint="default" w:ascii="Times New Roman" w:hAnsi="Times New Roman" w:cs="Times New Roman"/>
          <w:b w:val="0"/>
          <w:bCs w:val="0"/>
          <w:sz w:val="24"/>
          <w:szCs w:val="24"/>
        </w:rPr>
        <w:t xml:space="preserve"> Copyright Act, Cap. C28, Laws of the Federation of Nigeria (LFN) 2004</w:t>
      </w:r>
      <w:bookmarkStart w:id="60" w:name="_GoBack"/>
      <w:bookmarkEnd w:id="60"/>
      <w:r>
        <w:rPr>
          <w:rFonts w:hint="default" w:ascii="Times New Roman" w:hAnsi="Times New Roman" w:eastAsia="Times New Roman" w:cs="Times New Roman"/>
          <w:sz w:val="24"/>
          <w:szCs w:val="24"/>
        </w:rPr>
        <w:t>.</w:t>
      </w:r>
      <w:r>
        <w:rPr>
          <w:rFonts w:hint="default" w:ascii="Times New Roman" w:hAnsi="Times New Roman" w:cs="Times New Roman"/>
          <w:sz w:val="24"/>
          <w:szCs w:val="24"/>
        </w:rPr>
        <w:t xml:space="preserve"> The new Act expands protection to online works. In addition, it incorporates recent international standards. Commentators warn that the Act still needs an “overhaul” to meet the challenges of the digital era. Notably, the Act explicitly requires an </w:t>
      </w:r>
      <w:r>
        <w:rPr>
          <w:rFonts w:hint="default" w:ascii="Times New Roman" w:hAnsi="Times New Roman" w:cs="Times New Roman"/>
          <w:i/>
          <w:iCs/>
          <w:sz w:val="24"/>
          <w:szCs w:val="24"/>
        </w:rPr>
        <w:t>“author”</w:t>
      </w:r>
      <w:r>
        <w:rPr>
          <w:rFonts w:hint="default" w:ascii="Times New Roman" w:hAnsi="Times New Roman" w:cs="Times New Roman"/>
          <w:sz w:val="24"/>
          <w:szCs w:val="24"/>
        </w:rPr>
        <w:t xml:space="preserve"> to be a “person.”, thereby excluding non-human authorship. On this ground, the Nigerian Copyright Commission (NCC) has intensified anti-piracy drives.</w:t>
      </w:r>
      <w:r>
        <w:rPr>
          <w:rStyle w:val="10"/>
          <w:rFonts w:hint="default" w:ascii="Times New Roman" w:hAnsi="Times New Roman" w:cs="Times New Roman"/>
          <w:sz w:val="24"/>
          <w:szCs w:val="24"/>
        </w:rPr>
        <w:footnoteReference w:id="3"/>
      </w:r>
      <w:r>
        <w:rPr>
          <w:rFonts w:hint="default" w:ascii="Times New Roman" w:hAnsi="Times New Roman" w:cs="Times New Roman"/>
          <w:sz w:val="24"/>
          <w:szCs w:val="24"/>
        </w:rPr>
        <w:t xml:space="preserve"> As Andem observes, “mass adoption [of AI] raises novel legal questions vis-à-vis existing copyright regulations in Nigeria”</w:t>
      </w:r>
      <w:r>
        <w:rPr>
          <w:rStyle w:val="10"/>
          <w:rFonts w:hint="default" w:ascii="Times New Roman" w:hAnsi="Times New Roman" w:cs="Times New Roman"/>
          <w:sz w:val="24"/>
          <w:szCs w:val="24"/>
        </w:rPr>
        <w:footnoteReference w:id="4"/>
      </w:r>
      <w:r>
        <w:rPr>
          <w:rFonts w:hint="default" w:ascii="Times New Roman" w:hAnsi="Times New Roman" w:cs="Times New Roman"/>
          <w:sz w:val="24"/>
          <w:szCs w:val="24"/>
        </w:rPr>
        <w:t xml:space="preserve"> Generative AI models can create images, music, or text with minimal human input.</w:t>
      </w:r>
      <w:r>
        <w:rPr>
          <w:rFonts w:hint="default" w:ascii="Times New Roman" w:hAnsi="Times New Roman" w:cs="Times New Roman"/>
          <w:bCs/>
          <w:i/>
          <w:sz w:val="24"/>
          <w:szCs w:val="24"/>
        </w:rPr>
        <w:t>Who, if anyone, holds copyright in such AI-generated works? Additionally, these models are trained on enormous datasets, potentially including copyrighted material. Does using copyrighted works as training data constitute infringement?</w:t>
      </w:r>
      <w:r>
        <w:rPr>
          <w:rFonts w:hint="default" w:ascii="Times New Roman" w:hAnsi="Times New Roman" w:cs="Times New Roman"/>
          <w:bCs/>
          <w:sz w:val="24"/>
          <w:szCs w:val="24"/>
        </w:rPr>
        <w:t xml:space="preserve"> Nigerian law has no specific provisions for AI. Therefore, courts and policymakers may have to extrapolate from existing rules.</w:t>
      </w:r>
    </w:p>
    <w:p w14:paraId="615FE8CF">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12" w:name="_Toc3662"/>
      <w:r>
        <w:rPr>
          <w:rFonts w:hint="default" w:ascii="Times New Roman" w:hAnsi="Times New Roman" w:cs="Times New Roman"/>
          <w:b/>
          <w:sz w:val="24"/>
          <w:szCs w:val="24"/>
        </w:rPr>
        <w:t xml:space="preserve">1.2 </w:t>
      </w:r>
      <w:r>
        <w:rPr>
          <w:rFonts w:hint="default" w:ascii="Times New Roman" w:hAnsi="Times New Roman" w:cs="Times New Roman"/>
          <w:b/>
          <w:sz w:val="24"/>
          <w:szCs w:val="24"/>
        </w:rPr>
        <w:tab/>
      </w:r>
      <w:r>
        <w:rPr>
          <w:rFonts w:hint="default" w:ascii="Times New Roman" w:hAnsi="Times New Roman" w:cs="Times New Roman"/>
          <w:b/>
          <w:sz w:val="24"/>
          <w:szCs w:val="24"/>
        </w:rPr>
        <w:t>Statement of the Problem</w:t>
      </w:r>
      <w:bookmarkEnd w:id="12"/>
    </w:p>
    <w:p w14:paraId="377324B7">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In 2022, Nigeria enacted the Copyright Act 2022. It stipulates stricter penalties and mandates for law enforcement. However, they have not been enforced effectively in the pre-AI digital era.</w:t>
      </w:r>
      <w:r>
        <w:rPr>
          <w:rStyle w:val="10"/>
          <w:rFonts w:hint="default" w:ascii="Times New Roman" w:hAnsi="Times New Roman" w:cs="Times New Roman"/>
          <w:sz w:val="24"/>
          <w:szCs w:val="24"/>
        </w:rPr>
        <w:footnoteReference w:id="5"/>
      </w:r>
      <w:r>
        <w:rPr>
          <w:rFonts w:hint="default" w:ascii="Times New Roman" w:hAnsi="Times New Roman" w:cs="Times New Roman"/>
          <w:sz w:val="24"/>
          <w:szCs w:val="24"/>
        </w:rPr>
        <w:t>Notably, this legislation was enacted before the AI boom and thus contains no tailored rules for AI-generated works or AI use. As a result, applying the law to AI contexts is uncertain.</w:t>
      </w:r>
      <w:r>
        <w:rPr>
          <w:rStyle w:val="10"/>
          <w:rFonts w:hint="default" w:ascii="Times New Roman" w:hAnsi="Times New Roman" w:cs="Times New Roman"/>
          <w:sz w:val="24"/>
          <w:szCs w:val="24"/>
        </w:rPr>
        <w:footnoteReference w:id="6"/>
      </w:r>
      <w:r>
        <w:rPr>
          <w:rFonts w:hint="default" w:ascii="Times New Roman" w:hAnsi="Times New Roman" w:cs="Times New Roman"/>
          <w:sz w:val="24"/>
          <w:szCs w:val="24"/>
        </w:rPr>
        <w:t xml:space="preserve">AI blurs traditional concepts of copyright. Under Nigerian law an </w:t>
      </w:r>
      <w:r>
        <w:rPr>
          <w:rFonts w:hint="default" w:ascii="Times New Roman" w:hAnsi="Times New Roman" w:cs="Times New Roman"/>
          <w:i/>
          <w:iCs/>
          <w:sz w:val="24"/>
          <w:szCs w:val="24"/>
        </w:rPr>
        <w:t>“author”</w:t>
      </w:r>
      <w:r>
        <w:rPr>
          <w:rFonts w:hint="default" w:ascii="Times New Roman" w:hAnsi="Times New Roman" w:cs="Times New Roman"/>
          <w:sz w:val="24"/>
          <w:szCs w:val="24"/>
        </w:rPr>
        <w:t xml:space="preserve"> is defined as the person who created a work. An AI machine cannot currently be an author by that definition. If an AI generates a painting or a novel, it is unclear who (if anyone) owns the copyright. And if an AI is trained on copyrighted data, Nigerian courts have no precedent on whether that use infringes or might be fair-dealing. Adegoke</w:t>
      </w:r>
      <w:r>
        <w:rPr>
          <w:rStyle w:val="10"/>
          <w:rFonts w:hint="default" w:ascii="Times New Roman" w:hAnsi="Times New Roman" w:cs="Times New Roman"/>
          <w:sz w:val="24"/>
          <w:szCs w:val="24"/>
        </w:rPr>
        <w:footnoteReference w:id="7"/>
      </w:r>
      <w:r>
        <w:rPr>
          <w:rFonts w:hint="default" w:ascii="Times New Roman" w:hAnsi="Times New Roman" w:cs="Times New Roman"/>
          <w:sz w:val="24"/>
          <w:szCs w:val="24"/>
        </w:rPr>
        <w:t>suggests that even “large-scale AI data usage” may fall outside traditional exceptions. In fact, Andem</w:t>
      </w:r>
      <w:r>
        <w:rPr>
          <w:rStyle w:val="10"/>
          <w:rFonts w:hint="default" w:ascii="Times New Roman" w:hAnsi="Times New Roman" w:cs="Times New Roman"/>
          <w:sz w:val="24"/>
          <w:szCs w:val="24"/>
        </w:rPr>
        <w:footnoteReference w:id="8"/>
      </w:r>
      <w:r>
        <w:rPr>
          <w:rFonts w:hint="default" w:ascii="Times New Roman" w:hAnsi="Times New Roman" w:cs="Times New Roman"/>
          <w:sz w:val="24"/>
          <w:szCs w:val="24"/>
        </w:rPr>
        <w:t xml:space="preserve"> argues that “in the majority of cases, AI generated content does not infringe on the copyright of authors” whose works were used in training.</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Critically, if this conclusion is adopted, it may undermine many claims of infringement. Conversely, if Nigeria were to follow a strict U.S. style/approach, widespread AI training might run afoul of copyright. The law is not clear in either direction.</w:t>
      </w:r>
    </w:p>
    <w:p w14:paraId="57546050">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Furthermore, it is difficult to identify and prove AI based infringement. AI models are often opaque. This makes it hard to trace which data they used or whether any output copies a specific work. The questions of Jurisdiction arise if AI services are hosted abroad.</w:t>
      </w:r>
      <w:r>
        <w:rPr>
          <w:rStyle w:val="10"/>
          <w:rFonts w:hint="default" w:ascii="Times New Roman" w:hAnsi="Times New Roman" w:cs="Times New Roman"/>
          <w:sz w:val="24"/>
          <w:szCs w:val="24"/>
        </w:rPr>
        <w:footnoteReference w:id="9"/>
      </w:r>
      <w:r>
        <w:rPr>
          <w:rFonts w:hint="default" w:ascii="Times New Roman" w:hAnsi="Times New Roman" w:cs="Times New Roman"/>
          <w:sz w:val="24"/>
          <w:szCs w:val="24"/>
        </w:rPr>
        <w:t>Moreover, the courts in Nigeria have limited specialised IP benches. In addition, few judges have encountered AI issues. This creates delays and unpredictability in enforcement.Finally, the enforcement agencies in Nigeria may be unprepared. The Nigerian Copyright Commission (NCC) lacks the forensic technology to detect AIgenerated piracy or AI misuse of content. Enforcement bodies are already “faced with a plethora of challenges.” This includes poor funding and coordination.</w:t>
      </w:r>
      <w:r>
        <w:rPr>
          <w:rStyle w:val="10"/>
          <w:rFonts w:hint="default" w:ascii="Times New Roman" w:hAnsi="Times New Roman" w:cs="Times New Roman"/>
          <w:sz w:val="24"/>
          <w:szCs w:val="24"/>
        </w:rPr>
        <w:footnoteReference w:id="10"/>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Other agencies with tangential authority (the National Information Technology Development Agency (NITDA) and the National</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Data Protection Commission (NDPC)) have their own mandates and they may not coordinate effectively on copyright issues.</w:t>
      </w:r>
    </w:p>
    <w:p w14:paraId="5AFFC31D">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In the absence of targeted scholarly analysis, it remains unclear whether current copyright regime in Nigeria can effectively regulate AIdriven creation, or what specific reforms are required. There is a gap in knowledge and this creates a risk which</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stakeholders will respond to on an ad hoc basis. Accordingly, there is a pressing need to critically examine how copyright laws and enforcement mechanisms in Nigeria should evolve to strike an appropriate balance between safeguarding the rights of authors and also encouraging technological progress in the age of AI.</w:t>
      </w:r>
    </w:p>
    <w:p w14:paraId="20ED1883">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13" w:name="_Toc24675"/>
      <w:r>
        <w:rPr>
          <w:rFonts w:hint="default" w:ascii="Times New Roman" w:hAnsi="Times New Roman" w:cs="Times New Roman"/>
          <w:b/>
          <w:sz w:val="24"/>
          <w:szCs w:val="24"/>
        </w:rPr>
        <w:t xml:space="preserve">1.3 </w:t>
      </w:r>
      <w:r>
        <w:rPr>
          <w:rFonts w:hint="default" w:ascii="Times New Roman" w:hAnsi="Times New Roman" w:cs="Times New Roman"/>
          <w:b/>
          <w:sz w:val="24"/>
          <w:szCs w:val="24"/>
        </w:rPr>
        <w:tab/>
      </w:r>
      <w:r>
        <w:rPr>
          <w:rFonts w:hint="default" w:ascii="Times New Roman" w:hAnsi="Times New Roman" w:cs="Times New Roman"/>
          <w:b/>
          <w:sz w:val="24"/>
          <w:szCs w:val="24"/>
        </w:rPr>
        <w:t>Research Questions</w:t>
      </w:r>
      <w:bookmarkEnd w:id="13"/>
    </w:p>
    <w:p w14:paraId="42D21F6C">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To address these issues, this study will focus on the following research questions:</w:t>
      </w:r>
    </w:p>
    <w:p w14:paraId="120C572A">
      <w:pPr>
        <w:pStyle w:val="19"/>
        <w:keepNext w:val="0"/>
        <w:keepLines w:val="0"/>
        <w:pageBreakBefore w:val="0"/>
        <w:widowControl/>
        <w:numPr>
          <w:ilvl w:val="0"/>
          <w:numId w:val="1"/>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What legislative and institutional frameworks currently govern copyright enforcement in the era of artificial intelligence in Nigeria?</w:t>
      </w:r>
    </w:p>
    <w:p w14:paraId="7E78B36E">
      <w:pPr>
        <w:pStyle w:val="19"/>
        <w:keepNext w:val="0"/>
        <w:keepLines w:val="0"/>
        <w:pageBreakBefore w:val="0"/>
        <w:widowControl/>
        <w:numPr>
          <w:ilvl w:val="0"/>
          <w:numId w:val="1"/>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What are the challenges to copyright enforcement in the era of artificial intelligence in Nigeria?</w:t>
      </w:r>
    </w:p>
    <w:p w14:paraId="7788869B">
      <w:pPr>
        <w:pStyle w:val="19"/>
        <w:keepNext w:val="0"/>
        <w:keepLines w:val="0"/>
        <w:pageBreakBefore w:val="0"/>
        <w:widowControl/>
        <w:numPr>
          <w:ilvl w:val="0"/>
          <w:numId w:val="1"/>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What measures can effectively mitigate the challenges of copyright enforcement in the era of artificial intelligence in Nigeria?</w:t>
      </w:r>
    </w:p>
    <w:p w14:paraId="4BA0EE0E">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14" w:name="_Toc8328"/>
      <w:r>
        <w:rPr>
          <w:rFonts w:hint="default" w:ascii="Times New Roman" w:hAnsi="Times New Roman" w:cs="Times New Roman"/>
          <w:b/>
          <w:sz w:val="24"/>
          <w:szCs w:val="24"/>
        </w:rPr>
        <w:t xml:space="preserve">1.4 </w:t>
      </w:r>
      <w:r>
        <w:rPr>
          <w:rFonts w:hint="default" w:ascii="Times New Roman" w:hAnsi="Times New Roman" w:cs="Times New Roman"/>
          <w:b/>
          <w:sz w:val="24"/>
          <w:szCs w:val="24"/>
        </w:rPr>
        <w:tab/>
      </w:r>
      <w:r>
        <w:rPr>
          <w:rFonts w:hint="default" w:ascii="Times New Roman" w:hAnsi="Times New Roman" w:cs="Times New Roman"/>
          <w:b/>
          <w:sz w:val="24"/>
          <w:szCs w:val="24"/>
        </w:rPr>
        <w:t>Aim and Objectives of the Research</w:t>
      </w:r>
      <w:bookmarkEnd w:id="14"/>
    </w:p>
    <w:p w14:paraId="77D971C3">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aim of this study is to assess the challenges of copyright enforcement in the era of artificial intelligence in Nigeria.</w:t>
      </w:r>
    </w:p>
    <w:p w14:paraId="6BEE4E82">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specific objectives are</w:t>
      </w:r>
    </w:p>
    <w:p w14:paraId="3046B70E">
      <w:pPr>
        <w:pStyle w:val="19"/>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To examine the legislative and institutional framework for copyright enforcement in the era of artificial intelligence in Nigeria.</w:t>
      </w:r>
    </w:p>
    <w:p w14:paraId="23E9683C">
      <w:pPr>
        <w:pStyle w:val="19"/>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To assess the challenges of copyright enforcement in the era of artificial intelligence in Nigeria.</w:t>
      </w:r>
    </w:p>
    <w:p w14:paraId="234CB9D2">
      <w:pPr>
        <w:pStyle w:val="19"/>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sz w:val="24"/>
          <w:szCs w:val="24"/>
        </w:rPr>
      </w:pPr>
      <w:r>
        <w:rPr>
          <w:rFonts w:hint="default" w:ascii="Times New Roman" w:hAnsi="Times New Roman" w:cs="Times New Roman"/>
          <w:sz w:val="24"/>
          <w:szCs w:val="24"/>
        </w:rPr>
        <w:t>To provide recommendations to mitigate the challenges of copyright enforcement in the era of artificial intelligence in Nigeria.</w:t>
      </w:r>
    </w:p>
    <w:p w14:paraId="51817824">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15" w:name="_Toc21722"/>
      <w:r>
        <w:rPr>
          <w:rFonts w:hint="default" w:ascii="Times New Roman" w:hAnsi="Times New Roman" w:cs="Times New Roman"/>
          <w:b/>
          <w:sz w:val="24"/>
          <w:szCs w:val="24"/>
        </w:rPr>
        <w:t xml:space="preserve">1.5 </w:t>
      </w:r>
      <w:r>
        <w:rPr>
          <w:rFonts w:hint="default" w:ascii="Times New Roman" w:hAnsi="Times New Roman" w:cs="Times New Roman"/>
          <w:b/>
          <w:sz w:val="24"/>
          <w:szCs w:val="24"/>
        </w:rPr>
        <w:tab/>
      </w:r>
      <w:r>
        <w:rPr>
          <w:rFonts w:hint="default" w:ascii="Times New Roman" w:hAnsi="Times New Roman" w:cs="Times New Roman"/>
          <w:b/>
          <w:sz w:val="24"/>
          <w:szCs w:val="24"/>
        </w:rPr>
        <w:t>Research Methodology</w:t>
      </w:r>
      <w:bookmarkEnd w:id="15"/>
    </w:p>
    <w:p w14:paraId="6EEAE886">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research adopts the doctrinal research methodology. The research will therefore rely entirely on </w:t>
      </w:r>
      <w:r>
        <w:rPr>
          <w:rFonts w:hint="default" w:ascii="Times New Roman" w:hAnsi="Times New Roman" w:cs="Times New Roman"/>
          <w:bCs/>
          <w:sz w:val="24"/>
          <w:szCs w:val="24"/>
        </w:rPr>
        <w:t>secondary data. This is</w:t>
      </w:r>
      <w:r>
        <w:rPr>
          <w:rFonts w:hint="default" w:ascii="Times New Roman" w:hAnsi="Times New Roman" w:cs="Times New Roman"/>
          <w:sz w:val="24"/>
          <w:szCs w:val="24"/>
        </w:rPr>
        <w:t xml:space="preserve"> obtained from law reports, textbooks, journals, articles, international conventions, policy documents, official reports, and credible online legal databases. The information will be collected through library and desktop research. It will be subjected to </w:t>
      </w:r>
      <w:r>
        <w:rPr>
          <w:rFonts w:hint="default" w:ascii="Times New Roman" w:hAnsi="Times New Roman" w:cs="Times New Roman"/>
          <w:bCs/>
          <w:sz w:val="24"/>
          <w:szCs w:val="24"/>
        </w:rPr>
        <w:t>qualitative content analysis</w:t>
      </w:r>
      <w:r>
        <w:rPr>
          <w:rFonts w:hint="default" w:ascii="Times New Roman" w:hAnsi="Times New Roman" w:cs="Times New Roman"/>
          <w:sz w:val="24"/>
          <w:szCs w:val="24"/>
        </w:rPr>
        <w:t>. The doctrinal methodology is practicably suitable forthis research for several reasons. First, the research questions are essentially normative and doctrinal. The doctrinal research is the most appropriate method for answering such questions. This is because it focuses on what the law “is” and what it “ought to be” based on established legal principles and authorities.Doctrinal research systemically analyses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legislative instruments. Hence, the researcher can identify internal inconsistencies, gaps, overlaps or ambiguities in the law governing copyright and AI in Nigeria. Doctrinal research is realistic and manageable within the time and resource constraints of an undergraduate project. It does not require fieldwork or interviews.However, doctrinal research has some limitations. Since it is not empirical, it does directly capture how copyright laws and enforcement mechanisms operate “on that ground.” Findings are inferred from existing literatures and legal text.This study will mitigate these weaknesses by meticulously selecting</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sources of literature.</w:t>
      </w:r>
    </w:p>
    <w:p w14:paraId="44E748A7">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16" w:name="_Toc20947"/>
      <w:r>
        <w:rPr>
          <w:rFonts w:hint="default" w:ascii="Times New Roman" w:hAnsi="Times New Roman" w:cs="Times New Roman"/>
          <w:b/>
          <w:sz w:val="24"/>
          <w:szCs w:val="24"/>
        </w:rPr>
        <w:t xml:space="preserve">1.6 </w:t>
      </w:r>
      <w:r>
        <w:rPr>
          <w:rFonts w:hint="default" w:ascii="Times New Roman" w:hAnsi="Times New Roman" w:cs="Times New Roman"/>
          <w:b/>
          <w:sz w:val="24"/>
          <w:szCs w:val="24"/>
        </w:rPr>
        <w:tab/>
      </w:r>
      <w:r>
        <w:rPr>
          <w:rFonts w:hint="default" w:ascii="Times New Roman" w:hAnsi="Times New Roman" w:cs="Times New Roman"/>
          <w:b/>
          <w:sz w:val="24"/>
          <w:szCs w:val="24"/>
        </w:rPr>
        <w:t>Scope of the Study</w:t>
      </w:r>
      <w:bookmarkEnd w:id="16"/>
    </w:p>
    <w:p w14:paraId="77DAFEC3">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This research is bounded in several ways. Geographically, it focuses on legal framework and institutions for copyright enforcement in Nigeria. International treaties and foreign cases are considered. However, they are comparative or interpretive tools. The research covers a contemporary period up to 2025. Furthermore, the study is limited to copyright law (literary and artistic works). It does not cover patents or trademarks, except insofar as national agencies might have overlapping ICT mandates. Evidently, data protection and cybercrime laws intersect with digital content. However, these are treated only in their relationship to copyright and not as independent fields. Most importantly, this is a legal research that focuses on</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the law and policy</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on</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I.P where it will not delve into the engineering of AI systems but it will explore concepts in</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AI in order to illustrate legal points. </w:t>
      </w:r>
    </w:p>
    <w:p w14:paraId="276C85B6">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17" w:name="_Toc25739"/>
      <w:r>
        <w:rPr>
          <w:rFonts w:hint="default" w:ascii="Times New Roman" w:hAnsi="Times New Roman" w:cs="Times New Roman"/>
          <w:b/>
          <w:sz w:val="24"/>
          <w:szCs w:val="24"/>
        </w:rPr>
        <w:t xml:space="preserve">1.7 </w:t>
      </w:r>
      <w:r>
        <w:rPr>
          <w:rFonts w:hint="default" w:ascii="Times New Roman" w:hAnsi="Times New Roman" w:cs="Times New Roman"/>
          <w:b/>
          <w:sz w:val="24"/>
          <w:szCs w:val="24"/>
        </w:rPr>
        <w:tab/>
      </w:r>
      <w:r>
        <w:rPr>
          <w:rFonts w:hint="default" w:ascii="Times New Roman" w:hAnsi="Times New Roman" w:cs="Times New Roman"/>
          <w:b/>
          <w:sz w:val="24"/>
          <w:szCs w:val="24"/>
        </w:rPr>
        <w:t>Significance of the Study</w:t>
      </w:r>
      <w:bookmarkEnd w:id="17"/>
    </w:p>
    <w:p w14:paraId="09526F29">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This study is significant for several reasons. First, it addresses a gap in knowledge. The Copyright Act 2022 is relatively new. It has numerous implications for AI and this has not been explored fully. There is a need to understand how the legislative framework applies. Second, the research has practical importance. Creative economy in Nigeria is a national priority. As the</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World Intellectual Property Organization and the Nigerian Copyright Commission (WIPO-NCC) report notes, harnessing Nigeria’s “enormous potential” in music, film, and publishing requires an environment that safeguards the creators’ rights.</w:t>
      </w:r>
      <w:r>
        <w:rPr>
          <w:rStyle w:val="10"/>
          <w:rFonts w:hint="default" w:ascii="Times New Roman" w:hAnsi="Times New Roman" w:cs="Times New Roman"/>
          <w:sz w:val="24"/>
          <w:szCs w:val="24"/>
        </w:rPr>
        <w:footnoteReference w:id="11"/>
      </w:r>
      <w:r>
        <w:rPr>
          <w:rFonts w:hint="default" w:ascii="Times New Roman" w:hAnsi="Times New Roman" w:cs="Times New Roman"/>
          <w:sz w:val="24"/>
          <w:szCs w:val="24"/>
        </w:rPr>
        <w:t xml:space="preserve"> Hence, there is need to identify how this should be done in the AI era. Finally, the findings would guide lawmakers and regulators. Adegoke</w:t>
      </w:r>
      <w:r>
        <w:rPr>
          <w:rStyle w:val="10"/>
          <w:rFonts w:hint="default" w:ascii="Times New Roman" w:hAnsi="Times New Roman" w:cs="Times New Roman"/>
          <w:sz w:val="24"/>
          <w:szCs w:val="24"/>
        </w:rPr>
        <w:footnoteReference w:id="12"/>
      </w:r>
      <w:r>
        <w:rPr>
          <w:rFonts w:hint="default" w:ascii="Times New Roman" w:hAnsi="Times New Roman" w:cs="Times New Roman"/>
          <w:sz w:val="24"/>
          <w:szCs w:val="24"/>
        </w:rPr>
        <w:t xml:space="preserve"> argues that specific reform would resolve ambiguities in the laws in Nigeria.This research would provide actionable recommendations. In essence, the study will ensure that the copyright system in Nigeria protects creators in the age of AI, and in so doing it will encourage responsible innovation. </w:t>
      </w:r>
    </w:p>
    <w:p w14:paraId="3A7F3BC8">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18" w:name="_Toc18730"/>
      <w:r>
        <w:rPr>
          <w:rFonts w:hint="default" w:ascii="Times New Roman" w:hAnsi="Times New Roman" w:cs="Times New Roman"/>
          <w:b/>
          <w:sz w:val="24"/>
          <w:szCs w:val="24"/>
        </w:rPr>
        <w:t xml:space="preserve">1.8 </w:t>
      </w:r>
      <w:r>
        <w:rPr>
          <w:rFonts w:hint="default" w:ascii="Times New Roman" w:hAnsi="Times New Roman" w:cs="Times New Roman"/>
          <w:b/>
          <w:sz w:val="24"/>
          <w:szCs w:val="24"/>
        </w:rPr>
        <w:tab/>
      </w:r>
      <w:r>
        <w:rPr>
          <w:rFonts w:hint="default" w:ascii="Times New Roman" w:hAnsi="Times New Roman" w:cs="Times New Roman"/>
          <w:b/>
          <w:sz w:val="24"/>
          <w:szCs w:val="24"/>
        </w:rPr>
        <w:t>Literature Review.</w:t>
      </w:r>
      <w:bookmarkEnd w:id="18"/>
    </w:p>
    <w:p w14:paraId="5A20E8DC">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This section reviews recent literature on copyright and artificial intelligence (AI) in Nigeria. It has organised into four themes and they are directly linked to the objectives of this study.</w:t>
      </w:r>
    </w:p>
    <w:p w14:paraId="3B922E11">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Theme 1: Ownership of AI-generated works under Nigerian copyright law</w:t>
      </w:r>
    </w:p>
    <w:p w14:paraId="71FE1C76">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A first cluster of literature focuses on the conceptual and doctrinal questions of whether AI-generated works attract copyright protection and, if so, in whom does it vests. </w:t>
      </w:r>
      <w:r>
        <w:rPr>
          <w:rFonts w:hint="default" w:ascii="Times New Roman" w:hAnsi="Times New Roman" w:cs="Times New Roman"/>
          <w:bCs/>
          <w:sz w:val="24"/>
          <w:szCs w:val="24"/>
        </w:rPr>
        <w:t>Obianyo</w:t>
      </w:r>
      <w:r>
        <w:rPr>
          <w:rStyle w:val="10"/>
          <w:rFonts w:hint="default" w:ascii="Times New Roman" w:hAnsi="Times New Roman" w:cs="Times New Roman"/>
          <w:bCs/>
          <w:sz w:val="24"/>
          <w:szCs w:val="24"/>
        </w:rPr>
        <w:footnoteReference w:id="13"/>
      </w:r>
      <w:r>
        <w:rPr>
          <w:rFonts w:hint="default" w:ascii="Times New Roman" w:hAnsi="Times New Roman" w:cs="Times New Roman"/>
          <w:bCs/>
          <w:sz w:val="24"/>
          <w:szCs w:val="24"/>
        </w:rPr>
        <w:t xml:space="preserve"> </w:t>
      </w:r>
      <w:r>
        <w:rPr>
          <w:rFonts w:hint="default" w:ascii="Times New Roman" w:hAnsi="Times New Roman" w:cs="Times New Roman"/>
          <w:sz w:val="24"/>
          <w:szCs w:val="24"/>
        </w:rPr>
        <w:t>examined the challenges in determining the ownership of AI work under the intellectual property (IP) law in Nigeria.He found that that the Copyright Act 2022, remains firmly anthropocentric. AI systems themselves cannot be authors. Obianyo</w:t>
      </w:r>
      <w:r>
        <w:rPr>
          <w:rStyle w:val="10"/>
          <w:rFonts w:hint="default" w:ascii="Times New Roman" w:hAnsi="Times New Roman" w:cs="Times New Roman"/>
          <w:sz w:val="24"/>
          <w:szCs w:val="24"/>
        </w:rPr>
        <w:footnoteReference w:id="14"/>
      </w:r>
      <w:r>
        <w:rPr>
          <w:rFonts w:hint="default" w:ascii="Times New Roman" w:hAnsi="Times New Roman" w:cs="Times New Roman"/>
          <w:sz w:val="24"/>
          <w:szCs w:val="24"/>
        </w:rPr>
        <w:t xml:space="preserve"> argues that a work may fall outside copyright protection when it is purely generated by AI. This creates a category of “ownerless” works. </w:t>
      </w:r>
      <w:r>
        <w:rPr>
          <w:rFonts w:hint="default" w:ascii="Times New Roman" w:hAnsi="Times New Roman" w:cs="Times New Roman"/>
          <w:bCs/>
          <w:sz w:val="24"/>
          <w:szCs w:val="24"/>
        </w:rPr>
        <w:t xml:space="preserve">These findings have notable limitations. </w:t>
      </w:r>
      <w:r>
        <w:rPr>
          <w:rFonts w:hint="default" w:ascii="Times New Roman" w:hAnsi="Times New Roman" w:cs="Times New Roman"/>
          <w:sz w:val="24"/>
          <w:szCs w:val="24"/>
        </w:rPr>
        <w:t xml:space="preserve">The research is largely theoretical and it does not engage concretely with </w:t>
      </w:r>
      <w:r>
        <w:rPr>
          <w:rFonts w:hint="default" w:ascii="Times New Roman" w:hAnsi="Times New Roman" w:cs="Times New Roman"/>
          <w:bCs/>
          <w:sz w:val="24"/>
          <w:szCs w:val="24"/>
        </w:rPr>
        <w:t>the question of enforcement. Secondly, it does not provide any empirical data. Hence, it may practically guide reforms.</w:t>
      </w:r>
    </w:p>
    <w:p w14:paraId="3C96D659">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Similarly, </w:t>
      </w:r>
      <w:r>
        <w:rPr>
          <w:rFonts w:hint="default" w:ascii="Times New Roman" w:hAnsi="Times New Roman" w:cs="Times New Roman"/>
          <w:bCs/>
          <w:sz w:val="24"/>
          <w:szCs w:val="24"/>
        </w:rPr>
        <w:t>Oloko</w:t>
      </w:r>
      <w:r>
        <w:rPr>
          <w:rStyle w:val="10"/>
          <w:rFonts w:hint="default" w:ascii="Times New Roman" w:hAnsi="Times New Roman" w:cs="Times New Roman"/>
          <w:bCs/>
          <w:sz w:val="24"/>
          <w:szCs w:val="24"/>
        </w:rPr>
        <w:footnoteReference w:id="15"/>
      </w:r>
      <w:r>
        <w:rPr>
          <w:rFonts w:hint="default" w:ascii="Times New Roman" w:hAnsi="Times New Roman" w:cs="Times New Roman"/>
          <w:bCs/>
          <w:sz w:val="24"/>
          <w:szCs w:val="24"/>
        </w:rPr>
        <w:t xml:space="preserve"> </w:t>
      </w:r>
      <w:r>
        <w:rPr>
          <w:rFonts w:hint="default" w:ascii="Times New Roman" w:hAnsi="Times New Roman" w:cs="Times New Roman"/>
          <w:sz w:val="24"/>
          <w:szCs w:val="24"/>
        </w:rPr>
        <w:t>provide a broad legal discourse on how AI interacts with IP rights in Nigeria.  He assessed whether existing provisions sufficiently cover AI-generated works.</w:t>
      </w:r>
      <w:r>
        <w:rPr>
          <w:rFonts w:hint="default" w:ascii="Times New Roman" w:hAnsi="Times New Roman" w:cs="Times New Roman"/>
          <w:bCs/>
          <w:sz w:val="24"/>
          <w:szCs w:val="24"/>
        </w:rPr>
        <w:t>He found that</w:t>
      </w:r>
      <w:r>
        <w:rPr>
          <w:rFonts w:hint="default" w:ascii="Times New Roman" w:hAnsi="Times New Roman" w:cs="Times New Roman"/>
          <w:bCs/>
          <w:sz w:val="24"/>
          <w:szCs w:val="24"/>
          <w:lang w:val="en-US"/>
        </w:rPr>
        <w:t xml:space="preserve"> </w:t>
      </w:r>
      <w:r>
        <w:rPr>
          <w:rFonts w:hint="default" w:ascii="Times New Roman" w:hAnsi="Times New Roman" w:cs="Times New Roman"/>
          <w:sz w:val="24"/>
          <w:szCs w:val="24"/>
        </w:rPr>
        <w:t>the Copyright Act was drafted in the “pre-AI” era. It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did not anticipate generative AI. Hence, AI-generated outputs are excluded from copyright. He also observed another challenge. If AI creates content which closely mimics existing works, it is unclear whether this is an infringement or not. Ultimately, Oloko</w:t>
      </w:r>
      <w:r>
        <w:rPr>
          <w:rStyle w:val="10"/>
          <w:rFonts w:hint="default" w:ascii="Times New Roman" w:hAnsi="Times New Roman" w:cs="Times New Roman"/>
          <w:sz w:val="24"/>
          <w:szCs w:val="24"/>
        </w:rPr>
        <w:footnoteReference w:id="16"/>
      </w:r>
      <w:r>
        <w:rPr>
          <w:rFonts w:hint="default" w:ascii="Times New Roman" w:hAnsi="Times New Roman" w:cs="Times New Roman"/>
          <w:sz w:val="24"/>
          <w:szCs w:val="24"/>
        </w:rPr>
        <w:t xml:space="preserve"> recommended that there should be legislative reforms to acknowledge AI-assisted works.This work has notable limitations. It does not delve deeply into the enforcement mechanisms of copyright. It only overviews different branches of IP. Secondly, it is doctrinal and normative. It does not explore how the courts might interpret the Act in AI-related litigations. </w:t>
      </w:r>
    </w:p>
    <w:p w14:paraId="01A9FB5D">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 the same light, </w:t>
      </w:r>
      <w:r>
        <w:rPr>
          <w:rFonts w:hint="default" w:ascii="Times New Roman" w:hAnsi="Times New Roman" w:cs="Times New Roman"/>
          <w:bCs/>
          <w:sz w:val="24"/>
          <w:szCs w:val="24"/>
        </w:rPr>
        <w:t>Andem</w:t>
      </w:r>
      <w:r>
        <w:rPr>
          <w:rStyle w:val="10"/>
          <w:rFonts w:hint="default" w:ascii="Times New Roman" w:hAnsi="Times New Roman" w:cs="Times New Roman"/>
          <w:bCs/>
          <w:sz w:val="24"/>
          <w:szCs w:val="24"/>
        </w:rPr>
        <w:footnoteReference w:id="17"/>
      </w:r>
      <w:r>
        <w:rPr>
          <w:rFonts w:hint="default" w:ascii="Times New Roman" w:hAnsi="Times New Roman" w:cs="Times New Roman"/>
          <w:bCs/>
          <w:sz w:val="24"/>
          <w:szCs w:val="24"/>
        </w:rPr>
        <w:t xml:space="preserve">assessed </w:t>
      </w:r>
      <w:r>
        <w:rPr>
          <w:rFonts w:hint="default" w:ascii="Times New Roman" w:hAnsi="Times New Roman" w:cs="Times New Roman"/>
          <w:sz w:val="24"/>
          <w:szCs w:val="24"/>
        </w:rPr>
        <w:t>whether AI-generated content can be protected by the copyright law in Nigeria. He also assessed whether existing rights are infringed when copyrighted works are used in training data for generative AI. In addition, he assessed who should bear liability when an AI system infringes on copyright. He found that the copyright of AI-works are not protected under a strict reading of the Copyright Act 2022. This is because authorship vests in a person and AI is not a juristic person. He further argues that the training of AI on large datasets may not amount to infringement in many situations. This is evident where outputs are transformative and are not substantially similar to any underlying work. Lastly, Andem found that liability for infringing AI outputs should primarily fall on creators or deployers of AI systems. This work has a notable limitation. It does not sufficiently discuss how enforcement authorities could practically detect and assess AI-related infringements. Hence, the article under-theorises procedural and institutional barriers to enforcement.</w:t>
      </w:r>
    </w:p>
    <w:p w14:paraId="711CC8E4">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Theme 2: AI data-training / fair dealing</w:t>
      </w:r>
    </w:p>
    <w:p w14:paraId="7853D62D">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second group of literature addresses the use of copyrighted works as training data for AI systems. These debates directly influence the scope of what infringement is in the AI context. </w:t>
      </w:r>
      <w:r>
        <w:rPr>
          <w:rFonts w:hint="default" w:ascii="Times New Roman" w:hAnsi="Times New Roman" w:cs="Times New Roman"/>
          <w:bCs/>
          <w:sz w:val="24"/>
          <w:szCs w:val="24"/>
        </w:rPr>
        <w:t>Adégòkè</w:t>
      </w:r>
      <w:r>
        <w:rPr>
          <w:rStyle w:val="10"/>
          <w:rFonts w:hint="default" w:ascii="Times New Roman" w:hAnsi="Times New Roman" w:cs="Times New Roman"/>
          <w:bCs/>
          <w:sz w:val="24"/>
          <w:szCs w:val="24"/>
        </w:rPr>
        <w:footnoteReference w:id="18"/>
      </w:r>
      <w:r>
        <w:rPr>
          <w:rFonts w:hint="default" w:ascii="Times New Roman" w:hAnsi="Times New Roman" w:cs="Times New Roman"/>
          <w:bCs/>
          <w:sz w:val="24"/>
          <w:szCs w:val="24"/>
        </w:rPr>
        <w:t xml:space="preserve"> </w:t>
      </w:r>
      <w:r>
        <w:rPr>
          <w:rFonts w:hint="default" w:ascii="Times New Roman" w:hAnsi="Times New Roman" w:cs="Times New Roman"/>
          <w:sz w:val="24"/>
          <w:szCs w:val="24"/>
        </w:rPr>
        <w:t>examined how the provisions for fair dealing in the Copyright Act 2022 affect generative AI technologies. He assessed whether large-scale scraping and ingestion of copyrighted content to train AI models can be accommodated within existing exceptions. Adégòkè found that there are exceptions for fair dealings under the Copyright Act 2022 and they were designed for human-scale uses. Hence, they are ill-suited to automated large-scale AI training</w:t>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Adégòkè</w:t>
      </w:r>
      <w:r>
        <w:rPr>
          <w:rStyle w:val="10"/>
          <w:rFonts w:hint="default" w:ascii="Times New Roman" w:hAnsi="Times New Roman" w:cs="Times New Roman"/>
          <w:sz w:val="24"/>
          <w:szCs w:val="24"/>
        </w:rPr>
        <w:footnoteReference w:id="19"/>
      </w:r>
      <w:r>
        <w:rPr>
          <w:rFonts w:hint="default" w:ascii="Times New Roman" w:hAnsi="Times New Roman" w:cs="Times New Roman"/>
          <w:sz w:val="24"/>
          <w:szCs w:val="24"/>
        </w:rPr>
        <w:t xml:space="preserve"> argues that “large-scale AI data usage” typically goes beyond what can reasonably be considered fair dealing. The Act lacks a dedicated text-and-data-mining (TDM) exception similar to those found in EU law. Adegoke</w:t>
      </w:r>
      <w:r>
        <w:rPr>
          <w:rStyle w:val="10"/>
          <w:rFonts w:hint="default" w:ascii="Times New Roman" w:hAnsi="Times New Roman" w:cs="Times New Roman"/>
          <w:sz w:val="24"/>
          <w:szCs w:val="24"/>
        </w:rPr>
        <w:footnoteReference w:id="20"/>
      </w:r>
      <w:r>
        <w:rPr>
          <w:rFonts w:hint="default" w:ascii="Times New Roman" w:hAnsi="Times New Roman" w:cs="Times New Roman"/>
          <w:sz w:val="24"/>
          <w:szCs w:val="24"/>
        </w:rPr>
        <w:t xml:space="preserve"> concludes that current law either leaves AI training in a grey zone or pushes it into the territory of infringement. </w:t>
      </w:r>
      <w:r>
        <w:rPr>
          <w:rFonts w:hint="default" w:ascii="Times New Roman" w:hAnsi="Times New Roman" w:cs="Times New Roman"/>
          <w:bCs/>
          <w:sz w:val="24"/>
          <w:szCs w:val="24"/>
        </w:rPr>
        <w:t>This work has a notable limitation. It</w:t>
      </w:r>
      <w:r>
        <w:rPr>
          <w:rFonts w:hint="default" w:ascii="Times New Roman" w:hAnsi="Times New Roman" w:cs="Times New Roman"/>
          <w:bCs/>
          <w:sz w:val="24"/>
          <w:szCs w:val="24"/>
          <w:lang w:val="en-US"/>
        </w:rPr>
        <w:t xml:space="preserve"> </w:t>
      </w:r>
      <w:r>
        <w:rPr>
          <w:rFonts w:hint="default" w:ascii="Times New Roman" w:hAnsi="Times New Roman" w:cs="Times New Roman"/>
          <w:sz w:val="24"/>
          <w:szCs w:val="24"/>
        </w:rPr>
        <w:t xml:space="preserve">focus on </w:t>
      </w:r>
      <w:r>
        <w:rPr>
          <w:rFonts w:hint="default" w:ascii="Times New Roman" w:hAnsi="Times New Roman" w:cs="Times New Roman"/>
          <w:i/>
          <w:iCs/>
          <w:sz w:val="24"/>
          <w:szCs w:val="24"/>
        </w:rPr>
        <w:t>ex ante</w:t>
      </w:r>
      <w:r>
        <w:rPr>
          <w:rFonts w:hint="default" w:ascii="Times New Roman" w:hAnsi="Times New Roman" w:cs="Times New Roman"/>
          <w:sz w:val="24"/>
          <w:szCs w:val="24"/>
        </w:rPr>
        <w:t xml:space="preserve"> legality and not on</w:t>
      </w:r>
      <w:r>
        <w:rPr>
          <w:rFonts w:hint="default" w:ascii="Times New Roman" w:hAnsi="Times New Roman" w:cs="Times New Roman"/>
          <w:i/>
          <w:iCs/>
          <w:sz w:val="24"/>
          <w:szCs w:val="24"/>
        </w:rPr>
        <w:t>ex post</w:t>
      </w:r>
      <w:r>
        <w:rPr>
          <w:rFonts w:hint="default" w:ascii="Times New Roman" w:hAnsi="Times New Roman" w:cs="Times New Roman"/>
          <w:sz w:val="24"/>
          <w:szCs w:val="24"/>
        </w:rPr>
        <w:t xml:space="preserve"> enforcement. It does not explore how right-holders would obtain evidence that their works were included in opaque training corpora.</w:t>
      </w:r>
    </w:p>
    <w:p w14:paraId="434C719C">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Similarly, </w:t>
      </w:r>
      <w:r>
        <w:rPr>
          <w:rFonts w:hint="default" w:ascii="Times New Roman" w:hAnsi="Times New Roman" w:cs="Times New Roman"/>
          <w:bCs/>
          <w:sz w:val="24"/>
          <w:szCs w:val="24"/>
        </w:rPr>
        <w:t>Okorie</w:t>
      </w:r>
      <w:r>
        <w:rPr>
          <w:rStyle w:val="10"/>
          <w:rFonts w:hint="default" w:ascii="Times New Roman" w:hAnsi="Times New Roman" w:cs="Times New Roman"/>
          <w:bCs/>
          <w:sz w:val="24"/>
          <w:szCs w:val="24"/>
        </w:rPr>
        <w:footnoteReference w:id="21"/>
      </w:r>
      <w:r>
        <w:rPr>
          <w:rFonts w:hint="default" w:ascii="Times New Roman" w:hAnsi="Times New Roman" w:cs="Times New Roman"/>
          <w:bCs/>
          <w:sz w:val="24"/>
          <w:szCs w:val="24"/>
        </w:rPr>
        <w:t xml:space="preserve"> </w:t>
      </w:r>
      <w:r>
        <w:rPr>
          <w:rFonts w:hint="default" w:ascii="Times New Roman" w:hAnsi="Times New Roman" w:cs="Times New Roman"/>
          <w:sz w:val="24"/>
          <w:szCs w:val="24"/>
        </w:rPr>
        <w:t>assessed whether exceptions and limitations in copyright laws in Africa are adequate to support AI innovation while they protect right-holders.</w:t>
      </w:r>
      <w:r>
        <w:rPr>
          <w:rFonts w:hint="default" w:ascii="Times New Roman" w:hAnsi="Times New Roman" w:cs="Times New Roman"/>
          <w:bCs/>
          <w:sz w:val="24"/>
          <w:szCs w:val="24"/>
        </w:rPr>
        <w:t xml:space="preserve">He found that </w:t>
      </w:r>
      <w:r>
        <w:rPr>
          <w:rFonts w:hint="default" w:ascii="Times New Roman" w:hAnsi="Times New Roman" w:cs="Times New Roman"/>
          <w:sz w:val="24"/>
          <w:szCs w:val="24"/>
        </w:rPr>
        <w:t>copyright regimes in Africa are generally conservative. There are only narrow exceptions which rarely mention TDM or computational uses. Okorie</w:t>
      </w:r>
      <w:r>
        <w:rPr>
          <w:rStyle w:val="10"/>
          <w:rFonts w:hint="default" w:ascii="Times New Roman" w:hAnsi="Times New Roman" w:cs="Times New Roman"/>
          <w:sz w:val="24"/>
          <w:szCs w:val="24"/>
        </w:rPr>
        <w:footnoteReference w:id="22"/>
      </w:r>
      <w:r>
        <w:rPr>
          <w:rFonts w:hint="default" w:ascii="Times New Roman" w:hAnsi="Times New Roman" w:cs="Times New Roman"/>
          <w:sz w:val="24"/>
          <w:szCs w:val="24"/>
        </w:rPr>
        <w:t xml:space="preserve"> argues that conservatism stifles local AI innovation. This is because researchers and start-ups would face legal uncertainty when using copyrighted data for model training. He recommended that TDM exceptions should be introduced into the Laws in Nigeria.These findings have notable limitations. First, it treats enforcement in very broad strokes. It assumes that protection is guaranteed once the law is enacted.It does not discuss how regulators in resource-constrained settings could track cross-border AI activities. Secondly, it focuses on multiple countries. Hence, Nigeria is only focused on briefly.  </w:t>
      </w:r>
    </w:p>
    <w:p w14:paraId="66AF51D9">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On the other hand, Cuntz and others</w:t>
      </w:r>
      <w:r>
        <w:rPr>
          <w:rStyle w:val="10"/>
          <w:rFonts w:hint="default" w:ascii="Times New Roman" w:hAnsi="Times New Roman" w:cs="Times New Roman"/>
          <w:sz w:val="24"/>
          <w:szCs w:val="24"/>
        </w:rPr>
        <w:footnoteReference w:id="23"/>
      </w:r>
      <w:r>
        <w:rPr>
          <w:rFonts w:hint="default" w:ascii="Times New Roman" w:hAnsi="Times New Roman" w:cs="Times New Roman"/>
          <w:sz w:val="24"/>
          <w:szCs w:val="24"/>
        </w:rPr>
        <w:t xml:space="preserve"> took an economic perspective on AI and intellectual property. They examined how AI relies on and generates intangible assets. They also assessed how traditional IP regimes (including copyright) are grappling with the “output problem” and the legality of extracting data from the internet for training AI algorithms.They found that that AI raises at least two distinct copyright issues. (1) whether AI-generated outputs are eligible for protection. (2) whether training AI on existing copyrighted materials constitutes infringement. They noted that some TDM exceptions have been widely allowed in high-income jurisdictions. There are also concerns from right-holders when their work is utilised without compensation. Ultimately, the report stresses that policy choices around these questions will significantly influence innovation and market structures.This report has a notable limitation. It offers little guidance on how low-income and middle-income countries like Nigeria should implement or enforce TDM rules.</w:t>
      </w:r>
    </w:p>
    <w:p w14:paraId="6EE3EC6A">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Theme 3: Legislations and Institutions</w:t>
      </w:r>
    </w:p>
    <w:p w14:paraId="38F17EA4">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Under this theme, the legislation and institutions in Nigeria are explored. </w:t>
      </w:r>
      <w:r>
        <w:rPr>
          <w:rFonts w:hint="default" w:ascii="Times New Roman" w:hAnsi="Times New Roman" w:cs="Times New Roman"/>
          <w:bCs/>
          <w:sz w:val="24"/>
          <w:szCs w:val="24"/>
        </w:rPr>
        <w:t>Ojeih</w:t>
      </w:r>
      <w:r>
        <w:rPr>
          <w:rStyle w:val="10"/>
          <w:rFonts w:hint="default" w:ascii="Times New Roman" w:hAnsi="Times New Roman" w:cs="Times New Roman"/>
          <w:bCs/>
          <w:sz w:val="24"/>
          <w:szCs w:val="24"/>
        </w:rPr>
        <w:footnoteReference w:id="24"/>
      </w:r>
      <w:r>
        <w:rPr>
          <w:rFonts w:hint="default" w:ascii="Times New Roman" w:hAnsi="Times New Roman" w:cs="Times New Roman"/>
          <w:bCs/>
          <w:sz w:val="24"/>
          <w:szCs w:val="24"/>
        </w:rPr>
        <w:t xml:space="preserve"> </w:t>
      </w:r>
      <w:r>
        <w:rPr>
          <w:rFonts w:hint="default" w:ascii="Times New Roman" w:hAnsi="Times New Roman" w:cs="Times New Roman"/>
          <w:sz w:val="24"/>
          <w:szCs w:val="24"/>
        </w:rPr>
        <w:t xml:space="preserve">assessed whether the copyright regime in Nigeria promoted technological advancement in the era of AI. They observed that the Act modernised copyright in Nigeria. However, it did not directly address AI. They also found that institutions have limited technical infrastructure. This work has notable limitations. First, it discusses institutions very descriptively. It also did not address how the courts might interpret new statutory concepts in concrete AI cases. In essence, it outlines the challenges superficially. </w:t>
      </w:r>
    </w:p>
    <w:p w14:paraId="23943538">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bCs/>
          <w:sz w:val="24"/>
          <w:szCs w:val="24"/>
        </w:rPr>
        <w:t>On the other hand, Ibe and Udeoji</w:t>
      </w:r>
      <w:r>
        <w:rPr>
          <w:rStyle w:val="10"/>
          <w:rFonts w:hint="default" w:ascii="Times New Roman" w:hAnsi="Times New Roman" w:cs="Times New Roman"/>
          <w:bCs/>
          <w:sz w:val="24"/>
          <w:szCs w:val="24"/>
        </w:rPr>
        <w:footnoteReference w:id="25"/>
      </w:r>
      <w:r>
        <w:rPr>
          <w:rFonts w:hint="default" w:ascii="Times New Roman" w:hAnsi="Times New Roman" w:cs="Times New Roman"/>
          <w:bCs/>
          <w:sz w:val="24"/>
          <w:szCs w:val="24"/>
        </w:rPr>
        <w:t xml:space="preserve"> </w:t>
      </w:r>
      <w:r>
        <w:rPr>
          <w:rFonts w:hint="default" w:ascii="Times New Roman" w:hAnsi="Times New Roman" w:cs="Times New Roman"/>
          <w:sz w:val="24"/>
          <w:szCs w:val="24"/>
        </w:rPr>
        <w:t xml:space="preserve">explored the challenges and prospects in enforcing copyright in Nigeria in an era of AI. They assessed whether existing legal and institutional frameworks are equipped to handle digital piracy and online infringement. They found that </w:t>
      </w:r>
      <w:r>
        <w:rPr>
          <w:rFonts w:hint="default" w:ascii="Times New Roman" w:hAnsi="Times New Roman" w:cs="Times New Roman"/>
          <w:bCs/>
          <w:sz w:val="24"/>
          <w:szCs w:val="24"/>
        </w:rPr>
        <w:t xml:space="preserve">there are numerous challenges in enforcing copyright in Nigeria. They include the following: (i) </w:t>
      </w:r>
      <w:r>
        <w:rPr>
          <w:rFonts w:hint="default" w:ascii="Times New Roman" w:hAnsi="Times New Roman" w:cs="Times New Roman"/>
          <w:sz w:val="24"/>
          <w:szCs w:val="24"/>
        </w:rPr>
        <w:t>weak enforcement capacity (ii) poor funding (iii) limited specialised IP benches, (iv) low public awareness and (v) outdated legislation. This work has notable limitations. It was carried out before 2022. Hence, it does not consider specific provisions of the Copyright Act 2022 or the explosion of generative AI from 2022. It mentioned the “artificial intelligence age.” However this is largely rhetorical. It did not analyse AI technologies. Hence, it does not fully capture specific challenges of AI.</w:t>
      </w:r>
    </w:p>
    <w:p w14:paraId="07CA5E71">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bCs/>
          <w:sz w:val="24"/>
          <w:szCs w:val="24"/>
        </w:rPr>
        <w:t>Collopy</w:t>
      </w:r>
      <w:r>
        <w:rPr>
          <w:rStyle w:val="10"/>
          <w:rFonts w:hint="default" w:ascii="Times New Roman" w:hAnsi="Times New Roman" w:cs="Times New Roman"/>
          <w:bCs/>
          <w:sz w:val="24"/>
          <w:szCs w:val="24"/>
        </w:rPr>
        <w:footnoteReference w:id="26"/>
      </w:r>
      <w:r>
        <w:rPr>
          <w:rFonts w:hint="default" w:ascii="Times New Roman" w:hAnsi="Times New Roman" w:cs="Times New Roman"/>
          <w:bCs/>
          <w:sz w:val="24"/>
          <w:szCs w:val="24"/>
          <w:lang w:val="en-US"/>
        </w:rPr>
        <w:t xml:space="preserve"> </w:t>
      </w:r>
      <w:r>
        <w:rPr>
          <w:rFonts w:hint="default" w:ascii="Times New Roman" w:hAnsi="Times New Roman" w:cs="Times New Roman"/>
          <w:sz w:val="24"/>
          <w:szCs w:val="24"/>
        </w:rPr>
        <w:t>examined how AI can be used for enforcement of IP. In addition, they also discussed the challenges related to AI. They found that AI has been utilised to detect the infringements of copyright. At the same time, they found that AI-generated content multiplies the volume and speed of infringement. This makes traditional methods of enforcement to be inadequate. They recommended that they should invest in AI-driven tools. This would aid monitoring. This work has notable limitations. First, it is global and it does not address Nigeria or the practical barriers that Nigeria faces. In addition, it is largely prescriptive.</w:t>
      </w:r>
    </w:p>
    <w:p w14:paraId="7995D842">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Theme 4: AI, creative industries and gaps in enforcement</w:t>
      </w:r>
    </w:p>
    <w:p w14:paraId="0496598F">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theme examines the practical impact of AI on creative industries in Nigeria. It also examines the challenges in enforcement. </w:t>
      </w:r>
    </w:p>
    <w:p w14:paraId="16F686E9">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bCs/>
          <w:sz w:val="24"/>
          <w:szCs w:val="24"/>
        </w:rPr>
        <w:t>Adejoh</w:t>
      </w:r>
      <w:r>
        <w:rPr>
          <w:rFonts w:hint="default" w:ascii="Times New Roman" w:hAnsi="Times New Roman" w:cs="Times New Roman"/>
          <w:bCs/>
          <w:sz w:val="24"/>
          <w:szCs w:val="24"/>
          <w:lang w:val="en-US"/>
        </w:rPr>
        <w:t xml:space="preserve"> </w:t>
      </w:r>
      <w:r>
        <w:rPr>
          <w:rFonts w:hint="default" w:ascii="Times New Roman" w:hAnsi="Times New Roman" w:cs="Times New Roman"/>
          <w:bCs/>
          <w:sz w:val="24"/>
          <w:szCs w:val="24"/>
        </w:rPr>
        <w:t>and others</w:t>
      </w:r>
      <w:r>
        <w:rPr>
          <w:rStyle w:val="10"/>
          <w:rFonts w:hint="default" w:ascii="Times New Roman" w:hAnsi="Times New Roman" w:cs="Times New Roman"/>
          <w:bCs/>
          <w:sz w:val="24"/>
          <w:szCs w:val="24"/>
        </w:rPr>
        <w:footnoteReference w:id="27"/>
      </w:r>
      <w:r>
        <w:rPr>
          <w:rFonts w:hint="default" w:ascii="Times New Roman" w:hAnsi="Times New Roman" w:cs="Times New Roman"/>
          <w:bCs/>
          <w:sz w:val="24"/>
          <w:szCs w:val="24"/>
        </w:rPr>
        <w:t xml:space="preserve"> </w:t>
      </w:r>
      <w:r>
        <w:rPr>
          <w:rFonts w:hint="default" w:ascii="Times New Roman" w:hAnsi="Times New Roman" w:cs="Times New Roman"/>
          <w:sz w:val="24"/>
          <w:szCs w:val="24"/>
        </w:rPr>
        <w:t>investigated how AI technologies contribute to the infringement of copyright and the loss of revenue in Nollywood industry. They also identify issues that must be addressed to ensure that AI is ethically utilised in film production and distribution.</w:t>
      </w:r>
      <w:r>
        <w:rPr>
          <w:rFonts w:hint="default" w:ascii="Times New Roman" w:hAnsi="Times New Roman" w:cs="Times New Roman"/>
          <w:bCs/>
          <w:sz w:val="24"/>
          <w:szCs w:val="24"/>
        </w:rPr>
        <w:t xml:space="preserve">They found that AI facilitated </w:t>
      </w:r>
      <w:r>
        <w:rPr>
          <w:rFonts w:hint="default" w:ascii="Times New Roman" w:hAnsi="Times New Roman" w:cs="Times New Roman"/>
          <w:sz w:val="24"/>
          <w:szCs w:val="24"/>
        </w:rPr>
        <w:t>unauthorised reproduction, editing and distribution of films. They also found that producers face significant revenue loss attributed to AI-enabled infringement. In addition, they found that many industry players are unaware of the specific legal position of AI. Hence, they are often confused about rights and obligations. This research offers valuable empirical evidence from a key Nigerian sector. However, it has notable limitations. The measures of “revenue loss” are largely self-reported. They may over- or under-estimate the economic impact. In addition, the study does not investigate the internal constraints of enforcement bodies.</w:t>
      </w:r>
    </w:p>
    <w:p w14:paraId="0AA268D2">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bCs/>
          <w:sz w:val="24"/>
          <w:szCs w:val="24"/>
        </w:rPr>
        <w:t>Similarly, Itanyi</w:t>
      </w:r>
      <w:r>
        <w:rPr>
          <w:rStyle w:val="10"/>
          <w:rFonts w:hint="default" w:ascii="Times New Roman" w:hAnsi="Times New Roman" w:cs="Times New Roman"/>
          <w:bCs/>
          <w:sz w:val="24"/>
          <w:szCs w:val="24"/>
        </w:rPr>
        <w:footnoteReference w:id="28"/>
      </w:r>
      <w:r>
        <w:rPr>
          <w:rFonts w:hint="default" w:ascii="Times New Roman" w:hAnsi="Times New Roman" w:cs="Times New Roman"/>
          <w:bCs/>
          <w:sz w:val="24"/>
          <w:szCs w:val="24"/>
        </w:rPr>
        <w:t xml:space="preserve"> </w:t>
      </w:r>
      <w:r>
        <w:rPr>
          <w:rFonts w:hint="default" w:ascii="Times New Roman" w:hAnsi="Times New Roman" w:cs="Times New Roman"/>
          <w:sz w:val="24"/>
          <w:szCs w:val="24"/>
        </w:rPr>
        <w:t xml:space="preserve">explored the impact of AI on the Nollywood industry. They assessed whether existing mechanisms rewarded creators adequately. They found that AI tools improved Nollywood industry. However, the contractual and regulatory frameworks are outdated. Producers and performers lack clear contractual clauses on AI-related use of their works.  Ultimately, they noted that creators may be unable to secure adequate compensation in AI-enhanced productions when there are no mechanisms to enforce copyright. </w:t>
      </w:r>
      <w:r>
        <w:rPr>
          <w:rFonts w:hint="default" w:ascii="Times New Roman" w:hAnsi="Times New Roman" w:cs="Times New Roman"/>
          <w:bCs/>
          <w:sz w:val="24"/>
          <w:szCs w:val="24"/>
        </w:rPr>
        <w:t xml:space="preserve">This work has notable limitations. It is not robust in </w:t>
      </w:r>
      <w:r>
        <w:rPr>
          <w:rFonts w:hint="default" w:ascii="Times New Roman" w:hAnsi="Times New Roman" w:cs="Times New Roman"/>
          <w:sz w:val="24"/>
          <w:szCs w:val="24"/>
        </w:rPr>
        <w:t xml:space="preserve">legal analysis. It is largely descriptive. It did not discuss how courts or the NCC might address disputes over AI-related exploitation of performances. It also does not examine performer’s rights or neighbouring rights under the Copyright Act 2022. </w:t>
      </w:r>
    </w:p>
    <w:p w14:paraId="139C0168">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bCs/>
          <w:sz w:val="24"/>
          <w:szCs w:val="24"/>
        </w:rPr>
        <w:t>Çebi and others</w:t>
      </w:r>
      <w:r>
        <w:rPr>
          <w:rStyle w:val="10"/>
          <w:rFonts w:hint="default" w:ascii="Times New Roman" w:hAnsi="Times New Roman" w:cs="Times New Roman"/>
          <w:bCs/>
          <w:sz w:val="24"/>
          <w:szCs w:val="24"/>
        </w:rPr>
        <w:footnoteReference w:id="29"/>
      </w:r>
      <w:r>
        <w:rPr>
          <w:rFonts w:hint="default" w:ascii="Times New Roman" w:hAnsi="Times New Roman" w:cs="Times New Roman"/>
          <w:bCs/>
          <w:sz w:val="24"/>
          <w:szCs w:val="24"/>
        </w:rPr>
        <w:t xml:space="preserve"> analyse the</w:t>
      </w:r>
      <w:r>
        <w:rPr>
          <w:rFonts w:hint="default" w:ascii="Times New Roman" w:hAnsi="Times New Roman" w:cs="Times New Roman"/>
          <w:bCs/>
          <w:sz w:val="24"/>
          <w:szCs w:val="24"/>
          <w:lang w:val="en-US"/>
        </w:rPr>
        <w:t xml:space="preserve"> </w:t>
      </w:r>
      <w:r>
        <w:rPr>
          <w:rFonts w:hint="default" w:ascii="Times New Roman" w:hAnsi="Times New Roman" w:cs="Times New Roman"/>
          <w:sz w:val="24"/>
          <w:szCs w:val="24"/>
        </w:rPr>
        <w:t>influence of AI on copyright law generally. It synthesises global developments around AI-generated content.</w:t>
      </w:r>
      <w:r>
        <w:rPr>
          <w:rFonts w:hint="default" w:ascii="Times New Roman" w:hAnsi="Times New Roman" w:cs="Times New Roman"/>
          <w:sz w:val="24"/>
          <w:szCs w:val="24"/>
          <w:lang w:val="en-US"/>
        </w:rPr>
        <w:t xml:space="preserve"> </w:t>
      </w:r>
      <w:r>
        <w:rPr>
          <w:rFonts w:hint="default" w:ascii="Times New Roman" w:hAnsi="Times New Roman" w:cs="Times New Roman"/>
          <w:bCs/>
          <w:sz w:val="24"/>
          <w:szCs w:val="24"/>
        </w:rPr>
        <w:t>They found that</w:t>
      </w:r>
      <w:r>
        <w:rPr>
          <w:rFonts w:hint="default" w:ascii="Times New Roman" w:hAnsi="Times New Roman" w:cs="Times New Roman"/>
          <w:bCs/>
          <w:sz w:val="24"/>
          <w:szCs w:val="24"/>
          <w:lang w:val="en-US"/>
        </w:rPr>
        <w:t xml:space="preserve"> </w:t>
      </w:r>
      <w:r>
        <w:rPr>
          <w:rFonts w:hint="default" w:ascii="Times New Roman" w:hAnsi="Times New Roman" w:cs="Times New Roman"/>
          <w:sz w:val="24"/>
          <w:szCs w:val="24"/>
        </w:rPr>
        <w:t>several jurisdictions (this includes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the US, UK and EU) are grappling with the eligibility of AI-generated works for protection. In addition, whether it is legal to utilise copyright materials for AI training. They found that WIPO and other national agencies re-affirm the centrality of human creativity. They also hold that that purely machine-generated content is generally not protected. Conversely, AI-assisted works with sufficient human input may be protected. This work has notable limitations. It does not focus on Nigeria. It focuses on high-income jurisdictions with strong institutions and extensive case law. It does not state how Nigeria should adapt its enforcement institutions to AI. Hence, it does not answer the core question of how the enforcement of copyright in Nigeria should evolve in practice.</w:t>
      </w:r>
    </w:p>
    <w:p w14:paraId="62EEA056">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Gap in knowledge </w:t>
      </w:r>
    </w:p>
    <w:p w14:paraId="7789EDDD">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Across the four themes, the literature shows that scholars and practitioners are </w:t>
      </w:r>
      <w:r>
        <w:rPr>
          <w:rFonts w:hint="default" w:ascii="Times New Roman" w:hAnsi="Times New Roman" w:cs="Times New Roman"/>
          <w:b/>
          <w:bCs/>
          <w:sz w:val="24"/>
          <w:szCs w:val="24"/>
        </w:rPr>
        <w:t>aware</w:t>
      </w:r>
      <w:r>
        <w:rPr>
          <w:rFonts w:hint="default" w:ascii="Times New Roman" w:hAnsi="Times New Roman" w:cs="Times New Roman"/>
          <w:sz w:val="24"/>
          <w:szCs w:val="24"/>
        </w:rPr>
        <w:t xml:space="preserve"> of AI-related copyright issues in Nigeria. However, </w:t>
      </w:r>
      <w:r>
        <w:rPr>
          <w:rFonts w:hint="default" w:ascii="Times New Roman" w:hAnsi="Times New Roman" w:cs="Times New Roman"/>
          <w:bCs/>
          <w:sz w:val="24"/>
          <w:szCs w:val="24"/>
        </w:rPr>
        <w:t xml:space="preserve">none of the existing works examines </w:t>
      </w:r>
      <w:r>
        <w:rPr>
          <w:rFonts w:hint="default" w:ascii="Times New Roman" w:hAnsi="Times New Roman" w:cs="Times New Roman"/>
          <w:bCs/>
          <w:i/>
          <w:iCs/>
          <w:sz w:val="24"/>
          <w:szCs w:val="24"/>
        </w:rPr>
        <w:t>challenges of copyright enforcement</w:t>
      </w:r>
      <w:r>
        <w:rPr>
          <w:rFonts w:hint="default" w:ascii="Times New Roman" w:hAnsi="Times New Roman" w:cs="Times New Roman"/>
          <w:bCs/>
          <w:sz w:val="24"/>
          <w:szCs w:val="24"/>
        </w:rPr>
        <w:t xml:space="preserve"> in the AI era comprehensively.</w:t>
      </w:r>
      <w:r>
        <w:rPr>
          <w:rFonts w:hint="default" w:ascii="Times New Roman" w:hAnsi="Times New Roman" w:cs="Times New Roman"/>
          <w:sz w:val="24"/>
          <w:szCs w:val="24"/>
        </w:rPr>
        <w:t xml:space="preserve"> The major gaps that emerge are:</w:t>
      </w:r>
    </w:p>
    <w:p w14:paraId="01772356">
      <w:pPr>
        <w:pStyle w:val="19"/>
        <w:keepNext w:val="0"/>
        <w:keepLines w:val="0"/>
        <w:pageBreakBefore w:val="0"/>
        <w:widowControl/>
        <w:numPr>
          <w:ilvl w:val="0"/>
          <w:numId w:val="3"/>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There is limited analysis on how key instruments interact when AI-related infringement occurs or how courts might interpret them together in actual disputes.</w:t>
      </w:r>
    </w:p>
    <w:p w14:paraId="52934ADF">
      <w:pPr>
        <w:pStyle w:val="19"/>
        <w:keepNext w:val="0"/>
        <w:keepLines w:val="0"/>
        <w:pageBreakBefore w:val="0"/>
        <w:widowControl/>
        <w:numPr>
          <w:ilvl w:val="0"/>
          <w:numId w:val="3"/>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Literature doe examines the institutional mandates and procedural gaps in enforcement of copyright in the AI era in Nigeria. These questions go to the heart of enforcement. However, they are only treated superficially in existing literature. </w:t>
      </w:r>
    </w:p>
    <w:p w14:paraId="77AC226E">
      <w:pPr>
        <w:pStyle w:val="19"/>
        <w:keepNext w:val="0"/>
        <w:keepLines w:val="0"/>
        <w:pageBreakBefore w:val="0"/>
        <w:widowControl/>
        <w:numPr>
          <w:ilvl w:val="0"/>
          <w:numId w:val="3"/>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 addition, there is almost no scholarship which designs </w:t>
      </w:r>
      <w:r>
        <w:rPr>
          <w:rFonts w:hint="default" w:ascii="Times New Roman" w:hAnsi="Times New Roman" w:cs="Times New Roman"/>
          <w:bCs/>
          <w:sz w:val="24"/>
          <w:szCs w:val="24"/>
        </w:rPr>
        <w:t xml:space="preserve">concrete context-sensitive strategies for enforcement in </w:t>
      </w:r>
      <w:r>
        <w:rPr>
          <w:rFonts w:hint="default" w:ascii="Times New Roman" w:hAnsi="Times New Roman" w:cs="Times New Roman"/>
          <w:sz w:val="24"/>
          <w:szCs w:val="24"/>
        </w:rPr>
        <w:t>Nigeria</w:t>
      </w:r>
    </w:p>
    <w:p w14:paraId="21B1BDF7">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These gaps directly warrant the present research which</w:t>
      </w:r>
      <w:r>
        <w:rPr>
          <w:rFonts w:hint="default" w:ascii="Times New Roman" w:hAnsi="Times New Roman" w:cs="Times New Roman"/>
          <w:iCs/>
          <w:sz w:val="24"/>
          <w:szCs w:val="24"/>
        </w:rPr>
        <w:t xml:space="preserve"> assesses the challenges of copyright enforcement in the era of artificial intelligence in Nigeria</w:t>
      </w:r>
      <w:r>
        <w:rPr>
          <w:rFonts w:hint="default" w:ascii="Times New Roman" w:hAnsi="Times New Roman" w:cs="Times New Roman"/>
          <w:sz w:val="24"/>
          <w:szCs w:val="24"/>
        </w:rPr>
        <w:t xml:space="preserve">. In this way, this research will fill a clear </w:t>
      </w:r>
      <w:r>
        <w:rPr>
          <w:rFonts w:hint="default" w:ascii="Times New Roman" w:hAnsi="Times New Roman" w:cs="Times New Roman"/>
          <w:bCs/>
          <w:sz w:val="24"/>
          <w:szCs w:val="24"/>
        </w:rPr>
        <w:t>enforcement-focused</w:t>
      </w:r>
      <w:r>
        <w:rPr>
          <w:rFonts w:hint="default" w:ascii="Times New Roman" w:hAnsi="Times New Roman" w:cs="Times New Roman"/>
          <w:sz w:val="24"/>
          <w:szCs w:val="24"/>
        </w:rPr>
        <w:t xml:space="preserve"> gap in scholarship.</w:t>
      </w:r>
    </w:p>
    <w:p w14:paraId="3AD164B4">
      <w:pPr>
        <w:keepNext w:val="0"/>
        <w:keepLines w:val="0"/>
        <w:pageBreakBefore w:val="0"/>
        <w:widowControl/>
        <w:kinsoku/>
        <w:wordWrap/>
        <w:overflowPunct/>
        <w:topLinePunct w:val="0"/>
        <w:autoSpaceDE/>
        <w:autoSpaceDN/>
        <w:bidi w:val="0"/>
        <w:adjustRightInd/>
        <w:snapToGrid/>
        <w:spacing w:beforeAutospacing="0" w:after="0" w:afterAutospacing="0"/>
        <w:textAlignment w:val="auto"/>
        <w:rPr>
          <w:rFonts w:hint="default" w:ascii="Times New Roman" w:hAnsi="Times New Roman" w:cs="Times New Roman"/>
          <w:sz w:val="24"/>
          <w:szCs w:val="24"/>
        </w:rPr>
      </w:pPr>
    </w:p>
    <w:p w14:paraId="0E111B2B">
      <w:pPr>
        <w:keepNext w:val="0"/>
        <w:keepLines w:val="0"/>
        <w:pageBreakBefore w:val="0"/>
        <w:widowControl/>
        <w:kinsoku/>
        <w:wordWrap/>
        <w:overflowPunct/>
        <w:topLinePunct w:val="0"/>
        <w:autoSpaceDE/>
        <w:autoSpaceDN/>
        <w:bidi w:val="0"/>
        <w:adjustRightInd/>
        <w:snapToGrid/>
        <w:spacing w:beforeAutospacing="0" w:after="0" w:afterAutospacing="0"/>
        <w:textAlignment w:val="auto"/>
        <w:rPr>
          <w:rFonts w:hint="default" w:ascii="Times New Roman" w:hAnsi="Times New Roman" w:cs="Times New Roman"/>
          <w:sz w:val="24"/>
          <w:szCs w:val="24"/>
        </w:rPr>
      </w:pPr>
      <w:r>
        <w:rPr>
          <w:rFonts w:hint="default" w:ascii="Times New Roman" w:hAnsi="Times New Roman" w:cs="Times New Roman"/>
          <w:sz w:val="24"/>
          <w:szCs w:val="24"/>
        </w:rPr>
        <w:br w:type="page"/>
      </w:r>
    </w:p>
    <w:p w14:paraId="414C08ED">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outlineLvl w:val="0"/>
        <w:rPr>
          <w:rFonts w:hint="default" w:ascii="Times New Roman" w:hAnsi="Times New Roman" w:cs="Times New Roman"/>
          <w:b/>
          <w:sz w:val="24"/>
          <w:szCs w:val="24"/>
        </w:rPr>
      </w:pPr>
      <w:bookmarkStart w:id="19" w:name="_Toc22501"/>
      <w:r>
        <w:rPr>
          <w:rFonts w:hint="default" w:ascii="Times New Roman" w:hAnsi="Times New Roman" w:cs="Times New Roman"/>
          <w:b/>
          <w:sz w:val="24"/>
          <w:szCs w:val="24"/>
        </w:rPr>
        <w:t>CHAPTER TWO</w:t>
      </w:r>
      <w:bookmarkEnd w:id="19"/>
    </w:p>
    <w:p w14:paraId="09CBA71C">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outlineLvl w:val="0"/>
        <w:rPr>
          <w:rFonts w:hint="default" w:ascii="Times New Roman" w:hAnsi="Times New Roman" w:cs="Times New Roman"/>
          <w:sz w:val="24"/>
          <w:szCs w:val="24"/>
        </w:rPr>
      </w:pPr>
      <w:bookmarkStart w:id="20" w:name="_Toc32030"/>
      <w:r>
        <w:rPr>
          <w:rFonts w:hint="default" w:ascii="Times New Roman" w:hAnsi="Times New Roman" w:cs="Times New Roman"/>
          <w:b/>
          <w:sz w:val="24"/>
          <w:szCs w:val="24"/>
        </w:rPr>
        <w:t>CONCEPTUAL AND THEORETICAL FRAMEWORK</w:t>
      </w:r>
      <w:bookmarkEnd w:id="20"/>
    </w:p>
    <w:p w14:paraId="64D6A075">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21" w:name="_Toc17322"/>
      <w:r>
        <w:rPr>
          <w:rFonts w:hint="default" w:ascii="Times New Roman" w:hAnsi="Times New Roman" w:cs="Times New Roman"/>
          <w:b/>
          <w:sz w:val="24"/>
          <w:szCs w:val="24"/>
        </w:rPr>
        <w:t>2.1</w:t>
      </w:r>
      <w:r>
        <w:rPr>
          <w:rFonts w:hint="default" w:ascii="Times New Roman" w:hAnsi="Times New Roman" w:cs="Times New Roman"/>
          <w:b/>
          <w:sz w:val="24"/>
          <w:szCs w:val="24"/>
        </w:rPr>
        <w:tab/>
      </w:r>
      <w:r>
        <w:rPr>
          <w:rFonts w:hint="default" w:ascii="Times New Roman" w:hAnsi="Times New Roman" w:cs="Times New Roman"/>
          <w:b/>
          <w:sz w:val="24"/>
          <w:szCs w:val="24"/>
        </w:rPr>
        <w:t>Conceptual Framework</w:t>
      </w:r>
      <w:bookmarkEnd w:id="21"/>
    </w:p>
    <w:p w14:paraId="18D686B1">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Under this section, key concepts relevant to this study are clarified. </w:t>
      </w:r>
    </w:p>
    <w:p w14:paraId="78F9F423">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22" w:name="_Toc3597"/>
      <w:r>
        <w:rPr>
          <w:rFonts w:hint="default" w:ascii="Times New Roman" w:hAnsi="Times New Roman" w:cs="Times New Roman"/>
          <w:b/>
          <w:sz w:val="24"/>
          <w:szCs w:val="24"/>
        </w:rPr>
        <w:t>2.1.1</w:t>
      </w:r>
      <w:r>
        <w:rPr>
          <w:rFonts w:hint="default" w:ascii="Times New Roman" w:hAnsi="Times New Roman" w:cs="Times New Roman"/>
          <w:b/>
          <w:sz w:val="24"/>
          <w:szCs w:val="24"/>
        </w:rPr>
        <w:tab/>
      </w:r>
      <w:r>
        <w:rPr>
          <w:rFonts w:hint="default" w:ascii="Times New Roman" w:hAnsi="Times New Roman" w:cs="Times New Roman"/>
          <w:b/>
          <w:sz w:val="24"/>
          <w:szCs w:val="24"/>
        </w:rPr>
        <w:t>Meaning of Copyright</w:t>
      </w:r>
      <w:bookmarkEnd w:id="22"/>
    </w:p>
    <w:p w14:paraId="2817D9A1">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sz w:val="24"/>
          <w:szCs w:val="24"/>
        </w:rPr>
      </w:pPr>
      <w:r>
        <w:rPr>
          <w:rFonts w:hint="default" w:ascii="Times New Roman" w:hAnsi="Times New Roman" w:cs="Times New Roman"/>
          <w:sz w:val="24"/>
          <w:szCs w:val="24"/>
        </w:rPr>
        <w:t xml:space="preserve">The concept of </w:t>
      </w:r>
      <w:r>
        <w:rPr>
          <w:rStyle w:val="15"/>
          <w:rFonts w:hint="default" w:ascii="Times New Roman" w:hAnsi="Times New Roman" w:cs="Times New Roman"/>
          <w:sz w:val="24"/>
          <w:szCs w:val="24"/>
        </w:rPr>
        <w:t xml:space="preserve">copyright </w:t>
      </w:r>
      <w:r>
        <w:rPr>
          <w:rFonts w:hint="default" w:ascii="Times New Roman" w:hAnsi="Times New Roman" w:cs="Times New Roman"/>
          <w:sz w:val="24"/>
          <w:szCs w:val="24"/>
        </w:rPr>
        <w:t>is evolving. Lawan and others noted that copyright is the fruits of a creator’s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labour.</w:t>
      </w:r>
      <w:r>
        <w:rPr>
          <w:rStyle w:val="10"/>
          <w:rFonts w:hint="default" w:ascii="Times New Roman" w:hAnsi="Times New Roman" w:cs="Times New Roman"/>
          <w:sz w:val="24"/>
          <w:szCs w:val="24"/>
        </w:rPr>
        <w:footnoteReference w:id="30"/>
      </w:r>
      <w:r>
        <w:rPr>
          <w:rFonts w:hint="default" w:ascii="Times New Roman" w:hAnsi="Times New Roman" w:cs="Times New Roman"/>
          <w:sz w:val="24"/>
          <w:szCs w:val="24"/>
        </w:rPr>
        <w:t xml:space="preserve"> On other hand, Nwabachili notes that copyright is a legal regime which protects expressions of ideas.</w:t>
      </w:r>
      <w:r>
        <w:rPr>
          <w:rStyle w:val="10"/>
          <w:rFonts w:hint="default" w:ascii="Times New Roman" w:hAnsi="Times New Roman" w:cs="Times New Roman"/>
          <w:sz w:val="24"/>
          <w:szCs w:val="24"/>
        </w:rPr>
        <w:footnoteReference w:id="31"/>
      </w:r>
      <w:r>
        <w:rPr>
          <w:rFonts w:hint="default" w:ascii="Times New Roman" w:hAnsi="Times New Roman" w:cs="Times New Roman"/>
          <w:sz w:val="24"/>
          <w:szCs w:val="24"/>
        </w:rPr>
        <w:t xml:space="preserve"> In essence, copyright is a set of exclusive rights conferred by law on authors of original works of authorship. These include control over copying, distribution, adaptation, and public performance or display of the work.The 2022 Copyright Act does not </w:t>
      </w:r>
      <w:r>
        <w:rPr>
          <w:rStyle w:val="7"/>
          <w:rFonts w:hint="default" w:ascii="Times New Roman" w:hAnsi="Times New Roman" w:cs="Times New Roman"/>
          <w:sz w:val="24"/>
          <w:szCs w:val="24"/>
        </w:rPr>
        <w:t>define</w:t>
      </w:r>
      <w:r>
        <w:rPr>
          <w:rFonts w:hint="default" w:ascii="Times New Roman" w:hAnsi="Times New Roman" w:cs="Times New Roman"/>
          <w:sz w:val="24"/>
          <w:szCs w:val="24"/>
        </w:rPr>
        <w:t xml:space="preserve"> “copyright” explicitly. However, it describes it functionally to be the exclusive right to control various uses of a work “either in their original form or in any form derived recognisably from the original.”</w:t>
      </w:r>
      <w:r>
        <w:rPr>
          <w:rStyle w:val="10"/>
          <w:rFonts w:hint="default" w:ascii="Times New Roman" w:hAnsi="Times New Roman" w:cs="Times New Roman"/>
          <w:sz w:val="24"/>
          <w:szCs w:val="24"/>
        </w:rPr>
        <w:footnoteReference w:id="32"/>
      </w:r>
      <w:r>
        <w:rPr>
          <w:rFonts w:hint="default" w:ascii="Times New Roman" w:hAnsi="Times New Roman" w:cs="Times New Roman"/>
          <w:sz w:val="24"/>
          <w:szCs w:val="24"/>
        </w:rPr>
        <w:t xml:space="preserve"> Globally, copyright sprang from concerns over incentivising publication. The Statute of Anne (1710) in England is the world’s first modern copyright law. Over time, international treaties harmonised protection across borders. This protected authors “in all countries of the Union.” By contrast, justifications under natural law predate these formal statutes. Locke held that individuals have a natural right to property by mixing their labour with resources.</w:t>
      </w:r>
      <w:r>
        <w:rPr>
          <w:rStyle w:val="10"/>
          <w:rFonts w:hint="default" w:ascii="Times New Roman" w:hAnsi="Times New Roman" w:cs="Times New Roman"/>
          <w:sz w:val="24"/>
          <w:szCs w:val="24"/>
        </w:rPr>
        <w:footnoteReference w:id="33"/>
      </w:r>
      <w:r>
        <w:rPr>
          <w:rFonts w:hint="default" w:ascii="Times New Roman" w:hAnsi="Times New Roman" w:cs="Times New Roman"/>
          <w:sz w:val="24"/>
          <w:szCs w:val="24"/>
        </w:rPr>
        <w:t xml:space="preserve"> This is extended to intellectual creation. Hegelian personhood theory similarly posits that creations externalise the author’s personality and thus they merit protection.</w:t>
      </w:r>
      <w:r>
        <w:rPr>
          <w:rStyle w:val="10"/>
          <w:rFonts w:hint="default" w:ascii="Times New Roman" w:hAnsi="Times New Roman" w:cs="Times New Roman"/>
          <w:sz w:val="24"/>
          <w:szCs w:val="24"/>
        </w:rPr>
        <w:footnoteReference w:id="34"/>
      </w:r>
      <w:r>
        <w:rPr>
          <w:rFonts w:hint="default" w:ascii="Times New Roman" w:hAnsi="Times New Roman" w:cs="Times New Roman"/>
          <w:sz w:val="24"/>
          <w:szCs w:val="24"/>
        </w:rPr>
        <w:t xml:space="preserve"> In modern terms, utilitarian rationale dominates. It assumes that time-limited rights are bargain to spur new creation for the benefit of the society. The law in Nigeria sits within this lineage. The 2022 Act was adopted in part to fulfil international obligations (Nigeria is a party to Berne and TRIPS) and to bolster the domestic creative economy. Thus, origins of copyright lie in both moral claims of authorship and economic incentives. </w:t>
      </w:r>
    </w:p>
    <w:p w14:paraId="3604B328">
      <w:pPr>
        <w:pStyle w:val="19"/>
        <w:keepNext w:val="0"/>
        <w:keepLines w:val="0"/>
        <w:pageBreakBefore w:val="0"/>
        <w:widowControl/>
        <w:numPr>
          <w:ilvl w:val="2"/>
          <w:numId w:val="4"/>
        </w:numPr>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23" w:name="_Toc21184"/>
      <w:r>
        <w:rPr>
          <w:rFonts w:hint="default" w:ascii="Times New Roman" w:hAnsi="Times New Roman" w:cs="Times New Roman"/>
          <w:b/>
          <w:sz w:val="24"/>
          <w:szCs w:val="24"/>
        </w:rPr>
        <w:t>Forms of Copyright</w:t>
      </w:r>
      <w:bookmarkEnd w:id="23"/>
    </w:p>
    <w:p w14:paraId="6D59CBD0">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different forms of copyright. Under the Nigerian Copyright Act of 2022, eligible works include six broad categories.</w:t>
      </w:r>
      <w:r>
        <w:rPr>
          <w:rStyle w:val="10"/>
          <w:rFonts w:hint="default" w:ascii="Times New Roman" w:hAnsi="Times New Roman" w:cs="Times New Roman"/>
          <w:sz w:val="24"/>
          <w:szCs w:val="24"/>
        </w:rPr>
        <w:footnoteReference w:id="35"/>
      </w:r>
      <w:r>
        <w:rPr>
          <w:rFonts w:hint="default" w:ascii="Times New Roman" w:hAnsi="Times New Roman" w:cs="Times New Roman"/>
          <w:sz w:val="24"/>
          <w:szCs w:val="24"/>
        </w:rPr>
        <w:t xml:space="preserve"> In summary:</w:t>
      </w:r>
    </w:p>
    <w:p w14:paraId="28ECD2F0">
      <w:pPr>
        <w:pStyle w:val="19"/>
        <w:keepNext w:val="0"/>
        <w:keepLines w:val="0"/>
        <w:pageBreakBefore w:val="0"/>
        <w:widowControl/>
        <w:numPr>
          <w:ilvl w:val="0"/>
          <w:numId w:val="5"/>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sz w:val="24"/>
          <w:szCs w:val="24"/>
        </w:rPr>
      </w:pPr>
      <w:r>
        <w:rPr>
          <w:rStyle w:val="15"/>
          <w:rFonts w:hint="default" w:ascii="Times New Roman" w:hAnsi="Times New Roman" w:cs="Times New Roman" w:eastAsiaTheme="majorEastAsia"/>
          <w:sz w:val="24"/>
          <w:szCs w:val="24"/>
        </w:rPr>
        <w:t>Literary works:</w:t>
      </w:r>
      <w:r>
        <w:rPr>
          <w:rFonts w:hint="default" w:ascii="Times New Roman" w:hAnsi="Times New Roman" w:cs="Times New Roman"/>
          <w:sz w:val="24"/>
          <w:szCs w:val="24"/>
        </w:rPr>
        <w:t xml:space="preserve"> These are written works. They include books, articles, computer programs, and manuscripts. The Act specifies that a literary work must be original and “fixed in any medium.” Classic examples are novels, essays, and software code.</w:t>
      </w:r>
    </w:p>
    <w:p w14:paraId="20651C14">
      <w:pPr>
        <w:pStyle w:val="14"/>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Style w:val="15"/>
          <w:rFonts w:hint="default" w:ascii="Times New Roman" w:hAnsi="Times New Roman" w:cs="Times New Roman" w:eastAsiaTheme="majorEastAsia"/>
          <w:sz w:val="24"/>
          <w:szCs w:val="24"/>
          <w:lang w:val="en-GB"/>
        </w:rPr>
        <w:t>Musical works:</w:t>
      </w:r>
      <w:r>
        <w:rPr>
          <w:rFonts w:hint="default" w:ascii="Times New Roman" w:hAnsi="Times New Roman" w:cs="Times New Roman"/>
          <w:sz w:val="24"/>
          <w:szCs w:val="24"/>
          <w:lang w:val="en-GB"/>
        </w:rPr>
        <w:t xml:space="preserve"> This covers compositions of music (melody and harmony) (whether or not lyrics are included). A music track or musical score is protected as a musical work; when recorded, the recording itself is separately protected as a sound recording.</w:t>
      </w:r>
    </w:p>
    <w:p w14:paraId="61F2EB67">
      <w:pPr>
        <w:pStyle w:val="14"/>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Style w:val="15"/>
          <w:rFonts w:hint="default" w:ascii="Times New Roman" w:hAnsi="Times New Roman" w:cs="Times New Roman" w:eastAsiaTheme="majorEastAsia"/>
          <w:sz w:val="24"/>
          <w:szCs w:val="24"/>
          <w:lang w:val="en-GB"/>
        </w:rPr>
        <w:t>Artistic works:</w:t>
      </w:r>
      <w:r>
        <w:rPr>
          <w:rFonts w:hint="default" w:ascii="Times New Roman" w:hAnsi="Times New Roman" w:cs="Times New Roman"/>
          <w:sz w:val="24"/>
          <w:szCs w:val="24"/>
          <w:lang w:val="en-GB"/>
        </w:rPr>
        <w:t xml:space="preserve"> This includes drawings, paintings, photographs, and other visual arts. It also extends to architectural plans and applied art forms. The Nigerian Act retains protection for artistic works. </w:t>
      </w:r>
    </w:p>
    <w:p w14:paraId="3F3DBAD7">
      <w:pPr>
        <w:pStyle w:val="14"/>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Style w:val="15"/>
          <w:rFonts w:hint="default" w:ascii="Times New Roman" w:hAnsi="Times New Roman" w:cs="Times New Roman" w:eastAsiaTheme="majorEastAsia"/>
          <w:sz w:val="24"/>
          <w:szCs w:val="24"/>
          <w:lang w:val="en-GB"/>
        </w:rPr>
        <w:t xml:space="preserve">Audiovisual (cinematographic) works: </w:t>
      </w:r>
      <w:r>
        <w:rPr>
          <w:rFonts w:hint="default" w:ascii="Times New Roman" w:hAnsi="Times New Roman" w:cs="Times New Roman"/>
          <w:sz w:val="24"/>
          <w:szCs w:val="24"/>
          <w:lang w:val="en-GB"/>
        </w:rPr>
        <w:t>This was previously called “cinematograph films.” The 2022 Act uses the term “audiovisual works.”</w:t>
      </w:r>
      <w:r>
        <w:rPr>
          <w:rStyle w:val="10"/>
          <w:rFonts w:hint="default" w:ascii="Times New Roman" w:hAnsi="Times New Roman" w:cs="Times New Roman"/>
          <w:sz w:val="24"/>
          <w:szCs w:val="24"/>
          <w:lang w:val="en-GB"/>
        </w:rPr>
        <w:footnoteReference w:id="36"/>
      </w:r>
      <w:r>
        <w:rPr>
          <w:rFonts w:hint="default" w:cs="Times New Roman"/>
          <w:sz w:val="24"/>
          <w:szCs w:val="24"/>
          <w:lang w:val="en-US"/>
        </w:rPr>
        <w:t xml:space="preserve"> </w:t>
      </w:r>
      <w:r>
        <w:rPr>
          <w:rFonts w:hint="default" w:ascii="Times New Roman" w:hAnsi="Times New Roman" w:cs="Times New Roman"/>
          <w:sz w:val="24"/>
          <w:szCs w:val="24"/>
          <w:lang w:val="en-GB"/>
        </w:rPr>
        <w:t>This encompasses sequences of visual images (with or without sound) played as a motion picture. In effect all films, videos, animations, and similar content. As Olubanwo and Osundolire</w:t>
      </w:r>
      <w:r>
        <w:rPr>
          <w:rStyle w:val="10"/>
          <w:rFonts w:hint="default" w:ascii="Times New Roman" w:hAnsi="Times New Roman" w:cs="Times New Roman"/>
          <w:sz w:val="24"/>
          <w:szCs w:val="24"/>
          <w:lang w:val="en-GB"/>
        </w:rPr>
        <w:footnoteReference w:id="37"/>
      </w:r>
      <w:r>
        <w:rPr>
          <w:rFonts w:hint="default" w:ascii="Times New Roman" w:hAnsi="Times New Roman" w:cs="Times New Roman"/>
          <w:sz w:val="24"/>
          <w:szCs w:val="24"/>
          <w:lang w:val="en-GB"/>
        </w:rPr>
        <w:t xml:space="preserve"> explains, the new terms “covers a wider scope of content” than the old category. By definition, audiovisual works explicitly </w:t>
      </w:r>
      <w:r>
        <w:rPr>
          <w:rStyle w:val="15"/>
          <w:rFonts w:hint="default" w:ascii="Times New Roman" w:hAnsi="Times New Roman" w:cs="Times New Roman" w:eastAsiaTheme="majorEastAsia"/>
          <w:b w:val="0"/>
          <w:sz w:val="24"/>
          <w:szCs w:val="24"/>
          <w:lang w:val="en-GB"/>
        </w:rPr>
        <w:t xml:space="preserve">exclude </w:t>
      </w:r>
      <w:r>
        <w:rPr>
          <w:rFonts w:hint="default" w:ascii="Times New Roman" w:hAnsi="Times New Roman" w:cs="Times New Roman"/>
          <w:sz w:val="24"/>
          <w:szCs w:val="24"/>
          <w:lang w:val="en-GB"/>
        </w:rPr>
        <w:t>live broadcasts (which are protected separately).</w:t>
      </w:r>
    </w:p>
    <w:p w14:paraId="3E359D93">
      <w:pPr>
        <w:pStyle w:val="14"/>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Style w:val="15"/>
          <w:rFonts w:hint="default" w:ascii="Times New Roman" w:hAnsi="Times New Roman" w:cs="Times New Roman" w:eastAsiaTheme="majorEastAsia"/>
          <w:sz w:val="24"/>
          <w:szCs w:val="24"/>
          <w:lang w:val="en-GB"/>
        </w:rPr>
        <w:t>Sound recordings:</w:t>
      </w:r>
      <w:r>
        <w:rPr>
          <w:rFonts w:hint="default" w:ascii="Times New Roman" w:hAnsi="Times New Roman" w:cs="Times New Roman"/>
          <w:sz w:val="24"/>
          <w:szCs w:val="24"/>
          <w:lang w:val="en-GB"/>
        </w:rPr>
        <w:t xml:space="preserve"> The Act protects recordings of music or other sounds. This covers audio files, tape recordings, and any fixed recording of sounds, whether musical or spoken. Importantly, making a new copy of a sound recording requires permission from the recording’s copyright owner.</w:t>
      </w:r>
    </w:p>
    <w:p w14:paraId="29EAF795">
      <w:pPr>
        <w:pStyle w:val="14"/>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Style w:val="15"/>
          <w:rFonts w:hint="default" w:ascii="Times New Roman" w:hAnsi="Times New Roman" w:cs="Times New Roman" w:eastAsiaTheme="majorEastAsia"/>
          <w:sz w:val="24"/>
          <w:szCs w:val="24"/>
          <w:lang w:val="en-GB"/>
        </w:rPr>
        <w:t>Broadcasts:</w:t>
      </w:r>
      <w:r>
        <w:rPr>
          <w:rFonts w:hint="default" w:ascii="Times New Roman" w:hAnsi="Times New Roman" w:cs="Times New Roman"/>
          <w:sz w:val="24"/>
          <w:szCs w:val="24"/>
          <w:lang w:val="en-GB"/>
        </w:rPr>
        <w:t xml:space="preserve"> Finally, radio and television broadcasts themselves are protected, even if the underlying content (music, speech) may be copyrighted separately. The Act defines “broadcast” broadly and it grants rights to broadcasters to control how their transmissions are used.</w:t>
      </w:r>
    </w:p>
    <w:p w14:paraId="3628C72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In addition to these core categories, the Act also offers protection for folklore and traditional expressions: any commercial use of indigenous cultural works (for example, a traditional song or dance) requires authorisation of the relevant community. It stipulates criminal penalties for misuse.</w:t>
      </w:r>
      <w:r>
        <w:rPr>
          <w:rStyle w:val="10"/>
          <w:rFonts w:hint="default" w:ascii="Times New Roman" w:hAnsi="Times New Roman" w:cs="Times New Roman"/>
          <w:sz w:val="24"/>
          <w:szCs w:val="24"/>
          <w:lang w:val="en-GB"/>
        </w:rPr>
        <w:footnoteReference w:id="38"/>
      </w:r>
      <w:r>
        <w:rPr>
          <w:rFonts w:hint="default" w:ascii="Times New Roman" w:hAnsi="Times New Roman" w:cs="Times New Roman"/>
          <w:sz w:val="24"/>
          <w:szCs w:val="24"/>
          <w:lang w:val="en-GB"/>
        </w:rPr>
        <w:t xml:space="preserve"> Nigeria’s broad enumerations of works align with international practice (WIPO notes that copyright covers “literary, artistic, musical and dramatic works” as well as related broadcasts and sound recordings).</w:t>
      </w:r>
      <w:r>
        <w:rPr>
          <w:rStyle w:val="10"/>
          <w:rFonts w:hint="default" w:ascii="Times New Roman" w:hAnsi="Times New Roman" w:cs="Times New Roman"/>
          <w:sz w:val="24"/>
          <w:szCs w:val="24"/>
          <w:lang w:val="en-GB"/>
        </w:rPr>
        <w:footnoteReference w:id="39"/>
      </w:r>
      <w:r>
        <w:rPr>
          <w:rFonts w:hint="default" w:ascii="Times New Roman" w:hAnsi="Times New Roman" w:cs="Times New Roman"/>
          <w:sz w:val="24"/>
          <w:szCs w:val="24"/>
          <w:lang w:val="en-GB"/>
        </w:rPr>
        <w:t xml:space="preserve"> Together, these provisions establish the scope of copyrightable material in Nigeria. This ensures that authors of diverse creative works have legal protection for their output.</w:t>
      </w:r>
    </w:p>
    <w:p w14:paraId="556DDE17">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24" w:name="_Toc24387"/>
      <w:r>
        <w:rPr>
          <w:rFonts w:hint="default" w:ascii="Times New Roman" w:hAnsi="Times New Roman" w:cs="Times New Roman"/>
          <w:b/>
          <w:sz w:val="24"/>
          <w:szCs w:val="24"/>
        </w:rPr>
        <w:t>2.1.3</w:t>
      </w:r>
      <w:r>
        <w:rPr>
          <w:rFonts w:hint="default" w:ascii="Times New Roman" w:hAnsi="Times New Roman" w:cs="Times New Roman"/>
          <w:b/>
          <w:sz w:val="24"/>
          <w:szCs w:val="24"/>
        </w:rPr>
        <w:tab/>
      </w:r>
      <w:r>
        <w:rPr>
          <w:rFonts w:hint="default" w:ascii="Times New Roman" w:hAnsi="Times New Roman" w:cs="Times New Roman"/>
          <w:b/>
          <w:sz w:val="24"/>
          <w:szCs w:val="24"/>
        </w:rPr>
        <w:t>Meaning of Artificial Intelligence</w:t>
      </w:r>
      <w:bookmarkEnd w:id="24"/>
      <w:r>
        <w:rPr>
          <w:rFonts w:hint="default" w:ascii="Times New Roman" w:hAnsi="Times New Roman" w:cs="Times New Roman"/>
          <w:b/>
          <w:sz w:val="24"/>
          <w:szCs w:val="24"/>
        </w:rPr>
        <w:t xml:space="preserve"> </w:t>
      </w:r>
    </w:p>
    <w:p w14:paraId="72EE02E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Artificial Intelligence (AI) lacks a single universally agreed definition. Generally, it is a computing technology designed to perform tasks that normally require human intelligence. IBM explains that “Artificial intelligence (AI) is technology that enables computers and machines to simulate human learning, comprehension, problem solving, decision making [and] creativity.”</w:t>
      </w:r>
      <w:r>
        <w:rPr>
          <w:rStyle w:val="10"/>
          <w:rFonts w:hint="default" w:ascii="Times New Roman" w:hAnsi="Times New Roman" w:cs="Times New Roman"/>
          <w:sz w:val="24"/>
          <w:szCs w:val="24"/>
          <w:lang w:val="en-GB"/>
        </w:rPr>
        <w:footnoteReference w:id="40"/>
      </w:r>
      <w:r>
        <w:rPr>
          <w:rFonts w:hint="default" w:ascii="Times New Roman" w:hAnsi="Times New Roman" w:cs="Times New Roman"/>
          <w:sz w:val="24"/>
          <w:szCs w:val="24"/>
          <w:lang w:val="en-GB"/>
        </w:rPr>
        <w:t xml:space="preserve"> In other words, AI systems have the following capabilities. They perceive inputs (images, sound, data), learn from experience (machine learning), and autonomously make decisions or generate content. These range from simple algorithms to advanced </w:t>
      </w:r>
      <w:r>
        <w:rPr>
          <w:rStyle w:val="7"/>
          <w:rFonts w:hint="default" w:ascii="Times New Roman" w:hAnsi="Times New Roman" w:cs="Times New Roman" w:eastAsiaTheme="majorEastAsia"/>
          <w:sz w:val="24"/>
          <w:szCs w:val="24"/>
          <w:lang w:val="en-GB"/>
        </w:rPr>
        <w:t>machine learning</w:t>
      </w:r>
      <w:r>
        <w:rPr>
          <w:rFonts w:hint="default" w:ascii="Times New Roman" w:hAnsi="Times New Roman" w:cs="Times New Roman"/>
          <w:sz w:val="24"/>
          <w:szCs w:val="24"/>
          <w:lang w:val="en-GB"/>
        </w:rPr>
        <w:t xml:space="preserve"> and </w:t>
      </w:r>
      <w:r>
        <w:rPr>
          <w:rStyle w:val="7"/>
          <w:rFonts w:hint="default" w:ascii="Times New Roman" w:hAnsi="Times New Roman" w:cs="Times New Roman" w:eastAsiaTheme="majorEastAsia"/>
          <w:sz w:val="24"/>
          <w:szCs w:val="24"/>
          <w:lang w:val="en-GB"/>
        </w:rPr>
        <w:t>deep learning</w:t>
      </w:r>
      <w:r>
        <w:rPr>
          <w:rFonts w:hint="default" w:ascii="Times New Roman" w:hAnsi="Times New Roman" w:cs="Times New Roman"/>
          <w:sz w:val="24"/>
          <w:szCs w:val="24"/>
          <w:lang w:val="en-GB"/>
        </w:rPr>
        <w:t xml:space="preserve"> models. In 2024, attention has focused on generative AI. This is an advanced deep-learning model</w:t>
      </w:r>
      <w:r>
        <w:rPr>
          <w:rFonts w:hint="default" w:cs="Times New Roman"/>
          <w:sz w:val="24"/>
          <w:szCs w:val="24"/>
          <w:lang w:val="en-US"/>
        </w:rPr>
        <w:t xml:space="preserve"> </w:t>
      </w:r>
      <w:r>
        <w:rPr>
          <w:rFonts w:hint="default" w:ascii="Times New Roman" w:hAnsi="Times New Roman" w:cs="Times New Roman"/>
          <w:sz w:val="24"/>
          <w:szCs w:val="24"/>
          <w:lang w:val="en-GB"/>
        </w:rPr>
        <w:t>which produces original text, images, audio or video in response to prompts. Generative AI tools include GPT-5 or Midjourney.</w:t>
      </w:r>
      <w:r>
        <w:rPr>
          <w:rStyle w:val="10"/>
          <w:rFonts w:hint="default" w:ascii="Times New Roman" w:hAnsi="Times New Roman" w:cs="Times New Roman"/>
          <w:sz w:val="24"/>
          <w:szCs w:val="24"/>
          <w:lang w:val="en-GB"/>
        </w:rPr>
        <w:footnoteReference w:id="41"/>
      </w:r>
    </w:p>
    <w:p w14:paraId="2FF23CF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From a legal standpoint, no single definition prevails either. Various laws and proposals define AI in context-specific ways. In the US, the National Defense Authorization Act for FY2019 states that AI systems broadly as “machines or parts of machines that mimic cognitive functions” (intuitively similar to general definitions).</w:t>
      </w:r>
      <w:r>
        <w:rPr>
          <w:rStyle w:val="10"/>
          <w:rFonts w:hint="default" w:ascii="Times New Roman" w:hAnsi="Times New Roman" w:cs="Times New Roman"/>
          <w:sz w:val="24"/>
          <w:szCs w:val="24"/>
          <w:lang w:val="en-GB"/>
        </w:rPr>
        <w:footnoteReference w:id="42"/>
      </w:r>
      <w:r>
        <w:rPr>
          <w:rFonts w:hint="default" w:ascii="Times New Roman" w:hAnsi="Times New Roman" w:cs="Times New Roman"/>
          <w:sz w:val="24"/>
          <w:szCs w:val="24"/>
          <w:lang w:val="en-GB"/>
        </w:rPr>
        <w:t xml:space="preserve"> There is no single legal definition of AI. U.S. agencies and international bodies describe AI by capabilities or risks. There is no a fixed technical definition. What is clear is that AI includes diverse technologies. In addition, “AI systems” include software that can analyse data and act upon it without direct human control. In Nigeria, AI has not been uniformly defined. For present purposes we adopt the broad technical notion that AI is computational systems which stimulate human intelligence.</w:t>
      </w:r>
    </w:p>
    <w:p w14:paraId="7B1ADDD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outlineLvl w:val="0"/>
        <w:rPr>
          <w:rFonts w:hint="default" w:ascii="Times New Roman" w:hAnsi="Times New Roman" w:cs="Times New Roman"/>
          <w:sz w:val="24"/>
          <w:szCs w:val="24"/>
          <w:lang w:val="en-GB"/>
        </w:rPr>
      </w:pPr>
      <w:bookmarkStart w:id="25" w:name="_Toc5974"/>
      <w:r>
        <w:rPr>
          <w:rFonts w:hint="default" w:ascii="Times New Roman" w:hAnsi="Times New Roman" w:cs="Times New Roman"/>
          <w:sz w:val="24"/>
          <w:szCs w:val="24"/>
          <w:lang w:val="en-GB"/>
        </w:rPr>
        <w:t xml:space="preserve">2.1.4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Emergence of Artificial Intelligence in Nigeria</w:t>
      </w:r>
      <w:bookmarkEnd w:id="25"/>
    </w:p>
    <w:p w14:paraId="50BCC3AA">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Nigeria has vast and rapidly digitising environment and this provides fertile ground for AI innovation, however, there persist notable constraints. As Africa’s most populous country and largest economy, Nigeria boasts high internet and mobile penetration. There are over 164 million internet users and 219 million mobile subscribers by early 2024 in Nigeria. There is also a burgeoning AI ecosystem.</w:t>
      </w:r>
      <w:r>
        <w:rPr>
          <w:rStyle w:val="10"/>
          <w:rFonts w:hint="default" w:ascii="Times New Roman" w:hAnsi="Times New Roman" w:cs="Times New Roman"/>
          <w:sz w:val="24"/>
          <w:szCs w:val="24"/>
          <w:lang w:val="en-GB"/>
        </w:rPr>
        <w:footnoteReference w:id="43"/>
      </w:r>
    </w:p>
    <w:p w14:paraId="74AB2CB1">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Investment in AI startups in Nigeria grew to 43% since early 2023. Notably, it focuses on “solutions tailored to African problems” and not off-the-shelf foreign models. In practical terms, AI applications are already reshaping key sectors. </w:t>
      </w:r>
      <w:r>
        <w:rPr>
          <w:rFonts w:hint="default" w:ascii="Times New Roman" w:hAnsi="Times New Roman" w:cs="Times New Roman"/>
          <w:sz w:val="24"/>
          <w:szCs w:val="24"/>
        </w:rPr>
        <w:t>Ogunbodede and Atchrim</w:t>
      </w:r>
      <w:r>
        <w:rPr>
          <w:rStyle w:val="10"/>
          <w:rFonts w:hint="default" w:ascii="Times New Roman" w:hAnsi="Times New Roman" w:cs="Times New Roman"/>
          <w:sz w:val="24"/>
          <w:szCs w:val="24"/>
        </w:rPr>
        <w:footnoteReference w:id="44"/>
      </w:r>
      <w:r>
        <w:rPr>
          <w:rFonts w:hint="default" w:ascii="Times New Roman" w:hAnsi="Times New Roman" w:cs="Times New Roman"/>
          <w:sz w:val="24"/>
          <w:szCs w:val="24"/>
          <w:lang w:val="en-GB"/>
        </w:rPr>
        <w:t xml:space="preserve"> found that Fintech firms utilise AI for content creation and for services like fraud detection, credit scoring and mobile lending.There is similar promise in other sectors. Manufacturing and agribusinesses are piloting machine-learning optimisations.</w:t>
      </w:r>
      <w:r>
        <w:rPr>
          <w:rFonts w:hint="default" w:cs="Times New Roman"/>
          <w:sz w:val="24"/>
          <w:szCs w:val="24"/>
          <w:lang w:val="en-US"/>
        </w:rPr>
        <w:t xml:space="preserve"> </w:t>
      </w:r>
      <w:r>
        <w:rPr>
          <w:rFonts w:hint="default" w:ascii="Times New Roman" w:hAnsi="Times New Roman" w:cs="Times New Roman"/>
          <w:sz w:val="24"/>
          <w:szCs w:val="24"/>
        </w:rPr>
        <w:t>Ogunbodede and Atchrim</w:t>
      </w:r>
      <w:r>
        <w:rPr>
          <w:rStyle w:val="10"/>
          <w:rFonts w:hint="default" w:ascii="Times New Roman" w:hAnsi="Times New Roman" w:cs="Times New Roman"/>
          <w:sz w:val="24"/>
          <w:szCs w:val="24"/>
        </w:rPr>
        <w:footnoteReference w:id="45"/>
      </w:r>
      <w:r>
        <w:rPr>
          <w:rFonts w:hint="default" w:ascii="Times New Roman" w:hAnsi="Times New Roman" w:cs="Times New Roman"/>
          <w:sz w:val="24"/>
          <w:szCs w:val="24"/>
          <w:lang w:val="en-GB"/>
        </w:rPr>
        <w:t xml:space="preserve"> notes that staffs become more efficient at Nigerian Bottling Company. On the other hand, health-tech and e-learning firms explore AI tools for diagnostics and personalised instruction.</w:t>
      </w:r>
    </w:p>
    <w:p w14:paraId="65DE7DA1">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However, there exist critical challenges and this tempers this optimism. AI momentum in Nigeria “remain slow.” This is because there is limited infrastructure and skill. Power supply is unreliable and broadband coverage remains uneven. In addition, there are limited high-performance computers. Hence, it becomes unfeasible to deploy large scale AI. Moreover, skilled AI professionals are scarce and expensive.</w:t>
      </w:r>
      <w:r>
        <w:rPr>
          <w:rStyle w:val="10"/>
          <w:rFonts w:hint="default" w:ascii="Times New Roman" w:hAnsi="Times New Roman" w:cs="Times New Roman"/>
          <w:sz w:val="24"/>
          <w:szCs w:val="24"/>
          <w:lang w:val="en-GB"/>
        </w:rPr>
        <w:footnoteReference w:id="46"/>
      </w:r>
    </w:p>
    <w:p w14:paraId="238688F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On the other hand, there is limited funding for domestic R&amp;D. Most part of Nigeria still lacks basic digital infrastructure even as tech hubs in cities like Lagos and Abuja grow</w:t>
      </w:r>
      <w:r>
        <w:rPr>
          <w:rFonts w:hint="default" w:cs="Times New Roman"/>
          <w:sz w:val="24"/>
          <w:szCs w:val="24"/>
          <w:lang w:val="en-US"/>
        </w:rPr>
        <w:t xml:space="preserve"> </w:t>
      </w:r>
      <w:r>
        <w:rPr>
          <w:rFonts w:hint="default" w:ascii="Times New Roman" w:hAnsi="Times New Roman" w:cs="Times New Roman"/>
          <w:sz w:val="24"/>
          <w:szCs w:val="24"/>
          <w:lang w:val="en-GB"/>
        </w:rPr>
        <w:t>and this slows AI diffusion. Hence, high “mobile subscriber” statistic in Nigeria does not automatically translate to AI readiness. Moreover, economy and education system in Nigeria must upskill rapidly so they would not fall behind other nations in the AI race.</w:t>
      </w:r>
      <w:r>
        <w:rPr>
          <w:rStyle w:val="10"/>
          <w:rFonts w:hint="default" w:ascii="Times New Roman" w:hAnsi="Times New Roman" w:cs="Times New Roman"/>
          <w:sz w:val="24"/>
          <w:szCs w:val="24"/>
          <w:lang w:val="en-GB"/>
        </w:rPr>
        <w:footnoteReference w:id="47"/>
      </w:r>
    </w:p>
    <w:p w14:paraId="7B405E4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To catalyse AI development, the Nigerian government and institutions have mobilised an array of policies and agencies. Foremost among these is the National Information Technology Development Agency (NITDA). It is empowered by the NITDA Act 2007 to promote ICT. NITDA established the National Centre for Artificial Intelligence and Robotics (NCAIR) and this is a specialized “innovation and research facility” focused on AI, robotics, drones, and other emerging technologies.</w:t>
      </w:r>
      <w:r>
        <w:rPr>
          <w:rStyle w:val="10"/>
          <w:rFonts w:hint="default" w:ascii="Times New Roman" w:hAnsi="Times New Roman" w:cs="Times New Roman"/>
          <w:sz w:val="24"/>
          <w:szCs w:val="24"/>
          <w:lang w:val="en-GB"/>
        </w:rPr>
        <w:footnoteReference w:id="48"/>
      </w:r>
      <w:r>
        <w:rPr>
          <w:rFonts w:hint="default" w:ascii="Times New Roman" w:hAnsi="Times New Roman" w:cs="Times New Roman"/>
          <w:sz w:val="24"/>
          <w:szCs w:val="24"/>
          <w:lang w:val="en-GB"/>
        </w:rPr>
        <w:t xml:space="preserve"> In 2022–2023 NITDA led a consultative drafting of a </w:t>
      </w:r>
      <w:r>
        <w:rPr>
          <w:rStyle w:val="7"/>
          <w:rFonts w:hint="default" w:ascii="Times New Roman" w:hAnsi="Times New Roman" w:cs="Times New Roman"/>
          <w:sz w:val="24"/>
          <w:szCs w:val="24"/>
          <w:lang w:val="en-GB"/>
        </w:rPr>
        <w:t>National Artificial Intelligence Policy (NAIP)</w:t>
      </w:r>
      <w:r>
        <w:rPr>
          <w:rFonts w:hint="default" w:ascii="Times New Roman" w:hAnsi="Times New Roman" w:cs="Times New Roman"/>
          <w:sz w:val="24"/>
          <w:szCs w:val="24"/>
          <w:lang w:val="en-GB"/>
        </w:rPr>
        <w:t>. Over 350 volunteers and experts across finance, health, telecoms, and other sectors contributed to this policy.</w:t>
      </w:r>
      <w:r>
        <w:rPr>
          <w:rStyle w:val="10"/>
          <w:rFonts w:hint="default" w:ascii="Times New Roman" w:hAnsi="Times New Roman" w:cs="Times New Roman"/>
          <w:sz w:val="24"/>
          <w:szCs w:val="24"/>
          <w:lang w:val="en-GB"/>
        </w:rPr>
        <w:footnoteReference w:id="49"/>
      </w:r>
      <w:r>
        <w:rPr>
          <w:rFonts w:hint="default" w:ascii="Times New Roman" w:hAnsi="Times New Roman" w:cs="Times New Roman"/>
          <w:sz w:val="24"/>
          <w:szCs w:val="24"/>
          <w:lang w:val="en-GB"/>
        </w:rPr>
        <w:t xml:space="preserve"> In parallel, the Federal Ministry of Communication, Innovation &amp; Digital Economy published draft strategy documents. Notably, in August 2024 the Federal Minister released a National Artificial Intelligence Strategy (NAIS).</w:t>
      </w:r>
      <w:r>
        <w:rPr>
          <w:rStyle w:val="10"/>
          <w:rFonts w:hint="default" w:ascii="Times New Roman" w:hAnsi="Times New Roman" w:cs="Times New Roman"/>
          <w:sz w:val="24"/>
          <w:szCs w:val="24"/>
          <w:lang w:val="en-GB"/>
        </w:rPr>
        <w:footnoteReference w:id="50"/>
      </w:r>
      <w:r>
        <w:rPr>
          <w:rFonts w:hint="default" w:ascii="Times New Roman" w:hAnsi="Times New Roman" w:cs="Times New Roman"/>
          <w:sz w:val="24"/>
          <w:szCs w:val="24"/>
          <w:lang w:val="en-GB"/>
        </w:rPr>
        <w:t xml:space="preserve"> The NAIS articulates Nigeria’s vision of “launch[ing] Nigeria as a global leader in the AI space.” Hence, it is recognised that AI strategic. However, commentators caution that the strategy remains high-level. They note the NAIS has laudable pillars. But, they warn that it lacks firm implementation plans or funding commitments.</w:t>
      </w:r>
      <w:r>
        <w:rPr>
          <w:rStyle w:val="10"/>
          <w:rFonts w:hint="default" w:ascii="Times New Roman" w:hAnsi="Times New Roman" w:cs="Times New Roman"/>
          <w:sz w:val="24"/>
          <w:szCs w:val="24"/>
          <w:lang w:val="en-GB"/>
        </w:rPr>
        <w:footnoteReference w:id="51"/>
      </w:r>
      <w:r>
        <w:rPr>
          <w:rFonts w:hint="default" w:ascii="Times New Roman" w:hAnsi="Times New Roman" w:cs="Times New Roman"/>
          <w:sz w:val="24"/>
          <w:szCs w:val="24"/>
          <w:lang w:val="en-GB"/>
        </w:rPr>
        <w:t xml:space="preserve"> Similarly, NITDA’s AI policy and NCAIR are steps forward. However, experts observe that the legislative and institutional frameworks for AI are still nascent.</w:t>
      </w:r>
    </w:p>
    <w:p w14:paraId="6F6D32F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In fact, beyond these frameworks, many legal instruments in Nigeria remain generic. The Nigeria Data Protection Act 2023 (NDPA) is a case in point. The NDPA replaces earlier regulations and it provides comprehensive rules for personal data. However, it does not directly regulate AI. It </w:t>
      </w:r>
      <w:r>
        <w:rPr>
          <w:rStyle w:val="7"/>
          <w:rFonts w:hint="default" w:ascii="Times New Roman" w:hAnsi="Times New Roman" w:cs="Times New Roman"/>
          <w:sz w:val="24"/>
          <w:szCs w:val="24"/>
          <w:lang w:val="en-GB"/>
        </w:rPr>
        <w:t>does</w:t>
      </w:r>
      <w:r>
        <w:rPr>
          <w:rFonts w:hint="default" w:ascii="Times New Roman" w:hAnsi="Times New Roman" w:cs="Times New Roman"/>
          <w:sz w:val="24"/>
          <w:szCs w:val="24"/>
          <w:lang w:val="en-GB"/>
        </w:rPr>
        <w:t xml:space="preserve"> cover data processing and it is used in AI (“the Act applies to all forms of personal data</w:t>
      </w:r>
      <w:r>
        <w:rPr>
          <w:rFonts w:hint="default" w:cs="Times New Roman"/>
          <w:sz w:val="24"/>
          <w:szCs w:val="24"/>
          <w:lang w:val="en-US"/>
        </w:rPr>
        <w:t xml:space="preserve"> </w:t>
      </w:r>
      <w:r>
        <w:rPr>
          <w:rFonts w:hint="default" w:ascii="Times New Roman" w:hAnsi="Times New Roman" w:cs="Times New Roman"/>
          <w:sz w:val="24"/>
          <w:szCs w:val="24"/>
          <w:lang w:val="en-GB"/>
        </w:rPr>
        <w:t>processing, including those used in AI systems”). In addition, it explicitly establishes a regulatory authority (the NDPC) to enforce privacy rights.</w:t>
      </w:r>
      <w:r>
        <w:rPr>
          <w:rStyle w:val="10"/>
          <w:rFonts w:hint="default" w:ascii="Times New Roman" w:hAnsi="Times New Roman" w:cs="Times New Roman"/>
          <w:sz w:val="24"/>
          <w:szCs w:val="24"/>
          <w:lang w:val="en-GB"/>
        </w:rPr>
        <w:footnoteReference w:id="52"/>
      </w:r>
    </w:p>
    <w:p w14:paraId="4B48121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Yet the law does not treat AI sufficiently. It addresses the risk of data breaches. However, it does not address other AI-specific risks (for instance, algorithmic bias or ethical compliance).</w:t>
      </w:r>
      <w:r>
        <w:rPr>
          <w:rStyle w:val="10"/>
          <w:rFonts w:hint="default" w:ascii="Times New Roman" w:hAnsi="Times New Roman" w:cs="Times New Roman"/>
          <w:sz w:val="24"/>
          <w:szCs w:val="24"/>
          <w:lang w:val="en-GB"/>
        </w:rPr>
        <w:footnoteReference w:id="53"/>
      </w:r>
      <w:r>
        <w:rPr>
          <w:rFonts w:hint="default" w:ascii="Times New Roman" w:hAnsi="Times New Roman" w:cs="Times New Roman"/>
          <w:sz w:val="24"/>
          <w:szCs w:val="24"/>
          <w:lang w:val="en-GB"/>
        </w:rPr>
        <w:t xml:space="preserve"> Likewise, Copyright Act 2022 remains</w:t>
      </w:r>
      <w:r>
        <w:rPr>
          <w:rFonts w:hint="default" w:cs="Times New Roman"/>
          <w:sz w:val="24"/>
          <w:szCs w:val="24"/>
          <w:lang w:val="en-US"/>
        </w:rPr>
        <w:t xml:space="preserve"> </w:t>
      </w:r>
      <w:r>
        <w:rPr>
          <w:rFonts w:hint="default" w:ascii="Times New Roman" w:hAnsi="Times New Roman" w:cs="Times New Roman"/>
          <w:sz w:val="24"/>
          <w:szCs w:val="24"/>
          <w:lang w:val="en-GB"/>
        </w:rPr>
        <w:t>fundamentally unchanged. Crucially, no statute currently enshrines AI-specific authorship or liability rules. However, one major development is that the draft of the AI Control Bill (2023) was introduced in the National Assembly.</w:t>
      </w:r>
      <w:r>
        <w:rPr>
          <w:rStyle w:val="10"/>
          <w:rFonts w:hint="default" w:ascii="Times New Roman" w:hAnsi="Times New Roman" w:cs="Times New Roman"/>
          <w:sz w:val="24"/>
          <w:szCs w:val="24"/>
          <w:lang w:val="en-GB"/>
        </w:rPr>
        <w:footnoteReference w:id="54"/>
      </w:r>
      <w:r>
        <w:rPr>
          <w:rFonts w:hint="default" w:cs="Times New Roman"/>
          <w:sz w:val="24"/>
          <w:szCs w:val="24"/>
          <w:lang w:val="en-US"/>
        </w:rPr>
        <w:t xml:space="preserve"> </w:t>
      </w:r>
      <w:r>
        <w:rPr>
          <w:rFonts w:hint="default" w:ascii="Times New Roman" w:hAnsi="Times New Roman" w:cs="Times New Roman"/>
          <w:sz w:val="24"/>
          <w:szCs w:val="24"/>
          <w:lang w:val="en-GB"/>
        </w:rPr>
        <w:t>This bill was sponsored in late 2023. It seeks to impose mandatory registration and licensing on AI developers and even ordinary users. It would also create a National AI Council which overseas AI standards and audits.</w:t>
      </w:r>
      <w:r>
        <w:rPr>
          <w:rStyle w:val="10"/>
          <w:rFonts w:hint="default" w:ascii="Times New Roman" w:hAnsi="Times New Roman" w:cs="Times New Roman"/>
          <w:sz w:val="24"/>
          <w:szCs w:val="24"/>
          <w:lang w:val="en-GB"/>
        </w:rPr>
        <w:footnoteReference w:id="55"/>
      </w:r>
      <w:r>
        <w:rPr>
          <w:rFonts w:hint="default" w:ascii="Times New Roman" w:hAnsi="Times New Roman" w:cs="Times New Roman"/>
          <w:sz w:val="24"/>
          <w:szCs w:val="24"/>
          <w:lang w:val="en-GB"/>
        </w:rPr>
        <w:t xml:space="preserve"> If passed, it would establish the first AI regulatory regime in Nigeria. Complementing this, professional bodies have also moved. The Nigerian Bar Association issued “Guidelines for the use of AI in the legal profession” in 2024.</w:t>
      </w:r>
      <w:r>
        <w:rPr>
          <w:rStyle w:val="10"/>
          <w:rFonts w:hint="default" w:ascii="Times New Roman" w:hAnsi="Times New Roman" w:cs="Times New Roman"/>
          <w:sz w:val="24"/>
          <w:szCs w:val="24"/>
          <w:lang w:val="en-GB"/>
        </w:rPr>
        <w:footnoteReference w:id="56"/>
      </w:r>
      <w:r>
        <w:rPr>
          <w:rFonts w:hint="default" w:ascii="Times New Roman" w:hAnsi="Times New Roman" w:cs="Times New Roman"/>
          <w:sz w:val="24"/>
          <w:szCs w:val="24"/>
          <w:lang w:val="en-GB"/>
        </w:rPr>
        <w:t xml:space="preserve"> Meanwhile, the Nigerian Communications Commission (NCC) is updating telecom regulations to cover AI. A draft Internet Code of Practice (2025) would require ISPs to notify and govern any AI tools on their networks. In practice, the AI “regulatory framework” of AI thus relies heavily on future promises. Many observers warn that without concrete standards and skilled regulators, well-intentioned laws may remain toothless. Indeed, the NBA’s guidelines encourage human oversight of AI in law practice.</w:t>
      </w:r>
      <w:r>
        <w:rPr>
          <w:rStyle w:val="10"/>
          <w:rFonts w:hint="default" w:ascii="Times New Roman" w:hAnsi="Times New Roman" w:cs="Times New Roman"/>
          <w:sz w:val="24"/>
          <w:szCs w:val="24"/>
          <w:lang w:val="en-GB"/>
        </w:rPr>
        <w:footnoteReference w:id="57"/>
      </w:r>
      <w:r>
        <w:rPr>
          <w:rFonts w:hint="default" w:ascii="Times New Roman" w:hAnsi="Times New Roman" w:cs="Times New Roman"/>
          <w:sz w:val="24"/>
          <w:szCs w:val="24"/>
          <w:lang w:val="en-GB"/>
        </w:rPr>
        <w:t xml:space="preserve"> However, there is no penalty for non-compliance outside the profession. </w:t>
      </w:r>
    </w:p>
    <w:p w14:paraId="26EB6576">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The economic impact of AI in Nigeria remains an open question. However, it shows both promise and uneven distribution. On one hand, AI-driven efficiencies drive growth. Nigeria’s vibrant fintech sector is an “AI flagbearer” on the continent. Startups leverage machine learning for mobile payments and fraud detection.</w:t>
      </w:r>
      <w:r>
        <w:rPr>
          <w:rStyle w:val="10"/>
          <w:rFonts w:hint="default" w:ascii="Times New Roman" w:hAnsi="Times New Roman" w:cs="Times New Roman"/>
          <w:sz w:val="24"/>
          <w:szCs w:val="24"/>
          <w:lang w:val="en-GB"/>
        </w:rPr>
        <w:footnoteReference w:id="58"/>
      </w:r>
      <w:r>
        <w:rPr>
          <w:rFonts w:hint="default" w:ascii="Times New Roman" w:hAnsi="Times New Roman" w:cs="Times New Roman"/>
          <w:sz w:val="24"/>
          <w:szCs w:val="24"/>
          <w:lang w:val="en-GB"/>
        </w:rPr>
        <w:t xml:space="preserve"> Similarly, Nigerian agritech firms explore AI to optimise planting and supply chains. In healthcare, there are pilots of AI-powered diagnostic tools and telemedicine. This would improve outcomes in remote areas. The</w:t>
      </w:r>
      <w:r>
        <w:rPr>
          <w:rFonts w:hint="default" w:cs="Times New Roman"/>
          <w:sz w:val="24"/>
          <w:szCs w:val="24"/>
          <w:lang w:val="en-US"/>
        </w:rPr>
        <w:t xml:space="preserve"> </w:t>
      </w:r>
      <w:r>
        <w:rPr>
          <w:rFonts w:hint="default" w:ascii="Times New Roman" w:hAnsi="Times New Roman" w:cs="Times New Roman"/>
          <w:sz w:val="24"/>
          <w:szCs w:val="24"/>
          <w:lang w:val="en-GB"/>
        </w:rPr>
        <w:t xml:space="preserve">sesuggest that AI can boost productivity in core industries. Yet there is limited evidence of broad economic transformation. Nigeria’s economy still relies heavily on oil and traditional services. In addition, many businesses are not digitalised. </w:t>
      </w:r>
    </w:p>
    <w:p w14:paraId="2FA01691">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Evidently, AI is on the rise in Nigeria and this poses critical challenges in copyright and IP which existing laws are ill-equipped to resolve. Current Nigerian copyright law was drafted long before generative AI. It defines protectable works in traditional categories (literary, musical, artistic, etc.) and it presumes a human author. The Nigerian Copyright Act requires that a work have “original character” and that “some effort has been expended” by its author to achieve that originality.</w:t>
      </w:r>
      <w:r>
        <w:rPr>
          <w:rStyle w:val="10"/>
          <w:rFonts w:hint="default" w:ascii="Times New Roman" w:hAnsi="Times New Roman" w:cs="Times New Roman"/>
          <w:sz w:val="24"/>
          <w:szCs w:val="24"/>
          <w:lang w:val="en-GB"/>
        </w:rPr>
        <w:footnoteReference w:id="59"/>
      </w:r>
      <w:r>
        <w:rPr>
          <w:rFonts w:hint="default" w:ascii="Times New Roman" w:hAnsi="Times New Roman" w:cs="Times New Roman"/>
          <w:sz w:val="24"/>
          <w:szCs w:val="24"/>
          <w:lang w:val="en-GB"/>
        </w:rPr>
        <w:t xml:space="preserve"> What is unsettled is how these concepts apply when an AI system plays a major role. To date, no Nigerian court has directly ruled on an AI-generated work. Comparatively, other jurisdictions have split approaches. A Beijing court in China ruled that a prompter could be the author of an AI-generated image.</w:t>
      </w:r>
      <w:r>
        <w:rPr>
          <w:rStyle w:val="10"/>
          <w:rFonts w:hint="default" w:ascii="Times New Roman" w:hAnsi="Times New Roman" w:cs="Times New Roman"/>
          <w:sz w:val="24"/>
          <w:szCs w:val="24"/>
          <w:lang w:val="en-GB"/>
        </w:rPr>
        <w:footnoteReference w:id="60"/>
      </w:r>
      <w:r>
        <w:rPr>
          <w:rFonts w:hint="default" w:ascii="Times New Roman" w:hAnsi="Times New Roman" w:cs="Times New Roman"/>
          <w:sz w:val="24"/>
          <w:szCs w:val="24"/>
          <w:lang w:val="en-GB"/>
        </w:rPr>
        <w:t xml:space="preserve"> Conversely, US authorities have flatly refused copyright for purely AI-crafted works.</w:t>
      </w:r>
      <w:r>
        <w:rPr>
          <w:rStyle w:val="10"/>
          <w:rFonts w:hint="default" w:ascii="Times New Roman" w:hAnsi="Times New Roman" w:cs="Times New Roman"/>
          <w:sz w:val="24"/>
          <w:szCs w:val="24"/>
          <w:lang w:val="en-GB"/>
        </w:rPr>
        <w:footnoteReference w:id="61"/>
      </w:r>
      <w:r>
        <w:rPr>
          <w:rFonts w:hint="default" w:ascii="Times New Roman" w:hAnsi="Times New Roman" w:cs="Times New Roman"/>
          <w:sz w:val="24"/>
          <w:szCs w:val="24"/>
          <w:lang w:val="en-GB"/>
        </w:rPr>
        <w:t xml:space="preserve"> The UK model is instructive too. Its 1988 Act provides a special rule for </w:t>
      </w:r>
      <w:r>
        <w:rPr>
          <w:rStyle w:val="7"/>
          <w:rFonts w:hint="default" w:ascii="Times New Roman" w:hAnsi="Times New Roman" w:cs="Times New Roman"/>
          <w:sz w:val="24"/>
          <w:szCs w:val="24"/>
          <w:lang w:val="en-GB"/>
        </w:rPr>
        <w:t>computer-generated works</w:t>
      </w:r>
      <w:r>
        <w:rPr>
          <w:rFonts w:hint="default" w:ascii="Times New Roman" w:hAnsi="Times New Roman" w:cs="Times New Roman"/>
          <w:sz w:val="24"/>
          <w:szCs w:val="24"/>
          <w:lang w:val="en-GB"/>
        </w:rPr>
        <w:t>.</w:t>
      </w:r>
      <w:r>
        <w:rPr>
          <w:rStyle w:val="10"/>
          <w:rFonts w:hint="default" w:ascii="Times New Roman" w:hAnsi="Times New Roman" w:cs="Times New Roman"/>
          <w:sz w:val="24"/>
          <w:szCs w:val="24"/>
          <w:lang w:val="en-GB"/>
        </w:rPr>
        <w:footnoteReference w:id="62"/>
      </w:r>
      <w:r>
        <w:rPr>
          <w:rFonts w:hint="default" w:ascii="Times New Roman" w:hAnsi="Times New Roman" w:cs="Times New Roman"/>
          <w:sz w:val="24"/>
          <w:szCs w:val="24"/>
          <w:lang w:val="en-GB"/>
        </w:rPr>
        <w:t xml:space="preserve"> It holds that the person who made the “arrangements necessary” is the author. Nigeria currently has no parallel provision. In practice, it relies on the cases on originality</w:t>
      </w:r>
      <w:r>
        <w:rPr>
          <w:rStyle w:val="10"/>
          <w:rFonts w:hint="default" w:ascii="Times New Roman" w:hAnsi="Times New Roman" w:cs="Times New Roman"/>
          <w:sz w:val="24"/>
          <w:szCs w:val="24"/>
          <w:lang w:val="en-GB"/>
        </w:rPr>
        <w:footnoteReference w:id="63"/>
      </w:r>
      <w:r>
        <w:rPr>
          <w:rFonts w:hint="default" w:ascii="Times New Roman" w:hAnsi="Times New Roman" w:cs="Times New Roman"/>
          <w:sz w:val="24"/>
          <w:szCs w:val="24"/>
          <w:lang w:val="en-GB"/>
        </w:rPr>
        <w:t xml:space="preserve"> and this may or may not map neatly onto AI.</w:t>
      </w:r>
    </w:p>
    <w:p w14:paraId="2B8E831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outlineLvl w:val="0"/>
        <w:rPr>
          <w:rFonts w:hint="default" w:ascii="Times New Roman" w:hAnsi="Times New Roman" w:cs="Times New Roman"/>
          <w:sz w:val="24"/>
          <w:szCs w:val="24"/>
          <w:lang w:val="en-GB"/>
        </w:rPr>
      </w:pPr>
      <w:bookmarkStart w:id="26" w:name="_Toc19966"/>
      <w:r>
        <w:rPr>
          <w:rFonts w:hint="default" w:ascii="Times New Roman" w:hAnsi="Times New Roman" w:cs="Times New Roman"/>
          <w:sz w:val="24"/>
          <w:szCs w:val="24"/>
          <w:lang w:val="en-GB"/>
        </w:rPr>
        <w:t xml:space="preserve">2.2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Theoretical Framework</w:t>
      </w:r>
      <w:bookmarkEnd w:id="26"/>
    </w:p>
    <w:p w14:paraId="15477E4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To critically analyse copyright in the AI era, it is instructive to consider major legal-philosophical theories and how they interpret intellectual property. Each theory offers a lens to evaluate copyright and to question how AI-generated works fit within them.</w:t>
      </w:r>
    </w:p>
    <w:p w14:paraId="72C3D509">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27" w:name="_Toc26192"/>
      <w:r>
        <w:rPr>
          <w:rFonts w:hint="default" w:ascii="Times New Roman" w:hAnsi="Times New Roman" w:cs="Times New Roman"/>
          <w:b/>
          <w:sz w:val="24"/>
          <w:szCs w:val="24"/>
        </w:rPr>
        <w:t xml:space="preserve">2.2.1 </w:t>
      </w:r>
      <w:r>
        <w:rPr>
          <w:rFonts w:hint="default" w:ascii="Times New Roman" w:hAnsi="Times New Roman" w:cs="Times New Roman"/>
          <w:b/>
          <w:sz w:val="24"/>
          <w:szCs w:val="24"/>
        </w:rPr>
        <w:tab/>
      </w:r>
      <w:r>
        <w:rPr>
          <w:rFonts w:hint="default" w:ascii="Times New Roman" w:hAnsi="Times New Roman" w:cs="Times New Roman"/>
          <w:b/>
          <w:sz w:val="24"/>
          <w:szCs w:val="24"/>
        </w:rPr>
        <w:t>Natural Law Theory</w:t>
      </w:r>
      <w:bookmarkEnd w:id="27"/>
    </w:p>
    <w:p w14:paraId="5DD0AE6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Natural Law theory posits that certain rights and moral principles are inherent in human nature or granted by a higher order.In addition, it holds that human law should reflect these universal truths. Early natural lawyers (Aquinas, Locke) believed property rights derive from labour and divine grant. John Locke famously argued that “man has mixed his labour with it.” Hence, by working on resources, a person has a natural right to the resulting product.</w:t>
      </w:r>
      <w:r>
        <w:rPr>
          <w:rStyle w:val="10"/>
          <w:rFonts w:hint="default" w:ascii="Times New Roman" w:hAnsi="Times New Roman" w:cs="Times New Roman"/>
          <w:sz w:val="24"/>
          <w:szCs w:val="24"/>
          <w:lang w:val="en-GB"/>
        </w:rPr>
        <w:footnoteReference w:id="64"/>
      </w:r>
      <w:r>
        <w:rPr>
          <w:rFonts w:hint="default" w:ascii="Times New Roman" w:hAnsi="Times New Roman" w:cs="Times New Roman"/>
          <w:sz w:val="24"/>
          <w:szCs w:val="24"/>
          <w:lang w:val="en-GB"/>
        </w:rPr>
        <w:t xml:space="preserve"> A strict Lockean view suggests that creators have a moral claim to the outcomes of their labour. This is because they have invested personal effort into their works. </w:t>
      </w:r>
    </w:p>
    <w:p w14:paraId="29BFBA7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Then, copyright is justified under natural law because it recognises an author’s natural right to control and benefit from her creations. Moral rights (the right of attribution and integrity) also resonate with natural law. They protect the personal bond between creator and work. In fact, global moral rights emerged from a humanistic tradition (France, Germany) and this is aligned with natural-law thinking. It was later embodied in the Berne Convention.</w:t>
      </w:r>
      <w:r>
        <w:rPr>
          <w:rStyle w:val="10"/>
          <w:rFonts w:hint="default" w:ascii="Times New Roman" w:hAnsi="Times New Roman" w:cs="Times New Roman"/>
          <w:sz w:val="24"/>
          <w:szCs w:val="24"/>
          <w:lang w:val="en-GB"/>
        </w:rPr>
        <w:footnoteReference w:id="65"/>
      </w:r>
      <w:r>
        <w:rPr>
          <w:rFonts w:hint="default" w:ascii="Times New Roman" w:hAnsi="Times New Roman" w:cs="Times New Roman"/>
          <w:sz w:val="24"/>
          <w:szCs w:val="24"/>
          <w:lang w:val="en-GB"/>
        </w:rPr>
        <w:t xml:space="preserve"> The Copyright Act2022 explicitly protects an author’s right to be named and to oppose derogatory modification of her work.</w:t>
      </w:r>
      <w:r>
        <w:rPr>
          <w:rStyle w:val="10"/>
          <w:rFonts w:hint="default" w:ascii="Times New Roman" w:hAnsi="Times New Roman" w:cs="Times New Roman"/>
          <w:sz w:val="24"/>
          <w:szCs w:val="24"/>
          <w:lang w:val="en-GB"/>
        </w:rPr>
        <w:footnoteReference w:id="66"/>
      </w:r>
      <w:r>
        <w:rPr>
          <w:rFonts w:hint="default" w:ascii="Times New Roman" w:hAnsi="Times New Roman" w:cs="Times New Roman"/>
          <w:sz w:val="24"/>
          <w:szCs w:val="24"/>
          <w:lang w:val="en-GB"/>
        </w:rPr>
        <w:t xml:space="preserve"> Therefore, authors have an almost inalienable claim to the personal significance of their works.</w:t>
      </w:r>
    </w:p>
    <w:p w14:paraId="3B60B27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However, natural law also raises questions in the AI context. Can an artificial agent have rights at all if rights derive from human nature or divine design? Natural law theorists (like Locke) would likely say no. AI is not a “moral person” and it has no “labour” in the Lockean sense. Thus, AI-generated outputs would </w:t>
      </w:r>
      <w:r>
        <w:rPr>
          <w:rStyle w:val="7"/>
          <w:rFonts w:hint="default" w:ascii="Times New Roman" w:hAnsi="Times New Roman" w:cs="Times New Roman"/>
          <w:sz w:val="24"/>
          <w:szCs w:val="24"/>
          <w:lang w:val="en-GB"/>
        </w:rPr>
        <w:t>not</w:t>
      </w:r>
      <w:r>
        <w:rPr>
          <w:rFonts w:hint="default" w:ascii="Times New Roman" w:hAnsi="Times New Roman" w:cs="Times New Roman"/>
          <w:sz w:val="24"/>
          <w:szCs w:val="24"/>
          <w:lang w:val="en-GB"/>
        </w:rPr>
        <w:t xml:space="preserve"> attract copyright protection at all under strict natural-law views. This is because there is no human labour or personhood behind them. The Creator (programmer or user) might instead claim rights if they mixed their effort in designing or prompting the AI. Conversely, natural law provides a strong normative backing for protecting human artists and writers against unauthorised AI copying of their work. It violates labour-right or even a natural duty. However, there is still an unsettled the status of AI outputs: are they “property” at all? The likely answer is that natural law yields no entitlement to autonomous creations of a machine. This</w:t>
      </w:r>
      <w:r>
        <w:rPr>
          <w:rFonts w:hint="default" w:cs="Times New Roman"/>
          <w:sz w:val="24"/>
          <w:szCs w:val="24"/>
          <w:lang w:val="en-US"/>
        </w:rPr>
        <w:t xml:space="preserve"> </w:t>
      </w:r>
      <w:r>
        <w:rPr>
          <w:rFonts w:hint="default" w:ascii="Times New Roman" w:hAnsi="Times New Roman" w:cs="Times New Roman"/>
          <w:sz w:val="24"/>
          <w:szCs w:val="24"/>
          <w:lang w:val="en-GB"/>
        </w:rPr>
        <w:t>pushes the law to either ignore pure AI works or strictly assign authorship to the human elements (designers, operators) involved.</w:t>
      </w:r>
    </w:p>
    <w:p w14:paraId="4652BB6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07ABF752">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28" w:name="_Toc7592"/>
      <w:r>
        <w:rPr>
          <w:rFonts w:hint="default" w:ascii="Times New Roman" w:hAnsi="Times New Roman" w:cs="Times New Roman"/>
          <w:b/>
          <w:sz w:val="24"/>
          <w:szCs w:val="24"/>
        </w:rPr>
        <w:t xml:space="preserve">2.2.2 </w:t>
      </w:r>
      <w:r>
        <w:rPr>
          <w:rFonts w:hint="default" w:ascii="Times New Roman" w:hAnsi="Times New Roman" w:cs="Times New Roman"/>
          <w:b/>
          <w:sz w:val="24"/>
          <w:szCs w:val="24"/>
        </w:rPr>
        <w:tab/>
      </w:r>
      <w:r>
        <w:rPr>
          <w:rFonts w:hint="default" w:ascii="Times New Roman" w:hAnsi="Times New Roman" w:cs="Times New Roman"/>
          <w:b/>
          <w:sz w:val="24"/>
          <w:szCs w:val="24"/>
        </w:rPr>
        <w:t>Legal Positivism</w:t>
      </w:r>
      <w:bookmarkEnd w:id="28"/>
    </w:p>
    <w:p w14:paraId="6B3BC81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Legal Positivism holds that law is the command of a sovereign or the product of social facts. Austin notes that law is “orders backed by threats.” Hart proposed that law is a system of primary and secondary rules created by human institutions.</w:t>
      </w:r>
      <w:r>
        <w:rPr>
          <w:rStyle w:val="10"/>
          <w:rFonts w:hint="default" w:ascii="Times New Roman" w:hAnsi="Times New Roman" w:cs="Times New Roman"/>
          <w:sz w:val="24"/>
          <w:szCs w:val="24"/>
          <w:lang w:val="en-GB"/>
        </w:rPr>
        <w:footnoteReference w:id="67"/>
      </w:r>
      <w:r>
        <w:rPr>
          <w:rFonts w:hint="default" w:ascii="Times New Roman" w:hAnsi="Times New Roman" w:cs="Times New Roman"/>
          <w:sz w:val="24"/>
          <w:szCs w:val="24"/>
          <w:lang w:val="en-GB"/>
        </w:rPr>
        <w:t xml:space="preserve"> Consequently, copyright is only valid when it is enacted and enforce by the state. It is not on any intrinsic natural right. Copyright law in Nigeria is valid not because of any higher principle. Rather, it is valid because Parliament passed the Act and the President assented. </w:t>
      </w:r>
    </w:p>
    <w:p w14:paraId="6F775F16">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This perspective is pragmatic and it is relevant when new technologies challenge existing rules. A positivist would note that there is no </w:t>
      </w:r>
      <w:r>
        <w:rPr>
          <w:rStyle w:val="7"/>
          <w:rFonts w:hint="default" w:ascii="Times New Roman" w:hAnsi="Times New Roman" w:cs="Times New Roman"/>
          <w:sz w:val="24"/>
          <w:szCs w:val="24"/>
          <w:lang w:val="en-GB"/>
        </w:rPr>
        <w:t>pre-existing</w:t>
      </w:r>
      <w:r>
        <w:rPr>
          <w:rFonts w:hint="default" w:ascii="Times New Roman" w:hAnsi="Times New Roman" w:cs="Times New Roman"/>
          <w:sz w:val="24"/>
          <w:szCs w:val="24"/>
          <w:lang w:val="en-GB"/>
        </w:rPr>
        <w:t xml:space="preserve"> rule about AI-generated works until a sovereign authority enacts one. Thus, the issue of AI authorship is not a question of natural justice. It is a question of statutory interpretation and legislative reform. If the Copyright Act 2022 has no provision for AI authors, the positivist solution is to amend the statute or interpret it as is. Hence, the courts and regulators will look to the letter of the law and any relevant treaty. A positivist analysis would encourage Nigeria to craft clear rules (via NAIS or legislative acts) to govern AI creation and infringement.</w:t>
      </w:r>
    </w:p>
    <w:p w14:paraId="5187B54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On enforcement, legal positivism focuses on compliance and punishment. A positivist would argue that tackling online piracy is a matter of applying copyright infringement statutes. However, positivism appears cold to critics.If the law is unjust, positivists hold that the solution is legislative change. It should not be judicial nullification. When it comes to AI, a positivist might be agnostic about personhood. They might argue that “AI has no rights because the law doesn’t grant any.” But they would also say the law could be changed to grant AI-related rights if the legislature sees it fit. </w:t>
      </w:r>
    </w:p>
    <w:p w14:paraId="4654B166">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01E0EC01">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5E41EFA8">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29" w:name="_Toc5927"/>
      <w:r>
        <w:rPr>
          <w:rFonts w:hint="default" w:ascii="Times New Roman" w:hAnsi="Times New Roman" w:cs="Times New Roman"/>
          <w:b/>
          <w:sz w:val="24"/>
          <w:szCs w:val="24"/>
        </w:rPr>
        <w:t xml:space="preserve">2.2.3 </w:t>
      </w:r>
      <w:r>
        <w:rPr>
          <w:rFonts w:hint="default" w:ascii="Times New Roman" w:hAnsi="Times New Roman" w:cs="Times New Roman"/>
          <w:b/>
          <w:sz w:val="24"/>
          <w:szCs w:val="24"/>
        </w:rPr>
        <w:tab/>
      </w:r>
      <w:r>
        <w:rPr>
          <w:rFonts w:hint="default" w:ascii="Times New Roman" w:hAnsi="Times New Roman" w:cs="Times New Roman"/>
          <w:b/>
          <w:sz w:val="24"/>
          <w:szCs w:val="24"/>
        </w:rPr>
        <w:t>Utilitarianism</w:t>
      </w:r>
      <w:bookmarkEnd w:id="29"/>
    </w:p>
    <w:p w14:paraId="2293E6D6">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Utilitarian theory judges laws by their consequences for overall welfare. Classical utilitarians (Bentham, Mill) hold that “the greatest good for the greatest number” should be maximised. Hence, they believe that IP is a utilitarian bargain. Limited exclusive rights are justified because they incentivize the creation of works which enrich society.</w:t>
      </w:r>
      <w:r>
        <w:rPr>
          <w:rStyle w:val="10"/>
          <w:rFonts w:hint="default" w:ascii="Times New Roman" w:hAnsi="Times New Roman" w:cs="Times New Roman"/>
          <w:sz w:val="24"/>
          <w:szCs w:val="24"/>
          <w:lang w:val="en-GB"/>
        </w:rPr>
        <w:footnoteReference w:id="68"/>
      </w:r>
      <w:r>
        <w:rPr>
          <w:rFonts w:hint="default" w:ascii="Times New Roman" w:hAnsi="Times New Roman" w:cs="Times New Roman"/>
          <w:sz w:val="24"/>
          <w:szCs w:val="24"/>
          <w:lang w:val="en-GB"/>
        </w:rPr>
        <w:t xml:space="preserve"> Under this view, moral force of copyright comes from its beneficial social outcomes (more books, films, inventions). It is not from any natural right. Indeed, copyright is framed in utilitarian terms in Nigeria: gantinga temporary monopoly encourages investment in creativity. Creators may stop producing without it and this is a loss to the society.</w:t>
      </w:r>
    </w:p>
    <w:p w14:paraId="1F0B5B5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AI increases the pace and scale of creative output (or automate it). If the goal is social welfare, a utilitarian might support adapting the law to strike a new balance. If AI-generated works are abundant and free, strict copyright for humans might yield diminishing returns. Conversely, society may require stronger enforcement or new incentives if AI undermines human creators. A utilitarian would ask: does current law best promote the flow of new creative works and cultural goods? If not, perhaps the law should allow certain AI uses (fair use for research) or extend new rights (grant limited rights to AI outputs to encourage innovation).In practice, copyright law and enforcement can be seen through a utilitarian lens in Nigeria. Protection periods have been extended (now 70 years post mortem for many works)</w:t>
      </w:r>
      <w:r>
        <w:rPr>
          <w:rStyle w:val="10"/>
          <w:rFonts w:hint="default" w:ascii="Times New Roman" w:hAnsi="Times New Roman" w:cs="Times New Roman"/>
          <w:sz w:val="24"/>
          <w:szCs w:val="24"/>
          <w:lang w:val="en-GB"/>
        </w:rPr>
        <w:footnoteReference w:id="69"/>
      </w:r>
      <w:r>
        <w:rPr>
          <w:rFonts w:hint="default" w:ascii="Times New Roman" w:hAnsi="Times New Roman" w:cs="Times New Roman"/>
          <w:sz w:val="24"/>
          <w:szCs w:val="24"/>
          <w:lang w:val="en-GB"/>
        </w:rPr>
        <w:t xml:space="preserve"> and this aligns with maximising incentives for authors and their heirs. The 2022 Act also strengthened digital protection (anti-circumvention, internet offenses)</w:t>
      </w:r>
      <w:r>
        <w:rPr>
          <w:rStyle w:val="10"/>
          <w:rFonts w:hint="default" w:ascii="Times New Roman" w:hAnsi="Times New Roman" w:cs="Times New Roman"/>
          <w:sz w:val="24"/>
          <w:szCs w:val="24"/>
          <w:lang w:val="en-GB"/>
        </w:rPr>
        <w:footnoteReference w:id="70"/>
      </w:r>
      <w:r>
        <w:rPr>
          <w:rFonts w:hint="default" w:ascii="Times New Roman" w:hAnsi="Times New Roman" w:cs="Times New Roman"/>
          <w:sz w:val="24"/>
          <w:szCs w:val="24"/>
          <w:lang w:val="en-GB"/>
        </w:rPr>
        <w:t xml:space="preserve"> and this curbs rampant piracy. Regarding AI, a utilitarian would ask: Should non-commercial uses of AI (e.g. data-mining for cultural preservation) be allowed without license? If AI democratise creation, utilitarianism might argue against overly rigid enforcement which hampers innovation. </w:t>
      </w:r>
    </w:p>
    <w:p w14:paraId="11BACF0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On the negative side, utilitarian theories are critiqued when they fail to protect investment adequately or when they lead to unequal benefits. Overly long or broad monopolies may hurt access without inspiring proportional new output. Yet for now, utilitarians would generally support robust enforcement to ensure creators see rewards. They argue that that without protection, “innovators will devote their energies to other activities, and society will suffer”</w:t>
      </w:r>
    </w:p>
    <w:p w14:paraId="46A5E809">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30" w:name="_Toc10948"/>
      <w:r>
        <w:rPr>
          <w:rFonts w:hint="default" w:ascii="Times New Roman" w:hAnsi="Times New Roman" w:cs="Times New Roman"/>
          <w:b/>
          <w:sz w:val="24"/>
          <w:szCs w:val="24"/>
        </w:rPr>
        <w:t xml:space="preserve">2.2.4 </w:t>
      </w:r>
      <w:r>
        <w:rPr>
          <w:rFonts w:hint="default" w:ascii="Times New Roman" w:hAnsi="Times New Roman" w:cs="Times New Roman"/>
          <w:b/>
          <w:sz w:val="24"/>
          <w:szCs w:val="24"/>
        </w:rPr>
        <w:tab/>
      </w:r>
      <w:r>
        <w:rPr>
          <w:rFonts w:hint="default" w:ascii="Times New Roman" w:hAnsi="Times New Roman" w:cs="Times New Roman"/>
          <w:b/>
          <w:sz w:val="24"/>
          <w:szCs w:val="24"/>
        </w:rPr>
        <w:t>Personhood Theory</w:t>
      </w:r>
      <w:bookmarkEnd w:id="30"/>
    </w:p>
    <w:p w14:paraId="65C3719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Personhood theories originated through in Hegel and it was developed Margaret Radin. Under this theory, property rights are extensions of self-expression.</w:t>
      </w:r>
      <w:r>
        <w:rPr>
          <w:rStyle w:val="10"/>
          <w:rFonts w:hint="default" w:ascii="Times New Roman" w:hAnsi="Times New Roman" w:cs="Times New Roman"/>
          <w:sz w:val="24"/>
          <w:szCs w:val="24"/>
          <w:lang w:val="en-GB"/>
        </w:rPr>
        <w:footnoteReference w:id="71"/>
      </w:r>
      <w:r>
        <w:rPr>
          <w:rFonts w:hint="default" w:ascii="Times New Roman" w:hAnsi="Times New Roman" w:cs="Times New Roman"/>
          <w:sz w:val="24"/>
          <w:szCs w:val="24"/>
          <w:lang w:val="en-GB"/>
        </w:rPr>
        <w:t xml:space="preserve"> Hegel argued that individuals actualise their will through property. Hence, controlling objects (including creative works) is essential to personal freedom. Radin maintain that certain things (traditionally homes or artworks) are so tied to identity. Thus, treating them as mere commodities violates dignity.</w:t>
      </w:r>
      <w:r>
        <w:rPr>
          <w:rStyle w:val="10"/>
          <w:rFonts w:hint="default" w:ascii="Times New Roman" w:hAnsi="Times New Roman" w:cs="Times New Roman"/>
          <w:sz w:val="24"/>
          <w:szCs w:val="24"/>
          <w:lang w:val="en-GB"/>
        </w:rPr>
        <w:footnoteReference w:id="72"/>
      </w:r>
      <w:r>
        <w:rPr>
          <w:rFonts w:hint="default" w:ascii="Times New Roman" w:hAnsi="Times New Roman" w:cs="Times New Roman"/>
          <w:sz w:val="24"/>
          <w:szCs w:val="24"/>
          <w:lang w:val="en-GB"/>
        </w:rPr>
        <w:t xml:space="preserve"> Applied to IP, personhood suggests that works of authorship carry the author’s personality. Their integrity and attribution should be legally protected because they are integral to the author’s personhood. This perspective relies on moral rights and it holds that author should be protected. A work is not purely economic goods. Rather, it is a symbol of self. In the copyright context, personhood theory supports laws which preserve the intimate bond of the author to her work. </w:t>
      </w:r>
    </w:p>
    <w:p w14:paraId="15E9A34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In Nigeria, the Copyright Act 2022 explicitly guarantees moral rights (paternity and integrity).</w:t>
      </w:r>
      <w:r>
        <w:rPr>
          <w:rStyle w:val="10"/>
          <w:rFonts w:hint="default" w:ascii="Times New Roman" w:hAnsi="Times New Roman" w:cs="Times New Roman"/>
          <w:sz w:val="24"/>
          <w:szCs w:val="24"/>
          <w:lang w:val="en-GB"/>
        </w:rPr>
        <w:footnoteReference w:id="73"/>
      </w:r>
      <w:r>
        <w:rPr>
          <w:rFonts w:hint="default" w:ascii="Times New Roman" w:hAnsi="Times New Roman" w:cs="Times New Roman"/>
          <w:sz w:val="24"/>
          <w:szCs w:val="24"/>
          <w:lang w:val="en-GB"/>
        </w:rPr>
        <w:t xml:space="preserve"> The law acknowledges that creators’ personal and reputational interests deserve safeguard beyond market value.Under personhood theory, AI-generated works pose philosophical challenges. If an AI independently creates a painting, can it have “personhood” or a psyche? The theory would say no. An AI lacks the inner life to imbue works with personality. Therefore, personhood theory would likely deny any personal connection between AI and output. Consequently, these works might be considered mere objects. Hence, they do not deserve protection for their own sake. Instead, the personhood would focus on the human individuals involved (programmers, users). A Nigerian author whose work is used by AI without credit could claim that her personality has been misappropriated.</w:t>
      </w:r>
    </w:p>
    <w:p w14:paraId="3F2959B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Moreover, personhood theory argues that not all creations are equally meaningful to their creators.</w:t>
      </w:r>
      <w:r>
        <w:rPr>
          <w:rStyle w:val="10"/>
          <w:rFonts w:hint="default" w:ascii="Times New Roman" w:hAnsi="Times New Roman" w:cs="Times New Roman"/>
          <w:sz w:val="24"/>
          <w:szCs w:val="24"/>
          <w:lang w:val="en-GB"/>
        </w:rPr>
        <w:footnoteReference w:id="74"/>
      </w:r>
      <w:r>
        <w:rPr>
          <w:rFonts w:hint="default" w:ascii="Times New Roman" w:hAnsi="Times New Roman" w:cs="Times New Roman"/>
          <w:sz w:val="24"/>
          <w:szCs w:val="24"/>
          <w:lang w:val="en-GB"/>
        </w:rPr>
        <w:t xml:space="preserve"> Songs or poems might represent an author’s worldview in a way that pure instrumental inventions do not. A personhood approach would prioritise strong copyright for works with deep personal or societal significance, even if the economic impact is small. Personhood theory is morally resonant and it clarifies “moral rights.” It also clarifies why authors care about control beyond money. However, personhood theory is critiqued because it potentially grants property status to things with no economic logic. It may also struggle with truly collaborative or folk creations where no single personality is at stake. For AI, the theory suggests humans should remain central since AI lacks personhood. </w:t>
      </w:r>
    </w:p>
    <w:p w14:paraId="3064B966">
      <w:pPr>
        <w:keepNext w:val="0"/>
        <w:keepLines w:val="0"/>
        <w:pageBreakBefore w:val="0"/>
        <w:widowControl/>
        <w:kinsoku/>
        <w:wordWrap/>
        <w:overflowPunct/>
        <w:topLinePunct w:val="0"/>
        <w:autoSpaceDE/>
        <w:autoSpaceDN/>
        <w:bidi w:val="0"/>
        <w:adjustRightInd/>
        <w:snapToGrid/>
        <w:spacing w:beforeAutospacing="0" w:after="0" w:afterAutospacing="0"/>
        <w:textAlignment w:val="auto"/>
        <w:rPr>
          <w:rFonts w:hint="default" w:ascii="Times New Roman" w:hAnsi="Times New Roman" w:cs="Times New Roman"/>
          <w:sz w:val="24"/>
          <w:szCs w:val="24"/>
        </w:rPr>
      </w:pPr>
    </w:p>
    <w:p w14:paraId="23293CB2">
      <w:pPr>
        <w:keepNext w:val="0"/>
        <w:keepLines w:val="0"/>
        <w:pageBreakBefore w:val="0"/>
        <w:widowControl/>
        <w:kinsoku/>
        <w:wordWrap/>
        <w:overflowPunct/>
        <w:topLinePunct w:val="0"/>
        <w:autoSpaceDE/>
        <w:autoSpaceDN/>
        <w:bidi w:val="0"/>
        <w:adjustRightInd/>
        <w:snapToGrid/>
        <w:spacing w:beforeAutospacing="0" w:after="0" w:afterAutospacing="0"/>
        <w:textAlignment w:val="auto"/>
        <w:rPr>
          <w:rFonts w:hint="default" w:ascii="Times New Roman" w:hAnsi="Times New Roman" w:cs="Times New Roman"/>
          <w:sz w:val="24"/>
          <w:szCs w:val="24"/>
        </w:rPr>
      </w:pPr>
    </w:p>
    <w:p w14:paraId="000A4CD0">
      <w:pPr>
        <w:keepNext w:val="0"/>
        <w:keepLines w:val="0"/>
        <w:pageBreakBefore w:val="0"/>
        <w:widowControl/>
        <w:kinsoku/>
        <w:wordWrap/>
        <w:overflowPunct/>
        <w:topLinePunct w:val="0"/>
        <w:autoSpaceDE/>
        <w:autoSpaceDN/>
        <w:bidi w:val="0"/>
        <w:adjustRightInd/>
        <w:snapToGrid/>
        <w:spacing w:beforeAutospacing="0" w:after="0" w:afterAutospacing="0"/>
        <w:textAlignment w:val="auto"/>
        <w:rPr>
          <w:rFonts w:hint="default" w:ascii="Times New Roman" w:hAnsi="Times New Roman" w:cs="Times New Roman"/>
          <w:sz w:val="24"/>
          <w:szCs w:val="24"/>
        </w:rPr>
      </w:pPr>
      <w:r>
        <w:rPr>
          <w:rFonts w:hint="default" w:ascii="Times New Roman" w:hAnsi="Times New Roman" w:cs="Times New Roman"/>
          <w:sz w:val="24"/>
          <w:szCs w:val="24"/>
        </w:rPr>
        <w:br w:type="page"/>
      </w:r>
    </w:p>
    <w:p w14:paraId="26317A5E">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center"/>
        <w:textAlignment w:val="auto"/>
        <w:outlineLvl w:val="0"/>
        <w:rPr>
          <w:rFonts w:hint="default" w:ascii="Times New Roman" w:hAnsi="Times New Roman" w:cs="Times New Roman"/>
          <w:sz w:val="24"/>
          <w:szCs w:val="24"/>
          <w:lang w:val="en-GB"/>
        </w:rPr>
      </w:pPr>
      <w:bookmarkStart w:id="31" w:name="_Toc5011"/>
      <w:r>
        <w:rPr>
          <w:rFonts w:hint="default" w:ascii="Times New Roman" w:hAnsi="Times New Roman" w:cs="Times New Roman"/>
          <w:sz w:val="24"/>
          <w:szCs w:val="24"/>
          <w:lang w:val="en-GB"/>
        </w:rPr>
        <w:t>CHAPTER THREE</w:t>
      </w:r>
      <w:bookmarkEnd w:id="31"/>
    </w:p>
    <w:p w14:paraId="53302178">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center"/>
        <w:textAlignment w:val="auto"/>
        <w:outlineLvl w:val="0"/>
        <w:rPr>
          <w:rFonts w:hint="default" w:ascii="Times New Roman" w:hAnsi="Times New Roman" w:cs="Times New Roman"/>
          <w:sz w:val="24"/>
          <w:szCs w:val="24"/>
          <w:lang w:val="en-GB"/>
        </w:rPr>
      </w:pPr>
      <w:bookmarkStart w:id="32" w:name="_Toc16991"/>
      <w:r>
        <w:rPr>
          <w:rFonts w:hint="default" w:ascii="Times New Roman" w:hAnsi="Times New Roman" w:cs="Times New Roman"/>
          <w:sz w:val="24"/>
          <w:szCs w:val="24"/>
          <w:lang w:val="en-GB"/>
        </w:rPr>
        <w:t>LEGISLATIVE AND INSTITUTIONAL FRAMEWORKS FOR COPYRIGHT ENFORCEMENT IN NIGERIA</w:t>
      </w:r>
      <w:bookmarkEnd w:id="32"/>
    </w:p>
    <w:p w14:paraId="7880DE58">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33" w:name="_Toc15805"/>
      <w:r>
        <w:rPr>
          <w:rFonts w:hint="default" w:ascii="Times New Roman" w:hAnsi="Times New Roman" w:cs="Times New Roman"/>
          <w:b/>
          <w:sz w:val="24"/>
          <w:szCs w:val="24"/>
        </w:rPr>
        <w:t xml:space="preserve">3.1 </w:t>
      </w:r>
      <w:r>
        <w:rPr>
          <w:rFonts w:hint="default" w:ascii="Times New Roman" w:hAnsi="Times New Roman" w:cs="Times New Roman"/>
          <w:b/>
          <w:sz w:val="24"/>
          <w:szCs w:val="24"/>
        </w:rPr>
        <w:tab/>
      </w:r>
      <w:r>
        <w:rPr>
          <w:rFonts w:hint="default" w:ascii="Times New Roman" w:hAnsi="Times New Roman" w:cs="Times New Roman"/>
          <w:b/>
          <w:sz w:val="24"/>
          <w:szCs w:val="24"/>
        </w:rPr>
        <w:t>Legislative Framework</w:t>
      </w:r>
      <w:bookmarkEnd w:id="33"/>
    </w:p>
    <w:p w14:paraId="02DEC970">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section examines the legislative framework for the enforcement of copyright in era of artificial intelligence in Nigeria. </w:t>
      </w:r>
    </w:p>
    <w:p w14:paraId="37E27DB8">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34" w:name="_Toc10766"/>
      <w:r>
        <w:rPr>
          <w:rFonts w:hint="default" w:ascii="Times New Roman" w:hAnsi="Times New Roman" w:cs="Times New Roman"/>
          <w:b/>
          <w:sz w:val="24"/>
          <w:szCs w:val="24"/>
        </w:rPr>
        <w:t xml:space="preserve">3.1.1 </w:t>
      </w:r>
      <w:r>
        <w:rPr>
          <w:rFonts w:hint="default" w:ascii="Times New Roman" w:hAnsi="Times New Roman" w:cs="Times New Roman"/>
          <w:b/>
          <w:sz w:val="24"/>
          <w:szCs w:val="24"/>
        </w:rPr>
        <w:tab/>
      </w:r>
      <w:r>
        <w:rPr>
          <w:rFonts w:hint="default" w:ascii="Times New Roman" w:hAnsi="Times New Roman" w:cs="Times New Roman"/>
          <w:b/>
          <w:sz w:val="24"/>
          <w:szCs w:val="24"/>
        </w:rPr>
        <w:t>Core Municipal Legislative Framework</w:t>
      </w:r>
      <w:bookmarkEnd w:id="34"/>
    </w:p>
    <w:p w14:paraId="06FDBFE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15"/>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3.1.1.1 </w:t>
      </w:r>
      <w:r>
        <w:rPr>
          <w:rStyle w:val="15"/>
          <w:rFonts w:hint="default" w:cs="Times New Roman"/>
          <w:b w:val="0"/>
          <w:bCs w:val="0"/>
          <w:sz w:val="24"/>
          <w:szCs w:val="24"/>
          <w:lang w:val="en-US"/>
        </w:rPr>
        <w:tab/>
      </w:r>
      <w:r>
        <w:rPr>
          <w:rStyle w:val="15"/>
          <w:rFonts w:hint="default" w:ascii="Times New Roman" w:hAnsi="Times New Roman" w:cs="Times New Roman"/>
          <w:b w:val="0"/>
          <w:bCs w:val="0"/>
          <w:sz w:val="24"/>
          <w:szCs w:val="24"/>
          <w:lang w:val="en-GB"/>
        </w:rPr>
        <w:t xml:space="preserve">The Copyright Act, 2022 </w:t>
      </w:r>
    </w:p>
    <w:p w14:paraId="4FB708E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Style w:val="15"/>
          <w:rFonts w:hint="default" w:ascii="Times New Roman" w:hAnsi="Times New Roman" w:cs="Times New Roman"/>
          <w:b w:val="0"/>
          <w:bCs w:val="0"/>
          <w:sz w:val="24"/>
          <w:szCs w:val="24"/>
          <w:lang w:val="en-GB"/>
        </w:rPr>
        <w:t>This is</w:t>
      </w:r>
      <w:r>
        <w:rPr>
          <w:rFonts w:hint="default" w:ascii="Times New Roman" w:hAnsi="Times New Roman" w:cs="Times New Roman"/>
          <w:b w:val="0"/>
          <w:bCs w:val="0"/>
          <w:sz w:val="24"/>
          <w:szCs w:val="24"/>
          <w:lang w:val="en-GB"/>
        </w:rPr>
        <w:t xml:space="preserve"> the </w:t>
      </w:r>
      <w:r>
        <w:rPr>
          <w:rFonts w:hint="default" w:ascii="Times New Roman" w:hAnsi="Times New Roman" w:cs="Times New Roman"/>
          <w:sz w:val="24"/>
          <w:szCs w:val="24"/>
          <w:lang w:val="en-GB"/>
        </w:rPr>
        <w:t>primary copyright legislation in Nigeria. Section 55–62 establishes a notice-and-takedown regime for online infringement. It states that once a copyright owner notifies a service provider of infringing content, the provider “shall … take down or disable access” and notify the copyright owner.</w:t>
      </w:r>
      <w:r>
        <w:rPr>
          <w:rStyle w:val="10"/>
          <w:rFonts w:hint="default" w:ascii="Times New Roman" w:hAnsi="Times New Roman" w:cs="Times New Roman"/>
          <w:sz w:val="24"/>
          <w:szCs w:val="24"/>
          <w:lang w:val="en-GB"/>
        </w:rPr>
        <w:footnoteReference w:id="75"/>
      </w:r>
      <w:r>
        <w:rPr>
          <w:rFonts w:hint="default" w:ascii="Times New Roman" w:hAnsi="Times New Roman" w:cs="Times New Roman"/>
          <w:sz w:val="24"/>
          <w:szCs w:val="24"/>
          <w:lang w:val="en-GB"/>
        </w:rPr>
        <w:t xml:space="preserve"> This mirrors the “notice-and-takedown” approach in other jurisdictions. In addition, it empowers rights-holders to curb piracy</w:t>
      </w:r>
      <w:r>
        <w:rPr>
          <w:rFonts w:hint="default" w:cs="Times New Roman"/>
          <w:sz w:val="24"/>
          <w:szCs w:val="24"/>
          <w:lang w:val="en-US"/>
        </w:rPr>
        <w:t xml:space="preserve"> </w:t>
      </w:r>
      <w:r>
        <w:rPr>
          <w:rFonts w:hint="default" w:ascii="Times New Roman" w:hAnsi="Times New Roman" w:cs="Times New Roman"/>
          <w:sz w:val="24"/>
          <w:szCs w:val="24"/>
          <w:lang w:val="en-GB"/>
        </w:rPr>
        <w:t>online. Section 44 sets out criminal sanctions for piracy. A fine of at least ₦10,000 per copy and at least five years imprisonment for manufacturing or importing infringing copies. Courts may also order destruction of seized infringing materials.</w:t>
      </w:r>
    </w:p>
    <w:p w14:paraId="3BDCA06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The Act clarifies who may sue for infringement. Section 37 provides that only the copyright owner, assignee or exclusive licensee could commence an action. Section 39 states that anyone engaged in licensing or collecting royalties (for example, CMOs or others managing multiple owners’ rights) “shall not” sue unless it is an </w:t>
      </w:r>
      <w:r>
        <w:rPr>
          <w:rStyle w:val="15"/>
          <w:rFonts w:hint="default" w:ascii="Times New Roman" w:hAnsi="Times New Roman" w:cs="Times New Roman"/>
          <w:b w:val="0"/>
          <w:bCs w:val="0"/>
          <w:sz w:val="24"/>
          <w:szCs w:val="24"/>
          <w:lang w:val="en-GB"/>
        </w:rPr>
        <w:t xml:space="preserve">approved CMO or exempted organisation </w:t>
      </w:r>
      <w:r>
        <w:rPr>
          <w:rFonts w:hint="default" w:ascii="Times New Roman" w:hAnsi="Times New Roman" w:cs="Times New Roman"/>
          <w:b w:val="0"/>
          <w:bCs w:val="0"/>
          <w:sz w:val="24"/>
          <w:szCs w:val="24"/>
          <w:lang w:val="en-GB"/>
        </w:rPr>
        <w:t>under the Act.</w:t>
      </w:r>
      <w:r>
        <w:rPr>
          <w:rStyle w:val="10"/>
          <w:rFonts w:hint="default" w:ascii="Times New Roman" w:hAnsi="Times New Roman" w:cs="Times New Roman"/>
          <w:b w:val="0"/>
          <w:bCs w:val="0"/>
          <w:sz w:val="24"/>
          <w:szCs w:val="24"/>
          <w:lang w:val="en-GB"/>
        </w:rPr>
        <w:footnoteReference w:id="76"/>
      </w:r>
      <w:r>
        <w:rPr>
          <w:rFonts w:hint="default" w:ascii="Times New Roman" w:hAnsi="Times New Roman" w:cs="Times New Roman"/>
          <w:b w:val="0"/>
          <w:bCs w:val="0"/>
          <w:sz w:val="24"/>
          <w:szCs w:val="24"/>
          <w:lang w:val="en-GB"/>
        </w:rPr>
        <w:t xml:space="preserve"> This codifies the stance of th</w:t>
      </w:r>
      <w:r>
        <w:rPr>
          <w:rFonts w:hint="default" w:ascii="Times New Roman" w:hAnsi="Times New Roman" w:cs="Times New Roman"/>
          <w:sz w:val="24"/>
          <w:szCs w:val="24"/>
          <w:lang w:val="en-GB"/>
        </w:rPr>
        <w:t xml:space="preserve">e Supreme Court in </w:t>
      </w:r>
      <w:r>
        <w:rPr>
          <w:rStyle w:val="7"/>
          <w:rFonts w:hint="default" w:ascii="Times New Roman" w:hAnsi="Times New Roman" w:cs="Times New Roman"/>
          <w:sz w:val="24"/>
          <w:szCs w:val="24"/>
          <w:lang w:val="en-GB"/>
        </w:rPr>
        <w:t>MCSN v. Compact Disc.</w:t>
      </w:r>
      <w:r>
        <w:rPr>
          <w:rStyle w:val="10"/>
          <w:rFonts w:hint="default" w:ascii="Times New Roman" w:hAnsi="Times New Roman" w:cs="Times New Roman"/>
          <w:iCs/>
          <w:sz w:val="24"/>
          <w:szCs w:val="24"/>
          <w:lang w:val="en-GB"/>
        </w:rPr>
        <w:footnoteReference w:id="77"/>
      </w:r>
      <w:r>
        <w:rPr>
          <w:rStyle w:val="7"/>
          <w:rFonts w:hint="default" w:ascii="Times New Roman" w:hAnsi="Times New Roman" w:cs="Times New Roman"/>
          <w:sz w:val="24"/>
          <w:szCs w:val="24"/>
          <w:lang w:val="en-GB"/>
        </w:rPr>
        <w:t xml:space="preserve"> </w:t>
      </w:r>
      <w:r>
        <w:rPr>
          <w:rFonts w:hint="default" w:ascii="Times New Roman" w:hAnsi="Times New Roman" w:cs="Times New Roman"/>
          <w:sz w:val="24"/>
          <w:szCs w:val="24"/>
          <w:lang w:val="en-GB"/>
        </w:rPr>
        <w:t xml:space="preserve">The court held that unapproved Collecting Societies have no independent standing when they are not recognised statutorily. In </w:t>
      </w:r>
      <w:r>
        <w:rPr>
          <w:rStyle w:val="7"/>
          <w:rFonts w:hint="default" w:ascii="Times New Roman" w:hAnsi="Times New Roman" w:cs="Times New Roman"/>
          <w:sz w:val="24"/>
          <w:szCs w:val="24"/>
          <w:lang w:val="en-GB"/>
        </w:rPr>
        <w:t>MCSN v. Compact Disc</w:t>
      </w:r>
      <w:r>
        <w:rPr>
          <w:rFonts w:hint="default" w:ascii="Times New Roman" w:hAnsi="Times New Roman" w:cs="Times New Roman"/>
          <w:sz w:val="24"/>
          <w:szCs w:val="24"/>
          <w:lang w:val="en-GB"/>
        </w:rPr>
        <w:t>,</w:t>
      </w:r>
      <w:r>
        <w:rPr>
          <w:rStyle w:val="10"/>
          <w:rFonts w:hint="default" w:ascii="Times New Roman" w:hAnsi="Times New Roman" w:cs="Times New Roman"/>
          <w:sz w:val="24"/>
          <w:szCs w:val="24"/>
          <w:lang w:val="en-GB"/>
        </w:rPr>
        <w:footnoteReference w:id="78"/>
      </w:r>
      <w:r>
        <w:rPr>
          <w:rFonts w:hint="default" w:ascii="Times New Roman" w:hAnsi="Times New Roman" w:cs="Times New Roman"/>
          <w:sz w:val="24"/>
          <w:szCs w:val="24"/>
          <w:lang w:val="en-GB"/>
        </w:rPr>
        <w:t xml:space="preserve"> the Court identified five categories of persons who may sue. They include the following: (i) owners; (ii) assignees; (iii) exclusive licensees; (iv) persons negotiating licenses/collecting royalties for up to 50 owners; (v) approved collecting societies. Importantly, the court held that only the first three may sue personally. The latter two could act in a representative capacity and they are required to be sanctioned statutorily in order to enforce rights. Sections 37 and 39 formalises that rule. It restricts suits to owners, assignees, exclusive licensees, and duly accredited CMOs.</w:t>
      </w:r>
      <w:r>
        <w:rPr>
          <w:rStyle w:val="10"/>
          <w:rFonts w:hint="default" w:ascii="Times New Roman" w:hAnsi="Times New Roman" w:cs="Times New Roman"/>
          <w:sz w:val="24"/>
          <w:szCs w:val="24"/>
          <w:lang w:val="en-GB"/>
        </w:rPr>
        <w:footnoteReference w:id="79"/>
      </w:r>
      <w:r>
        <w:rPr>
          <w:rFonts w:hint="default" w:ascii="Times New Roman" w:hAnsi="Times New Roman" w:cs="Times New Roman"/>
          <w:sz w:val="24"/>
          <w:szCs w:val="24"/>
          <w:lang w:val="en-GB"/>
        </w:rPr>
        <w:t xml:space="preserve"> However, it may hamper enforcement by legitimate entities in practice if accreditation processes lag. On the whole, the Act is extensive. The NCC is empowered to prosecute offenders</w:t>
      </w:r>
      <w:r>
        <w:rPr>
          <w:rStyle w:val="10"/>
          <w:rFonts w:hint="default" w:ascii="Times New Roman" w:hAnsi="Times New Roman" w:cs="Times New Roman"/>
          <w:sz w:val="24"/>
          <w:szCs w:val="24"/>
          <w:lang w:val="en-GB"/>
        </w:rPr>
        <w:footnoteReference w:id="80"/>
      </w:r>
      <w:r>
        <w:rPr>
          <w:rFonts w:hint="default" w:ascii="Times New Roman" w:hAnsi="Times New Roman" w:cs="Times New Roman"/>
          <w:sz w:val="24"/>
          <w:szCs w:val="24"/>
          <w:lang w:val="en-GB"/>
        </w:rPr>
        <w:t xml:space="preserve"> and even obtain court orders to seize infringing media.</w:t>
      </w:r>
      <w:r>
        <w:rPr>
          <w:rStyle w:val="10"/>
          <w:rFonts w:hint="default" w:ascii="Times New Roman" w:hAnsi="Times New Roman" w:cs="Times New Roman"/>
          <w:sz w:val="24"/>
          <w:szCs w:val="24"/>
          <w:lang w:val="en-GB"/>
        </w:rPr>
        <w:footnoteReference w:id="81"/>
      </w:r>
      <w:r>
        <w:rPr>
          <w:rFonts w:hint="default" w:ascii="Times New Roman" w:hAnsi="Times New Roman" w:cs="Times New Roman"/>
          <w:sz w:val="24"/>
          <w:szCs w:val="24"/>
          <w:lang w:val="en-GB"/>
        </w:rPr>
        <w:t xml:space="preserve"> The Act also envisages administrative actions. Copyright inspectors may demand evidence of compliance and sanction non-compliance with fines.</w:t>
      </w:r>
      <w:r>
        <w:rPr>
          <w:rStyle w:val="10"/>
          <w:rFonts w:hint="default" w:ascii="Times New Roman" w:hAnsi="Times New Roman" w:cs="Times New Roman"/>
          <w:sz w:val="24"/>
          <w:szCs w:val="24"/>
          <w:lang w:val="en-GB"/>
        </w:rPr>
        <w:footnoteReference w:id="82"/>
      </w:r>
    </w:p>
    <w:p w14:paraId="1A01F17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However, there are notable limitations. Implementation has been slow. Many provisions of the Act (including some relating to digital rights management and technologic protection measures (TPMs)) is not yet in force or used widely. Indeed, even before the Act, stakeholders noted that a proposed amendment (not passed until 2022) would criminalise the circumvention of TPM and strengthen takedown procedures.</w:t>
      </w:r>
      <w:r>
        <w:rPr>
          <w:rStyle w:val="10"/>
          <w:rFonts w:hint="default" w:ascii="Times New Roman" w:hAnsi="Times New Roman" w:cs="Times New Roman"/>
          <w:sz w:val="24"/>
          <w:szCs w:val="24"/>
          <w:lang w:val="en-GB"/>
        </w:rPr>
        <w:footnoteReference w:id="83"/>
      </w:r>
      <w:r>
        <w:rPr>
          <w:rFonts w:hint="default" w:ascii="Times New Roman" w:hAnsi="Times New Roman" w:cs="Times New Roman"/>
          <w:sz w:val="24"/>
          <w:szCs w:val="24"/>
          <w:lang w:val="en-GB"/>
        </w:rPr>
        <w:t xml:space="preserve"> More so, there are case backlog and delays in judicial process. This often blunts deterrent effect. On balance, the Copyright Act 2022 provides a legal basis for enforcement than previous law, with modern features (evidence admissibility, notice-and-takedown,</w:t>
      </w:r>
      <w:r>
        <w:rPr>
          <w:rStyle w:val="10"/>
          <w:rFonts w:hint="default" w:ascii="Times New Roman" w:hAnsi="Times New Roman" w:cs="Times New Roman"/>
          <w:sz w:val="24"/>
          <w:szCs w:val="24"/>
          <w:lang w:val="en-GB"/>
        </w:rPr>
        <w:footnoteReference w:id="84"/>
      </w:r>
      <w:r>
        <w:rPr>
          <w:rFonts w:hint="default" w:ascii="Times New Roman" w:hAnsi="Times New Roman" w:cs="Times New Roman"/>
          <w:sz w:val="24"/>
          <w:szCs w:val="24"/>
          <w:lang w:val="en-GB"/>
        </w:rPr>
        <w:t xml:space="preserve"> CR licensing</w:t>
      </w:r>
      <w:r>
        <w:rPr>
          <w:rStyle w:val="10"/>
          <w:rFonts w:hint="default" w:ascii="Times New Roman" w:hAnsi="Times New Roman" w:cs="Times New Roman"/>
          <w:sz w:val="24"/>
          <w:szCs w:val="24"/>
          <w:lang w:val="en-GB"/>
        </w:rPr>
        <w:footnoteReference w:id="85"/>
      </w:r>
      <w:r>
        <w:rPr>
          <w:rFonts w:hint="default" w:ascii="Times New Roman" w:hAnsi="Times New Roman" w:cs="Times New Roman"/>
          <w:sz w:val="24"/>
          <w:szCs w:val="24"/>
          <w:lang w:val="en-GB"/>
        </w:rPr>
        <w:t xml:space="preserve">). However, its practical impact depends on diligent enforcement by the NCC and courts. </w:t>
      </w:r>
    </w:p>
    <w:p w14:paraId="1A2EDB6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14DE10C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5798897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3.1.1.2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Cybercrimes (Prohibition, Prevention, etc.) Act, 2015.</w:t>
      </w:r>
    </w:p>
    <w:p w14:paraId="11DD848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This Act addresses computer-related offenses. It lays out broad powers for law enforcement in the cyber-domain.</w:t>
      </w:r>
      <w:r>
        <w:rPr>
          <w:rStyle w:val="10"/>
          <w:rFonts w:hint="default" w:ascii="Times New Roman" w:hAnsi="Times New Roman" w:cs="Times New Roman"/>
          <w:sz w:val="24"/>
          <w:szCs w:val="24"/>
          <w:lang w:val="en-GB"/>
        </w:rPr>
        <w:footnoteReference w:id="86"/>
      </w:r>
      <w:r>
        <w:rPr>
          <w:rFonts w:hint="default" w:ascii="Times New Roman" w:hAnsi="Times New Roman" w:cs="Times New Roman"/>
          <w:sz w:val="24"/>
          <w:szCs w:val="24"/>
          <w:lang w:val="en-GB"/>
        </w:rPr>
        <w:t xml:space="preserve"> It does not target copyright infringement. Nonetheless, it complements copyright law because it criminalises cyber fraud, hacking, and data breaches, and it gives police and prosecutors tools to investigate online piracy.</w:t>
      </w:r>
      <w:r>
        <w:rPr>
          <w:rStyle w:val="10"/>
          <w:rFonts w:hint="default" w:ascii="Times New Roman" w:hAnsi="Times New Roman" w:cs="Times New Roman"/>
          <w:sz w:val="24"/>
          <w:szCs w:val="24"/>
          <w:lang w:val="en-GB"/>
        </w:rPr>
        <w:footnoteReference w:id="87"/>
      </w:r>
      <w:r>
        <w:rPr>
          <w:rFonts w:hint="default" w:ascii="Times New Roman" w:hAnsi="Times New Roman" w:cs="Times New Roman"/>
          <w:sz w:val="24"/>
          <w:szCs w:val="24"/>
          <w:lang w:val="en-GB"/>
        </w:rPr>
        <w:t xml:space="preserve"> In practice, the Cybercrimes Act gives agencies (like the NCC and Police) greater authority to search computers and intercept data. They also empowered to gather digital evidence in piracy cases. It also created the Cybercrime Advisory Council.</w:t>
      </w:r>
      <w:r>
        <w:rPr>
          <w:rStyle w:val="10"/>
          <w:rFonts w:hint="default" w:ascii="Times New Roman" w:hAnsi="Times New Roman" w:cs="Times New Roman"/>
          <w:sz w:val="24"/>
          <w:szCs w:val="24"/>
          <w:lang w:val="en-GB"/>
        </w:rPr>
        <w:footnoteReference w:id="88"/>
      </w:r>
      <w:r>
        <w:rPr>
          <w:rFonts w:hint="default" w:ascii="Times New Roman" w:hAnsi="Times New Roman" w:cs="Times New Roman"/>
          <w:sz w:val="24"/>
          <w:szCs w:val="24"/>
          <w:lang w:val="en-GB"/>
        </w:rPr>
        <w:t xml:space="preserve"> It empowered agencies like the EFCC to act on cybercrime (which can include large-scale piracy rings). Critics observe that the Act is broad and it has been used in some instances to target copyright infringers. With respect to AI, the Act (as amended) envisages coordinated cybersecurity regulation. However, no specific AI provisions have been added. Notably, a 2024 amendment to the Cybercrimes Act acknowledges that copyright offences are addressed under the Copyright Act. Overall, the Cybercrimes Act is not a copyright statute; however, it underpins enforcement because it equips law enforcement with cyber-investigative powers. </w:t>
      </w:r>
    </w:p>
    <w:p w14:paraId="7A31E5AA">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3.1.1.3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Evidence Act, 2011 (as amended).</w:t>
      </w:r>
    </w:p>
    <w:p w14:paraId="6744948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Section 84 of the Evidence Act 2011 provides for admissibility of electronic evidence. In particular, it allows statements in documents produced by a computer to be admitted if certain conditions are met (usually by certificate or qualified testimony). In </w:t>
      </w:r>
      <w:r>
        <w:rPr>
          <w:rStyle w:val="7"/>
          <w:rFonts w:hint="default" w:ascii="Times New Roman" w:hAnsi="Times New Roman" w:cs="Times New Roman"/>
          <w:sz w:val="24"/>
          <w:szCs w:val="24"/>
          <w:lang w:val="en-GB"/>
        </w:rPr>
        <w:t>Sylva v. Dickson,</w:t>
      </w:r>
      <w:r>
        <w:rPr>
          <w:rStyle w:val="10"/>
          <w:rFonts w:hint="default" w:ascii="Times New Roman" w:hAnsi="Times New Roman" w:cs="Times New Roman"/>
          <w:iCs/>
          <w:sz w:val="24"/>
          <w:szCs w:val="24"/>
          <w:lang w:val="en-GB"/>
        </w:rPr>
        <w:footnoteReference w:id="89"/>
      </w:r>
      <w:r>
        <w:rPr>
          <w:rFonts w:hint="default" w:ascii="Times New Roman" w:hAnsi="Times New Roman" w:cs="Times New Roman"/>
          <w:sz w:val="24"/>
          <w:szCs w:val="24"/>
          <w:lang w:val="en-GB"/>
        </w:rPr>
        <w:t xml:space="preserve"> the court held that the formal requirements of Sec.84 may be satisfied either by an authentication certificate or by oral evidence of a witness familiar with the computer system. In practice, this means digital records (for example, logs of copyrighted content distribution or computer-generated records) are utilised in copyright cases if certified properly. The Evidence Act was amended in 2023 and it was clarified that electronic records are covered and admissible in court. However, there is a notable gap. AI-generated records or deepfakes are not addressed under the act. In enforcement, the Evidence Act aids copyright holders and prosecutors because it allows digital traces of infringement to be tendered. Courts have recognised that computer logs and bank statements are “computer-generated evidence” and it requires compliance with Section 84.</w:t>
      </w:r>
      <w:r>
        <w:rPr>
          <w:rStyle w:val="10"/>
          <w:rFonts w:hint="default" w:ascii="Times New Roman" w:hAnsi="Times New Roman" w:cs="Times New Roman"/>
          <w:sz w:val="24"/>
          <w:szCs w:val="24"/>
          <w:lang w:val="en-GB"/>
        </w:rPr>
        <w:footnoteReference w:id="90"/>
      </w:r>
      <w:r>
        <w:rPr>
          <w:rFonts w:hint="default" w:ascii="Times New Roman" w:hAnsi="Times New Roman" w:cs="Times New Roman"/>
          <w:sz w:val="24"/>
          <w:szCs w:val="24"/>
          <w:lang w:val="en-GB"/>
        </w:rPr>
        <w:t xml:space="preserve"> Thus, the Act supports enforcement because it makes digital proof valid even though the certifying it is cumbersome. </w:t>
      </w:r>
    </w:p>
    <w:p w14:paraId="4D03F7B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sz w:val="24"/>
          <w:szCs w:val="24"/>
          <w:lang w:val="en-GB"/>
        </w:rPr>
      </w:pPr>
      <w:r>
        <w:rPr>
          <w:rFonts w:hint="default" w:ascii="Times New Roman" w:hAnsi="Times New Roman" w:cs="Times New Roman"/>
          <w:b w:val="0"/>
          <w:bCs/>
          <w:sz w:val="24"/>
          <w:szCs w:val="24"/>
          <w:lang w:val="en-GB"/>
        </w:rPr>
        <w:t xml:space="preserve">3.1.1.4 </w:t>
      </w:r>
      <w:r>
        <w:rPr>
          <w:rFonts w:hint="default" w:ascii="Times New Roman" w:hAnsi="Times New Roman" w:cs="Times New Roman"/>
          <w:b w:val="0"/>
          <w:bCs/>
          <w:sz w:val="24"/>
          <w:szCs w:val="24"/>
          <w:lang w:val="en-GB"/>
        </w:rPr>
        <w:tab/>
      </w:r>
      <w:r>
        <w:rPr>
          <w:rFonts w:hint="default" w:ascii="Times New Roman" w:hAnsi="Times New Roman" w:cs="Times New Roman"/>
          <w:b w:val="0"/>
          <w:bCs/>
          <w:sz w:val="24"/>
          <w:szCs w:val="24"/>
          <w:lang w:val="en-GB"/>
        </w:rPr>
        <w:t xml:space="preserve">Nigeria Data Protection Act (NDPA), 2023 and Nigeria Data Protection Commission (NDPC). </w:t>
      </w:r>
    </w:p>
    <w:p w14:paraId="2C42B8B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Data protection laws are not focused on IP specifically. However, the NDPA is a significant legislation which regulates personal data. It established the independent Nigeria Data Protection Commission (NDPC) to enforce privacy rights. For copyright enforcement, the NDPA has two main implications. Firstly, enforcement activities (such as identifying infringers, monitoring file-sharing, or tracking darknet sites) must comply with privacy rules; investigators must handle personal data (e.g. subscriber information) in line with the consent and data security requirements of the Act. Secondly, AI developers often process large datasets (potentially including personal data) and they must now follow the restrictions of NDPA. The 2023 NDPA aligns Nigeria with international data norms. It may affect AI-related copyright issues indirectly because it governs how AI training data with personal information are used. As of 2025 the NDPA is still being operationalised, so its impact on copyright matters is just emerging. The significance of the NDPA is procedural (data handling), not substantive on copyright per se. </w:t>
      </w:r>
    </w:p>
    <w:p w14:paraId="4ADC2676">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1828A80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16B515C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3.1.1.5</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National Information Technology Development Agency (NITDA) Act, 2007.</w:t>
      </w:r>
    </w:p>
    <w:p w14:paraId="3C11503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The NITDA Act created NITDA to regulate the ICT sector in Nigeria.</w:t>
      </w:r>
      <w:r>
        <w:rPr>
          <w:rStyle w:val="10"/>
          <w:rFonts w:hint="default" w:ascii="Times New Roman" w:hAnsi="Times New Roman" w:cs="Times New Roman"/>
          <w:sz w:val="24"/>
          <w:szCs w:val="24"/>
          <w:lang w:val="en-GB"/>
        </w:rPr>
        <w:footnoteReference w:id="91"/>
      </w:r>
      <w:r>
        <w:rPr>
          <w:rFonts w:hint="default" w:ascii="Times New Roman" w:hAnsi="Times New Roman" w:cs="Times New Roman"/>
          <w:sz w:val="24"/>
          <w:szCs w:val="24"/>
          <w:lang w:val="en-GB"/>
        </w:rPr>
        <w:t>Its mandate is broad; however, it has participated in the enforcement of copyright indirectly through digital economy policy. NITDA issued the 2019 Nigeria Data Protection Regulation (NDPR) to implement data privacy rules.</w:t>
      </w:r>
      <w:r>
        <w:rPr>
          <w:rStyle w:val="10"/>
          <w:rFonts w:hint="default" w:ascii="Times New Roman" w:hAnsi="Times New Roman" w:cs="Times New Roman"/>
          <w:sz w:val="24"/>
          <w:szCs w:val="24"/>
          <w:lang w:val="en-GB"/>
        </w:rPr>
        <w:footnoteReference w:id="92"/>
      </w:r>
      <w:r>
        <w:rPr>
          <w:rFonts w:hint="default" w:ascii="Times New Roman" w:hAnsi="Times New Roman" w:cs="Times New Roman"/>
          <w:sz w:val="24"/>
          <w:szCs w:val="24"/>
          <w:lang w:val="en-GB"/>
        </w:rPr>
        <w:t xml:space="preserve"> In addition, it developed the National Digital Economy Policy (2020–2030) which touches on IP. The NITDA Act empowered the Agency to set IT standards and promote ICT development. It also advises government on technology issues. In practice, NITDA has sometimes collaborated with NCC on anti-piracy campaigns and with other regulators on technology and innovation matters. Importantly, the NDPA 2023 and NDPR 2019 (issued under NITDA Act) ensure that the copyright regime in Nigeria operates in the context of modern ICT policy. However, NITDA itself has no direct enforcement role in copyright cases. Its key relevance is part of the legislative ecosystem for technology. Policies from NITDA influence how copyright enforcement is implemented in the digital sphere. AI and data laws in Nigeria (NITDA Act, NDPA/NDPR, Cybercrime Act) provide a legal backdrop against which copyright enforcement must function.</w:t>
      </w:r>
    </w:p>
    <w:p w14:paraId="7F3EBDB8">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35" w:name="_Toc10444"/>
      <w:r>
        <w:rPr>
          <w:rFonts w:hint="default" w:ascii="Times New Roman" w:hAnsi="Times New Roman" w:cs="Times New Roman"/>
          <w:b/>
          <w:sz w:val="24"/>
          <w:szCs w:val="24"/>
        </w:rPr>
        <w:t xml:space="preserve">3.1.2 </w:t>
      </w:r>
      <w:r>
        <w:rPr>
          <w:rFonts w:hint="default" w:ascii="Times New Roman" w:hAnsi="Times New Roman" w:cs="Times New Roman"/>
          <w:b/>
          <w:sz w:val="24"/>
          <w:szCs w:val="24"/>
        </w:rPr>
        <w:tab/>
      </w:r>
      <w:r>
        <w:rPr>
          <w:rFonts w:hint="default" w:ascii="Times New Roman" w:hAnsi="Times New Roman" w:cs="Times New Roman"/>
          <w:b/>
          <w:sz w:val="24"/>
          <w:szCs w:val="24"/>
        </w:rPr>
        <w:t>Core Regional Legislative Framework</w:t>
      </w:r>
      <w:bookmarkEnd w:id="35"/>
    </w:p>
    <w:p w14:paraId="25012C1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3.1.2.1 </w:t>
      </w:r>
      <w:r>
        <w:rPr>
          <w:rStyle w:val="15"/>
          <w:rFonts w:hint="default" w:cs="Times New Roman"/>
          <w:b w:val="0"/>
          <w:bCs w:val="0"/>
          <w:sz w:val="24"/>
          <w:szCs w:val="24"/>
          <w:lang w:val="en-US"/>
        </w:rPr>
        <w:tab/>
      </w:r>
      <w:r>
        <w:rPr>
          <w:rStyle w:val="15"/>
          <w:rFonts w:hint="default" w:ascii="Times New Roman" w:hAnsi="Times New Roman" w:cs="Times New Roman"/>
          <w:b w:val="0"/>
          <w:bCs w:val="0"/>
          <w:sz w:val="24"/>
          <w:szCs w:val="24"/>
          <w:lang w:val="en-GB"/>
        </w:rPr>
        <w:t>AfCFTA Protocol on Intellectual Property Rights (2023).</w:t>
      </w:r>
    </w:p>
    <w:p w14:paraId="3905259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Under the African Continental Free Trade Area (AfCFTA), member states (including Nigeria) agreed in 2023 to a Protocol on IP Rights. This aims to harmonise IP standards across Africa to facilitate intra-African trade.</w:t>
      </w:r>
      <w:r>
        <w:rPr>
          <w:rStyle w:val="10"/>
          <w:rFonts w:hint="default" w:ascii="Times New Roman" w:hAnsi="Times New Roman" w:cs="Times New Roman"/>
          <w:sz w:val="24"/>
          <w:szCs w:val="24"/>
          <w:lang w:val="en-GB"/>
        </w:rPr>
        <w:footnoteReference w:id="93"/>
      </w:r>
      <w:r>
        <w:rPr>
          <w:rFonts w:hint="default" w:ascii="Times New Roman" w:hAnsi="Times New Roman" w:cs="Times New Roman"/>
          <w:sz w:val="24"/>
          <w:szCs w:val="24"/>
          <w:lang w:val="en-GB"/>
        </w:rPr>
        <w:t xml:space="preserve"> Key provisions include commitments to protect IP in line with international norms and to cooperate on enforcement. For Nigeria, the Protocol means that Nigerian copyright law must remain compatible with continental standards in enforcement. In practice, Nigeria has pledged to notify the AfCFTA Secretariat of its IP laws and to participate in regional enforcement (such as shared border measures).</w:t>
      </w:r>
      <w:r>
        <w:rPr>
          <w:rStyle w:val="10"/>
          <w:rFonts w:hint="default" w:ascii="Times New Roman" w:hAnsi="Times New Roman" w:cs="Times New Roman"/>
          <w:sz w:val="24"/>
          <w:szCs w:val="24"/>
          <w:lang w:val="en-GB"/>
        </w:rPr>
        <w:footnoteReference w:id="94"/>
      </w:r>
      <w:r>
        <w:rPr>
          <w:rFonts w:hint="default" w:ascii="Times New Roman" w:hAnsi="Times New Roman" w:cs="Times New Roman"/>
          <w:sz w:val="24"/>
          <w:szCs w:val="24"/>
          <w:lang w:val="en-GB"/>
        </w:rPr>
        <w:t xml:space="preserve"> The Protocol encourages some measures: border seizures of counterfeit goods and sharing of best practices.</w:t>
      </w:r>
      <w:r>
        <w:rPr>
          <w:rStyle w:val="10"/>
          <w:rFonts w:hint="default" w:ascii="Times New Roman" w:hAnsi="Times New Roman" w:cs="Times New Roman"/>
          <w:sz w:val="24"/>
          <w:szCs w:val="24"/>
          <w:lang w:val="en-GB"/>
        </w:rPr>
        <w:footnoteReference w:id="95"/>
      </w:r>
      <w:r>
        <w:rPr>
          <w:rFonts w:hint="default" w:ascii="Times New Roman" w:hAnsi="Times New Roman" w:cs="Times New Roman"/>
          <w:sz w:val="24"/>
          <w:szCs w:val="24"/>
          <w:lang w:val="en-GB"/>
        </w:rPr>
        <w:t xml:space="preserve"> The role of Nigeria is chiefly collaborative: the AfCFTA Secretariat (based in Accra) will monitor compliance and organise IP committees. So far, Nigeria has ratified the Protocol and this signals that it is committed to corporate in enforcement. However, the impact on actual enforcement is nascent. Nigeria will need to align its customs and border policies with AfCFTA rules and it may receive technical assistance from regional bodies. The Protocol does not itself create new enforcement offices. However, it strengthens regional integration. Africa-wide initiatives like the African Regional Intellectual Property Organisation (ARIPO) may coordinate with Nigeria under the Protocol. Overall, the AfCFTA IP Protocol adds pressure for Nigeria to meet agreed standards and it may provide new avenues (such as dispute settlement under AfCFTA) if domestic enforcement fails. </w:t>
      </w:r>
    </w:p>
    <w:p w14:paraId="157F7396">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36" w:name="_Toc1203"/>
      <w:r>
        <w:rPr>
          <w:rFonts w:hint="default" w:ascii="Times New Roman" w:hAnsi="Times New Roman" w:cs="Times New Roman"/>
          <w:b/>
          <w:sz w:val="24"/>
          <w:szCs w:val="24"/>
        </w:rPr>
        <w:t xml:space="preserve">3.1.3 </w:t>
      </w:r>
      <w:r>
        <w:rPr>
          <w:rFonts w:hint="default" w:ascii="Times New Roman" w:hAnsi="Times New Roman" w:cs="Times New Roman"/>
          <w:b/>
          <w:sz w:val="24"/>
          <w:szCs w:val="24"/>
        </w:rPr>
        <w:tab/>
      </w:r>
      <w:r>
        <w:rPr>
          <w:rFonts w:hint="default" w:ascii="Times New Roman" w:hAnsi="Times New Roman" w:cs="Times New Roman"/>
          <w:b/>
          <w:sz w:val="24"/>
          <w:szCs w:val="24"/>
        </w:rPr>
        <w:t>Core International Legislative Framework</w:t>
      </w:r>
      <w:bookmarkEnd w:id="36"/>
    </w:p>
    <w:p w14:paraId="55820CA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Nigeria is party to all major international copyright treaties and these shape its obligations and influence enforcement measures:</w:t>
      </w:r>
    </w:p>
    <w:p w14:paraId="792BF6E5">
      <w:pPr>
        <w:pStyle w:val="14"/>
        <w:keepNext w:val="0"/>
        <w:keepLines w:val="0"/>
        <w:pageBreakBefore w:val="0"/>
        <w:widowControl/>
        <w:numPr>
          <w:ilvl w:val="3"/>
          <w:numId w:val="6"/>
        </w:numPr>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sz w:val="24"/>
          <w:szCs w:val="24"/>
          <w:lang w:val="en-GB"/>
        </w:rPr>
        <w:tab/>
      </w:r>
      <w:r>
        <w:rPr>
          <w:rStyle w:val="15"/>
          <w:rFonts w:hint="default" w:ascii="Times New Roman" w:hAnsi="Times New Roman" w:cs="Times New Roman"/>
          <w:b w:val="0"/>
          <w:bCs w:val="0"/>
          <w:sz w:val="24"/>
          <w:szCs w:val="24"/>
          <w:lang w:val="en-GB"/>
        </w:rPr>
        <w:t>Berne Convention (Paris Act 1971).</w:t>
      </w:r>
    </w:p>
    <w:p w14:paraId="26ABB10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Nigeria acceded in 1993and under Berne, Nigeria must grant national treatment to foreign works and provide the minimum standard of copyright protection. This includes exclusive rights of reproduction, translation, adaptation, public performance, and limited exceptions (e.g., quotation, education). By virtue of the Copyright Act 2022 (which provides for moral rights and paternity, integrity etc.), Nigeria implements Berne’s requirements. Berne’s requirements are indirect: they obligate Nigeria to criminalise certain infringements (“right of translation, reproduction of computer programs… shall not be subject to any formality”)</w:t>
      </w:r>
      <w:r>
        <w:rPr>
          <w:rStyle w:val="10"/>
          <w:rFonts w:hint="default" w:ascii="Times New Roman" w:hAnsi="Times New Roman" w:cs="Times New Roman"/>
          <w:sz w:val="24"/>
          <w:szCs w:val="24"/>
          <w:lang w:val="en-GB"/>
        </w:rPr>
        <w:footnoteReference w:id="96"/>
      </w:r>
      <w:r>
        <w:rPr>
          <w:rFonts w:hint="default" w:ascii="Times New Roman" w:hAnsi="Times New Roman" w:cs="Times New Roman"/>
          <w:sz w:val="24"/>
          <w:szCs w:val="24"/>
          <w:lang w:val="en-GB"/>
        </w:rPr>
        <w:t xml:space="preserve"> and to provide legal remedies. As a signatory, Nigeria must offer effective civil and criminal remedies for copyright infringement and it does this through its domestic legislation. However, Berne does not itself mandate any particular enforcement agency or procedure; it constrains Nigeria to protect foreign works as it does domestic ones.</w:t>
      </w:r>
    </w:p>
    <w:p w14:paraId="23B3C49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3.1.3.2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TRIPS Agreement (1994).</w:t>
      </w:r>
    </w:p>
    <w:p w14:paraId="4289CDA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As a WTO member since 1995, Nigeria is bound by TRIPS obligations on copyright (often called the “TRIPS copyright”). TRIPS incorporates Berne (except for Article 6 on moral rights) and adds enforcement obligations (Part III). TRIPS requires members to provide “effective action” against infringement and this includes expeditious remedies (injunctions, damages) and criminal penalties for willful piracy on a commercial scale. Nigeria’s Enforcement provisions in its Copyright Act (damage awards, injunctions, criminal fines/imprisonment) are consistent with TRIPS standards. In practice, TRIPS compliance has motivated reforms in Nigeria and these include: criminal penalties discussed above and statutory damages for cases where actual damage is hard to prove.</w:t>
      </w:r>
      <w:r>
        <w:rPr>
          <w:rStyle w:val="10"/>
          <w:rFonts w:hint="default" w:ascii="Times New Roman" w:hAnsi="Times New Roman" w:cs="Times New Roman"/>
          <w:sz w:val="24"/>
          <w:szCs w:val="24"/>
          <w:lang w:val="en-GB"/>
        </w:rPr>
        <w:footnoteReference w:id="97"/>
      </w:r>
      <w:r>
        <w:rPr>
          <w:rFonts w:hint="default" w:ascii="Times New Roman" w:hAnsi="Times New Roman" w:cs="Times New Roman"/>
          <w:sz w:val="24"/>
          <w:szCs w:val="24"/>
          <w:lang w:val="en-GB"/>
        </w:rPr>
        <w:t xml:space="preserve">The principal shortcoming is that the treaty has not been enforced sufficiently. TRIPS enjoins “effective” measures and enforcement has struggled to meet international expectations. </w:t>
      </w:r>
    </w:p>
    <w:p w14:paraId="3BA2DEE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3.1.3.3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WIPO Copyright Treaty (WCT, 1996) and WIPO Performances and Phonograms Treaty (WPPT, 1996).</w:t>
      </w:r>
    </w:p>
    <w:p w14:paraId="724EF57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These “Internet Treaties” (sometimes called the WIPO “ITRs”) implement digital rights provisions. Nigeria deposited its instruments of ratification for both WCT and WPPT in October 2017 and this entered into force in Jan 2018.</w:t>
      </w:r>
      <w:r>
        <w:rPr>
          <w:rStyle w:val="10"/>
          <w:rFonts w:hint="default" w:ascii="Times New Roman" w:hAnsi="Times New Roman" w:cs="Times New Roman"/>
          <w:sz w:val="24"/>
          <w:szCs w:val="24"/>
          <w:lang w:val="en-GB"/>
        </w:rPr>
        <w:footnoteReference w:id="98"/>
      </w:r>
      <w:r>
        <w:rPr>
          <w:rFonts w:hint="default" w:ascii="Times New Roman" w:hAnsi="Times New Roman" w:cs="Times New Roman"/>
          <w:sz w:val="24"/>
          <w:szCs w:val="24"/>
          <w:lang w:val="en-GB"/>
        </w:rPr>
        <w:t xml:space="preserve"> The WCT grants copyright owners exclusive rights in the digital environment (making the works available online, rights of communication), and requires protection of anti-circumvention measures and rights management information. Similarly, WPPT protects performers and producers in digital contexts. Copyright Act 2022 reflects these obligations. For example, the Act’s notice-and-takedown procedure</w:t>
      </w:r>
      <w:r>
        <w:rPr>
          <w:rStyle w:val="10"/>
          <w:rFonts w:hint="default" w:ascii="Times New Roman" w:hAnsi="Times New Roman" w:cs="Times New Roman"/>
          <w:sz w:val="24"/>
          <w:szCs w:val="24"/>
          <w:lang w:val="en-GB"/>
        </w:rPr>
        <w:footnoteReference w:id="99"/>
      </w:r>
      <w:r>
        <w:rPr>
          <w:rFonts w:hint="default" w:ascii="Times New Roman" w:hAnsi="Times New Roman" w:cs="Times New Roman"/>
          <w:sz w:val="24"/>
          <w:szCs w:val="24"/>
          <w:lang w:val="en-GB"/>
        </w:rPr>
        <w:t xml:space="preserve"> fulfils the requirement of WCT to secure takedown by service providers. The Act also criminalises trafficking in devices that circumvent protection (as was proposed pre-2022) and interference with rights-management info.</w:t>
      </w:r>
      <w:r>
        <w:rPr>
          <w:rStyle w:val="10"/>
          <w:rFonts w:hint="default" w:ascii="Times New Roman" w:hAnsi="Times New Roman" w:cs="Times New Roman"/>
          <w:sz w:val="24"/>
          <w:szCs w:val="24"/>
          <w:lang w:val="en-GB"/>
        </w:rPr>
        <w:footnoteReference w:id="100"/>
      </w:r>
      <w:r>
        <w:rPr>
          <w:rFonts w:hint="default" w:ascii="Times New Roman" w:hAnsi="Times New Roman" w:cs="Times New Roman"/>
          <w:sz w:val="24"/>
          <w:szCs w:val="24"/>
          <w:lang w:val="en-GB"/>
        </w:rPr>
        <w:t xml:space="preserve"> However, implementation of these digital rights is still evolving. The Act criminalises some digital offences (like unauthorised digital reproduction). However, the robust enforcement of TPM and the use of information technology to track infringement remain works in progress. Nevertheless, WCT/WPPT membership signifies that Nigeria is committed to protecting copyright in cyberspace at a level comparable to developed countries. </w:t>
      </w:r>
    </w:p>
    <w:p w14:paraId="5A2C18D1">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3.1.3.4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Marrakesh Treaty (2013).</w:t>
      </w:r>
    </w:p>
    <w:p w14:paraId="68C0FF7C">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Nigeria ratified this treaty in 2017 and it came into force for Nigeria in January 2018. The Marrakesh Treaty requires signatories to provide exceptions and limitations to give accessible formats of works to the visually impaired and print-disabled. Nigeria has implemented this because it adopts an exception for non-commercial reproduction and distribution of works in accessible formats.</w:t>
      </w:r>
      <w:r>
        <w:rPr>
          <w:rStyle w:val="10"/>
          <w:rFonts w:hint="default" w:ascii="Times New Roman" w:hAnsi="Times New Roman" w:cs="Times New Roman"/>
          <w:sz w:val="24"/>
          <w:szCs w:val="24"/>
          <w:lang w:val="en-GB"/>
        </w:rPr>
        <w:footnoteReference w:id="101"/>
      </w:r>
      <w:r>
        <w:rPr>
          <w:rFonts w:hint="default" w:ascii="Times New Roman" w:hAnsi="Times New Roman" w:cs="Times New Roman"/>
          <w:sz w:val="24"/>
          <w:szCs w:val="24"/>
          <w:lang w:val="en-GB"/>
        </w:rPr>
        <w:t xml:space="preserve"> In enforcement terms, Marrakesh does not impose obligations on infringement enforcement per se. Rather, it mandates the exception. The Copyright Act now allows conversion to Braille, audio, etc., without infringing rights. This is a positive alignment with international norms and demonstrates that Nigeria is committed to inclusive copyright policy.</w:t>
      </w:r>
    </w:p>
    <w:p w14:paraId="4F163806">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3.1.3.5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Beijing Treaty on Audiovisual Performances (2012).</w:t>
      </w:r>
    </w:p>
    <w:p w14:paraId="2270215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Nigeria acceded on October 4, 2017 and the treaty entered into force in April 2020.</w:t>
      </w:r>
      <w:r>
        <w:rPr>
          <w:rStyle w:val="10"/>
          <w:rFonts w:hint="default" w:ascii="Times New Roman" w:hAnsi="Times New Roman" w:cs="Times New Roman"/>
          <w:sz w:val="24"/>
          <w:szCs w:val="24"/>
          <w:lang w:val="en-GB"/>
        </w:rPr>
        <w:footnoteReference w:id="102"/>
      </w:r>
      <w:r>
        <w:rPr>
          <w:rFonts w:hint="default" w:ascii="Times New Roman" w:hAnsi="Times New Roman" w:cs="Times New Roman"/>
          <w:sz w:val="24"/>
          <w:szCs w:val="24"/>
          <w:lang w:val="en-GB"/>
        </w:rPr>
        <w:t xml:space="preserve"> The Beijing Treaty grants rights to performers in audiovisual media (broadcasters, film actors, etc.) and it requires protection of their rights (including moral rights). The Copyright Act 2022 includes provisions on performers’ rights</w:t>
      </w:r>
      <w:r>
        <w:rPr>
          <w:rStyle w:val="10"/>
          <w:rFonts w:hint="default" w:ascii="Times New Roman" w:hAnsi="Times New Roman" w:cs="Times New Roman"/>
          <w:sz w:val="24"/>
          <w:szCs w:val="24"/>
          <w:lang w:val="en-GB"/>
        </w:rPr>
        <w:footnoteReference w:id="103"/>
      </w:r>
      <w:r>
        <w:rPr>
          <w:rFonts w:hint="default" w:ascii="Times New Roman" w:hAnsi="Times New Roman" w:cs="Times New Roman"/>
          <w:sz w:val="24"/>
          <w:szCs w:val="24"/>
          <w:lang w:val="en-GB"/>
        </w:rPr>
        <w:t xml:space="preserve"> and this mirrors Beijing’s requirements (e.g. performers’ exclusive rights to broadcast and fix performances). As with Marrakesh, Beijing’s main effect on enforcement is to oblige Nigeria to grant civil/criminal remedies for performance rights infringements comparable to copyright. Accession to Beijing affirmed this commitment because Nigeria had already recognised performers’ rights.</w:t>
      </w:r>
    </w:p>
    <w:p w14:paraId="42BAB974">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37" w:name="_Toc16133"/>
      <w:r>
        <w:rPr>
          <w:rFonts w:hint="default" w:ascii="Times New Roman" w:hAnsi="Times New Roman" w:cs="Times New Roman"/>
          <w:b/>
          <w:sz w:val="24"/>
          <w:szCs w:val="24"/>
        </w:rPr>
        <w:t xml:space="preserve">3.2 </w:t>
      </w:r>
      <w:r>
        <w:rPr>
          <w:rFonts w:hint="default" w:ascii="Times New Roman" w:hAnsi="Times New Roman" w:cs="Times New Roman"/>
          <w:b/>
          <w:sz w:val="24"/>
          <w:szCs w:val="24"/>
        </w:rPr>
        <w:tab/>
      </w:r>
      <w:r>
        <w:rPr>
          <w:rFonts w:hint="default" w:ascii="Times New Roman" w:hAnsi="Times New Roman" w:cs="Times New Roman"/>
          <w:b/>
          <w:sz w:val="24"/>
          <w:szCs w:val="24"/>
        </w:rPr>
        <w:t>Institutional Framework</w:t>
      </w:r>
      <w:bookmarkEnd w:id="37"/>
    </w:p>
    <w:p w14:paraId="1069643F">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38" w:name="_Toc25257"/>
      <w:r>
        <w:rPr>
          <w:rFonts w:hint="default" w:ascii="Times New Roman" w:hAnsi="Times New Roman" w:cs="Times New Roman"/>
          <w:b/>
          <w:sz w:val="24"/>
          <w:szCs w:val="24"/>
        </w:rPr>
        <w:t xml:space="preserve">3.2.1 </w:t>
      </w:r>
      <w:r>
        <w:rPr>
          <w:rFonts w:hint="default" w:ascii="Times New Roman" w:hAnsi="Times New Roman" w:cs="Times New Roman"/>
          <w:b/>
          <w:sz w:val="24"/>
          <w:szCs w:val="24"/>
        </w:rPr>
        <w:tab/>
      </w:r>
      <w:r>
        <w:rPr>
          <w:rFonts w:hint="default" w:ascii="Times New Roman" w:hAnsi="Times New Roman" w:cs="Times New Roman"/>
          <w:b/>
          <w:sz w:val="24"/>
          <w:szCs w:val="24"/>
        </w:rPr>
        <w:t>Core Municipal Institutional Framework</w:t>
      </w:r>
      <w:bookmarkEnd w:id="38"/>
    </w:p>
    <w:p w14:paraId="363774D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3.2.1.1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The Court (Judiciary)</w:t>
      </w:r>
    </w:p>
    <w:p w14:paraId="088A3F8A">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The courts are the ultimate arbiters of copyright disputes. Copyright infringement suits and statutory appeals (e.g., appeals from NCC decisions) are brought in the Federal High Court (which has jurisdiction over federal IP laws). Decisions of the High Court are appealed to the Court of Appeal and ultimately to the Supreme Court. In recent years the Nigerian courts have developed some important IP jurisprudence. However, few cases reach the Supreme Court.  In </w:t>
      </w:r>
      <w:r>
        <w:rPr>
          <w:rStyle w:val="7"/>
          <w:rFonts w:hint="default" w:ascii="Times New Roman" w:hAnsi="Times New Roman" w:cs="Times New Roman"/>
          <w:sz w:val="24"/>
          <w:szCs w:val="24"/>
          <w:lang w:val="en-GB"/>
        </w:rPr>
        <w:t>MCSN v. Compact Disc,</w:t>
      </w:r>
      <w:r>
        <w:rPr>
          <w:rStyle w:val="10"/>
          <w:rFonts w:hint="default" w:ascii="Times New Roman" w:hAnsi="Times New Roman" w:cs="Times New Roman"/>
          <w:iCs/>
          <w:sz w:val="24"/>
          <w:szCs w:val="24"/>
          <w:lang w:val="en-GB"/>
        </w:rPr>
        <w:footnoteReference w:id="104"/>
      </w:r>
      <w:r>
        <w:rPr>
          <w:rFonts w:hint="default" w:ascii="Times New Roman" w:hAnsi="Times New Roman" w:cs="Times New Roman"/>
          <w:sz w:val="24"/>
          <w:szCs w:val="24"/>
          <w:lang w:val="en-GB"/>
        </w:rPr>
        <w:t xml:space="preserve"> MCSN sued the Respondents at the Federal High Court for copyright infringement. They sought declarations and injunctions over alleged unauthorised exploitation of copyright works. The Respondents entered conditional appearance and raised a preliminary objection. They argued that MCSN lacked locus standi because it did not have a valid Collecting Society approval/licence from the Nigerian Copyright Commission (NCC) (they relied on the restriction in section 17 and the collecting-society regime in section 39 of the Copyright Act). The Federal High Court dismissed the objection. It held that MCSN could sue as owner/assignee/exclusive licensee (a personal capacity right). The Court of Appeal reversed that view and it held that there was no “condition precedent” (approval) and this deprived MCSN of standing. This prompted the appeal to the Supreme Court. The Supreme Court set aside the Court of Appeal’s decision and held that MCSN has the capacity to institute the infringement action. It further held that Copyright owners (and assignees/exclusive licensees) may sue in a “personal capacity” without collecting-society approval. In addition, the restriction under section 17 targets collecting-society-type activity, not every infringement claim by a rights-holder.</w:t>
      </w:r>
    </w:p>
    <w:p w14:paraId="3AB4460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Similarly, in, Adeokin Records &amp; Anor v MCSN,</w:t>
      </w:r>
      <w:r>
        <w:rPr>
          <w:rStyle w:val="10"/>
          <w:rFonts w:hint="default" w:ascii="Times New Roman" w:hAnsi="Times New Roman" w:cs="Times New Roman"/>
          <w:sz w:val="24"/>
          <w:szCs w:val="24"/>
          <w:lang w:val="en-GB"/>
        </w:rPr>
        <w:footnoteReference w:id="105"/>
      </w:r>
      <w:r>
        <w:rPr>
          <w:rFonts w:hint="default" w:ascii="Times New Roman" w:hAnsi="Times New Roman" w:cs="Times New Roman"/>
          <w:sz w:val="24"/>
          <w:szCs w:val="24"/>
          <w:lang w:val="en-GB"/>
        </w:rPr>
        <w:t xml:space="preserve"> the MCSN sued; they alleged that copyright of the musical work “Ojumo Re” (contained in the album “Don’t Touch Me”) was infringed. They sued as owner/assignee and exclusive licensee of the rights in that work. The defendants raised a preliminary objection and they argued that MCSN had no locus standi because it was not licensed/approved as a collecting society. The trial court accepted that and struck out the suit. The Court of Appeal reversed the decision. They held that MCSN sued not as a collecting society but as owner/assignee/exclusive licensee, and therefore could sue. The defendants appealed to the Supreme Court. The Supreme Court affirmed that where the claimant sues as owner/assignee/exclusive licensee, it has locus standi to institute a copyright infringement action (and the lower court was wrong to deny standing on “collecting society licence” grounds).</w:t>
      </w:r>
    </w:p>
    <w:p w14:paraId="30EF83E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However, Nigerian courts have been criticised due to judicial delays in IP cases. More so, the courts do not understand specialised technical issues sufficiently. Piracy cases are often brought as criminal trials under federal law (which go to High Court and can take years). Conversely, civil cases for damages move even slower. Appeals further delay relief. Even when a right-holder prevails, recovery of damages or injunctive relief is often delayed and uncertain. In practice, litigants often settle or rely on governmental enforcement, not extensive court processes. </w:t>
      </w:r>
    </w:p>
    <w:p w14:paraId="31E195D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0107B4F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6FA3734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3.2.1.2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Nigerian Copyright Commission (NCC).</w:t>
      </w:r>
    </w:p>
    <w:p w14:paraId="6C8A667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This was established by the Copyright Act</w:t>
      </w:r>
      <w:r>
        <w:rPr>
          <w:rStyle w:val="10"/>
          <w:rFonts w:hint="default" w:ascii="Times New Roman" w:hAnsi="Times New Roman" w:cs="Times New Roman"/>
          <w:sz w:val="24"/>
          <w:szCs w:val="24"/>
          <w:lang w:val="en-GB"/>
        </w:rPr>
        <w:footnoteReference w:id="106"/>
      </w:r>
      <w:r>
        <w:rPr>
          <w:rFonts w:hint="default" w:ascii="Times New Roman" w:hAnsi="Times New Roman" w:cs="Times New Roman"/>
          <w:sz w:val="24"/>
          <w:szCs w:val="24"/>
          <w:lang w:val="en-GB"/>
        </w:rPr>
        <w:t xml:space="preserve"> and it has been operational since 1989 (then under 1988 Decree). The NCC is the central enforcement agency for copyright in Nigeria and it is responsible for all matters which relate to copyright and this includes enforcement.</w:t>
      </w:r>
      <w:r>
        <w:rPr>
          <w:rStyle w:val="10"/>
          <w:rFonts w:hint="default" w:ascii="Times New Roman" w:hAnsi="Times New Roman" w:cs="Times New Roman"/>
          <w:sz w:val="24"/>
          <w:szCs w:val="24"/>
          <w:lang w:val="en-GB"/>
        </w:rPr>
        <w:footnoteReference w:id="107"/>
      </w:r>
      <w:r>
        <w:rPr>
          <w:rFonts w:hint="default" w:ascii="Times New Roman" w:hAnsi="Times New Roman" w:cs="Times New Roman"/>
          <w:sz w:val="24"/>
          <w:szCs w:val="24"/>
          <w:lang w:val="en-GB"/>
        </w:rPr>
        <w:t xml:space="preserve"> It may prosecute copyright offences itself.</w:t>
      </w:r>
      <w:r>
        <w:rPr>
          <w:rStyle w:val="10"/>
          <w:rFonts w:hint="default" w:ascii="Times New Roman" w:hAnsi="Times New Roman" w:cs="Times New Roman"/>
          <w:sz w:val="24"/>
          <w:szCs w:val="24"/>
          <w:lang w:val="en-GB"/>
        </w:rPr>
        <w:footnoteReference w:id="108"/>
      </w:r>
      <w:r>
        <w:rPr>
          <w:rFonts w:hint="default" w:ascii="Times New Roman" w:hAnsi="Times New Roman" w:cs="Times New Roman"/>
          <w:sz w:val="24"/>
          <w:szCs w:val="24"/>
          <w:lang w:val="en-GB"/>
        </w:rPr>
        <w:t xml:space="preserve"> In practice, the enforcement role of NCC is vigorous. It operates Copyright Inspectors who conduct raids, seize pirated goods, and often collaborate with police and customs. The Commission runs regular anti-piracy operations (e.g. raids on markets and ports) and a public education campaign. It also has quasi-judicial mediation powers for rights disputes.</w:t>
      </w:r>
      <w:r>
        <w:rPr>
          <w:rStyle w:val="10"/>
          <w:rFonts w:hint="default" w:ascii="Times New Roman" w:hAnsi="Times New Roman" w:cs="Times New Roman"/>
          <w:sz w:val="24"/>
          <w:szCs w:val="24"/>
          <w:lang w:val="en-GB"/>
        </w:rPr>
        <w:footnoteReference w:id="109"/>
      </w:r>
      <w:r>
        <w:rPr>
          <w:rFonts w:hint="default" w:ascii="Times New Roman" w:hAnsi="Times New Roman" w:cs="Times New Roman"/>
          <w:sz w:val="24"/>
          <w:szCs w:val="24"/>
          <w:lang w:val="en-GB"/>
        </w:rPr>
        <w:t xml:space="preserve"> The NCC may issue infringement notices and warnings; in serious cases it brings criminal prosecutions in Federal High Court. Between 2010 and 2015 the NCC reported over 50 convictions for piracy under its intensified enforcement. A 2012 WIPO report (by then-DG Afam Ezekude) highlighted that in 2011 alone the NCC conducted 26 raids, made 145 arrests and secured 19 convictions. It was described as “the most stringent sentences ever handed down by Nigerian courts for copyright infringement” at that time.</w:t>
      </w:r>
      <w:r>
        <w:rPr>
          <w:rStyle w:val="10"/>
          <w:rFonts w:hint="default" w:ascii="Times New Roman" w:hAnsi="Times New Roman" w:cs="Times New Roman"/>
          <w:sz w:val="24"/>
          <w:szCs w:val="24"/>
          <w:lang w:val="en-GB"/>
        </w:rPr>
        <w:footnoteReference w:id="110"/>
      </w:r>
      <w:r>
        <w:rPr>
          <w:rFonts w:hint="default" w:ascii="Times New Roman" w:hAnsi="Times New Roman" w:cs="Times New Roman"/>
          <w:sz w:val="24"/>
          <w:szCs w:val="24"/>
          <w:lang w:val="en-GB"/>
        </w:rPr>
        <w:t xml:space="preserve"> The Commission also enforces regulatory aspects. It accredits CMOs and oversees licensing. It also registers optical disc plants.</w:t>
      </w:r>
    </w:p>
    <w:p w14:paraId="148B122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Nonetheless, the NCC faces challenges. It is been noted that is annual budget and staffing is inadequate. Inspectors face resistance or danger during raids (the DG noted attacks during raids in notorious piracy hubs like Lagos’s Alaba market).</w:t>
      </w:r>
      <w:r>
        <w:rPr>
          <w:rStyle w:val="10"/>
          <w:rFonts w:hint="default" w:ascii="Times New Roman" w:hAnsi="Times New Roman" w:cs="Times New Roman"/>
          <w:sz w:val="24"/>
          <w:szCs w:val="24"/>
          <w:lang w:val="en-GB"/>
        </w:rPr>
        <w:footnoteReference w:id="111"/>
      </w:r>
      <w:r>
        <w:rPr>
          <w:rFonts w:hint="default" w:ascii="Times New Roman" w:hAnsi="Times New Roman" w:cs="Times New Roman"/>
          <w:sz w:val="24"/>
          <w:szCs w:val="24"/>
          <w:lang w:val="en-GB"/>
        </w:rPr>
        <w:t xml:space="preserve"> More so, campaigns have been hampered by shortfalls in funding and bureaucracy. Furthermore, the authority of the NCC to prosecute is limited by procedural requirements. In practice it must collaborate with the Nigeria Police or other agencies to actually detain suspects. There have also been criticisms of uneven enforcement: certain sectors (software, books) get more attention than others (e.g. online streaming piracy is only recently becoming a focus). On AI, the NCC has yet to articulate policies; it is more focused on traditional media.</w:t>
      </w:r>
      <w:r>
        <w:rPr>
          <w:rStyle w:val="10"/>
          <w:rFonts w:hint="default" w:ascii="Times New Roman" w:hAnsi="Times New Roman" w:cs="Times New Roman"/>
          <w:sz w:val="24"/>
          <w:szCs w:val="24"/>
          <w:lang w:val="en-GB"/>
        </w:rPr>
        <w:footnoteReference w:id="112"/>
      </w:r>
    </w:p>
    <w:p w14:paraId="3643E09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Legally, the NCC’s powers were augmented in two ways. First, the Commission was declared a “designated relevant organisation” under the Proceeds of Crime (Recovery and Management) Act 2022. This gives it authority to trace and confiscate criminal proceeds of piracy (similar to asset forfeiture). The NCC can now request the EFCC or other agencies to freeze bank accounts and seize assets tied to piracy profits (this is a power it lacked before). Secondly, the NCC in 2025 issued new regulations for CMOs, discussed below. </w:t>
      </w:r>
    </w:p>
    <w:p w14:paraId="650C082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3.2.1.3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Collective Management Organisations (CMOs).</w:t>
      </w:r>
    </w:p>
    <w:p w14:paraId="19A281D6">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CMOs is a specialised enforcement agent. It licenses the use of works and collects royalties for rights holders. CMOs are recognised under Section 88 of the Copyright Act 2022. By statute, a CMO is “an organisation representing copyright owners, whose principal objectives include the negotiation and grant of licences, as well as the collection and distribution of royalties.” The NCC accredits CMOs and it grants certificates of exemption. Currently three collecting societies are licensed: (1) </w:t>
      </w:r>
      <w:r>
        <w:rPr>
          <w:rStyle w:val="15"/>
          <w:rFonts w:hint="default" w:ascii="Times New Roman" w:hAnsi="Times New Roman" w:cs="Times New Roman"/>
          <w:b w:val="0"/>
          <w:bCs w:val="0"/>
          <w:sz w:val="24"/>
          <w:szCs w:val="24"/>
          <w:lang w:val="en-GB"/>
        </w:rPr>
        <w:t>Audio-Visual Rights Society (AVRS)</w:t>
      </w:r>
      <w:r>
        <w:rPr>
          <w:rFonts w:hint="default" w:ascii="Times New Roman" w:hAnsi="Times New Roman" w:cs="Times New Roman"/>
          <w:b w:val="0"/>
          <w:bCs w:val="0"/>
          <w:sz w:val="24"/>
          <w:szCs w:val="24"/>
          <w:lang w:val="en-GB"/>
        </w:rPr>
        <w:t xml:space="preserve"> (films); (2) </w:t>
      </w:r>
      <w:r>
        <w:rPr>
          <w:rStyle w:val="15"/>
          <w:rFonts w:hint="default" w:ascii="Times New Roman" w:hAnsi="Times New Roman" w:cs="Times New Roman"/>
          <w:b w:val="0"/>
          <w:bCs w:val="0"/>
          <w:sz w:val="24"/>
          <w:szCs w:val="24"/>
          <w:lang w:val="en-GB"/>
        </w:rPr>
        <w:t>Musical Copyright Society of Nigeria (MCSN)</w:t>
      </w:r>
      <w:r>
        <w:rPr>
          <w:rFonts w:hint="default" w:ascii="Times New Roman" w:hAnsi="Times New Roman" w:cs="Times New Roman"/>
          <w:b w:val="0"/>
          <w:bCs w:val="0"/>
          <w:sz w:val="24"/>
          <w:szCs w:val="24"/>
          <w:lang w:val="en-GB"/>
        </w:rPr>
        <w:t xml:space="preserve"> (music and sound recordings); and (3) </w:t>
      </w:r>
      <w:r>
        <w:rPr>
          <w:rStyle w:val="15"/>
          <w:rFonts w:hint="default" w:ascii="Times New Roman" w:hAnsi="Times New Roman" w:cs="Times New Roman"/>
          <w:b w:val="0"/>
          <w:bCs w:val="0"/>
          <w:sz w:val="24"/>
          <w:szCs w:val="24"/>
          <w:lang w:val="en-GB"/>
        </w:rPr>
        <w:t>Reproduction Rights Organisation of Nigeria (REPRONIG)</w:t>
      </w:r>
      <w:r>
        <w:rPr>
          <w:rFonts w:hint="default" w:ascii="Times New Roman" w:hAnsi="Times New Roman" w:cs="Times New Roman"/>
          <w:b w:val="0"/>
          <w:bCs w:val="0"/>
          <w:sz w:val="24"/>
          <w:szCs w:val="24"/>
          <w:lang w:val="en-GB"/>
        </w:rPr>
        <w:t xml:space="preserve"> (</w:t>
      </w:r>
      <w:r>
        <w:rPr>
          <w:rFonts w:hint="default" w:ascii="Times New Roman" w:hAnsi="Times New Roman" w:cs="Times New Roman"/>
          <w:sz w:val="24"/>
          <w:szCs w:val="24"/>
          <w:lang w:val="en-GB"/>
        </w:rPr>
        <w:t xml:space="preserve">literary/publishing rights). These CMOs issue blanket licences and pursue unpaid royalties. Section 36(2) allows them (once licensed) to sue infringers on behalf of members. </w:t>
      </w:r>
    </w:p>
    <w:p w14:paraId="7CEBBC2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The institutional role of CMOs is mixed. On one hand, they collect remuneration that individual creators cannot easily obtain. For example, MCSN has brought many suits against radio stations and venues for unlicensed use of music. MCSN’s standing (so long as it was licensed) was approved in </w:t>
      </w:r>
      <w:r>
        <w:rPr>
          <w:rStyle w:val="7"/>
          <w:rFonts w:hint="default" w:ascii="Times New Roman" w:hAnsi="Times New Roman" w:cs="Times New Roman"/>
          <w:sz w:val="24"/>
          <w:szCs w:val="24"/>
          <w:lang w:val="en-GB"/>
        </w:rPr>
        <w:t>MCSN v. Compact Disc,</w:t>
      </w:r>
      <w:r>
        <w:rPr>
          <w:rStyle w:val="10"/>
          <w:rFonts w:hint="default" w:ascii="Times New Roman" w:hAnsi="Times New Roman" w:cs="Times New Roman"/>
          <w:iCs/>
          <w:sz w:val="24"/>
          <w:szCs w:val="24"/>
          <w:lang w:val="en-GB"/>
        </w:rPr>
        <w:footnoteReference w:id="113"/>
      </w:r>
      <w:r>
        <w:rPr>
          <w:rStyle w:val="7"/>
          <w:rFonts w:hint="default" w:ascii="Times New Roman" w:hAnsi="Times New Roman" w:cs="Times New Roman"/>
          <w:sz w:val="24"/>
          <w:szCs w:val="24"/>
          <w:lang w:val="en-GB"/>
        </w:rPr>
        <w:t xml:space="preserve"> </w:t>
      </w:r>
      <w:r>
        <w:rPr>
          <w:rFonts w:hint="default" w:ascii="Times New Roman" w:hAnsi="Times New Roman" w:cs="Times New Roman"/>
          <w:sz w:val="24"/>
          <w:szCs w:val="24"/>
          <w:lang w:val="en-GB"/>
        </w:rPr>
        <w:t>the court held that that an approved collecting society may sue in its own name. On the other hand, CMOs have been plagued by internal disputes and lack of transparency. Until recently, CMOs were self-governing with minimal oversight. The Copyright Act 2022 required CMOs to be re-accredited and it empowered the NCC to inspect their governance. Newly introduced Collective Management Regulations (2025) aim to strengthen CMO accountability and protect members’ rights. These reforms codify “clear goals” for CMOs and give the NCC supervisory authority. Historically, efficiency is limited by overlap between CMOs</w:t>
      </w:r>
      <w:r>
        <w:rPr>
          <w:rStyle w:val="10"/>
          <w:rFonts w:hint="default" w:ascii="Times New Roman" w:hAnsi="Times New Roman" w:cs="Times New Roman"/>
          <w:sz w:val="24"/>
          <w:szCs w:val="24"/>
          <w:lang w:val="en-GB"/>
        </w:rPr>
        <w:footnoteReference w:id="114"/>
      </w:r>
      <w:r>
        <w:rPr>
          <w:rFonts w:hint="default" w:ascii="Times New Roman" w:hAnsi="Times New Roman" w:cs="Times New Roman"/>
          <w:sz w:val="24"/>
          <w:szCs w:val="24"/>
          <w:lang w:val="en-GB"/>
        </w:rPr>
        <w:t xml:space="preserve"> and competition among societies limited. This is being mitigated by the recent update in legislation. </w:t>
      </w:r>
    </w:p>
    <w:p w14:paraId="7A9E20F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3.2.1.4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Nigeria Data Protection Commission (NDPC).</w:t>
      </w:r>
    </w:p>
    <w:p w14:paraId="1F64C801">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The NDPC was established by the NDPA 2023. It is an independent regulator of personal data. It does not relate to copyright enforcement directly. However, it affects how enforcement agencies collect personal data in copyright cases. For example, if the NCC needs subscriber information to pursue an online infringer, it must navigate through the conditions under the NDPA. The NDPC also engages in cybersecurity and incidents of data breach. These may overlap with piracy (e.g. hacking and illegal distribution of works). In 2024 the NDPC launched a “Data Protection and Privacy Policy” for the digital economy in Nigeria, The NDPC does not enforce copyright law. However, it influences the institutional landscape. It policies data use by all agencies, including the NCC. Its officials have emphasised that copyright investigations must respect the right to privacy. Thus, the NDPC adds a layer of oversight. However, its impact on copyright enforcement is still unfolding as a new institution. </w:t>
      </w:r>
    </w:p>
    <w:p w14:paraId="185F6071">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5F531EA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7859A17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3.2.1.5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National Information Technology Development Agency (NITDA).</w:t>
      </w:r>
    </w:p>
    <w:p w14:paraId="2193F03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NITDA is a federal agency and it regulates the ICT sector in Nigeria. Its roles include issuing IT standards and policies.</w:t>
      </w:r>
      <w:r>
        <w:rPr>
          <w:rStyle w:val="10"/>
          <w:rFonts w:hint="default" w:ascii="Times New Roman" w:hAnsi="Times New Roman" w:cs="Times New Roman"/>
          <w:sz w:val="24"/>
          <w:szCs w:val="24"/>
          <w:lang w:val="en-GB"/>
        </w:rPr>
        <w:footnoteReference w:id="115"/>
      </w:r>
      <w:r>
        <w:rPr>
          <w:rFonts w:hint="default" w:ascii="Times New Roman" w:hAnsi="Times New Roman" w:cs="Times New Roman"/>
          <w:sz w:val="24"/>
          <w:szCs w:val="24"/>
          <w:lang w:val="en-GB"/>
        </w:rPr>
        <w:t xml:space="preserve"> NITDA contributed to copyright enforcement through cybersecurity and digital economy initiatives.  NITDA established the Nigeria Data Protection Regulation (NDPR) 2019</w:t>
      </w:r>
      <w:r>
        <w:rPr>
          <w:rStyle w:val="10"/>
          <w:rFonts w:hint="default" w:ascii="Times New Roman" w:hAnsi="Times New Roman" w:cs="Times New Roman"/>
          <w:sz w:val="24"/>
          <w:szCs w:val="24"/>
          <w:lang w:val="en-GB"/>
        </w:rPr>
        <w:footnoteReference w:id="116"/>
      </w:r>
      <w:r>
        <w:rPr>
          <w:rFonts w:hint="default" w:ascii="Times New Roman" w:hAnsi="Times New Roman" w:cs="Times New Roman"/>
          <w:sz w:val="24"/>
          <w:szCs w:val="24"/>
          <w:lang w:val="en-GB"/>
        </w:rPr>
        <w:t xml:space="preserve"> and it now oversees its enforcement (sometimes overlapping with NDPC). It also launched the National Cybersecurity Strategy and the National Digital Economy Strategy (2020–2030).</w:t>
      </w:r>
      <w:r>
        <w:rPr>
          <w:rStyle w:val="10"/>
          <w:rFonts w:hint="default" w:ascii="Times New Roman" w:hAnsi="Times New Roman" w:cs="Times New Roman"/>
          <w:sz w:val="24"/>
          <w:szCs w:val="24"/>
          <w:lang w:val="en-GB"/>
        </w:rPr>
        <w:footnoteReference w:id="117"/>
      </w:r>
      <w:r>
        <w:rPr>
          <w:rFonts w:hint="default" w:ascii="Times New Roman" w:hAnsi="Times New Roman" w:cs="Times New Roman"/>
          <w:sz w:val="24"/>
          <w:szCs w:val="24"/>
          <w:lang w:val="en-GB"/>
        </w:rPr>
        <w:t xml:space="preserve"> This mentions IP protection in passing. The agency has worked with the NCC in joint operations (the NCC-DOST joint anti-piracy days, and cooperation with the Cybercrime Advisory Council which NITDA chairs). However, NITDA itself has no direct copyright authority in terms of enforcement powers. Its main influence is policy. NITDA’s guidelines on social media use and ICT education affect public awareness of copyright. NITDA also developed guidelines on “fair use” of intellectual property in digital environments. In essence, NITDA represents the government’s broader technology governance. Its institutional impact on copyright enforcement is facilitative. It builds the regulatory environment (standards, training, cybersecurity) in which enforcement agencies operate.</w:t>
      </w:r>
    </w:p>
    <w:p w14:paraId="4372C78B">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39" w:name="_Toc2529"/>
      <w:r>
        <w:rPr>
          <w:rFonts w:hint="default" w:ascii="Times New Roman" w:hAnsi="Times New Roman" w:cs="Times New Roman"/>
          <w:b/>
          <w:sz w:val="24"/>
          <w:szCs w:val="24"/>
        </w:rPr>
        <w:t xml:space="preserve">3.2.2 </w:t>
      </w:r>
      <w:r>
        <w:rPr>
          <w:rFonts w:hint="default" w:ascii="Times New Roman" w:hAnsi="Times New Roman" w:cs="Times New Roman"/>
          <w:b/>
          <w:sz w:val="24"/>
          <w:szCs w:val="24"/>
        </w:rPr>
        <w:tab/>
      </w:r>
      <w:r>
        <w:rPr>
          <w:rFonts w:hint="default" w:ascii="Times New Roman" w:hAnsi="Times New Roman" w:cs="Times New Roman"/>
          <w:b/>
          <w:sz w:val="24"/>
          <w:szCs w:val="24"/>
        </w:rPr>
        <w:t>Core Regional Institutional Framework</w:t>
      </w:r>
      <w:bookmarkEnd w:id="39"/>
    </w:p>
    <w:p w14:paraId="255DF25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3.2.2.1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AfCFTA Secretariat (Protocol on IPR).</w:t>
      </w:r>
    </w:p>
    <w:p w14:paraId="2027D5F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The AfCFTA Secretariat is the regional body tasked with implementing the Free Trade Area, including the Protocol on Intellectual Property Rights. It is based in Accra, Ghana. Under the IP Protocol, each State Party must notify the Secretariat of its IP laws and any amendments</w:t>
      </w:r>
      <w:r>
        <w:rPr>
          <w:rStyle w:val="10"/>
          <w:rFonts w:hint="default" w:ascii="Times New Roman" w:hAnsi="Times New Roman" w:cs="Times New Roman"/>
          <w:sz w:val="24"/>
          <w:szCs w:val="24"/>
          <w:lang w:val="en-GB"/>
        </w:rPr>
        <w:footnoteReference w:id="118"/>
      </w:r>
      <w:r>
        <w:rPr>
          <w:rFonts w:hint="default" w:ascii="Times New Roman" w:hAnsi="Times New Roman" w:cs="Times New Roman"/>
          <w:sz w:val="24"/>
          <w:szCs w:val="24"/>
          <w:lang w:val="en-GB"/>
        </w:rPr>
        <w:t xml:space="preserve"> and it must cooperate on enforcement matters.</w:t>
      </w:r>
      <w:r>
        <w:rPr>
          <w:rStyle w:val="10"/>
          <w:rFonts w:hint="default" w:ascii="Times New Roman" w:hAnsi="Times New Roman" w:cs="Times New Roman"/>
          <w:sz w:val="24"/>
          <w:szCs w:val="24"/>
          <w:lang w:val="en-GB"/>
        </w:rPr>
        <w:footnoteReference w:id="119"/>
      </w:r>
      <w:r>
        <w:rPr>
          <w:rFonts w:hint="default" w:ascii="Times New Roman" w:hAnsi="Times New Roman" w:cs="Times New Roman"/>
          <w:sz w:val="24"/>
          <w:szCs w:val="24"/>
          <w:lang w:val="en-GB"/>
        </w:rPr>
        <w:t xml:space="preserve"> The Secretariat will review member compliance and facilitate dispute resolution. For example, if a Nigerian company alleged infringement abroad, the AfCFTA mechanisms might offer some recourse. The National Committee on AfCFTA (a domestic body) in Nigeria liaises with the Secretariat on IP issues. In practice, the Secretariat organises working groups and capacity-building workshops on IP enforcement among African states. Nigeria has indicated that it will implement protocol requirements by updating its IP laws.</w:t>
      </w:r>
      <w:r>
        <w:rPr>
          <w:rStyle w:val="10"/>
          <w:rFonts w:hint="default" w:ascii="Times New Roman" w:hAnsi="Times New Roman" w:cs="Times New Roman"/>
          <w:sz w:val="24"/>
          <w:szCs w:val="24"/>
          <w:lang w:val="en-GB"/>
        </w:rPr>
        <w:footnoteReference w:id="120"/>
      </w:r>
      <w:r>
        <w:rPr>
          <w:rFonts w:hint="default" w:ascii="Times New Roman" w:hAnsi="Times New Roman" w:cs="Times New Roman"/>
          <w:sz w:val="24"/>
          <w:szCs w:val="24"/>
          <w:lang w:val="en-GB"/>
        </w:rPr>
        <w:t xml:space="preserve"> The Secretariat also provides guidance on best practices and it works with ARIPO or WIPO. Currently, Nigeria does not receive substantial enforcement assistance from the Secretariat. However, in theory the Protocol envisages a future where, for example, Nigerian customs might act on requests from another member state to seize infringing goods in transit or where states share information on piracy networks. The role of Secretariat is coordinative. It compiles reports and mediates. Therefore, it is an “institutional framework” at the regional level. However, its impact on enforcement in Nigeria is indirect. The prospect is positive. The AfCFTA IP regime could strengthen enforcement through regional collaboration. However, it is too early to assess its effectiveness in piracy cases in Nigeria.</w:t>
      </w:r>
    </w:p>
    <w:p w14:paraId="33475791">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40" w:name="_Toc1"/>
      <w:r>
        <w:rPr>
          <w:rFonts w:hint="default" w:ascii="Times New Roman" w:hAnsi="Times New Roman" w:cs="Times New Roman"/>
          <w:b/>
          <w:sz w:val="24"/>
          <w:szCs w:val="24"/>
        </w:rPr>
        <w:t xml:space="preserve">3.2.3 </w:t>
      </w:r>
      <w:r>
        <w:rPr>
          <w:rFonts w:hint="default" w:ascii="Times New Roman" w:hAnsi="Times New Roman" w:cs="Times New Roman"/>
          <w:b/>
          <w:sz w:val="24"/>
          <w:szCs w:val="24"/>
        </w:rPr>
        <w:tab/>
      </w:r>
      <w:r>
        <w:rPr>
          <w:rFonts w:hint="default" w:ascii="Times New Roman" w:hAnsi="Times New Roman" w:cs="Times New Roman"/>
          <w:b/>
          <w:sz w:val="24"/>
          <w:szCs w:val="24"/>
        </w:rPr>
        <w:t>Core International Institutional Framework</w:t>
      </w:r>
      <w:bookmarkEnd w:id="40"/>
    </w:p>
    <w:p w14:paraId="52F7276C">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3.2.3.1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World Intellectual Property Organisation (WIPO).</w:t>
      </w:r>
    </w:p>
    <w:p w14:paraId="6EB03A9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WIPO is the United Nations agency for IP and it plays a supportive international role. Nigeria is a WIPO member and participant in WIPO programs. The WIPO Lagos office (now closed) used to facilitate workshops and training for NCC and other Nigerian IP officials. WIPO provides policy advice and legislative assistance. For example, it has published studies on copyright law in Nigeria and it helped draft amendments. The Copyright 2022 Act was developed with input from WIPO experts. WIPO also sponsors Nigerian delegates to international meetings (for example, Standing Committee on Copyright). Institutionally, WIPO monitors treaty compliance and it ranks IP regimes of countries. It has recognised efforts of Nigeria: for instance, Director General of WIPO has praised Nigeria’s anti-piracy campaigns in the past.</w:t>
      </w:r>
      <w:r>
        <w:rPr>
          <w:rStyle w:val="10"/>
          <w:rFonts w:hint="default" w:ascii="Times New Roman" w:hAnsi="Times New Roman" w:cs="Times New Roman"/>
          <w:sz w:val="24"/>
          <w:szCs w:val="24"/>
          <w:lang w:val="en-GB"/>
        </w:rPr>
        <w:footnoteReference w:id="121"/>
      </w:r>
      <w:r>
        <w:rPr>
          <w:rFonts w:hint="default" w:ascii="Times New Roman" w:hAnsi="Times New Roman" w:cs="Times New Roman"/>
          <w:sz w:val="24"/>
          <w:szCs w:val="24"/>
          <w:lang w:val="en-GB"/>
        </w:rPr>
        <w:t xml:space="preserve"> However, WIPO has no enforcement power in Nigeria. It has a role is capacity-building and norm-setting. Recently, WIPO has begun addressing AI and copyright globally. WIPO also administers the Accessible Books Consortium (Marrakesh Treaty implementation) which Nigeria joined. </w:t>
      </w:r>
    </w:p>
    <w:p w14:paraId="79C4A35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3.2.3.2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World Trade Organisation (WTO).</w:t>
      </w:r>
    </w:p>
    <w:p w14:paraId="07BA735C">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Nigeria is subject to the TRIPS Agreement through the WTO. WTO does not have an enforcement agency beyond the Dispute Settlement Body. Nigeria has not been involved in any WTO-IP disputes to date. However, the WTO does review IP regimes of members in Trade Policy Reviews. They provide TRIPS capacity-building. For enforcement, TRIPS’ most tangible effect is that it pressured Nigeria in mid-2000s to enact or update copyright laws (this led to the 2004 Copyright Act and now the 2022 revision). Institutional cooperation through the WTO includes training for Nigerian customs on combating counterfeit goods, etc. The WTO Secretariat assists developing countries with enforcement strategies. But like WIPO, the WTO cannot enforce Nigerian law. It only sets international obligations. The compliance in Nigeria is self-assessed (and it was judged sufficient to be removed from U.S. Section 301 watch lists by 2019).</w:t>
      </w:r>
      <w:r>
        <w:rPr>
          <w:rStyle w:val="10"/>
          <w:rFonts w:hint="default" w:ascii="Times New Roman" w:hAnsi="Times New Roman" w:cs="Times New Roman"/>
          <w:sz w:val="24"/>
          <w:szCs w:val="24"/>
          <w:lang w:val="en-GB"/>
        </w:rPr>
        <w:footnoteReference w:id="122"/>
      </w:r>
    </w:p>
    <w:p w14:paraId="16E8398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3.2.3.3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International Federation of the Phonographic Industry (IFPI).</w:t>
      </w:r>
    </w:p>
    <w:p w14:paraId="65F4F21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The IFPI is not a government entity. However it is an international industry association for recording companies. It operates regionally and it has a Nigeria office. It is not an “institution” like WIPO. However, it plays a role. IFPI works with the Nigerian music industry (including COSON and MCSN) and enforcement agencies to combat music piracy. It provides piracy data and it supports anti-piracy education (for example, with the NCC it ran campaigns about music piracy). In addition, it helps lobby for legal reforms.</w:t>
      </w:r>
      <w:r>
        <w:rPr>
          <w:rStyle w:val="10"/>
          <w:rFonts w:hint="default" w:ascii="Times New Roman" w:hAnsi="Times New Roman" w:cs="Times New Roman"/>
          <w:sz w:val="24"/>
          <w:szCs w:val="24"/>
          <w:lang w:val="en-GB"/>
        </w:rPr>
        <w:footnoteReference w:id="123"/>
      </w:r>
      <w:r>
        <w:rPr>
          <w:rFonts w:hint="default" w:ascii="Times New Roman" w:hAnsi="Times New Roman" w:cs="Times New Roman"/>
          <w:sz w:val="24"/>
          <w:szCs w:val="24"/>
          <w:lang w:val="en-GB"/>
        </w:rPr>
        <w:t xml:space="preserve"> Nigeria benefits from anti-piracy resources of IFPI and international coordination. For instance, IFPI may alert Nigerian authorities to foreign-based piracy networks which affect rights-holders in Nigeria. In 2013 IFPI awarded NCC a certificate of achievement for piracy seizures. IFPI has also been involved in raising awareness about infringement issues relating online streaming in Nigeria. IFPI amplifies pressure on Nigeria to enforce music copyright. However, it has no enforcement power (like any private group. It works by advocacy.</w:t>
      </w:r>
      <w:r>
        <w:rPr>
          <w:rStyle w:val="10"/>
          <w:rFonts w:hint="default" w:ascii="Times New Roman" w:hAnsi="Times New Roman" w:cs="Times New Roman"/>
          <w:sz w:val="24"/>
          <w:szCs w:val="24"/>
          <w:lang w:val="en-GB"/>
        </w:rPr>
        <w:footnoteReference w:id="124"/>
      </w:r>
      <w:r>
        <w:rPr>
          <w:rFonts w:hint="default" w:ascii="Times New Roman" w:hAnsi="Times New Roman" w:cs="Times New Roman"/>
          <w:sz w:val="24"/>
          <w:szCs w:val="24"/>
          <w:lang w:val="en-GB"/>
        </w:rPr>
        <w:t xml:space="preserve"> The enforcement arm of IFPI (International Anti-Piracy Bureau) does conduct investigations and it may involve Nigerian cases. However, it must corporate with NCC or police.</w:t>
      </w:r>
    </w:p>
    <w:p w14:paraId="00F7958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b w:val="0"/>
          <w:bCs w:val="0"/>
          <w:sz w:val="24"/>
          <w:szCs w:val="24"/>
          <w:lang w:val="en-GB"/>
        </w:rPr>
      </w:pPr>
      <w:r>
        <w:rPr>
          <w:rStyle w:val="15"/>
          <w:rFonts w:hint="default" w:ascii="Times New Roman" w:hAnsi="Times New Roman" w:cs="Times New Roman"/>
          <w:b w:val="0"/>
          <w:bCs w:val="0"/>
          <w:sz w:val="24"/>
          <w:szCs w:val="24"/>
          <w:lang w:val="en-GB"/>
        </w:rPr>
        <w:t xml:space="preserve">3.2.3.4 </w:t>
      </w:r>
      <w:r>
        <w:rPr>
          <w:rStyle w:val="15"/>
          <w:rFonts w:hint="default" w:ascii="Times New Roman" w:hAnsi="Times New Roman" w:cs="Times New Roman"/>
          <w:b w:val="0"/>
          <w:bCs w:val="0"/>
          <w:sz w:val="24"/>
          <w:szCs w:val="24"/>
          <w:lang w:val="en-GB"/>
        </w:rPr>
        <w:tab/>
      </w:r>
      <w:r>
        <w:rPr>
          <w:rStyle w:val="15"/>
          <w:rFonts w:hint="default" w:ascii="Times New Roman" w:hAnsi="Times New Roman" w:cs="Times New Roman"/>
          <w:b w:val="0"/>
          <w:bCs w:val="0"/>
          <w:sz w:val="24"/>
          <w:szCs w:val="24"/>
          <w:lang w:val="en-GB"/>
        </w:rPr>
        <w:t>Other global bodies.</w:t>
      </w:r>
    </w:p>
    <w:p w14:paraId="3531031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For completeness, other international actors include UNESCO,</w:t>
      </w:r>
      <w:r>
        <w:rPr>
          <w:rStyle w:val="10"/>
          <w:rFonts w:hint="default" w:ascii="Times New Roman" w:hAnsi="Times New Roman" w:cs="Times New Roman"/>
          <w:sz w:val="24"/>
          <w:szCs w:val="24"/>
          <w:lang w:val="en-GB"/>
        </w:rPr>
        <w:footnoteReference w:id="125"/>
      </w:r>
      <w:r>
        <w:rPr>
          <w:rFonts w:hint="default" w:ascii="Times New Roman" w:hAnsi="Times New Roman" w:cs="Times New Roman"/>
          <w:sz w:val="24"/>
          <w:szCs w:val="24"/>
          <w:lang w:val="en-GB"/>
        </w:rPr>
        <w:t xml:space="preserve"> ARIPO,</w:t>
      </w:r>
      <w:r>
        <w:rPr>
          <w:rStyle w:val="10"/>
          <w:rFonts w:hint="default" w:ascii="Times New Roman" w:hAnsi="Times New Roman" w:cs="Times New Roman"/>
          <w:sz w:val="24"/>
          <w:szCs w:val="24"/>
          <w:lang w:val="en-GB"/>
        </w:rPr>
        <w:footnoteReference w:id="126"/>
      </w:r>
      <w:r>
        <w:rPr>
          <w:rFonts w:hint="default" w:ascii="Times New Roman" w:hAnsi="Times New Roman" w:cs="Times New Roman"/>
          <w:sz w:val="24"/>
          <w:szCs w:val="24"/>
          <w:lang w:val="en-GB"/>
        </w:rPr>
        <w:t xml:space="preserve"> and INTERPOL/EUROPOL.</w:t>
      </w:r>
      <w:r>
        <w:rPr>
          <w:rStyle w:val="10"/>
          <w:rFonts w:hint="default" w:ascii="Times New Roman" w:hAnsi="Times New Roman" w:cs="Times New Roman"/>
          <w:sz w:val="24"/>
          <w:szCs w:val="24"/>
          <w:lang w:val="en-GB"/>
        </w:rPr>
        <w:footnoteReference w:id="127"/>
      </w:r>
      <w:r>
        <w:rPr>
          <w:rFonts w:hint="default" w:ascii="Times New Roman" w:hAnsi="Times New Roman" w:cs="Times New Roman"/>
          <w:sz w:val="24"/>
          <w:szCs w:val="24"/>
          <w:lang w:val="en-GB"/>
        </w:rPr>
        <w:t xml:space="preserve"> ARIPO issues model copyright laws and holds biennial meetings of member states on IP enforcement. The Nigeria Police and Customs Service are connected to the IPR enforcement networks of the INTERPOL. These institutions are not listed in the chapter outline. However, they underscore that the enforcement in Nigeria is not isolated. </w:t>
      </w:r>
    </w:p>
    <w:p w14:paraId="34512E8D">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p>
    <w:p w14:paraId="2973B359">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p>
    <w:p w14:paraId="56B4308A">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rPr>
      </w:pPr>
    </w:p>
    <w:p w14:paraId="59B7001A">
      <w:pPr>
        <w:keepNext w:val="0"/>
        <w:keepLines w:val="0"/>
        <w:pageBreakBefore w:val="0"/>
        <w:widowControl/>
        <w:kinsoku/>
        <w:wordWrap/>
        <w:overflowPunct/>
        <w:topLinePunct w:val="0"/>
        <w:autoSpaceDE/>
        <w:autoSpaceDN/>
        <w:bidi w:val="0"/>
        <w:adjustRightInd/>
        <w:snapToGrid/>
        <w:spacing w:beforeAutospacing="0" w:after="0" w:afterAutospacing="0"/>
        <w:textAlignment w:val="auto"/>
        <w:rPr>
          <w:rFonts w:hint="default" w:ascii="Times New Roman" w:hAnsi="Times New Roman" w:cs="Times New Roman"/>
          <w:b/>
          <w:sz w:val="24"/>
          <w:szCs w:val="24"/>
        </w:rPr>
      </w:pPr>
      <w:r>
        <w:rPr>
          <w:rFonts w:hint="default" w:ascii="Times New Roman" w:hAnsi="Times New Roman" w:cs="Times New Roman"/>
          <w:b/>
          <w:sz w:val="24"/>
          <w:szCs w:val="24"/>
        </w:rPr>
        <w:br w:type="page"/>
      </w:r>
    </w:p>
    <w:p w14:paraId="5C8BBF22">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outlineLvl w:val="0"/>
        <w:rPr>
          <w:rFonts w:hint="default" w:ascii="Times New Roman" w:hAnsi="Times New Roman" w:cs="Times New Roman"/>
          <w:b/>
          <w:sz w:val="24"/>
          <w:szCs w:val="24"/>
        </w:rPr>
      </w:pPr>
      <w:bookmarkStart w:id="41" w:name="_Toc13241"/>
      <w:r>
        <w:rPr>
          <w:rFonts w:hint="default" w:ascii="Times New Roman" w:hAnsi="Times New Roman" w:cs="Times New Roman"/>
          <w:b/>
          <w:sz w:val="24"/>
          <w:szCs w:val="24"/>
        </w:rPr>
        <w:t>CHAPTER FOUR</w:t>
      </w:r>
      <w:bookmarkEnd w:id="41"/>
    </w:p>
    <w:p w14:paraId="7830657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center"/>
        <w:textAlignment w:val="auto"/>
        <w:outlineLvl w:val="0"/>
        <w:rPr>
          <w:rFonts w:hint="default" w:ascii="Times New Roman" w:hAnsi="Times New Roman" w:cs="Times New Roman"/>
          <w:sz w:val="24"/>
          <w:szCs w:val="24"/>
          <w:lang w:val="en-GB"/>
        </w:rPr>
      </w:pPr>
      <w:bookmarkStart w:id="42" w:name="_Toc2550"/>
      <w:r>
        <w:rPr>
          <w:rFonts w:hint="default" w:ascii="Times New Roman" w:hAnsi="Times New Roman" w:cs="Times New Roman"/>
          <w:sz w:val="24"/>
          <w:szCs w:val="24"/>
          <w:lang w:val="en-GB"/>
        </w:rPr>
        <w:t>THE CHALLENGES OF COPYRIGHT ENFORCEMENT IN THE ERA OF ARTIFICIAL INTELLIGENCE IN NIGERIA</w:t>
      </w:r>
      <w:bookmarkEnd w:id="42"/>
    </w:p>
    <w:p w14:paraId="73B0CE68">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bCs/>
          <w:sz w:val="24"/>
          <w:szCs w:val="24"/>
        </w:rPr>
      </w:pPr>
      <w:bookmarkStart w:id="43" w:name="_Toc22529"/>
      <w:r>
        <w:rPr>
          <w:rFonts w:hint="default" w:ascii="Times New Roman" w:hAnsi="Times New Roman" w:cs="Times New Roman"/>
          <w:b/>
          <w:bCs/>
          <w:sz w:val="24"/>
          <w:szCs w:val="24"/>
        </w:rPr>
        <w:t xml:space="preserve">4.1 </w:t>
      </w:r>
      <w:r>
        <w:rPr>
          <w:rFonts w:hint="default" w:ascii="Times New Roman" w:hAnsi="Times New Roman" w:cs="Times New Roman"/>
          <w:b/>
          <w:bCs/>
          <w:sz w:val="24"/>
          <w:szCs w:val="24"/>
        </w:rPr>
        <w:tab/>
      </w:r>
      <w:r>
        <w:rPr>
          <w:rFonts w:hint="default" w:ascii="Times New Roman" w:hAnsi="Times New Roman" w:cs="Times New Roman"/>
          <w:b/>
          <w:bCs/>
          <w:sz w:val="24"/>
          <w:szCs w:val="24"/>
        </w:rPr>
        <w:t>Core Substantive Challenges</w:t>
      </w:r>
      <w:bookmarkEnd w:id="43"/>
    </w:p>
    <w:p w14:paraId="60EB5FB2">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section examines the core substantive challenges in the enforcement of copyright in the era of artificial intelligence in Nigeria. </w:t>
      </w:r>
    </w:p>
    <w:p w14:paraId="40C30981">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44" w:name="_Toc19658"/>
      <w:r>
        <w:rPr>
          <w:rFonts w:hint="default" w:ascii="Times New Roman" w:hAnsi="Times New Roman" w:cs="Times New Roman"/>
          <w:b/>
          <w:sz w:val="24"/>
          <w:szCs w:val="24"/>
        </w:rPr>
        <w:t xml:space="preserve">4.1.1 </w:t>
      </w:r>
      <w:r>
        <w:rPr>
          <w:rFonts w:hint="default" w:ascii="Times New Roman" w:hAnsi="Times New Roman" w:cs="Times New Roman"/>
          <w:b/>
          <w:sz w:val="24"/>
          <w:szCs w:val="24"/>
        </w:rPr>
        <w:tab/>
      </w:r>
      <w:r>
        <w:rPr>
          <w:rFonts w:hint="default" w:ascii="Times New Roman" w:hAnsi="Times New Roman" w:cs="Times New Roman"/>
          <w:b/>
          <w:sz w:val="24"/>
          <w:szCs w:val="24"/>
        </w:rPr>
        <w:t>Unclear Authorship and Ownership</w:t>
      </w:r>
      <w:bookmarkEnd w:id="44"/>
    </w:p>
    <w:p w14:paraId="15506B8A">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A fundamental substantive issue is that traditional copyright law assumes a human author. However, AI-generated works blur that requirement. Section 2 of the Copyright Act 2022 provides that copyright subsists in works where the author “is, at the time when the work is made, a qualified person” (that is, a natural person or Nigerian/incorporated body). In practice, it is assumed that AI-generated content has no author under the copyright Act. </w:t>
      </w:r>
    </w:p>
    <w:p w14:paraId="493A402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It becomes difficult to ascertain who owns the copyright when there is no human authorship. In jurisdictions where “computer-generated” authorship is recognised, the law attributes authorship to the person who “made the arrangements” for the work. However, there is no such provision in Nigeria. Practically, AI-assisted content in Nigeria must be framed as “AI-assisted” not machine-generated in order to qualify for copyright. Hence, the programmer or user who provides creative input would be the rightful copyright owner. Thus, if a Nigerian musician uses DALL·E or ChatGPT with creative control, they become the author. Conversely, there would be no copyright when human direction is negligible.</w:t>
      </w:r>
    </w:p>
    <w:p w14:paraId="5ABC331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This is also consistent with global practice. U.S. courts hold that non-human entities cannot own copyrights. In </w:t>
      </w:r>
      <w:r>
        <w:rPr>
          <w:rStyle w:val="7"/>
          <w:rFonts w:hint="default" w:ascii="Times New Roman" w:hAnsi="Times New Roman" w:cs="Times New Roman"/>
          <w:sz w:val="24"/>
          <w:szCs w:val="24"/>
          <w:lang w:val="en-GB"/>
        </w:rPr>
        <w:t>Naruto v. Slater</w:t>
      </w:r>
      <w:r>
        <w:rPr>
          <w:rFonts w:hint="default" w:ascii="Times New Roman" w:hAnsi="Times New Roman" w:cs="Times New Roman"/>
          <w:sz w:val="24"/>
          <w:szCs w:val="24"/>
          <w:lang w:val="en-GB"/>
        </w:rPr>
        <w:t>,</w:t>
      </w:r>
      <w:r>
        <w:rPr>
          <w:rStyle w:val="10"/>
          <w:rFonts w:hint="default" w:ascii="Times New Roman" w:hAnsi="Times New Roman" w:cs="Times New Roman"/>
          <w:sz w:val="24"/>
          <w:szCs w:val="24"/>
          <w:lang w:val="en-GB"/>
        </w:rPr>
        <w:footnoteReference w:id="128"/>
      </w:r>
      <w:r>
        <w:rPr>
          <w:rFonts w:hint="default" w:ascii="Times New Roman" w:hAnsi="Times New Roman" w:cs="Times New Roman"/>
          <w:sz w:val="24"/>
          <w:szCs w:val="24"/>
          <w:lang w:val="en-GB"/>
        </w:rPr>
        <w:t xml:space="preserve"> the U.S. Ninth Circuit ruled that a photograph taken by a monkey (“Naruto”) could not be copyrighted, because copyright law only recognises human authors. Similarly, in </w:t>
      </w:r>
      <w:r>
        <w:rPr>
          <w:rStyle w:val="7"/>
          <w:rFonts w:hint="default" w:ascii="Times New Roman" w:hAnsi="Times New Roman" w:cs="Times New Roman"/>
          <w:sz w:val="24"/>
          <w:szCs w:val="24"/>
          <w:lang w:val="en-GB"/>
        </w:rPr>
        <w:t>Thaler v. Perlmutter</w:t>
      </w:r>
      <w:r>
        <w:rPr>
          <w:rFonts w:hint="default" w:ascii="Times New Roman" w:hAnsi="Times New Roman" w:cs="Times New Roman"/>
          <w:sz w:val="24"/>
          <w:szCs w:val="24"/>
          <w:lang w:val="en-GB"/>
        </w:rPr>
        <w:t>,</w:t>
      </w:r>
      <w:r>
        <w:rPr>
          <w:rStyle w:val="10"/>
          <w:rFonts w:hint="default" w:ascii="Times New Roman" w:hAnsi="Times New Roman" w:cs="Times New Roman"/>
          <w:sz w:val="24"/>
          <w:szCs w:val="24"/>
          <w:lang w:val="en-GB"/>
        </w:rPr>
        <w:footnoteReference w:id="129"/>
      </w:r>
      <w:r>
        <w:rPr>
          <w:rFonts w:hint="default" w:ascii="Times New Roman" w:hAnsi="Times New Roman" w:cs="Times New Roman"/>
          <w:sz w:val="24"/>
          <w:szCs w:val="24"/>
          <w:lang w:val="en-GB"/>
        </w:rPr>
        <w:t xml:space="preserve"> a U.S. court concluded that AI-generated works “lack legal authorship under existing copyright laws.” </w:t>
      </w:r>
    </w:p>
    <w:p w14:paraId="0101F80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However, the boundary between AI assistance and AI autonomy is not clear-cut and this creates grey areas. Without legal guidance, courts may struggle to parse mixed human–AI contributions. For instance, if a Nigerian game developer uses generative AI to design background art, will courts regard the developer as the author or attribute nothing? There are no precedent and law in this regard and this means arguments will revolve on who made the “creative decisions.”</w:t>
      </w:r>
    </w:p>
    <w:p w14:paraId="43947D6E">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45" w:name="_Toc7718"/>
      <w:r>
        <w:rPr>
          <w:rFonts w:hint="default" w:ascii="Times New Roman" w:hAnsi="Times New Roman" w:cs="Times New Roman"/>
          <w:b/>
          <w:sz w:val="24"/>
          <w:szCs w:val="24"/>
        </w:rPr>
        <w:t xml:space="preserve">4.1.2 </w:t>
      </w:r>
      <w:r>
        <w:rPr>
          <w:rFonts w:hint="default" w:ascii="Times New Roman" w:hAnsi="Times New Roman" w:cs="Times New Roman"/>
          <w:b/>
          <w:sz w:val="24"/>
          <w:szCs w:val="24"/>
        </w:rPr>
        <w:tab/>
      </w:r>
      <w:r>
        <w:rPr>
          <w:rFonts w:hint="default" w:ascii="Times New Roman" w:hAnsi="Times New Roman" w:cs="Times New Roman"/>
          <w:b/>
          <w:sz w:val="24"/>
          <w:szCs w:val="24"/>
        </w:rPr>
        <w:t>Status of Derivative Works</w:t>
      </w:r>
      <w:bookmarkEnd w:id="45"/>
    </w:p>
    <w:p w14:paraId="329CC5D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The revolution of AI also blurs the line between inspiration and infringement and it raises questions about derivative works. A derivative work is a new creation “that includes copyright-protected elements of an original.” However, it is independent in form. Under the Copyright Act 2022, any substantial transformation, adaptation or interpolation of an original (such as remixes or translations) is an adaptation and itself enjoys copyright. However, it still requires authorisation from the original work’s owner.</w:t>
      </w:r>
      <w:r>
        <w:rPr>
          <w:rStyle w:val="10"/>
          <w:rFonts w:hint="default" w:ascii="Times New Roman" w:hAnsi="Times New Roman" w:cs="Times New Roman"/>
          <w:sz w:val="24"/>
          <w:szCs w:val="24"/>
          <w:lang w:val="en-GB"/>
        </w:rPr>
        <w:footnoteReference w:id="130"/>
      </w:r>
    </w:p>
    <w:p w14:paraId="435ECF7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AI-generated content sits in a gray area of derivation. Many AI models are trained on large datasets of existing works (songs, images, text). When these models produce new outputs, do those outputs count as unauthorised derivatives? Some critics argue that AI “outputs” are derivative because they recombine patterns from human-created data. For instance, an AI language model might generate a poem that echoes lines or imagery from works it was trained on. In that sense, it could be argued that it is an unlicensed adaptation. Eugene-Okorie</w:t>
      </w:r>
      <w:r>
        <w:rPr>
          <w:rStyle w:val="10"/>
          <w:rFonts w:hint="default" w:ascii="Times New Roman" w:hAnsi="Times New Roman" w:cs="Times New Roman"/>
          <w:sz w:val="24"/>
          <w:szCs w:val="24"/>
          <w:lang w:val="en-GB"/>
        </w:rPr>
        <w:footnoteReference w:id="131"/>
      </w:r>
      <w:r>
        <w:rPr>
          <w:rFonts w:hint="default" w:ascii="Times New Roman" w:hAnsi="Times New Roman" w:cs="Times New Roman"/>
          <w:sz w:val="24"/>
          <w:szCs w:val="24"/>
          <w:lang w:val="en-GB"/>
        </w:rPr>
        <w:t xml:space="preserve"> has warned that generative AI “derives,” not originates content. Hence, it “does not create. Rather, it derives… the output of AI models is non-original. It is assembled from pre-existing human work.” This suggests that many AI infringes copyright if they reproduce copyrighted elements without permission. </w:t>
      </w:r>
    </w:p>
    <w:p w14:paraId="274962C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However, novelty complicates matters. If an AI produces content that resembles existing works, it may not be a derivative. The test is whether the transformation is “substantial” and whether it retains protected expression. AI produces similar outputs and it might not copy any particular human work. For example, an AI-generated song might use an original melody created by the AI. It may be “inspired” by a genre. However, it may not copy any note-for-note sequence. In that case, it is not a derivative.</w:t>
      </w:r>
    </w:p>
    <w:p w14:paraId="455ED9F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This uncertainty cut both ways. On one hand, if an AI produces recognisable elements (melody, lyrics, images) from its training data, it infringes. On the other hand, pure derivation is not the only risk. Using copyrighted works for training are contested even if an AI output is novel. Some rights-holders might argue that AI models create a new type of derivative when it ingests their works. Hence, the model or its outputs are “infringing derivative works.” Under the legislation in Nigeria, a derivative output is an infringement. Section 9 of the Act gives the copyright owner exclusive rights including adaptation and reproduction.</w:t>
      </w:r>
      <w:r>
        <w:rPr>
          <w:rStyle w:val="10"/>
          <w:rFonts w:hint="default" w:ascii="Times New Roman" w:hAnsi="Times New Roman" w:cs="Times New Roman"/>
          <w:sz w:val="24"/>
          <w:szCs w:val="24"/>
          <w:lang w:val="en-GB"/>
        </w:rPr>
        <w:footnoteReference w:id="132"/>
      </w:r>
      <w:r>
        <w:rPr>
          <w:rFonts w:hint="default" w:ascii="Times New Roman" w:hAnsi="Times New Roman" w:cs="Times New Roman"/>
          <w:sz w:val="24"/>
          <w:szCs w:val="24"/>
          <w:lang w:val="en-GB"/>
        </w:rPr>
        <w:t>Thus any substantial adaptation by AI (without license) infringes.</w:t>
      </w:r>
    </w:p>
    <w:p w14:paraId="62DB92C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There are no precedents on this AI context in Nigeria. In </w:t>
      </w:r>
      <w:r>
        <w:rPr>
          <w:rStyle w:val="7"/>
          <w:rFonts w:hint="default" w:ascii="Times New Roman" w:hAnsi="Times New Roman" w:cs="Times New Roman"/>
          <w:sz w:val="24"/>
          <w:szCs w:val="24"/>
          <w:lang w:val="en-GB"/>
        </w:rPr>
        <w:t>Falcon v. Famous Players</w:t>
      </w:r>
      <w:r>
        <w:rPr>
          <w:rFonts w:hint="default" w:ascii="Times New Roman" w:hAnsi="Times New Roman" w:cs="Times New Roman"/>
          <w:sz w:val="24"/>
          <w:szCs w:val="24"/>
          <w:lang w:val="en-GB"/>
        </w:rPr>
        <w:t>,</w:t>
      </w:r>
      <w:r>
        <w:rPr>
          <w:rStyle w:val="10"/>
          <w:rFonts w:hint="default" w:ascii="Times New Roman" w:hAnsi="Times New Roman" w:cs="Times New Roman"/>
          <w:sz w:val="24"/>
          <w:szCs w:val="24"/>
          <w:lang w:val="en-GB"/>
        </w:rPr>
        <w:footnoteReference w:id="133"/>
      </w:r>
      <w:r>
        <w:rPr>
          <w:rFonts w:hint="default" w:ascii="Times New Roman" w:hAnsi="Times New Roman" w:cs="Times New Roman"/>
          <w:sz w:val="24"/>
          <w:szCs w:val="24"/>
          <w:lang w:val="en-GB"/>
        </w:rPr>
        <w:t xml:space="preserve"> it was held that creation of an adaptation without license infringes the right of adaptation.  Hence, any AI-generated derivative risks challenge under traditional adaptation rights. In practice, Nigerian creators already grapple with derivative issues. A recent case saw Kcee’s label disputing a priest’s claim of infringement. They argued that the phrases were in the Bible, not owned.</w:t>
      </w:r>
      <w:r>
        <w:rPr>
          <w:rStyle w:val="10"/>
          <w:rFonts w:hint="default" w:ascii="Times New Roman" w:hAnsi="Times New Roman" w:cs="Times New Roman"/>
          <w:sz w:val="24"/>
          <w:szCs w:val="24"/>
          <w:lang w:val="en-GB"/>
        </w:rPr>
        <w:footnoteReference w:id="134"/>
      </w:r>
      <w:r>
        <w:rPr>
          <w:rFonts w:hint="default" w:ascii="Times New Roman" w:hAnsi="Times New Roman" w:cs="Times New Roman"/>
          <w:sz w:val="24"/>
          <w:szCs w:val="24"/>
          <w:lang w:val="en-GB"/>
        </w:rPr>
        <w:t xml:space="preserve"> This did not involve AI. However, it illustrates how original rights are contested. If an AI had generated those phrases, the same dispute might arise. Overall, the AI era is pushing the notion of derivative works to the limit. Some outcomes of AI training may be indistinguishable from unauthorised adaptations legally. Scholars warn, “using AI to generate content that mimics or remixes copyrighted work is not innovation; it is infringement”</w:t>
      </w:r>
      <w:r>
        <w:rPr>
          <w:rStyle w:val="10"/>
          <w:rFonts w:hint="default" w:ascii="Times New Roman" w:hAnsi="Times New Roman" w:cs="Times New Roman"/>
          <w:sz w:val="24"/>
          <w:szCs w:val="24"/>
          <w:lang w:val="en-GB"/>
        </w:rPr>
        <w:footnoteReference w:id="135"/>
      </w:r>
      <w:r>
        <w:rPr>
          <w:rFonts w:hint="default" w:ascii="Times New Roman" w:hAnsi="Times New Roman" w:cs="Times New Roman"/>
          <w:sz w:val="24"/>
          <w:szCs w:val="24"/>
          <w:lang w:val="en-GB"/>
        </w:rPr>
        <w:t xml:space="preserve"> Until the law adapts, creators and AI developers must tread carefully: when an AI transforms or reuses copyrighted material (even unknowingly), the courts might apply traditional infringement rules.</w:t>
      </w:r>
    </w:p>
    <w:p w14:paraId="1C9A6D74">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46" w:name="_Toc30108"/>
      <w:r>
        <w:rPr>
          <w:rFonts w:hint="default" w:ascii="Times New Roman" w:hAnsi="Times New Roman" w:cs="Times New Roman"/>
          <w:b/>
          <w:sz w:val="24"/>
          <w:szCs w:val="24"/>
        </w:rPr>
        <w:t xml:space="preserve">4.1.3 </w:t>
      </w:r>
      <w:r>
        <w:rPr>
          <w:rFonts w:hint="default" w:ascii="Times New Roman" w:hAnsi="Times New Roman" w:cs="Times New Roman"/>
          <w:b/>
          <w:sz w:val="24"/>
          <w:szCs w:val="24"/>
        </w:rPr>
        <w:tab/>
      </w:r>
      <w:r>
        <w:rPr>
          <w:rFonts w:hint="default" w:ascii="Times New Roman" w:hAnsi="Times New Roman" w:cs="Times New Roman"/>
          <w:b/>
          <w:sz w:val="24"/>
          <w:szCs w:val="24"/>
        </w:rPr>
        <w:t>Legality of Training on Copyrighted Data</w:t>
      </w:r>
      <w:bookmarkEnd w:id="46"/>
    </w:p>
    <w:p w14:paraId="6B65C57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It is unclear whether it is lawful to train AI on copyrighted works without permission. Generative models rely on vast training datasets scraped from the internet. These datasets contain copyrighted text, music, and images inevitably. The legality of such “non-consensual training” is hotly debated globally. The Copyright Act was enacted before this debate, and it contained no explicit exception for text and data mining. The Copyright Act 2022 has broad fair dealing exceptions for purposes like research, critique or parody.</w:t>
      </w:r>
      <w:r>
        <w:rPr>
          <w:rStyle w:val="10"/>
          <w:rFonts w:hint="default" w:ascii="Times New Roman" w:hAnsi="Times New Roman" w:cs="Times New Roman"/>
          <w:sz w:val="24"/>
          <w:szCs w:val="24"/>
          <w:lang w:val="en-GB"/>
        </w:rPr>
        <w:footnoteReference w:id="136"/>
      </w:r>
      <w:r>
        <w:rPr>
          <w:rFonts w:hint="default" w:ascii="Times New Roman" w:hAnsi="Times New Roman" w:cs="Times New Roman"/>
          <w:sz w:val="24"/>
          <w:szCs w:val="24"/>
          <w:lang w:val="en-GB"/>
        </w:rPr>
        <w:t xml:space="preserve"> However, these seem intended for human use. </w:t>
      </w:r>
    </w:p>
    <w:p w14:paraId="3A556DA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In practical terms, training a model on copyrighted works without license infringes in Nigeria. Nigerian law does not recognise a general “data mining” exception. The existing fair dealing carve-outs (private study, non-commercial research, etc.) narrowly. Importantly, “non-commercial research” under the Act is an exception.</w:t>
      </w:r>
      <w:r>
        <w:rPr>
          <w:rStyle w:val="10"/>
          <w:rFonts w:hint="default" w:ascii="Times New Roman" w:hAnsi="Times New Roman" w:cs="Times New Roman"/>
          <w:sz w:val="24"/>
          <w:szCs w:val="24"/>
          <w:lang w:val="en-GB"/>
        </w:rPr>
        <w:footnoteReference w:id="137"/>
      </w:r>
      <w:r>
        <w:rPr>
          <w:rFonts w:hint="default" w:ascii="Times New Roman" w:hAnsi="Times New Roman" w:cs="Times New Roman"/>
          <w:sz w:val="24"/>
          <w:szCs w:val="24"/>
          <w:lang w:val="en-GB"/>
        </w:rPr>
        <w:t xml:space="preserve"> However, it is hard to see how training a large commercial AI fits that category. Even if one argues training is “research”, the scale is problematic: small-quantity copying might fit fair dealing. However, wholesale ingestion of books, songs, and art for commercial AI seems beyond what the law envisioned. In short, the fair dealing regime in Nigeria was not crafted with AI in mind and its open-ended language has yet to be tested against modern data uses. </w:t>
      </w:r>
    </w:p>
    <w:p w14:paraId="7A5B75A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Nor does Nigeria have a statutory text-and-data-mining exception like the EU (introduced in 2019) or new UK provision (2023). Without such an exception, using copyrighted material for model training without consent likely remains unauthorised reproduction. That said, the law does allow some “incidental inclusion” of copyrighted content for lawful purposes (for examples, quoting for news reporting). But AI training is neither incidental; it is systematic. Therefore, on current law, training on copyrighted datasets would infringe copyright unless the rightsholder had given permission. The legal uncertainty on this point is a challenge. Without clarity, AI development is hindered. Adegoke</w:t>
      </w:r>
      <w:r>
        <w:rPr>
          <w:rStyle w:val="10"/>
          <w:rFonts w:hint="default" w:ascii="Times New Roman" w:hAnsi="Times New Roman" w:cs="Times New Roman"/>
          <w:sz w:val="24"/>
          <w:szCs w:val="24"/>
          <w:lang w:val="en-GB"/>
        </w:rPr>
        <w:footnoteReference w:id="138"/>
      </w:r>
      <w:r>
        <w:rPr>
          <w:rFonts w:hint="default" w:ascii="Times New Roman" w:hAnsi="Times New Roman" w:cs="Times New Roman"/>
          <w:sz w:val="24"/>
          <w:szCs w:val="24"/>
          <w:lang w:val="en-GB"/>
        </w:rPr>
        <w:t xml:space="preserve"> suggests that AI-specific exceptions or licensing frameworks should be added so that creators would share in the value AI generates. However, these do not exist in Nigeria as at the time of this research. Globally, companies</w:t>
      </w:r>
      <w:r>
        <w:rPr>
          <w:rStyle w:val="10"/>
          <w:rFonts w:hint="default" w:ascii="Times New Roman" w:hAnsi="Times New Roman" w:cs="Times New Roman"/>
          <w:sz w:val="24"/>
          <w:szCs w:val="24"/>
          <w:lang w:val="en-GB"/>
        </w:rPr>
        <w:footnoteReference w:id="139"/>
      </w:r>
      <w:r>
        <w:rPr>
          <w:rFonts w:hint="default" w:ascii="Times New Roman" w:hAnsi="Times New Roman" w:cs="Times New Roman"/>
          <w:sz w:val="24"/>
          <w:szCs w:val="24"/>
          <w:lang w:val="en-GB"/>
        </w:rPr>
        <w:t xml:space="preserve"> have faced lawsuits from authors and photographers for training models on copyrighted material without consent. </w:t>
      </w:r>
    </w:p>
    <w:p w14:paraId="21BD8267">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47" w:name="_Toc15497"/>
      <w:r>
        <w:rPr>
          <w:rFonts w:hint="default" w:ascii="Times New Roman" w:hAnsi="Times New Roman" w:cs="Times New Roman"/>
          <w:b/>
          <w:sz w:val="24"/>
          <w:szCs w:val="24"/>
        </w:rPr>
        <w:t xml:space="preserve">4.2 </w:t>
      </w:r>
      <w:r>
        <w:rPr>
          <w:rFonts w:hint="default" w:ascii="Times New Roman" w:hAnsi="Times New Roman" w:cs="Times New Roman"/>
          <w:b/>
          <w:sz w:val="24"/>
          <w:szCs w:val="24"/>
        </w:rPr>
        <w:tab/>
      </w:r>
      <w:r>
        <w:rPr>
          <w:rFonts w:hint="default" w:ascii="Times New Roman" w:hAnsi="Times New Roman" w:cs="Times New Roman"/>
          <w:b/>
          <w:sz w:val="24"/>
          <w:szCs w:val="24"/>
        </w:rPr>
        <w:t>Core Procedural Challenges</w:t>
      </w:r>
      <w:bookmarkEnd w:id="47"/>
    </w:p>
    <w:p w14:paraId="7E40711F">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48" w:name="_Toc12293"/>
      <w:r>
        <w:rPr>
          <w:rFonts w:hint="default" w:ascii="Times New Roman" w:hAnsi="Times New Roman" w:cs="Times New Roman"/>
          <w:b/>
          <w:sz w:val="24"/>
          <w:szCs w:val="24"/>
        </w:rPr>
        <w:t xml:space="preserve">4.2.1 </w:t>
      </w:r>
      <w:r>
        <w:rPr>
          <w:rFonts w:hint="default" w:ascii="Times New Roman" w:hAnsi="Times New Roman" w:cs="Times New Roman"/>
          <w:b/>
          <w:sz w:val="24"/>
          <w:szCs w:val="24"/>
        </w:rPr>
        <w:tab/>
      </w:r>
      <w:r>
        <w:rPr>
          <w:rFonts w:hint="default" w:ascii="Times New Roman" w:hAnsi="Times New Roman" w:cs="Times New Roman"/>
          <w:b/>
          <w:sz w:val="24"/>
          <w:szCs w:val="24"/>
        </w:rPr>
        <w:t>Opacity of AI Models</w:t>
      </w:r>
      <w:bookmarkEnd w:id="48"/>
    </w:p>
    <w:p w14:paraId="0940ABF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AI systems are opaque. Many AI models are “black boxes.” Their internal workings and decision pathways are not transparent. This creates evidentiary hurdles. For example, if a Nigerian author sues an AI company for infringement, how would the plaintiff prove that the AI model had been trained on or derived her specific work? The training dataset of the model and algorithmic reasoning are proprietary. Without access, the plaintiff may struggle to trace the infringement back to the AI’s “mind.”</w:t>
      </w:r>
    </w:p>
    <w:p w14:paraId="11113C2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Legal scholars note that AI’s decision-making are “opaque.”</w:t>
      </w:r>
      <w:r>
        <w:rPr>
          <w:rStyle w:val="10"/>
          <w:rFonts w:hint="default" w:ascii="Times New Roman" w:hAnsi="Times New Roman" w:cs="Times New Roman"/>
          <w:sz w:val="24"/>
          <w:szCs w:val="24"/>
          <w:lang w:val="en-GB"/>
        </w:rPr>
        <w:footnoteReference w:id="140"/>
      </w:r>
      <w:r>
        <w:rPr>
          <w:rFonts w:hint="default" w:ascii="Times New Roman" w:hAnsi="Times New Roman" w:cs="Times New Roman"/>
          <w:sz w:val="24"/>
          <w:szCs w:val="24"/>
          <w:lang w:val="en-GB"/>
        </w:rPr>
        <w:t xml:space="preserve"> Courts in other contexts have grappled with this “black-box problem.” In Washington (USA), a court rejected an AI-enhanced video in evidence, and it highlights that the AI “uses opaque methods to represent what the AI model ‘thinks’ should be shown.”</w:t>
      </w:r>
      <w:r>
        <w:rPr>
          <w:rStyle w:val="10"/>
          <w:rFonts w:hint="default" w:ascii="Times New Roman" w:hAnsi="Times New Roman" w:cs="Times New Roman"/>
          <w:sz w:val="24"/>
          <w:szCs w:val="24"/>
          <w:lang w:val="en-GB"/>
        </w:rPr>
        <w:footnoteReference w:id="141"/>
      </w:r>
      <w:r>
        <w:rPr>
          <w:rFonts w:hint="default" w:ascii="Times New Roman" w:hAnsi="Times New Roman" w:cs="Times New Roman"/>
          <w:sz w:val="24"/>
          <w:szCs w:val="24"/>
          <w:lang w:val="en-GB"/>
        </w:rPr>
        <w:t xml:space="preserve"> By analogy, if an AI tool draws on hidden patterns, it may be impossible to demonstrate how the output was produced. Nigerian judges (who lack AI expertise) may find it difficult to evaluate technical AI evidence or understand how outputs were generated.</w:t>
      </w:r>
    </w:p>
    <w:p w14:paraId="5D3D8AD1">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This complicates enforcement in two ways. Firstly, proving </w:t>
      </w:r>
      <w:r>
        <w:rPr>
          <w:rStyle w:val="15"/>
          <w:rFonts w:hint="default" w:ascii="Times New Roman" w:hAnsi="Times New Roman" w:cs="Times New Roman"/>
          <w:sz w:val="24"/>
          <w:szCs w:val="24"/>
          <w:lang w:val="en-GB"/>
        </w:rPr>
        <w:t>infringement</w:t>
      </w:r>
      <w:r>
        <w:rPr>
          <w:rFonts w:hint="default" w:ascii="Times New Roman" w:hAnsi="Times New Roman" w:cs="Times New Roman"/>
          <w:sz w:val="24"/>
          <w:szCs w:val="24"/>
          <w:lang w:val="en-GB"/>
        </w:rPr>
        <w:t xml:space="preserve"> requires showing that the AI copied protected expression. If the AI’s internal dataset is secret, the plaintiff might only have the infringing output and rely on expert testimony or forensic analysis. But experts may only guess whether the output was truly copied or just similar by coincidence without knowing the model’s internals. Secondly, AI often generates content autonomously for end-users. For instance, a chatbot might write an entire article. If someone claims that article infringed their work, it would be difficult to determine who should be sued (developer of the AI, the provider of the interface, or the end-user who asked the AI for content). There is no transparency about the chain of contributions and hence it is challenge to assign liability.</w:t>
      </w:r>
    </w:p>
    <w:p w14:paraId="1D036E4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The Law Commission of England and Wales has warned that the “computational opacity” of AI impedes accountability.</w:t>
      </w:r>
      <w:r>
        <w:rPr>
          <w:rStyle w:val="10"/>
          <w:rFonts w:hint="default" w:ascii="Times New Roman" w:hAnsi="Times New Roman" w:cs="Times New Roman"/>
          <w:sz w:val="24"/>
          <w:szCs w:val="24"/>
          <w:lang w:val="en-GB"/>
        </w:rPr>
        <w:footnoteReference w:id="142"/>
      </w:r>
      <w:r>
        <w:rPr>
          <w:rFonts w:hint="default" w:ascii="Times New Roman" w:hAnsi="Times New Roman" w:cs="Times New Roman"/>
          <w:sz w:val="24"/>
          <w:szCs w:val="24"/>
          <w:lang w:val="en-GB"/>
        </w:rPr>
        <w:t>In Nigeria, this means that enforcement agencies and courts must rely on piecemeal evidence. Detecting AI requires sophisticated forensic tools or discovery demands on AI companies. But Nigeria has no established processes for compelling AI firms to disclose data or algorithms. The Copyright Act does not empower the NCC to inspect AI systems’ code or training data.</w:t>
      </w:r>
    </w:p>
    <w:p w14:paraId="27AAB1C0">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49" w:name="_Toc11314"/>
      <w:r>
        <w:rPr>
          <w:rFonts w:hint="default" w:ascii="Times New Roman" w:hAnsi="Times New Roman" w:cs="Times New Roman"/>
          <w:b/>
          <w:sz w:val="24"/>
          <w:szCs w:val="24"/>
        </w:rPr>
        <w:t xml:space="preserve">4.2.2 </w:t>
      </w:r>
      <w:r>
        <w:rPr>
          <w:rFonts w:hint="default" w:ascii="Times New Roman" w:hAnsi="Times New Roman" w:cs="Times New Roman"/>
          <w:b/>
          <w:sz w:val="24"/>
          <w:szCs w:val="24"/>
        </w:rPr>
        <w:tab/>
      </w:r>
      <w:r>
        <w:rPr>
          <w:rFonts w:hint="default" w:ascii="Times New Roman" w:hAnsi="Times New Roman" w:cs="Times New Roman"/>
          <w:b/>
          <w:sz w:val="24"/>
          <w:szCs w:val="24"/>
        </w:rPr>
        <w:t>Jurisdiction</w:t>
      </w:r>
      <w:bookmarkEnd w:id="49"/>
    </w:p>
    <w:p w14:paraId="5A71D45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AI content also raises dilemmas in cross-border enforcement. Copyright law is territorial and courts enforce rights within their jurisdiction. However, AI content is created and distributed globally. The work of a Nigerian composer might be included in a U.S.-based AI training set. Then, the infringing output is distributed through the internet to Nigeria or elsewhere. In such scenarios, it is unclear which country’s laws apply and where to sue. </w:t>
      </w:r>
    </w:p>
    <w:p w14:paraId="5BEAD86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Nigeria is a member of international treaties like the Berne Convention and TRIPS and this requires protection of works from other member countries. In theory, a Nigerian artist could assert rights against an infringing entity in another country (e.g. the U.S.) through treaty obligations. However, enforcement still requires navigating foreign legal systems. These cross-border issues are not unique to AI. However, AI amplifies them. Generative AI models may be hosted on cloud servers in multiple countries. The data used may come from anywhere. A single infringing output could implicate works and rights-holders across continents.  </w:t>
      </w:r>
    </w:p>
    <w:p w14:paraId="5B7DC5D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Recent reforms may ease this somewhat. Notably, the Proceeds of Crime Act 2022 designates the NCC as a “relevant organisation.”</w:t>
      </w:r>
      <w:r>
        <w:rPr>
          <w:rStyle w:val="10"/>
          <w:rFonts w:hint="default" w:ascii="Times New Roman" w:hAnsi="Times New Roman" w:cs="Times New Roman"/>
          <w:sz w:val="24"/>
          <w:szCs w:val="24"/>
          <w:lang w:val="en-GB"/>
        </w:rPr>
        <w:footnoteReference w:id="143"/>
      </w:r>
      <w:r>
        <w:rPr>
          <w:rFonts w:hint="default" w:ascii="Times New Roman" w:hAnsi="Times New Roman" w:cs="Times New Roman"/>
          <w:sz w:val="24"/>
          <w:szCs w:val="24"/>
          <w:lang w:val="en-GB"/>
        </w:rPr>
        <w:t xml:space="preserve"> It permits collaboration with agencies like the EFCC</w:t>
      </w:r>
      <w:r>
        <w:rPr>
          <w:rStyle w:val="10"/>
          <w:rFonts w:hint="default" w:ascii="Times New Roman" w:hAnsi="Times New Roman" w:cs="Times New Roman"/>
          <w:sz w:val="24"/>
          <w:szCs w:val="24"/>
          <w:lang w:val="en-GB"/>
        </w:rPr>
        <w:footnoteReference w:id="144"/>
      </w:r>
      <w:r>
        <w:rPr>
          <w:rFonts w:hint="default" w:ascii="Times New Roman" w:hAnsi="Times New Roman" w:cs="Times New Roman"/>
          <w:sz w:val="24"/>
          <w:szCs w:val="24"/>
          <w:lang w:val="en-GB"/>
        </w:rPr>
        <w:t xml:space="preserve"> and allows asset recovery even extraterritorially.</w:t>
      </w:r>
      <w:r>
        <w:rPr>
          <w:rStyle w:val="10"/>
          <w:rFonts w:hint="default" w:ascii="Times New Roman" w:hAnsi="Times New Roman" w:cs="Times New Roman"/>
          <w:sz w:val="24"/>
          <w:szCs w:val="24"/>
          <w:lang w:val="en-GB"/>
        </w:rPr>
        <w:footnoteReference w:id="145"/>
      </w:r>
      <w:r>
        <w:rPr>
          <w:rFonts w:hint="default" w:ascii="Times New Roman" w:hAnsi="Times New Roman" w:cs="Times New Roman"/>
          <w:sz w:val="24"/>
          <w:szCs w:val="24"/>
          <w:lang w:val="en-GB"/>
        </w:rPr>
        <w:t xml:space="preserve"> This means that once a Nigerian court obtains a judgment, the NCC may cooperate with foreign courts to enforce it or recover proceeds of infringement overseas. However, this is a untested path. In practice, enforcement against an international AI operator</w:t>
      </w:r>
      <w:r>
        <w:rPr>
          <w:rStyle w:val="10"/>
          <w:rFonts w:hint="default" w:ascii="Times New Roman" w:hAnsi="Times New Roman" w:cs="Times New Roman"/>
          <w:sz w:val="24"/>
          <w:szCs w:val="24"/>
          <w:lang w:val="en-GB"/>
        </w:rPr>
        <w:footnoteReference w:id="146"/>
      </w:r>
      <w:r>
        <w:rPr>
          <w:rFonts w:hint="default" w:ascii="Times New Roman" w:hAnsi="Times New Roman" w:cs="Times New Roman"/>
          <w:sz w:val="24"/>
          <w:szCs w:val="24"/>
          <w:lang w:val="en-GB"/>
        </w:rPr>
        <w:t xml:space="preserve"> will be daunting. Plaintiffs would need to secure injunctive or monetary relief domestically, and then ask the NCC to pursue foreign enforcement. This is laden with procedural hurdles.</w:t>
      </w:r>
    </w:p>
    <w:p w14:paraId="031C50DB">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50" w:name="_Toc25978"/>
      <w:r>
        <w:rPr>
          <w:rFonts w:hint="default" w:ascii="Times New Roman" w:hAnsi="Times New Roman" w:cs="Times New Roman"/>
          <w:b/>
          <w:sz w:val="24"/>
          <w:szCs w:val="24"/>
        </w:rPr>
        <w:t xml:space="preserve">4.2.3 </w:t>
      </w:r>
      <w:r>
        <w:rPr>
          <w:rFonts w:hint="default" w:ascii="Times New Roman" w:hAnsi="Times New Roman" w:cs="Times New Roman"/>
          <w:b/>
          <w:sz w:val="24"/>
          <w:szCs w:val="24"/>
        </w:rPr>
        <w:tab/>
      </w:r>
      <w:r>
        <w:rPr>
          <w:rFonts w:hint="default" w:ascii="Times New Roman" w:hAnsi="Times New Roman" w:cs="Times New Roman"/>
          <w:b/>
          <w:sz w:val="24"/>
          <w:szCs w:val="24"/>
        </w:rPr>
        <w:t>Limited Forensic Tools</w:t>
      </w:r>
      <w:bookmarkEnd w:id="50"/>
    </w:p>
    <w:p w14:paraId="7056A36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 third procedural hurdle is that forensic tools and expertise to detect AI-driven infringement are scarce. Even if a copyright owner suspects that an AI product infringes, proving it requires technical analysis. For example, determining whether a piece of music was generated by an AI model trained on specific copyrighted songs might require signal analysis or watermark detection. Globally, some tools are emerging to identify AI-generated content (e.g. metadata detectors, image provenance trackers). However, in Nigeria, these tools are unavailable. The technical sophistication and cost of AI forensics exceed the current capacity of most enforcement agencies. Indeed, experts warn that detecting AI “deepfakes” or manipulated media “requires sophisticated tools and expertise and this may not yet be available widely in Nigeria.”</w:t>
      </w:r>
      <w:r>
        <w:rPr>
          <w:rStyle w:val="10"/>
          <w:rFonts w:hint="default" w:ascii="Times New Roman" w:hAnsi="Times New Roman" w:cs="Times New Roman"/>
          <w:sz w:val="24"/>
          <w:szCs w:val="24"/>
          <w:lang w:val="en-GB"/>
        </w:rPr>
        <w:footnoteReference w:id="147"/>
      </w:r>
      <w:r>
        <w:rPr>
          <w:rFonts w:hint="default" w:ascii="Times New Roman" w:hAnsi="Times New Roman" w:cs="Times New Roman"/>
          <w:sz w:val="24"/>
          <w:szCs w:val="24"/>
          <w:lang w:val="en-GB"/>
        </w:rPr>
        <w:t xml:space="preserve"> Without such tools, copyright investigators and courts in Nigeria may find it nearly impossible to gather solid evidence.</w:t>
      </w:r>
    </w:p>
    <w:p w14:paraId="46C8331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More so, there is a lack of forensic capacity. The NCC and Nigerian courts have no established protocol analysing AI forensic. Legislation on electronic evidence (Evidence Act 2011, amended 2023) governs admissibility and not credibility of AI-origin data. In practice, this means any AI evidence would be treated as computer-generated. However, it is not subjected to special scrutiny. Consequently, producing admissible proof may be extremely difficult even if infringement is suspected. </w:t>
      </w:r>
    </w:p>
    <w:p w14:paraId="095DB7E1">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51" w:name="_Toc23337"/>
      <w:r>
        <w:rPr>
          <w:rFonts w:hint="default" w:ascii="Times New Roman" w:hAnsi="Times New Roman" w:cs="Times New Roman"/>
          <w:b/>
          <w:sz w:val="24"/>
          <w:szCs w:val="24"/>
        </w:rPr>
        <w:t xml:space="preserve">4.3 </w:t>
      </w:r>
      <w:r>
        <w:rPr>
          <w:rFonts w:hint="default" w:ascii="Times New Roman" w:hAnsi="Times New Roman" w:cs="Times New Roman"/>
          <w:b/>
          <w:sz w:val="24"/>
          <w:szCs w:val="24"/>
        </w:rPr>
        <w:tab/>
      </w:r>
      <w:r>
        <w:rPr>
          <w:rFonts w:hint="default" w:ascii="Times New Roman" w:hAnsi="Times New Roman" w:cs="Times New Roman"/>
          <w:b/>
          <w:sz w:val="24"/>
          <w:szCs w:val="24"/>
        </w:rPr>
        <w:t>Core Institutional Challenges</w:t>
      </w:r>
      <w:bookmarkEnd w:id="51"/>
    </w:p>
    <w:p w14:paraId="6B63EC22">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52" w:name="_Toc21690"/>
      <w:r>
        <w:rPr>
          <w:rFonts w:hint="default" w:ascii="Times New Roman" w:hAnsi="Times New Roman" w:cs="Times New Roman"/>
          <w:b/>
          <w:sz w:val="24"/>
          <w:szCs w:val="24"/>
        </w:rPr>
        <w:t xml:space="preserve">4.3.1 </w:t>
      </w:r>
      <w:r>
        <w:rPr>
          <w:rFonts w:hint="default" w:ascii="Times New Roman" w:hAnsi="Times New Roman" w:cs="Times New Roman"/>
          <w:b/>
          <w:sz w:val="24"/>
          <w:szCs w:val="24"/>
        </w:rPr>
        <w:tab/>
      </w:r>
      <w:r>
        <w:rPr>
          <w:rFonts w:hint="default" w:ascii="Times New Roman" w:hAnsi="Times New Roman" w:cs="Times New Roman"/>
          <w:b/>
          <w:sz w:val="24"/>
          <w:szCs w:val="24"/>
        </w:rPr>
        <w:t>Resource Constraints</w:t>
      </w:r>
      <w:bookmarkEnd w:id="52"/>
    </w:p>
    <w:p w14:paraId="7366B36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Beyond legal theory, institutions in Nigeria face limitations in resources enforcing copyright. These limitations are aggravated because AI is complex. The Nigerian Copyright Commission (NCC) suffers from chronic underfunding and understaffing. Nwogu</w:t>
      </w:r>
      <w:r>
        <w:rPr>
          <w:rStyle w:val="10"/>
          <w:rFonts w:hint="default" w:ascii="Times New Roman" w:hAnsi="Times New Roman" w:cs="Times New Roman"/>
          <w:sz w:val="24"/>
          <w:szCs w:val="24"/>
          <w:lang w:val="en-GB"/>
        </w:rPr>
        <w:footnoteReference w:id="148"/>
      </w:r>
      <w:r>
        <w:rPr>
          <w:rFonts w:hint="default" w:ascii="Times New Roman" w:hAnsi="Times New Roman" w:cs="Times New Roman"/>
          <w:sz w:val="24"/>
          <w:szCs w:val="24"/>
          <w:lang w:val="en-GB"/>
        </w:rPr>
        <w:t xml:space="preserve"> noted that the NCC’s fight against piracy is stymied by “poor financing, mobility, [and] poor ICT knowledge” among officials. This hinders necessary and comprehensive investigations. In addition, it reduces the quantum of information gathered.” </w:t>
      </w:r>
    </w:p>
    <w:p w14:paraId="45FE967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These also affect AI-related enforcement. Investigating AI infringement often requires digital forensics and complex data analysis. These are resource-intensive tasks. For example, tracking down AI-generated songs on the internet would demand dedicated personnel and computing resources to crawl and compare content. But with limited budget, the NCC must prioritise more traditional piracy.</w:t>
      </w:r>
      <w:r>
        <w:rPr>
          <w:rStyle w:val="10"/>
          <w:rFonts w:hint="default" w:ascii="Times New Roman" w:hAnsi="Times New Roman" w:cs="Times New Roman"/>
          <w:sz w:val="24"/>
          <w:szCs w:val="24"/>
          <w:lang w:val="en-GB"/>
        </w:rPr>
        <w:footnoteReference w:id="149"/>
      </w:r>
      <w:r>
        <w:rPr>
          <w:rFonts w:hint="default" w:ascii="Times New Roman" w:hAnsi="Times New Roman" w:cs="Times New Roman"/>
          <w:sz w:val="24"/>
          <w:szCs w:val="24"/>
          <w:lang w:val="en-GB"/>
        </w:rPr>
        <w:t xml:space="preserve"> The new Copyright Act expanded the scope of NCC and this only increases the enforcement burden. Yet the NCC’s budget has not scaled accordingly.</w:t>
      </w:r>
    </w:p>
    <w:p w14:paraId="52E052A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This is also aggravated by corruption and administrative inefficiency. Ibe and Udeoji</w:t>
      </w:r>
      <w:r>
        <w:rPr>
          <w:rStyle w:val="10"/>
          <w:rFonts w:hint="default" w:ascii="Times New Roman" w:hAnsi="Times New Roman" w:cs="Times New Roman"/>
          <w:sz w:val="24"/>
          <w:szCs w:val="24"/>
          <w:lang w:val="en-GB"/>
        </w:rPr>
        <w:footnoteReference w:id="150"/>
      </w:r>
      <w:r>
        <w:rPr>
          <w:rFonts w:hint="default" w:ascii="Times New Roman" w:hAnsi="Times New Roman" w:cs="Times New Roman"/>
          <w:sz w:val="24"/>
          <w:szCs w:val="24"/>
          <w:lang w:val="en-GB"/>
        </w:rPr>
        <w:t xml:space="preserve"> also notes that enforcement suffer from endemic corruption and undue delays. Some officials may collude with pirates. This undermines any enforcement drive (AI-related or not). There are also delays in prosecution. Hence, cases drag on without resolution even when infringements are identified. In an AI case, where technology and evidences are novel, such delays dooms enforcement because AI tools and markets evolve rapidly.</w:t>
      </w:r>
    </w:p>
    <w:p w14:paraId="02CF228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There also gap in resources in the judiciary. Federal High Court records indicate that there are only a handful of judges who hear IP cases and they carry heavy caseloads. Complex AI cases may require lengthy proceedings. However, judges often lack time or expertise. In a </w:t>
      </w:r>
      <w:r>
        <w:rPr>
          <w:rStyle w:val="7"/>
          <w:rFonts w:hint="default" w:ascii="Times New Roman" w:hAnsi="Times New Roman" w:cs="Times New Roman"/>
          <w:sz w:val="24"/>
          <w:szCs w:val="24"/>
          <w:lang w:val="en-GB"/>
        </w:rPr>
        <w:t>TV Xtra Productions v. NUC &amp; Zain</w:t>
      </w:r>
      <w:r>
        <w:rPr>
          <w:rFonts w:hint="default" w:ascii="Times New Roman" w:hAnsi="Times New Roman" w:cs="Times New Roman"/>
          <w:sz w:val="24"/>
          <w:szCs w:val="24"/>
          <w:lang w:val="en-GB"/>
        </w:rPr>
        <w:t>,</w:t>
      </w:r>
      <w:r>
        <w:rPr>
          <w:rStyle w:val="10"/>
          <w:rFonts w:hint="default" w:ascii="Times New Roman" w:hAnsi="Times New Roman" w:cs="Times New Roman"/>
          <w:sz w:val="24"/>
          <w:szCs w:val="24"/>
          <w:lang w:val="en-GB"/>
        </w:rPr>
        <w:footnoteReference w:id="151"/>
      </w:r>
      <w:r>
        <w:rPr>
          <w:rFonts w:hint="default" w:ascii="Times New Roman" w:hAnsi="Times New Roman" w:cs="Times New Roman"/>
          <w:sz w:val="24"/>
          <w:szCs w:val="24"/>
          <w:lang w:val="en-GB"/>
        </w:rPr>
        <w:t xml:space="preserve"> experts criticised the court for misunderstanding copyright fundamentals. TV Xtra Production Ltd (through its principal, Christian Ogodo) pitched a television quiz-show concept called “University Challenge” to the National Universities Commission (NUC) for endorsement. Allegedly, NUC did not endorse the proposal. However, it later approved/associated with a similar programme, “Zain Africa Challenge,” and this was sponsored by Zain Nigeria (now Airtel). TV Xtra then sued; they claimed that the copyright of its proposal/concept document was infringed. The Federal High Court (Abuja) found in favour of TV Xtra. It held that there were factual similarities and this amounts to infringement. It awarded about ₦703,000,000 in damages/costs against NUC and Zain. </w:t>
      </w:r>
    </w:p>
    <w:p w14:paraId="5F6BD9A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Scholars criticised the judgment for allegedly misunderstanding basic copyright principles.</w:t>
      </w:r>
      <w:r>
        <w:rPr>
          <w:rStyle w:val="10"/>
          <w:rFonts w:hint="default" w:ascii="Times New Roman" w:hAnsi="Times New Roman" w:cs="Times New Roman"/>
          <w:sz w:val="24"/>
          <w:szCs w:val="24"/>
          <w:lang w:val="en-GB"/>
        </w:rPr>
        <w:footnoteReference w:id="152"/>
      </w:r>
      <w:r>
        <w:rPr>
          <w:rFonts w:hint="default" w:ascii="Times New Roman" w:hAnsi="Times New Roman" w:cs="Times New Roman"/>
          <w:sz w:val="24"/>
          <w:szCs w:val="24"/>
          <w:lang w:val="en-GB"/>
        </w:rPr>
        <w:t xml:space="preserve"> They argued that the court conflated protection of expression with protection of ideas/formats.</w:t>
      </w:r>
      <w:r>
        <w:rPr>
          <w:rStyle w:val="10"/>
          <w:rFonts w:hint="default" w:ascii="Times New Roman" w:hAnsi="Times New Roman" w:cs="Times New Roman"/>
          <w:sz w:val="24"/>
          <w:szCs w:val="24"/>
          <w:lang w:val="en-GB"/>
        </w:rPr>
        <w:footnoteReference w:id="153"/>
      </w:r>
      <w:r>
        <w:rPr>
          <w:rFonts w:hint="default" w:ascii="Times New Roman" w:hAnsi="Times New Roman" w:cs="Times New Roman"/>
          <w:sz w:val="24"/>
          <w:szCs w:val="24"/>
          <w:lang w:val="en-GB"/>
        </w:rPr>
        <w:t xml:space="preserve"> They also argued that the court confused different IP concepts. In addition, they argued that the court did not conduct the originality and infringement tests rigorously, especially for a TV format proposal where only specific protectable expression (not the general concept) should be protected.That case involved a creative TV format and it showed that even without AI, Nigeria’s courts may misapply IP principles. Given that AI is complex, insufficient judicial resources (time, training, or written opinions) leads to flawed outcomes or case dismissals. The 703 million Naira award in </w:t>
      </w:r>
      <w:r>
        <w:rPr>
          <w:rStyle w:val="7"/>
          <w:rFonts w:hint="default" w:ascii="Times New Roman" w:hAnsi="Times New Roman" w:cs="Times New Roman"/>
          <w:sz w:val="24"/>
          <w:szCs w:val="24"/>
          <w:lang w:val="en-GB"/>
        </w:rPr>
        <w:t>TV Xtra</w:t>
      </w:r>
      <w:r>
        <w:rPr>
          <w:rFonts w:hint="default" w:ascii="Times New Roman" w:hAnsi="Times New Roman" w:cs="Times New Roman"/>
          <w:sz w:val="24"/>
          <w:szCs w:val="24"/>
          <w:lang w:val="en-GB"/>
        </w:rPr>
        <w:t xml:space="preserve"> sent a strong message about IP rights. However, the accompanying critique pointed out that judges lacked proper grasp of key doctrines. In essence, enforcement is impaired when resource and knowledge are deficits in the legal system.</w:t>
      </w:r>
    </w:p>
    <w:p w14:paraId="4788A765">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53" w:name="_Toc23197"/>
      <w:r>
        <w:rPr>
          <w:rFonts w:hint="default" w:ascii="Times New Roman" w:hAnsi="Times New Roman" w:cs="Times New Roman"/>
          <w:b/>
          <w:sz w:val="24"/>
          <w:szCs w:val="24"/>
        </w:rPr>
        <w:t xml:space="preserve">4.3.2 </w:t>
      </w:r>
      <w:r>
        <w:rPr>
          <w:rFonts w:hint="default" w:ascii="Times New Roman" w:hAnsi="Times New Roman" w:cs="Times New Roman"/>
          <w:b/>
          <w:sz w:val="24"/>
          <w:szCs w:val="24"/>
        </w:rPr>
        <w:tab/>
      </w:r>
      <w:r>
        <w:rPr>
          <w:rFonts w:hint="default" w:ascii="Times New Roman" w:hAnsi="Times New Roman" w:cs="Times New Roman"/>
          <w:b/>
          <w:sz w:val="24"/>
          <w:szCs w:val="24"/>
        </w:rPr>
        <w:t>Limited Specialized IP Benches</w:t>
      </w:r>
      <w:bookmarkEnd w:id="53"/>
    </w:p>
    <w:p w14:paraId="608A971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There are no specialised IP tribunals or courts in Nigeria. Most copyright disputes are heard by the Federal High Court or Intellectual Property and Technology (IPT) division at the Federal High Court. Unlike some jurisdictions,</w:t>
      </w:r>
      <w:r>
        <w:rPr>
          <w:rStyle w:val="10"/>
          <w:rFonts w:hint="default" w:ascii="Times New Roman" w:hAnsi="Times New Roman" w:cs="Times New Roman"/>
          <w:sz w:val="24"/>
          <w:szCs w:val="24"/>
          <w:lang w:val="en-GB"/>
        </w:rPr>
        <w:footnoteReference w:id="154"/>
      </w:r>
      <w:r>
        <w:rPr>
          <w:rFonts w:hint="default" w:ascii="Times New Roman" w:hAnsi="Times New Roman" w:cs="Times New Roman"/>
          <w:sz w:val="24"/>
          <w:szCs w:val="24"/>
          <w:lang w:val="en-GB"/>
        </w:rPr>
        <w:t xml:space="preserve"> Nigeria does not have courts which are devoted to IP exclusively. Hence, generalist judges (without IP expertise) decide complex copyright cases.</w:t>
      </w:r>
    </w:p>
    <w:p w14:paraId="3FD45A6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 xml:space="preserve">This may lead to inconsistent or superficial rulings. For example, the 2020 </w:t>
      </w:r>
      <w:r>
        <w:rPr>
          <w:rStyle w:val="7"/>
          <w:rFonts w:hint="default" w:ascii="Times New Roman" w:hAnsi="Times New Roman" w:cs="Times New Roman"/>
          <w:sz w:val="24"/>
          <w:szCs w:val="24"/>
          <w:lang w:val="en-GB"/>
        </w:rPr>
        <w:t>TV Xtra</w:t>
      </w:r>
      <w:r>
        <w:rPr>
          <w:rFonts w:hint="default" w:ascii="Times New Roman" w:hAnsi="Times New Roman" w:cs="Times New Roman"/>
          <w:sz w:val="24"/>
          <w:szCs w:val="24"/>
          <w:lang w:val="en-GB"/>
        </w:rPr>
        <w:t xml:space="preserve"> case was decided by a non-specialist judge. To that end, a massive damages was awarded (N703 million).</w:t>
      </w:r>
      <w:r>
        <w:rPr>
          <w:rStyle w:val="10"/>
          <w:rFonts w:hint="default" w:ascii="Times New Roman" w:hAnsi="Times New Roman" w:cs="Times New Roman"/>
          <w:sz w:val="24"/>
          <w:szCs w:val="24"/>
          <w:lang w:val="en-GB"/>
        </w:rPr>
        <w:footnoteReference w:id="155"/>
      </w:r>
      <w:r>
        <w:rPr>
          <w:rFonts w:hint="default" w:ascii="Times New Roman" w:hAnsi="Times New Roman" w:cs="Times New Roman"/>
          <w:sz w:val="24"/>
          <w:szCs w:val="24"/>
          <w:lang w:val="en-GB"/>
        </w:rPr>
        <w:t xml:space="preserve"> However, it also prompted criticism that the judge “had a poor understanding of the fundamentals of copyright law.” In an AI context, judges without IP or tech backgrounds might struggle even more. AI cases could involve technical evidence and legal arguments (e.g. on authorship or data use). Non-specialist judges may either misunderstand these issues or defer to academic commentary. This leads to unpredictable outcomes.</w:t>
      </w:r>
    </w:p>
    <w:p w14:paraId="509CE89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Moreover, there is no cadre of IP experts within the judiciary to mentor others. There are few IP experts in the legal community in Nigeria. Without IP-savvy lawyers, courts may not be presented with strong arguments. In addition, without specialized IP courts, there is no institutional memory. Even appellate courts seldom focus on IP distinctively. Indeed, Supreme Court reviews IP issues. However, they are rare and limited to procedural matters (like locus standi of collective management societies).</w:t>
      </w:r>
      <w:r>
        <w:rPr>
          <w:rStyle w:val="10"/>
          <w:rFonts w:hint="default" w:ascii="Times New Roman" w:hAnsi="Times New Roman" w:cs="Times New Roman"/>
          <w:sz w:val="24"/>
          <w:szCs w:val="24"/>
          <w:lang w:val="en-GB"/>
        </w:rPr>
        <w:footnoteReference w:id="156"/>
      </w:r>
      <w:r>
        <w:rPr>
          <w:rFonts w:hint="default" w:ascii="Times New Roman" w:hAnsi="Times New Roman" w:cs="Times New Roman"/>
          <w:sz w:val="24"/>
          <w:szCs w:val="24"/>
          <w:lang w:val="en-GB"/>
        </w:rPr>
        <w:t xml:space="preserve"> More so, AI is novel and this exacerbates the issue. Unless the judiciary invests in IP training or considers dedicated IP courts (as some reforms suggest), we may expect that AI cases will be difficult to adjudicate consistently.</w:t>
      </w:r>
    </w:p>
    <w:p w14:paraId="2E9424DA">
      <w:pPr>
        <w:keepNext w:val="0"/>
        <w:keepLines w:val="0"/>
        <w:pageBreakBefore w:val="0"/>
        <w:widowControl/>
        <w:kinsoku/>
        <w:wordWrap/>
        <w:overflowPunct/>
        <w:topLinePunct w:val="0"/>
        <w:autoSpaceDE/>
        <w:autoSpaceDN/>
        <w:bidi w:val="0"/>
        <w:adjustRightInd/>
        <w:snapToGrid/>
        <w:spacing w:beforeAutospacing="0" w:after="0" w:afterAutospacing="0" w:line="480" w:lineRule="auto"/>
        <w:textAlignment w:val="auto"/>
        <w:outlineLvl w:val="0"/>
        <w:rPr>
          <w:rFonts w:hint="default" w:ascii="Times New Roman" w:hAnsi="Times New Roman" w:cs="Times New Roman"/>
          <w:b/>
          <w:sz w:val="24"/>
          <w:szCs w:val="24"/>
        </w:rPr>
      </w:pPr>
      <w:bookmarkStart w:id="54" w:name="_Toc10720"/>
      <w:r>
        <w:rPr>
          <w:rFonts w:hint="default" w:ascii="Times New Roman" w:hAnsi="Times New Roman" w:cs="Times New Roman"/>
          <w:b/>
          <w:sz w:val="24"/>
          <w:szCs w:val="24"/>
        </w:rPr>
        <w:t xml:space="preserve">4.3.3 </w:t>
      </w:r>
      <w:r>
        <w:rPr>
          <w:rFonts w:hint="default" w:ascii="Times New Roman" w:hAnsi="Times New Roman" w:cs="Times New Roman"/>
          <w:b/>
          <w:sz w:val="24"/>
          <w:szCs w:val="24"/>
        </w:rPr>
        <w:tab/>
      </w:r>
      <w:r>
        <w:rPr>
          <w:rFonts w:hint="default" w:ascii="Times New Roman" w:hAnsi="Times New Roman" w:cs="Times New Roman"/>
          <w:b/>
          <w:sz w:val="24"/>
          <w:szCs w:val="24"/>
        </w:rPr>
        <w:t>Gaps in Coordination among Government Agencies</w:t>
      </w:r>
      <w:bookmarkEnd w:id="54"/>
    </w:p>
    <w:p w14:paraId="04568EEC">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Finally, enforcement requires coordination across multiple agencies. However, Nigeria has significant gaps in such coordination currently. It is reported that enforcement agencies in Nigeria has “little to no knowledge of the existing copyright laws” This ignorance stymies joint operations.The police and EFCC (Economic and Financial Crimes Commission) have mandates that could cover digital copyright crimes. However, they lack direction from NCC. Until recently, the NCC itself had limited formal ties with these agencies. The Proceeds of Crime (Recovery and Management) Act, 2022 changed this because it authorises collaboration between agencies.</w:t>
      </w:r>
      <w:r>
        <w:rPr>
          <w:rStyle w:val="10"/>
          <w:rFonts w:hint="default" w:ascii="Times New Roman" w:hAnsi="Times New Roman" w:cs="Times New Roman"/>
          <w:sz w:val="24"/>
          <w:szCs w:val="24"/>
          <w:lang w:val="en-GB"/>
        </w:rPr>
        <w:footnoteReference w:id="157"/>
      </w:r>
      <w:r>
        <w:rPr>
          <w:rFonts w:hint="default" w:ascii="Times New Roman" w:hAnsi="Times New Roman" w:cs="Times New Roman"/>
          <w:sz w:val="24"/>
          <w:szCs w:val="24"/>
          <w:lang w:val="en-GB"/>
        </w:rPr>
        <w:t xml:space="preserve"> However, coordination requires effort. </w:t>
      </w:r>
    </w:p>
    <w:p w14:paraId="07B5B16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Moreover, copyright enforcement and other regulatory spheres overlaps. For example, breach of databases or misuse of telecommunications networks for infringement might involve the Nigerian Communications Commission (NCC) or the National Broadcasting Commission. Similarly, AI systems implicate data protection and cybercrime legislations.</w:t>
      </w:r>
    </w:p>
    <w:p w14:paraId="606382B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Furthermore, Nigeria has criminal provisions against infringement (Copyright Act Section 20(4), etc.). However, as Ochojila</w:t>
      </w:r>
      <w:r>
        <w:rPr>
          <w:rStyle w:val="10"/>
          <w:rFonts w:hint="default" w:ascii="Times New Roman" w:hAnsi="Times New Roman" w:cs="Times New Roman"/>
          <w:sz w:val="24"/>
          <w:szCs w:val="24"/>
          <w:lang w:val="en-GB"/>
        </w:rPr>
        <w:footnoteReference w:id="158"/>
      </w:r>
      <w:r>
        <w:rPr>
          <w:rFonts w:hint="default" w:ascii="Times New Roman" w:hAnsi="Times New Roman" w:cs="Times New Roman"/>
          <w:sz w:val="24"/>
          <w:szCs w:val="24"/>
          <w:lang w:val="en-GB"/>
        </w:rPr>
        <w:t xml:space="preserve"> lamented, “there are no known or popular case of conviction from prosecuting a case of piracy”This suggests that prosecutors either fail to bring charges or cannot secure convictions. More so, when infringers (e.g. street pirates) are caught, the case may languish in courts due to backlog. If multiple agencies (NCC, police, courts) do not hand off evidence or expertise</w:t>
      </w:r>
      <w:r>
        <w:rPr>
          <w:rFonts w:hint="default" w:cs="Times New Roman"/>
          <w:sz w:val="24"/>
          <w:szCs w:val="24"/>
          <w:lang w:val="en-US"/>
        </w:rPr>
        <w:t xml:space="preserve"> </w:t>
      </w:r>
      <w:r>
        <w:rPr>
          <w:rFonts w:hint="default" w:ascii="Times New Roman" w:hAnsi="Times New Roman" w:cs="Times New Roman"/>
          <w:sz w:val="24"/>
          <w:szCs w:val="24"/>
          <w:lang w:val="en-GB"/>
        </w:rPr>
        <w:t xml:space="preserve">efficiently, cases stall. For AI, conviction would almost be impossible when coordination is poor. This is because evidentiary requirements are higher. </w:t>
      </w:r>
    </w:p>
    <w:p w14:paraId="6499F56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01684B3C">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191AF5F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3A5AF546">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4E805D0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default" w:ascii="Times New Roman" w:hAnsi="Times New Roman" w:cs="Times New Roman"/>
          <w:sz w:val="24"/>
          <w:szCs w:val="24"/>
          <w:lang w:val="en-GB"/>
        </w:rPr>
      </w:pPr>
    </w:p>
    <w:p w14:paraId="2D7DA891">
      <w:pPr>
        <w:keepNext w:val="0"/>
        <w:keepLines w:val="0"/>
        <w:pageBreakBefore w:val="0"/>
        <w:widowControl/>
        <w:kinsoku/>
        <w:wordWrap/>
        <w:overflowPunct/>
        <w:topLinePunct w:val="0"/>
        <w:autoSpaceDE/>
        <w:autoSpaceDN/>
        <w:bidi w:val="0"/>
        <w:adjustRightInd/>
        <w:snapToGrid/>
        <w:spacing w:beforeAutospacing="0" w:after="0" w:afterAutospacing="0"/>
        <w:textAlignment w:val="auto"/>
        <w:rPr>
          <w:rFonts w:hint="default" w:ascii="Times New Roman" w:hAnsi="Times New Roman" w:cs="Times New Roman"/>
          <w:sz w:val="24"/>
          <w:szCs w:val="24"/>
        </w:rPr>
      </w:pPr>
    </w:p>
    <w:p w14:paraId="48B8800B">
      <w:pPr>
        <w:keepNext w:val="0"/>
        <w:keepLines w:val="0"/>
        <w:pageBreakBefore w:val="0"/>
        <w:widowControl/>
        <w:kinsoku/>
        <w:wordWrap/>
        <w:overflowPunct/>
        <w:topLinePunct w:val="0"/>
        <w:autoSpaceDE/>
        <w:autoSpaceDN/>
        <w:bidi w:val="0"/>
        <w:adjustRightInd/>
        <w:snapToGrid/>
        <w:spacing w:beforeAutospacing="0" w:after="0" w:afterAutospacing="0"/>
        <w:textAlignment w:val="auto"/>
        <w:rPr>
          <w:rFonts w:hint="default" w:ascii="Times New Roman" w:hAnsi="Times New Roman" w:cs="Times New Roman"/>
          <w:sz w:val="24"/>
          <w:szCs w:val="24"/>
        </w:rPr>
      </w:pPr>
    </w:p>
    <w:p w14:paraId="58B5EC36">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rPr>
          <w:rFonts w:hint="default" w:ascii="Times New Roman" w:hAnsi="Times New Roman" w:cs="Times New Roman"/>
          <w:b/>
          <w:sz w:val="24"/>
          <w:szCs w:val="24"/>
        </w:rPr>
      </w:pPr>
    </w:p>
    <w:p w14:paraId="1F9DF7DF">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rPr>
          <w:rFonts w:hint="default" w:ascii="Times New Roman" w:hAnsi="Times New Roman" w:cs="Times New Roman"/>
          <w:b/>
          <w:sz w:val="24"/>
          <w:szCs w:val="24"/>
        </w:rPr>
      </w:pPr>
    </w:p>
    <w:p w14:paraId="195D83F8">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rPr>
          <w:rFonts w:hint="default" w:ascii="Times New Roman" w:hAnsi="Times New Roman" w:cs="Times New Roman"/>
          <w:b/>
          <w:sz w:val="24"/>
          <w:szCs w:val="24"/>
        </w:rPr>
      </w:pPr>
    </w:p>
    <w:p w14:paraId="33CBDA78">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rPr>
          <w:rFonts w:hint="default" w:ascii="Times New Roman" w:hAnsi="Times New Roman" w:cs="Times New Roman"/>
          <w:b/>
          <w:sz w:val="24"/>
          <w:szCs w:val="24"/>
        </w:rPr>
      </w:pPr>
    </w:p>
    <w:p w14:paraId="138D2A7F">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rPr>
          <w:rFonts w:hint="default" w:ascii="Times New Roman" w:hAnsi="Times New Roman" w:cs="Times New Roman"/>
          <w:b/>
          <w:sz w:val="24"/>
          <w:szCs w:val="24"/>
        </w:rPr>
      </w:pPr>
    </w:p>
    <w:p w14:paraId="77D8471B">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rPr>
          <w:rFonts w:hint="default" w:ascii="Times New Roman" w:hAnsi="Times New Roman" w:cs="Times New Roman"/>
          <w:b/>
          <w:sz w:val="24"/>
          <w:szCs w:val="24"/>
        </w:rPr>
      </w:pPr>
    </w:p>
    <w:p w14:paraId="25AE9899">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rPr>
          <w:rFonts w:hint="default" w:ascii="Times New Roman" w:hAnsi="Times New Roman" w:cs="Times New Roman"/>
          <w:b/>
          <w:sz w:val="24"/>
          <w:szCs w:val="24"/>
        </w:rPr>
      </w:pPr>
    </w:p>
    <w:p w14:paraId="6914F6C4">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outlineLvl w:val="0"/>
        <w:rPr>
          <w:rFonts w:hint="default" w:ascii="Times New Roman" w:hAnsi="Times New Roman" w:cs="Times New Roman"/>
          <w:b/>
          <w:sz w:val="24"/>
          <w:szCs w:val="24"/>
        </w:rPr>
      </w:pPr>
      <w:bookmarkStart w:id="55" w:name="_Toc12099"/>
      <w:r>
        <w:rPr>
          <w:rFonts w:hint="default" w:ascii="Times New Roman" w:hAnsi="Times New Roman" w:cs="Times New Roman"/>
          <w:b/>
          <w:sz w:val="24"/>
          <w:szCs w:val="24"/>
        </w:rPr>
        <w:t>CHAPTER FIVE</w:t>
      </w:r>
      <w:bookmarkEnd w:id="55"/>
    </w:p>
    <w:p w14:paraId="644BB610">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outlineLvl w:val="0"/>
        <w:rPr>
          <w:rFonts w:hint="default" w:ascii="Times New Roman" w:hAnsi="Times New Roman" w:cs="Times New Roman"/>
          <w:b/>
          <w:sz w:val="24"/>
          <w:szCs w:val="24"/>
        </w:rPr>
      </w:pPr>
      <w:bookmarkStart w:id="56" w:name="_Toc17356"/>
      <w:r>
        <w:rPr>
          <w:rFonts w:hint="default" w:ascii="Times New Roman" w:hAnsi="Times New Roman" w:cs="Times New Roman"/>
          <w:b/>
          <w:sz w:val="24"/>
          <w:szCs w:val="24"/>
        </w:rPr>
        <w:t>SUMMARY OF FINDINGS, RECOMMENDATIONS AND CONCLUSION</w:t>
      </w:r>
      <w:bookmarkEnd w:id="56"/>
    </w:p>
    <w:p w14:paraId="47945D20">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57" w:name="_Toc23943"/>
      <w:r>
        <w:rPr>
          <w:rFonts w:hint="default" w:ascii="Times New Roman" w:hAnsi="Times New Roman" w:cs="Times New Roman"/>
          <w:b/>
          <w:sz w:val="24"/>
          <w:szCs w:val="24"/>
        </w:rPr>
        <w:t xml:space="preserve">5.1 </w:t>
      </w:r>
      <w:r>
        <w:rPr>
          <w:rFonts w:hint="default" w:ascii="Times New Roman" w:hAnsi="Times New Roman" w:cs="Times New Roman"/>
          <w:b/>
          <w:sz w:val="24"/>
          <w:szCs w:val="24"/>
        </w:rPr>
        <w:tab/>
      </w:r>
      <w:r>
        <w:rPr>
          <w:rFonts w:hint="default" w:ascii="Times New Roman" w:hAnsi="Times New Roman" w:cs="Times New Roman"/>
          <w:b/>
          <w:sz w:val="24"/>
          <w:szCs w:val="24"/>
        </w:rPr>
        <w:t>Summary of Findings</w:t>
      </w:r>
      <w:bookmarkEnd w:id="57"/>
      <w:r>
        <w:rPr>
          <w:rFonts w:hint="default" w:ascii="Times New Roman" w:hAnsi="Times New Roman" w:cs="Times New Roman"/>
          <w:b/>
          <w:sz w:val="24"/>
          <w:szCs w:val="24"/>
        </w:rPr>
        <w:t xml:space="preserve"> </w:t>
      </w:r>
    </w:p>
    <w:p w14:paraId="21C5823F">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This project has assessed the challenges of copyright enforcement in the era of artificial intelligence in Nigeria. Firstly, it examined the legislative and institutional framework for copyright enforcement in the era of artificial intelligence in Nigeria. It was found that Copyright Act is</w:t>
      </w:r>
      <w:r>
        <w:rPr>
          <w:rFonts w:hint="default" w:ascii="Times New Roman" w:hAnsi="Times New Roman" w:cs="Times New Roman"/>
          <w:sz w:val="24"/>
          <w:szCs w:val="24"/>
          <w:lang w:val="en-US"/>
        </w:rPr>
        <w:t xml:space="preserve"> the primary copyright legislation in Nigeria. Section 55–62 establishes a notice-and-takedown regime for online infringement. Section 44 sets out criminal sanctions for piracy. The Act clarifies who may sue for infringement. Section 37 of the act provides that only the copyright owner, assignee or exclusive licensee could commence an action. Section 39 states that anyone engaged in licensing or collecting royalties (for example, CMOs or others managing multiple owners’ rights) “shall not” sue unless it is an approved CMO or exempted organisation under the Act. The act establishes the NCC which is empowered to prosecute offenders and even obtain court orders to seize infringing media. The Act also envisages administrative actions. Copyright inspectors may demand evidence of compliance and sanction non-compliance with fines. The Cybercrime act complements copyright Act because it criminalises cyber fraud, hacking, and data breaches, and it gives police and prosecutors tools to investigate online piracy. The Evidence Act is another important legislation. Section 84 of the Evidence Act 2011 provides for admissibility of electronic evidence. Thus, the Act supports enforcement because it makes digital proof valid even though the certifying it is cumbersome. Going further, NDPA is another significant legislation which regulates personal data. It established the independent Nigeria Data Protection Commission (NDPC) to enforce privacy rights. The NITDA Act created NITDA to regulate the ICT sector in Nigeria. Its mandate is broad; however, it has participated in the enforcement of copyright indirectly through digital economy policy. Regional Legislation, AfCFTA Protocol on Intellectual Property Rights (2023), provide a legal backdrop against which copyright enforcement must function. Under the African Continental Free Trade Area (AfCFTA), member states (including Nigeria) agreed in 2023 to a Protocol on IP Rights. International Legislation include Berne Convention (Paris Act 1971), TRIPS Agreement (1994), WIPO Copyright Treaty (WCT, 1996) and WIPO Performances and Phonograms Treaty (WPPT, 1996), Marrakesh Treaty (2013) and Beijing Treaty on Audiovisual Performances (2012). </w:t>
      </w:r>
    </w:p>
    <w:p w14:paraId="31227AC3">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project also found that the institutional framework includes the court which is the ultimate arbiters of copyright disputes. </w:t>
      </w:r>
      <w:r>
        <w:rPr>
          <w:rFonts w:hint="default" w:ascii="Times New Roman" w:hAnsi="Times New Roman" w:cs="Times New Roman"/>
          <w:sz w:val="24"/>
          <w:szCs w:val="24"/>
        </w:rPr>
        <w:t xml:space="preserve">Copyright infringement suits and statutory appeals (e.g., appeals from NCC decisions) are brought in the Federal High Court (which has jurisdiction over federal IP laws). Decisions of the High Court are appealed to the Court of Appeal and ultimately to the Supreme Court. </w:t>
      </w:r>
      <w:r>
        <w:rPr>
          <w:rFonts w:hint="default" w:ascii="Times New Roman" w:hAnsi="Times New Roman" w:cs="Times New Roman"/>
          <w:sz w:val="24"/>
          <w:szCs w:val="24"/>
          <w:lang w:val="en-US"/>
        </w:rPr>
        <w:t>The NCC is the central enforcement agency for copyright in Nigeria and it is responsible for all matters relating to copyright, including enforcement. The institution may prosecute copyright offences itself. Going further, the CMOs is a specialised enforcement agents. It licenses the use of works and collects royalties for rightsholders. The NDPC is another important institution which was established by the NDPA 2023. It is an independent regulator of personal data. NITDA is a federal agency and it regulates the ICT sector in Nigeria. Regional institutions include the AfCFTA Secretariat which is the regional body tasked with implementing the Free Trade Area, including the Protocol on Intellectual Property Rights. International institutions include WIPO which is the United Nations agency for IP and it plays a supportive international role. Nigeria is subject to the TRIPS Agreement through the WTO. Going further, The IFPI is not a government entity. However it is an international industry association for recording companies. For completeness, other international actors include UNESCO, ARIPO, and INTERPOL/EUROPOL. ARIPO issues model copyright laws and holds biennial meetings of member states on IP enforcement. The Nigeria Police and Customs Service are connected to the IPR enforcement networks of the INTERPOL.</w:t>
      </w:r>
    </w:p>
    <w:p w14:paraId="12CC5672">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Secondly, this project assessed the challenges of copyright enforcement in the era of artificial intelligence in Nigeria. It was found that </w:t>
      </w:r>
      <w:r>
        <w:rPr>
          <w:rFonts w:hint="default" w:ascii="Times New Roman" w:hAnsi="Times New Roman" w:cs="Times New Roman"/>
          <w:sz w:val="24"/>
          <w:szCs w:val="24"/>
          <w:lang w:val="en-US"/>
        </w:rPr>
        <w:t xml:space="preserve">a fundamental substantive issue is that traditional copyright law assumes a human author. However, AI-generated works blur that requirement. Section 2 of the Copyright Act 2022 provides that copyright subsists in works where the author “is, at the time when the work is made, a qualified person” (that is, a natural person or Nigerian/incorporated body). In practice, it is assumed that AI-generated content has no author under the copyright Act. It becomes difficult to ascertain who owns the copyright when there is no human authorship. Going further, the boundary between AI assistance and AI autonomy is not clear-cut and this creates grey areas. AI has blurred the line between inspiration and infringement. This raises questions about derivative works. AI-generated content sits in a gray area in terms of derivation. Until the law adapts, creators and AI developers must tread carefully. It is unclear whether it is lawful to train AI on copyrighted works without permission. Generative models rely on vast datasets training which are scraped from the internet. These datasets include copyrighted text, music, and images. The Copyright Act was enacted before this debate, and it contained no exception for text and data mining. In short, the regime for fair dealing in Nigeria was not crafted with AI in mind. More so, it has not been tested against the modern uses of data. Therefore, copyright would be infringed where copyrighted datasets are utilised for training unless the rights holder gives permission. Going further, AI systems are opaque. Consequently, their processes and pathways for decision are not transparent. Without access, the plaintiff may struggle to trace the infringement back to the AI. Judges (who lack expertise in AI) may find it difficult to evaluate AI evidence or understand how outputs were generated. This complicates enforcement in two ways. Firstly, when proving infringement, there is need to show that the AI copied a protected expression. Secondly, AI generates content autonomously for end-users. There is no transparency about the chain of contributions and hence it is difficult to assign liability. In Nigeria, this means that enforcement agencies and courts must rely on piecemeal evidence. In Nigeria, there are no processes for compelling AI firms to disclose data or algorithms. The Copyright Act does not empower the NCC to inspect AI systems’ code or data for training. </w:t>
      </w:r>
    </w:p>
    <w:p w14:paraId="441D1174">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AI content also raises dilemmas in enforcement across boarders. Copyright law is territorial and courts enforce rights within their jurisdiction. However, AI content is created and distributed globally. AI amplifies these issues. In practice, enforcement against an international AI-operator will be daunting. There are limited tools and expertise for forensic which are utilised to detect AI-driven infringement. AI forensics is expensive and sophisticated technically. It exceeds the current capacity of most enforcement agencies. Without such tools, investigators and courts in Nigeria may find it nearly impossible to gather evidence. Beyond legal theory, institutions in Nigeria face limitations in resources enforcing copyright. These limitations are aggravated because AI is complex. The Nigerian Copyright Commission (NCC) suffers from chronic underfunding and understaffing. These also affect AI-related enforcement. Investigating AI infringement often requires digital forensics and complex data analysis. This is also aggravated by corruption and administrative inefficiency. There are also delays in prosecution. There also gap in resources in the judiciary. Federal High Court records indicate that there are only a handful of judges who hear IP cases and they carry heavy caseloads. Complex AI cases may require lengthy proceedings. However, judges often lack time or expertise. More so, </w:t>
      </w:r>
      <w:r>
        <w:rPr>
          <w:rFonts w:hint="default" w:ascii="Times New Roman" w:hAnsi="Times New Roman" w:cs="Times New Roman"/>
          <w:sz w:val="24"/>
          <w:szCs w:val="24"/>
        </w:rPr>
        <w:t xml:space="preserve">there are no specialised IP tribunals or courts in Nigeria. Most copyright disputes are heard by the Federal High Court or Intellectual Property and Technology (IPT) division at the Federal High Court. </w:t>
      </w:r>
      <w:r>
        <w:rPr>
          <w:rFonts w:hint="default" w:ascii="Times New Roman" w:hAnsi="Times New Roman" w:cs="Times New Roman"/>
          <w:sz w:val="24"/>
          <w:szCs w:val="24"/>
          <w:lang w:val="en-US"/>
        </w:rPr>
        <w:t>Indeed, enforcement requires coordination across multiple agencies. However, Nigeria has significant gaps in such coordination currently</w:t>
      </w:r>
    </w:p>
    <w:p w14:paraId="2A337844">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rPr>
      </w:pPr>
      <w:bookmarkStart w:id="58" w:name="_Toc31230"/>
      <w:r>
        <w:rPr>
          <w:rFonts w:hint="default" w:ascii="Times New Roman" w:hAnsi="Times New Roman" w:cs="Times New Roman"/>
          <w:b/>
          <w:sz w:val="24"/>
          <w:szCs w:val="24"/>
          <w:lang w:val="en-US"/>
        </w:rPr>
        <w:t xml:space="preserve">5.2 </w:t>
      </w:r>
      <w:r>
        <w:rPr>
          <w:rFonts w:hint="default" w:ascii="Times New Roman" w:hAnsi="Times New Roman" w:cs="Times New Roman"/>
          <w:b/>
          <w:sz w:val="24"/>
          <w:szCs w:val="24"/>
          <w:lang w:val="en-US"/>
        </w:rPr>
        <w:tab/>
      </w:r>
      <w:r>
        <w:rPr>
          <w:rFonts w:hint="default" w:ascii="Times New Roman" w:hAnsi="Times New Roman" w:cs="Times New Roman"/>
          <w:b/>
          <w:sz w:val="24"/>
          <w:szCs w:val="24"/>
          <w:lang w:val="en-US"/>
        </w:rPr>
        <w:t>Recommendations</w:t>
      </w:r>
      <w:bookmarkEnd w:id="58"/>
    </w:p>
    <w:p w14:paraId="13999C7A">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Based on the findings of this project, the following recommendations are proposed.</w:t>
      </w:r>
    </w:p>
    <w:p w14:paraId="0714AAA6">
      <w:pPr>
        <w:pStyle w:val="19"/>
        <w:keepNext w:val="0"/>
        <w:keepLines w:val="0"/>
        <w:pageBreakBefore w:val="0"/>
        <w:widowControl/>
        <w:numPr>
          <w:ilvl w:val="0"/>
          <w:numId w:val="7"/>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Amend Copyright Act 2022 to Address AI-Generated Works</w:t>
      </w:r>
    </w:p>
    <w:p w14:paraId="3EE349DE">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It is recommended that the Copyright Act 2022 should be amended to address the legal status of AI-generated and AI-assisted works. The present legislation assumes that authorship belongs to a human author or legal person. Hence, there is uncertainty where a work is produced by artificial intelligence substantially or entirely. Therefore, the Act should define AI-generated works and AI-assisted works. The act should also stipulate the level of intellectual contribution by a person which is required to get copyright. This would prevent confusion over whether copyright belongs to the programmer, user, deployer, employer, or no person at all. The amendment should not just recognise AI as an author because AI does not possess legal personality or human creativity. Rather, the law should adopt a human-centred approach. Where a person uses AI as a tool and exercises skill, judgement, creativity, selection, arrangement, or control over the final work, such person should be the author. However, where the AI operates with little or no human contribution, the work should fall outside the protection of copyright or be placed under a special regime which would be created by statute. </w:t>
      </w:r>
    </w:p>
    <w:p w14:paraId="7723CA49">
      <w:pPr>
        <w:pStyle w:val="19"/>
        <w:keepNext w:val="0"/>
        <w:keepLines w:val="0"/>
        <w:pageBreakBefore w:val="0"/>
        <w:widowControl/>
        <w:numPr>
          <w:ilvl w:val="0"/>
          <w:numId w:val="7"/>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b/>
          <w:sz w:val="24"/>
          <w:szCs w:val="24"/>
          <w:lang w:val="en-US"/>
        </w:rPr>
        <w:t>Introduce Clear Rules on Text and Data Mining</w:t>
      </w:r>
    </w:p>
    <w:p w14:paraId="33145845">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Nigeria should introduce rules on text and data mining.  AI systems depend on large quantities of data. This includes texts, images, sounds, films, and other copyrighted materials. Presently, the Copyright Act 2022 does not contain an exception for AI training or computational analysis. Hence, there is uncertainty for owners of copyright, AI developers, researchers, creative industries, and technology companies. There should be a provision which regulates the use of copyrighted-works for training AI. The law may permit text and data mining when it is used for research, education, preservation, innovation, or non-commercial purposes. However, this should not prejudice the interests of copyright owners. For AI training, the law should require licensing, consent, remuneration, or collective management of rights where copyrighted works are used on a large scale.</w:t>
      </w:r>
    </w:p>
    <w:p w14:paraId="2E8B0B63">
      <w:pPr>
        <w:pStyle w:val="19"/>
        <w:keepNext w:val="0"/>
        <w:keepLines w:val="0"/>
        <w:pageBreakBefore w:val="0"/>
        <w:widowControl/>
        <w:numPr>
          <w:ilvl w:val="0"/>
          <w:numId w:val="7"/>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Strengthen the Nigerian Copyright Commission</w:t>
      </w:r>
    </w:p>
    <w:p w14:paraId="274090E9">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It was found that the NCC is central in enforcing copyright in Nigeria. Hence, it should be strengthened financially, technically, and institutionally. However, AI-related infringement requires digital capacity. So, anti-piracy raids are no longer sufficient where infringement may occur through AI-generated outputs, online platforms, algorithmic copying, deepfakes, automated scraping, and foreign-hosted systems. The Federal Government should provide special budgetary allocation to the NCC for enforcing AI and digital copyright. The Commission should establish a specialised AI and Digital Copyright Enforcement Unit. This unit should be trained in digital forensics, metadata tracing, algorithmic content detection, blockchain evidence, online takedown procedures, and investigation of AI-generated infringement. The NCC should also acquire software tools which are capable of detecting AI-generated content, identifying similar works, monitoring online infringement, and preserving digital evidence for prosecution.</w:t>
      </w:r>
    </w:p>
    <w:p w14:paraId="7303FA1B">
      <w:pPr>
        <w:pStyle w:val="19"/>
        <w:keepNext w:val="0"/>
        <w:keepLines w:val="0"/>
        <w:pageBreakBefore w:val="0"/>
        <w:widowControl/>
        <w:numPr>
          <w:ilvl w:val="0"/>
          <w:numId w:val="7"/>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Create Framework for Inter-Agency Cooperation</w:t>
      </w:r>
    </w:p>
    <w:p w14:paraId="7A9ED83D">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It is recommended that Nigeria should establish an inter-agency framework for enforcing AI-related copyright. Copyright enforcement in the AI era does not concern the NCC alone. It also involves the Nigeria Police Force, Nigerian Customs Service, National Information Technology Development Agency, Nigeria Data Protection Commission, EFCC, internet service providers, online platforms, and the judiciary. There is need for a joint protocol for enforcement. This should define the role of each institution. The NCC should lead copyright enforcement. NITDA should provide support for technical and digital policy. The NDPC should guide lawful handling of personal data during investigations. The Police and EFCC should assist in criminal investigation and prosecution. Customs should strengthen border control against infringing materials and devices which are being imported into Nigeria. Internet service providers should cooperate with lawful takedown requests and court orders. </w:t>
      </w:r>
    </w:p>
    <w:p w14:paraId="3ADA94B8">
      <w:pPr>
        <w:pStyle w:val="19"/>
        <w:keepNext w:val="0"/>
        <w:keepLines w:val="0"/>
        <w:pageBreakBefore w:val="0"/>
        <w:widowControl/>
        <w:numPr>
          <w:ilvl w:val="0"/>
          <w:numId w:val="7"/>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Improve the Rules of Evidence and the Procedures for Digital Investigation</w:t>
      </w:r>
    </w:p>
    <w:p w14:paraId="6E883AB8">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Evidence Act should be amended or supplemented with practice directions to address AI-generated evidence, deepfakes, algorithmic records, and digital forensic proof. Section 84 of the Evidence Act recognises computer-generated evidence. Even so, there are complex issues in AI-related disputes. Courts would determine whether an output was generated by AI, whether it copied expressions which are protected, whether the dataset contained materials which are copyrighted, and whether the defendant had control over the system. The Federal High Court should develop procedures which would allows courts to order disclosure of technical information, data logs for training, model outputs, metadata, source records, and records of platform. However, such disclosure should be controlled to protect trade secrets, privacy, cybersecurity, and confidential business information. Expert evidence should also be encouraged in disputes which involve AI copyright. </w:t>
      </w:r>
    </w:p>
    <w:p w14:paraId="7B41A9EA">
      <w:pPr>
        <w:pStyle w:val="19"/>
        <w:keepNext w:val="0"/>
        <w:keepLines w:val="0"/>
        <w:pageBreakBefore w:val="0"/>
        <w:widowControl/>
        <w:numPr>
          <w:ilvl w:val="0"/>
          <w:numId w:val="7"/>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Establish Specialised Intellectual Property and Technology Courts</w:t>
      </w:r>
    </w:p>
    <w:p w14:paraId="212066A1">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 specialised courts or divisions for IP and technology should be established in Nigeria. General courts may not have the required training, or technical familiarity to resolve matters which involves AI. Where there is A specialized court for IP and technology, efficiency and consistency would be improved. Judges assigned to such courts should receive training in copyright law, artificial intelligence, digital evidence, cybercrime, data protection, and international IP enforcement. </w:t>
      </w:r>
    </w:p>
    <w:p w14:paraId="24670AD7">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p>
    <w:p w14:paraId="730DE243">
      <w:pPr>
        <w:pStyle w:val="19"/>
        <w:keepNext w:val="0"/>
        <w:keepLines w:val="0"/>
        <w:pageBreakBefore w:val="0"/>
        <w:widowControl/>
        <w:numPr>
          <w:ilvl w:val="0"/>
          <w:numId w:val="7"/>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Public Awareness and Capacity Building for Creators</w:t>
      </w:r>
    </w:p>
    <w:p w14:paraId="76AE11E2">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Institutions should organise awareness programs for authors, musicians, filmmakers, writers, photographers, performers, publishers, and software developers. Many creators do not understand how AI affects their rights, how to register or document ownership, how to issue takedown notices, how to license their works, or how to preserve the evidence of infringement. Public education should focus on steps such as watermarking works, keeping dated drafts, using contracts, reporting infringement, and joining approved collective management organisations. This would empower right-holders to protect their works more effectively.</w:t>
      </w:r>
    </w:p>
    <w:p w14:paraId="0EF0FA60">
      <w:pPr>
        <w:pStyle w:val="19"/>
        <w:keepNext w:val="0"/>
        <w:keepLines w:val="0"/>
        <w:pageBreakBefore w:val="0"/>
        <w:widowControl/>
        <w:numPr>
          <w:ilvl w:val="0"/>
          <w:numId w:val="7"/>
        </w:numPr>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International and Regional Cooperation</w:t>
      </w:r>
    </w:p>
    <w:p w14:paraId="6FE90030">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Nigeria should cooperate with WIPO, WTO, AfCFTA Secretariat, ARIPO, INTERPOL, EUROPOL, and other international enforcement networks. Copyright infringements which are AI-related often crosses borders. A Nigerian creator’s work may be scraped by a foreign AI company, hosted on servers outside Nigeria, and distributed globally. In this context, Domestic law is insufficient. Therefore, Nigeria should pursue arrangements for mutual assistance, mechanisms for sharing of information, strategies for enforcing regionally, and standards on AI and copyright which are harmonised.</w:t>
      </w:r>
    </w:p>
    <w:p w14:paraId="58B91A30">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outlineLvl w:val="0"/>
        <w:rPr>
          <w:rFonts w:hint="default" w:ascii="Times New Roman" w:hAnsi="Times New Roman" w:cs="Times New Roman"/>
          <w:b/>
          <w:sz w:val="24"/>
          <w:szCs w:val="24"/>
          <w:lang w:val="en-US"/>
        </w:rPr>
      </w:pPr>
      <w:bookmarkStart w:id="59" w:name="_Toc22675"/>
      <w:r>
        <w:rPr>
          <w:rFonts w:hint="default" w:ascii="Times New Roman" w:hAnsi="Times New Roman" w:cs="Times New Roman"/>
          <w:b/>
          <w:sz w:val="24"/>
          <w:szCs w:val="24"/>
          <w:lang w:val="en-US"/>
        </w:rPr>
        <w:t>5.3 Conclusion</w:t>
      </w:r>
      <w:bookmarkEnd w:id="59"/>
    </w:p>
    <w:p w14:paraId="502E7ABA">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research has examined the challenges of copyright enforcement in the era of artificial intelligence in Nigeria. The study found that Nigeria has a legislative and institutional framework for copyright protection. However, it is still developing. The Copyright Act 2022 remains the principal legislation. Other relevant laws include the Cybercrimes Act, Evidence Act, Nigeria Data Protection Act, NITDA Act, AfCFTA Protocol on Intellectual Property Rights, Berne Convention, TRIPS Agreement, WIPO Copyright Treaty, WIPO Performances and Phonograms Treaty, Marrakesh Treaty and Beijing Treaty on Audiovisual Performances. Institutions form part of the enforcement structure. They include the Nigerian Copyright Commission, courts, CMOs, NDPC, NITDA, AfCFTA Secretariat, WIPO, WTO, IFPI, ARIPO, INTERPOL and the Nigeria Police. However, the research found that this framework is not yet adequate for the realities of artificial intelligence. AI has introduced new forms of creation, copying, transformation, distribution and infringement. Traditional legislation for copyright assumes a human author, but AI-generated works challenge that assumption. The Copyright Act does not state whether AI-generated works are protected or who owns AI-assisted works, or how much human contribution is required before copyright may arise. This creates uncertainty for creators, AI users, courts and enforcement agencies. The study also found that the use of copyrighted works for AI training remains legally uncertain in Nigeria. The law does not provide exceptions text and data mining Therefore, the use of copyrighted works in AI datasets may amount to infringement unless permission is obtained. At the same time, excessive restriction may discourage innovation and technological growth. Furthermore, enforcement is weakened by numerous challenges. AI systems are technical. The courts may struggle with evidence and algorithmic processes which relates to AI. In light of the above, it is pertinent that the recommendations which are proposed in this study be considered. </w:t>
      </w:r>
    </w:p>
    <w:p w14:paraId="57AAB6B2">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p>
    <w:p w14:paraId="27F2F715">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p>
    <w:p w14:paraId="32D4FE93">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p>
    <w:p w14:paraId="6C3F591F">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p>
    <w:p w14:paraId="71004DF7">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p>
    <w:p w14:paraId="0B4C0959">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p>
    <w:p w14:paraId="0BD56A50">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p>
    <w:p w14:paraId="37F0C109">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both"/>
        <w:textAlignment w:val="auto"/>
        <w:rPr>
          <w:rFonts w:hint="default" w:ascii="Times New Roman" w:hAnsi="Times New Roman" w:cs="Times New Roman"/>
          <w:sz w:val="24"/>
          <w:szCs w:val="24"/>
          <w:lang w:val="en-US"/>
        </w:rPr>
      </w:pPr>
    </w:p>
    <w:p w14:paraId="222722DD">
      <w:pPr>
        <w:keepNext w:val="0"/>
        <w:keepLines w:val="0"/>
        <w:pageBreakBefore w:val="0"/>
        <w:widowControl/>
        <w:kinsoku/>
        <w:wordWrap/>
        <w:overflowPunct/>
        <w:topLinePunct w:val="0"/>
        <w:autoSpaceDE/>
        <w:autoSpaceDN/>
        <w:bidi w:val="0"/>
        <w:adjustRightInd/>
        <w:snapToGrid/>
        <w:spacing w:beforeAutospacing="0" w:after="0" w:afterAutospacing="0" w:line="480" w:lineRule="auto"/>
        <w:jc w:val="center"/>
        <w:textAlignment w:val="auto"/>
        <w:outlineLvl w:val="0"/>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BIBLIOGRAPHY</w:t>
      </w:r>
    </w:p>
    <w:p w14:paraId="52714456">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Books</w:t>
      </w:r>
    </w:p>
    <w:p w14:paraId="5E577F1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Nwabachili, C C, </w:t>
      </w:r>
      <w:r>
        <w:rPr>
          <w:rStyle w:val="7"/>
          <w:rFonts w:hint="default" w:ascii="Times New Roman" w:hAnsi="Times New Roman" w:cs="Times New Roman"/>
          <w:sz w:val="24"/>
          <w:szCs w:val="24"/>
        </w:rPr>
        <w:t>Intellectual Property and Law in Nigeria</w:t>
      </w:r>
      <w:r>
        <w:rPr>
          <w:rFonts w:hint="default" w:ascii="Times New Roman" w:hAnsi="Times New Roman" w:cs="Times New Roman"/>
          <w:sz w:val="24"/>
          <w:szCs w:val="24"/>
        </w:rPr>
        <w:t xml:space="preserve"> (Lagos: Malthouse Press 2016).</w:t>
      </w:r>
    </w:p>
    <w:p w14:paraId="5DB38C1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Radin, M J, </w:t>
      </w:r>
      <w:r>
        <w:rPr>
          <w:rStyle w:val="7"/>
          <w:rFonts w:hint="default" w:ascii="Times New Roman" w:hAnsi="Times New Roman" w:cs="Times New Roman"/>
          <w:sz w:val="24"/>
          <w:szCs w:val="24"/>
        </w:rPr>
        <w:t>Reinterpreting Property</w:t>
      </w:r>
      <w:r>
        <w:rPr>
          <w:rFonts w:hint="default" w:ascii="Times New Roman" w:hAnsi="Times New Roman" w:cs="Times New Roman"/>
          <w:sz w:val="24"/>
          <w:szCs w:val="24"/>
        </w:rPr>
        <w:t xml:space="preserve"> (Chicago: University of Chicago Press 2009).</w:t>
      </w:r>
    </w:p>
    <w:p w14:paraId="17486EE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Wacks, R, </w:t>
      </w:r>
      <w:r>
        <w:rPr>
          <w:rStyle w:val="7"/>
          <w:rFonts w:hint="default" w:ascii="Times New Roman" w:hAnsi="Times New Roman" w:cs="Times New Roman"/>
          <w:sz w:val="24"/>
          <w:szCs w:val="24"/>
        </w:rPr>
        <w:t>Understanding Jurisprudence: An Introduction to Legal Theory</w:t>
      </w:r>
      <w:r>
        <w:rPr>
          <w:rFonts w:hint="default" w:ascii="Times New Roman" w:hAnsi="Times New Roman" w:cs="Times New Roman"/>
          <w:sz w:val="24"/>
          <w:szCs w:val="24"/>
        </w:rPr>
        <w:t xml:space="preserve"> (6th edn, Oxford: Oxford University Press 2021).</w:t>
      </w:r>
    </w:p>
    <w:p w14:paraId="50D465D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Journals</w:t>
      </w:r>
    </w:p>
    <w:p w14:paraId="7F53F0F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Adejoh, M, Ibrahim, J, Muktar, E-K and Qaribu, Y N, ‘Artificial Intelligence (AI), Incidence of Copyright Infringement and Revenue Loss in the Nollywood Movie Industry in Nigeria: Issues for Ethical Usage’ [2025] (9)(1) </w:t>
      </w:r>
      <w:r>
        <w:rPr>
          <w:rStyle w:val="7"/>
          <w:rFonts w:hint="default" w:ascii="Times New Roman" w:hAnsi="Times New Roman" w:cs="Times New Roman"/>
          <w:sz w:val="24"/>
          <w:szCs w:val="24"/>
        </w:rPr>
        <w:t>Advance Journal of Linguistics and Mass Communication</w:t>
      </w:r>
      <w:r>
        <w:rPr>
          <w:rFonts w:hint="default" w:ascii="Times New Roman" w:hAnsi="Times New Roman" w:cs="Times New Roman"/>
          <w:sz w:val="24"/>
          <w:szCs w:val="24"/>
        </w:rPr>
        <w:t xml:space="preserve"> 31–45.</w:t>
      </w:r>
    </w:p>
    <w:p w14:paraId="524F802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Andem, E, ‘Generative AI and Nigerian Copyright Law’ [2024] </w:t>
      </w:r>
      <w:r>
        <w:rPr>
          <w:rStyle w:val="7"/>
          <w:rFonts w:hint="default" w:ascii="Times New Roman" w:hAnsi="Times New Roman" w:cs="Times New Roman"/>
          <w:sz w:val="24"/>
          <w:szCs w:val="24"/>
        </w:rPr>
        <w:t>SSRN E-Journal</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"https://dx.doi.org/10.2139/ssrn.5072317"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https://dx.doi.org/10.2139/ssrn.5072317</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11 December 2025.</w:t>
      </w:r>
    </w:p>
    <w:p w14:paraId="4EF53FC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Çebi, E, Reisoğlu, P and Goktas, E, ‘The Influence of Artificial Intelligence on Copyright Law’ [2023] (2)(2) </w:t>
      </w:r>
      <w:r>
        <w:rPr>
          <w:rStyle w:val="7"/>
          <w:rFonts w:hint="default" w:ascii="Times New Roman" w:hAnsi="Times New Roman" w:cs="Times New Roman"/>
          <w:sz w:val="24"/>
          <w:szCs w:val="24"/>
        </w:rPr>
        <w:t>Interdisciplinary Studies in Society, Law, and Politics</w:t>
      </w:r>
      <w:r>
        <w:rPr>
          <w:rFonts w:hint="default" w:ascii="Times New Roman" w:hAnsi="Times New Roman" w:cs="Times New Roman"/>
          <w:sz w:val="24"/>
          <w:szCs w:val="24"/>
        </w:rPr>
        <w:t xml:space="preserve"> 33–41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"https://journalisslp.com/index.php/isslp/article/download/26/23/48"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https://journalisslp.com/index.php/isslp/article/download/26/23/48</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11 December 2025.</w:t>
      </w:r>
    </w:p>
    <w:p w14:paraId="319B76D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Dike, E C, ‘Repositioning Lockean Idea of Natural Rights: Nigerian Experience’ [2019] (4)(2) </w:t>
      </w:r>
      <w:r>
        <w:rPr>
          <w:rStyle w:val="7"/>
          <w:rFonts w:hint="default" w:ascii="Times New Roman" w:hAnsi="Times New Roman" w:cs="Times New Roman"/>
          <w:sz w:val="24"/>
          <w:szCs w:val="24"/>
        </w:rPr>
        <w:t>PREORC Journal of Arts and Humanities</w:t>
      </w:r>
      <w:r>
        <w:rPr>
          <w:rFonts w:hint="default" w:ascii="Times New Roman" w:hAnsi="Times New Roman" w:cs="Times New Roman"/>
          <w:sz w:val="24"/>
          <w:szCs w:val="24"/>
        </w:rPr>
        <w:t xml:space="preserve"> 129–142.</w:t>
      </w:r>
    </w:p>
    <w:p w14:paraId="342A60D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Ibe, I U and Udeoji, N N, ‘The Challenges and Prospects of Nigeria Copyright Administration in a Digital Artificial Intelligence Age’ [2019] (3)(1) </w:t>
      </w:r>
      <w:r>
        <w:rPr>
          <w:rStyle w:val="7"/>
          <w:rFonts w:hint="default" w:ascii="Times New Roman" w:hAnsi="Times New Roman" w:cs="Times New Roman"/>
          <w:sz w:val="24"/>
          <w:szCs w:val="24"/>
        </w:rPr>
        <w:t>ABUAD Private and Business Law Journal</w:t>
      </w:r>
      <w:r>
        <w:rPr>
          <w:rFonts w:hint="default" w:ascii="Times New Roman" w:hAnsi="Times New Roman" w:cs="Times New Roman"/>
          <w:sz w:val="24"/>
          <w:szCs w:val="24"/>
        </w:rPr>
        <w:t xml:space="preserve"> 110–132.</w:t>
      </w:r>
    </w:p>
    <w:p w14:paraId="58D19F9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Itanyi, N, ‘Nigeria ∙ Artificial Intelligence and Its Impact on Nollywood: Bridging the Compensation Gap’ [2024] (1)(1) </w:t>
      </w:r>
      <w:r>
        <w:rPr>
          <w:rStyle w:val="7"/>
          <w:rFonts w:hint="default" w:ascii="Times New Roman" w:hAnsi="Times New Roman" w:cs="Times New Roman"/>
          <w:sz w:val="24"/>
          <w:szCs w:val="24"/>
        </w:rPr>
        <w:t>AIRe – Journal of AI Law and Regulation</w:t>
      </w:r>
      <w:r>
        <w:rPr>
          <w:rFonts w:hint="default" w:ascii="Times New Roman" w:hAnsi="Times New Roman" w:cs="Times New Roman"/>
          <w:sz w:val="24"/>
          <w:szCs w:val="24"/>
        </w:rPr>
        <w:t xml:space="preserve"> 143–149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"https://doi.org/10.21552/aire/2024/1/17"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https://doi.org/10.21552/aire/2024/1/17</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11 December 2025.</w:t>
      </w:r>
    </w:p>
    <w:p w14:paraId="7CE490B6">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Lawan, M A, Shettima, M and Usman, A, ‘Copyright and the Protection of Innovation: The Importance of Intellectual Property Rights in Nigeria’ [2025] (10)(6) </w:t>
      </w:r>
      <w:r>
        <w:rPr>
          <w:rStyle w:val="7"/>
          <w:rFonts w:hint="default" w:ascii="Times New Roman" w:hAnsi="Times New Roman" w:cs="Times New Roman"/>
          <w:sz w:val="24"/>
          <w:szCs w:val="24"/>
        </w:rPr>
        <w:t>Journal of Arts and Sociological Research</w:t>
      </w:r>
      <w:r>
        <w:rPr>
          <w:rFonts w:hint="default" w:ascii="Times New Roman" w:hAnsi="Times New Roman" w:cs="Times New Roman"/>
          <w:sz w:val="24"/>
          <w:szCs w:val="24"/>
        </w:rPr>
        <w:t>.</w:t>
      </w:r>
    </w:p>
    <w:p w14:paraId="6790980A">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Nwogu, M, ‘The Challenges of the Nigerian Copyright Commission (NCC) in the Fight Against Copyright Piracy in Nigeria’ [2025] (2)(5) </w:t>
      </w:r>
      <w:r>
        <w:rPr>
          <w:rStyle w:val="7"/>
          <w:rFonts w:hint="default" w:ascii="Times New Roman" w:hAnsi="Times New Roman" w:cs="Times New Roman"/>
          <w:sz w:val="24"/>
          <w:szCs w:val="24"/>
        </w:rPr>
        <w:t>Global Journal of Politics and Law Research</w:t>
      </w:r>
      <w:r>
        <w:rPr>
          <w:rFonts w:hint="default" w:ascii="Times New Roman" w:hAnsi="Times New Roman" w:cs="Times New Roman"/>
          <w:sz w:val="24"/>
          <w:szCs w:val="24"/>
        </w:rPr>
        <w:t xml:space="preserve"> 22–34.</w:t>
      </w:r>
    </w:p>
    <w:p w14:paraId="3125B67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Obianyo, C I, ‘Artificial Intelligence and Intellectual Property Rights in Nigeria: Rethinking Authorship and Ownership’ [2025] (2)(1) </w:t>
      </w:r>
      <w:r>
        <w:rPr>
          <w:rStyle w:val="7"/>
          <w:rFonts w:hint="default" w:ascii="Times New Roman" w:hAnsi="Times New Roman" w:cs="Times New Roman"/>
          <w:sz w:val="24"/>
          <w:szCs w:val="24"/>
        </w:rPr>
        <w:t>NnamdiAzikiwe University Journal of Public Law</w:t>
      </w:r>
      <w:r>
        <w:rPr>
          <w:rFonts w:hint="default" w:ascii="Times New Roman" w:hAnsi="Times New Roman" w:cs="Times New Roman"/>
          <w:sz w:val="24"/>
          <w:szCs w:val="24"/>
        </w:rPr>
        <w:t xml:space="preserve"> 88–98.</w:t>
      </w:r>
    </w:p>
    <w:p w14:paraId="0ED6A0B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Ogunbodede, K F and Atchrim, I A, ‘Artificial Intelligence in Nigeria: A Catalyst for Economic Growth, Innovation, and Technological Advancement’ [2025] (2)(2) </w:t>
      </w:r>
      <w:r>
        <w:rPr>
          <w:rStyle w:val="7"/>
          <w:rFonts w:hint="default" w:ascii="Times New Roman" w:hAnsi="Times New Roman" w:cs="Times New Roman"/>
          <w:sz w:val="24"/>
          <w:szCs w:val="24"/>
        </w:rPr>
        <w:t>FNAS Journal of Computing and Applications</w:t>
      </w:r>
      <w:r>
        <w:rPr>
          <w:rFonts w:hint="default" w:ascii="Times New Roman" w:hAnsi="Times New Roman" w:cs="Times New Roman"/>
          <w:sz w:val="24"/>
          <w:szCs w:val="24"/>
        </w:rPr>
        <w:t xml:space="preserve"> 111–116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"https://fnasjournals.com/index.php/FNAS-JCA/article/download/677/586"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https://fnasjournals.com/index.php/FNAS-JCA/article/download/677/586</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19 December 2025.</w:t>
      </w:r>
    </w:p>
    <w:p w14:paraId="5AE16FD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Ojeih, C A and Ogidan, O, ‘Digital Innovation and Technological Advancement: Any Role for Copyright in the Wake of Artificial Intelligence in Nigeria?’ [2025] 8(1) </w:t>
      </w:r>
      <w:r>
        <w:rPr>
          <w:rStyle w:val="7"/>
          <w:rFonts w:hint="default" w:ascii="Times New Roman" w:hAnsi="Times New Roman" w:cs="Times New Roman"/>
          <w:sz w:val="24"/>
          <w:szCs w:val="24"/>
        </w:rPr>
        <w:t>African Journal of Law, Ethics and Education</w:t>
      </w:r>
      <w:r>
        <w:rPr>
          <w:rFonts w:hint="default" w:ascii="Times New Roman" w:hAnsi="Times New Roman" w:cs="Times New Roman"/>
          <w:sz w:val="24"/>
          <w:szCs w:val="24"/>
        </w:rPr>
        <w:t xml:space="preserve"> 19–42.</w:t>
      </w:r>
    </w:p>
    <w:p w14:paraId="158D5F2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Okorie, C I, ‘The Fair Dealing/Fair Use Landscape for Artificial Intelligence Innovation and Computational Research in Africa’ [2025] (39)(2) </w:t>
      </w:r>
      <w:r>
        <w:rPr>
          <w:rStyle w:val="7"/>
          <w:rFonts w:hint="default" w:ascii="Times New Roman" w:hAnsi="Times New Roman" w:cs="Times New Roman"/>
          <w:sz w:val="24"/>
          <w:szCs w:val="24"/>
        </w:rPr>
        <w:t>International Review of Law, Computers &amp;Technology</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"https://www.tandfonline.com/doi/full/10.1080/13600869.2025.2557640"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https://www.tandfonline.com/doi/full/10.1080/13600869.2025.2557640</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11 December 2025.</w:t>
      </w:r>
    </w:p>
    <w:p w14:paraId="6B8759C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Oloko, T O, ‘Artificial Intelligence and Intellectual Property Rights in Nigeria: A Legal Discourse of the Challenges and Prospects’ [2025] (16)(1) </w:t>
      </w:r>
      <w:r>
        <w:rPr>
          <w:rStyle w:val="7"/>
          <w:rFonts w:hint="default" w:ascii="Times New Roman" w:hAnsi="Times New Roman" w:cs="Times New Roman"/>
          <w:sz w:val="24"/>
          <w:szCs w:val="24"/>
        </w:rPr>
        <w:t>NnamdiAzikiwe University Journal of International Law and Jurisprudence</w:t>
      </w:r>
      <w:r>
        <w:rPr>
          <w:rFonts w:hint="default" w:ascii="Times New Roman" w:hAnsi="Times New Roman" w:cs="Times New Roman"/>
          <w:sz w:val="24"/>
          <w:szCs w:val="24"/>
        </w:rPr>
        <w:t xml:space="preserve"> 160–182.</w:t>
      </w:r>
    </w:p>
    <w:p w14:paraId="0098595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Internet Materials</w:t>
      </w:r>
    </w:p>
    <w:p w14:paraId="6FA9235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Adegoke, P, ‘Implications of the Copyright Act 2022 on Generative AI and Fair Dealing’ [2025] SSRN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"https://papers.ssrn.com/sol3/papers.cfm?abstract_id=5010517"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https://papers.ssrn.com/sol3/papers.cfm?abstract_id=5010517</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10 December 2025.</w:t>
      </w:r>
    </w:p>
    <w:p w14:paraId="46BDC9A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Banwo&amp;Ighodalo, ‘N703 Million Damages for Copyright Infringement: An Affirmation or Miscarriage of Justice?’ [2021] </w:t>
      </w:r>
      <w:r>
        <w:rPr>
          <w:rStyle w:val="7"/>
          <w:rFonts w:hint="default" w:ascii="Times New Roman" w:hAnsi="Times New Roman" w:cs="Times New Roman"/>
          <w:sz w:val="24"/>
          <w:szCs w:val="24"/>
        </w:rPr>
        <w:t>Mondaq Insight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"https://www.mondaq.com/nigeria/trademark/1098178/n703-million-damages-for-copyright-infringement-an-affirmation-or-miscarriage-of-justice"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https://www.mondaq.com/nigeria/trademark/1098178/n703-million-damages-for-copyright-infringement-an-affirmation-or-miscarriage-of-justice</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19 February 2026.</w:t>
      </w:r>
    </w:p>
    <w:p w14:paraId="79EDD31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Booth, R, ‘AI Firm Wins High Court Ruling After Photo Agency’s Copyright Claim’ </w:t>
      </w:r>
      <w:r>
        <w:rPr>
          <w:rStyle w:val="7"/>
          <w:rFonts w:hint="default" w:ascii="Times New Roman" w:hAnsi="Times New Roman" w:cs="Times New Roman"/>
          <w:sz w:val="24"/>
          <w:szCs w:val="24"/>
        </w:rPr>
        <w:t>The Guardian</w:t>
      </w:r>
      <w:r>
        <w:rPr>
          <w:rFonts w:hint="default" w:ascii="Times New Roman" w:hAnsi="Times New Roman" w:cs="Times New Roman"/>
          <w:sz w:val="24"/>
          <w:szCs w:val="24"/>
        </w:rPr>
        <w:t xml:space="preserve"> (London, 4 November 2025)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"https://www.theguardian.com/media/2025/nov/04/stabilty-ai-high-court-getty-images-copyright"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https://www.theguardian.com/media/2025/nov/04/stabilty-ai-high-court-getty-images-copyright</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11 December 2025.</w:t>
      </w:r>
    </w:p>
    <w:p w14:paraId="33C75DB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Collopy, D, ‘Artificial Intelligence and Intellectual Property Enforcement – Overview of Challenges and Opportunities’ (Presentation to the WIPO Advisory Committee on Enforcement, Geneva, 2 February 2024).</w:t>
      </w:r>
    </w:p>
    <w:p w14:paraId="0262F8D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Cuntz, A, Fink, C and Stamm, H, </w:t>
      </w:r>
      <w:r>
        <w:rPr>
          <w:rStyle w:val="7"/>
          <w:rFonts w:hint="default" w:ascii="Times New Roman" w:hAnsi="Times New Roman" w:cs="Times New Roman"/>
          <w:sz w:val="24"/>
          <w:szCs w:val="24"/>
        </w:rPr>
        <w:t>Artificial Intelligence and Intellectual Property: An Economic Perspective</w:t>
      </w:r>
      <w:r>
        <w:rPr>
          <w:rFonts w:hint="default" w:ascii="Times New Roman" w:hAnsi="Times New Roman" w:cs="Times New Roman"/>
          <w:sz w:val="24"/>
          <w:szCs w:val="24"/>
        </w:rPr>
        <w:t xml:space="preserve"> (WIPO Economic Research Working Paper No 77, World Intellectual Property Organization, Geneva 2024)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"https://www.wipo.int/edocs/pubdocs/en/wipo-pub-econstat-wp-77-en-artificial-intelligence-and-intellectual-property-an-economic-perspective.pdf"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https://www.wipo.int/edocs/pubdocs/en/wipo-pub-econstat-wp-77-en-artificial-intelligence-and-intellectual-property-an-economic-perspective.pdf</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11 December 2025.</w:t>
      </w:r>
    </w:p>
    <w:p w14:paraId="29F1354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Eleanya, F, ‘Nigeria’s AI Bill Proposes Mandatory Registration and Licensing for Developers and Users’ </w:t>
      </w:r>
      <w:r>
        <w:rPr>
          <w:rStyle w:val="7"/>
          <w:rFonts w:hint="default" w:ascii="Times New Roman" w:hAnsi="Times New Roman" w:cs="Times New Roman"/>
          <w:sz w:val="24"/>
          <w:szCs w:val="24"/>
        </w:rPr>
        <w:t>TechCabal</w:t>
      </w:r>
      <w:r>
        <w:rPr>
          <w:rFonts w:hint="default" w:ascii="Times New Roman" w:hAnsi="Times New Roman" w:cs="Times New Roman"/>
          <w:sz w:val="24"/>
          <w:szCs w:val="24"/>
        </w:rPr>
        <w:t xml:space="preserve"> [6 November 2025]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"https://techcabal.com/2025/11/06/nigeria-ai-bill/"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https://techcabal.com/2025/11/06/nigeria-ai-bill/</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19 December 2025.</w:t>
      </w:r>
    </w:p>
    <w:p w14:paraId="2595071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Emmason, J, ‘Copyright: Court Dismisses N500m Suit Against KCEE, E-Money’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"https://leadership.ng/copyright-court-dismisses-n500m-suit-against-kcee-e-money/"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https://leadership.ng/copyright-court-dismisses-n500m-suit-against-kcee-e-money/</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15 February 2026.</w:t>
      </w:r>
    </w:p>
    <w:p w14:paraId="613CB260">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Eugene-Okorie, S, ‘Why AI-Generated Content Cannot Be Protected by Copyright Law’ </w:t>
      </w:r>
      <w:r>
        <w:rPr>
          <w:rStyle w:val="7"/>
          <w:rFonts w:hint="default" w:ascii="Times New Roman" w:hAnsi="Times New Roman" w:cs="Times New Roman"/>
          <w:sz w:val="24"/>
          <w:szCs w:val="24"/>
        </w:rPr>
        <w:t>The Guardian</w:t>
      </w:r>
      <w:r>
        <w:rPr>
          <w:rFonts w:hint="default" w:ascii="Times New Roman" w:hAnsi="Times New Roman" w:cs="Times New Roman"/>
          <w:sz w:val="24"/>
          <w:szCs w:val="24"/>
        </w:rPr>
        <w:t xml:space="preserve"> [10 June 2025]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"https://guardian.ng/opinion/why-ai-generated-content-cannot-be-protected-by-copyright-law/"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https://guardian.ng/opinion/why-ai-generated-content-cannot-be-protected-by-copyright-law/</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12 February 2026.</w:t>
      </w:r>
    </w:p>
    <w:p w14:paraId="7093E43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Federal Ministry of Communications and Digital Economy, </w:t>
      </w:r>
      <w:r>
        <w:rPr>
          <w:rStyle w:val="7"/>
          <w:rFonts w:hint="default" w:ascii="Times New Roman" w:hAnsi="Times New Roman" w:cs="Times New Roman"/>
          <w:sz w:val="24"/>
          <w:szCs w:val="24"/>
        </w:rPr>
        <w:t>National Digital Economy Policy and Strategy 2020–2030</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"https://nitda.gov.ng/wp-content/uploads/2020/06/National-Digital-Economy-Policy-and-Strategy.pdf"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https://nitda.gov.ng/wp-content/uploads/2020/06/National-Digital-Economy-Policy-and-Strategy.pdf</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12 February 2026.</w:t>
      </w:r>
    </w:p>
    <w:p w14:paraId="74A7F06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IFPI, </w:t>
      </w:r>
      <w:r>
        <w:rPr>
          <w:rStyle w:val="7"/>
          <w:rFonts w:hint="default" w:ascii="Times New Roman" w:hAnsi="Times New Roman" w:cs="Times New Roman"/>
          <w:sz w:val="24"/>
          <w:szCs w:val="24"/>
        </w:rPr>
        <w:t>Engaging with Music</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"https://www.ifpi.org/wp-content/uploads/2023/12/IFPI-Engaging-With-Music-2023_full-report.pdf"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https://www.ifpi.org/wp-content/uploads/2023/12/IFPI-Engaging-With-Music-2023_full-report.pdf</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16 February 2026.</w:t>
      </w:r>
    </w:p>
    <w:p w14:paraId="69BF273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International Chamber of Commerce, ‘Promoting and Protecting Intellectual Property in Nigeria’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"https://iccwbo.org/news-publications/policies-reports/promoting-protecting-intellectual-property-nigeria/"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https://iccwbo.org/news-publications/policies-reports/promoting-protecting-intellectual-property-nigeria/</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11 December 2025.</w:t>
      </w:r>
    </w:p>
    <w:p w14:paraId="65513E6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Lambo, J, Okolie, C and Ngwu, S, ‘AI Watch: Global Regulatory Tracker - Nigeria’ [27 January 2025]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"https://www.whitecase.com/insight-our-thinking/ai-watch-global-regulatory-tracker-nigeria"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https://www.whitecase.com/insight-our-thinking/ai-watch-global-regulatory-tracker-nigeria</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19 December 2025.</w:t>
      </w:r>
    </w:p>
    <w:p w14:paraId="78D4D1A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Law Commission of England and Wales, </w:t>
      </w:r>
      <w:r>
        <w:rPr>
          <w:rStyle w:val="7"/>
          <w:rFonts w:hint="default" w:ascii="Times New Roman" w:hAnsi="Times New Roman" w:cs="Times New Roman"/>
          <w:sz w:val="24"/>
          <w:szCs w:val="24"/>
        </w:rPr>
        <w:t>AI and the Law: Discussion Paper</w:t>
      </w:r>
      <w:r>
        <w:rPr>
          <w:rFonts w:hint="default" w:ascii="Times New Roman" w:hAnsi="Times New Roman" w:cs="Times New Roman"/>
          <w:sz w:val="24"/>
          <w:szCs w:val="24"/>
        </w:rPr>
        <w:t xml:space="preserve"> (Discussion Paper, July 2025)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"https://cdn.websitebuilder.service.justice.gov.uk/uploads/sites/54/2025/07/AI-paper-PDF.pdf"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https://cdn.websitebuilder.service.justice.gov.uk/uploads/sites/54/2025/07/AI-paper-PDF.pdf</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14 January 2026.</w:t>
      </w:r>
    </w:p>
    <w:p w14:paraId="177D0A9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Ochojila, A, ‘Challenges of Copyright Enforcement in Nigeria’ </w:t>
      </w:r>
      <w:r>
        <w:rPr>
          <w:rStyle w:val="7"/>
          <w:rFonts w:hint="default" w:ascii="Times New Roman" w:hAnsi="Times New Roman" w:cs="Times New Roman"/>
          <w:sz w:val="24"/>
          <w:szCs w:val="24"/>
        </w:rPr>
        <w:t>The Guardian</w:t>
      </w:r>
      <w:r>
        <w:rPr>
          <w:rFonts w:hint="default" w:ascii="Times New Roman" w:hAnsi="Times New Roman" w:cs="Times New Roman"/>
          <w:sz w:val="24"/>
          <w:szCs w:val="24"/>
        </w:rPr>
        <w:t xml:space="preserve"> [25 April 2023]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"https://guardian.ng/features/law/challenges-of-copyright-enforcement-in-nigeria"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https://guardian.ng/features/law/challenges-of-copyright-enforcement-in-nigeria</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12 February 2026.</w:t>
      </w:r>
    </w:p>
    <w:p w14:paraId="330CA2A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Olubanwo, F and Osundolire, O, ‘Implications of the Copyright Act on the Entertainment and Advertising Industries in Nigeria’ [5 December 2023] </w:t>
      </w:r>
      <w:r>
        <w:rPr>
          <w:rStyle w:val="7"/>
          <w:rFonts w:hint="default" w:ascii="Times New Roman" w:hAnsi="Times New Roman" w:cs="Times New Roman"/>
          <w:sz w:val="24"/>
          <w:szCs w:val="24"/>
        </w:rPr>
        <w:t>Banwo&amp;Ighodalo, Grey Matter Series</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"https://www.banwo-ighodalo.com/grey-matter/implications-of-the-copyright-act-on-the-entertainment-and-advertising-industries-in-nigeria"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https://www.banwo-ighodalo.com/grey-matter/implications-of-the-copyright-act-on-the-entertainment-and-advertising-industries-in-nigeria</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19 December 2025.</w:t>
      </w:r>
    </w:p>
    <w:p w14:paraId="06C9431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Pavestones Legal, ‘Nigeria’s AI Strategy: Key Highlights and Strategic Priorities for Businesses’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"https://pavestoneslegal.com/wp-content/uploads/2024/08/Nigerias-AI-Strategy-.pdf"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https://pavestoneslegal.com/wp-content/uploads/2024/08/Nigerias-AI-Strategy-.pdf</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19 December 2025.</w:t>
      </w:r>
    </w:p>
    <w:p w14:paraId="7220132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PwC Nigeria, ‘Artificial Intelligence in Nigeria’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"https://www.pwc.com/ng/en/publications/ai-in-nigeria.html"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https://www.pwc.com/ng/en/publications/ai-in-nigeria.html</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11 December 2025.</w:t>
      </w:r>
    </w:p>
    <w:p w14:paraId="538B059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Stryker, C and Kavlakoglu, E, ‘What is Artificial Intelligence?’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"https://www.ibm.com/think/topics/artificial-intelligence"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https://www.ibm.com/think/topics/artificial-intelligence</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19 December 2025.</w:t>
      </w:r>
    </w:p>
    <w:p w14:paraId="176391C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Nation, ‘53 Convicted in Four Years for Copyright Offences’ </w:t>
      </w:r>
      <w:r>
        <w:rPr>
          <w:rStyle w:val="7"/>
          <w:rFonts w:hint="default" w:ascii="Times New Roman" w:hAnsi="Times New Roman" w:cs="Times New Roman"/>
          <w:sz w:val="24"/>
          <w:szCs w:val="24"/>
        </w:rPr>
        <w:t>The Nation</w:t>
      </w:r>
      <w:r>
        <w:rPr>
          <w:rFonts w:hint="default" w:ascii="Times New Roman" w:hAnsi="Times New Roman" w:cs="Times New Roman"/>
          <w:sz w:val="24"/>
          <w:szCs w:val="24"/>
        </w:rPr>
        <w:t xml:space="preserve"> [28 July 2015]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"https://thenationonlineng.net/53-convicted-in-four-years-for-copyright-offences/"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https://thenationonlineng.net/53-convicted-in-four-years-for-copyright-offences/</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14 February 2026.</w:t>
      </w:r>
    </w:p>
    <w:p w14:paraId="61DC8A8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United States Trade Representative, </w:t>
      </w:r>
      <w:r>
        <w:rPr>
          <w:rStyle w:val="7"/>
          <w:rFonts w:hint="default" w:ascii="Times New Roman" w:hAnsi="Times New Roman" w:cs="Times New Roman"/>
          <w:sz w:val="24"/>
          <w:szCs w:val="24"/>
        </w:rPr>
        <w:t>2019 Special 301 Report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"https://ustr.gov/sites/default/files/2019_Special_301_Report.pdf"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https://ustr.gov/sites/default/files/2019_Special_301_Report.pdf</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12 February 2026.</w:t>
      </w:r>
    </w:p>
    <w:p w14:paraId="64BA89CC">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WIPO, ‘Copyright’ [2025]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"https://www.wipo.int/en/web/copyright"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https://www.wipo.int/en/web/copyright</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19 December 2025.</w:t>
      </w:r>
    </w:p>
    <w:p w14:paraId="6345388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WIPO, ‘Nigeria’s Anti-Piracy Drive Yields Results’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"https://www.wipo.int/en/web/wipo-magazine/articles/nigerias-anti-piracy-drive-yields-results-38120"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https://www.wipo.int/en/web/wipo-magazine/articles/nigerias-anti-piracy-drive-yields-results-38120</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accessed 11 December 2025.</w:t>
      </w:r>
    </w:p>
    <w:p w14:paraId="7195FEE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ind w:left="720" w:hanging="720" w:hangingChars="3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WIPO, ‘WIPO-Administered Treaties’.</w:t>
      </w:r>
    </w:p>
    <w:p w14:paraId="226029A0">
      <w:pPr>
        <w:keepNext w:val="0"/>
        <w:keepLines w:val="0"/>
        <w:pageBreakBefore w:val="0"/>
        <w:widowControl/>
        <w:kinsoku/>
        <w:wordWrap/>
        <w:overflowPunct/>
        <w:topLinePunct w:val="0"/>
        <w:autoSpaceDE/>
        <w:autoSpaceDN/>
        <w:bidi w:val="0"/>
        <w:adjustRightInd/>
        <w:snapToGrid/>
        <w:spacing w:beforeAutospacing="0" w:after="0" w:afterAutospacing="0" w:line="480" w:lineRule="auto"/>
        <w:ind w:left="720" w:hanging="720" w:hangingChars="300"/>
        <w:jc w:val="both"/>
        <w:textAlignment w:val="auto"/>
        <w:rPr>
          <w:rFonts w:hint="default" w:ascii="Times New Roman" w:hAnsi="Times New Roman" w:cs="Times New Roman"/>
          <w:sz w:val="24"/>
          <w:szCs w:val="24"/>
          <w:lang w:val="en-US"/>
        </w:rPr>
      </w:pPr>
    </w:p>
    <w:sectPr>
      <w:footerReference r:id="rId6" w:type="default"/>
      <w:pgSz w:w="11907" w:h="16839"/>
      <w:pgMar w:top="1440" w:right="1440" w:bottom="1440" w:left="1440" w:header="720" w:footer="720" w:gutter="0"/>
      <w:pgNumType w:fmt="decimal"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21ADE">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DCA50">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6AFDCA50">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42E13">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8D79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v:fill on="f" focussize="0,0"/>
              <v:stroke on="f" weight="0.5pt"/>
              <v:imagedata o:title=""/>
              <o:lock v:ext="edit" aspectratio="f"/>
              <v:textbox inset="0mm,0mm,0mm,0mm" style="mso-fit-shape-to-text:t;">
                <w:txbxContent>
                  <w:p w14:paraId="5B98D795">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18">
    <w:p>
      <w:pPr>
        <w:spacing w:before="0" w:after="0" w:line="276" w:lineRule="auto"/>
      </w:pPr>
      <w:r>
        <w:separator/>
      </w:r>
    </w:p>
  </w:footnote>
  <w:footnote w:type="continuationSeparator" w:id="319">
    <w:p>
      <w:pPr>
        <w:spacing w:before="0" w:after="0" w:line="276" w:lineRule="auto"/>
      </w:pPr>
      <w:r>
        <w:continuationSeparator/>
      </w:r>
    </w:p>
  </w:footnote>
  <w:footnote w:id="0">
    <w:p w14:paraId="72954451">
      <w:pPr>
        <w:pStyle w:val="11"/>
        <w:ind w:left="360" w:hanging="360"/>
        <w:jc w:val="left"/>
      </w:pPr>
      <w:r>
        <w:rPr>
          <w:rStyle w:val="10"/>
        </w:rPr>
        <w:footnoteRef/>
      </w:r>
      <w:r>
        <w:tab/>
      </w:r>
      <w:r>
        <w:rPr>
          <w:rFonts w:ascii="Times New Roman" w:hAnsi="Times New Roman" w:cs="Times New Roman"/>
        </w:rPr>
        <w:t>World Intellectual Property Organisation (WIPO), ‘Nigeria’s Anti-Piracy Drive Yields Results’ &lt;https://www.wipo.int/en/web/wipo-magazine/articles/nigerias-anti-piracy-drive-yields-results-38120&gt; accessed 11 December 2025.</w:t>
      </w:r>
    </w:p>
  </w:footnote>
  <w:footnote w:id="1">
    <w:p w14:paraId="636ADD9F">
      <w:pPr>
        <w:pStyle w:val="11"/>
        <w:ind w:left="360" w:hanging="360"/>
        <w:jc w:val="left"/>
      </w:pPr>
      <w:r>
        <w:rPr>
          <w:rStyle w:val="10"/>
        </w:rPr>
        <w:footnoteRef/>
      </w:r>
      <w:r>
        <w:tab/>
      </w:r>
      <w:r>
        <w:rPr>
          <w:rFonts w:ascii="Times New Roman" w:hAnsi="Times New Roman" w:cs="Times New Roman"/>
        </w:rPr>
        <w:t>Intl Chamber of Commerce (ICC), ‘Promoting and Protecting Intellectual Property in Nigeria’ &lt;https://iccwbo.org/news-publications/policies-reports/promoting-protecting-intellectual-property-nigeria/&gt; accessed 11 December 2025.</w:t>
      </w:r>
    </w:p>
  </w:footnote>
  <w:footnote w:id="2">
    <w:p w14:paraId="15C502E4">
      <w:pPr>
        <w:pStyle w:val="11"/>
        <w:ind w:left="360" w:hanging="360"/>
        <w:jc w:val="left"/>
      </w:pPr>
      <w:r>
        <w:rPr>
          <w:rStyle w:val="10"/>
        </w:rPr>
        <w:footnoteRef/>
      </w:r>
      <w:r>
        <w:tab/>
      </w:r>
      <w:r>
        <w:rPr>
          <w:rFonts w:ascii="Times New Roman" w:hAnsi="Times New Roman" w:cs="Times New Roman"/>
        </w:rPr>
        <w:t>PwC Nigeria, ‘Artificial Intelligence in Nigeria’ &lt;https://www.pwc.com/ng/en/publications/ai-in-nigeria.html&gt; accessed 11 December 2025.</w:t>
      </w:r>
    </w:p>
  </w:footnote>
  <w:footnote w:id="3">
    <w:p w14:paraId="420CAE68">
      <w:pPr>
        <w:pStyle w:val="11"/>
        <w:ind w:left="360" w:hanging="360"/>
        <w:jc w:val="left"/>
      </w:pPr>
      <w:r>
        <w:rPr>
          <w:rStyle w:val="10"/>
        </w:rPr>
        <w:footnoteRef/>
      </w:r>
      <w:r>
        <w:tab/>
      </w:r>
      <w:r>
        <w:rPr>
          <w:rFonts w:ascii="Times New Roman" w:hAnsi="Times New Roman" w:cs="Times New Roman"/>
        </w:rPr>
        <w:t>WIPO (n1).</w:t>
      </w:r>
    </w:p>
  </w:footnote>
  <w:footnote w:id="4">
    <w:p w14:paraId="7B8BB3DA">
      <w:pPr>
        <w:pStyle w:val="11"/>
        <w:ind w:left="360" w:hanging="360"/>
        <w:jc w:val="left"/>
      </w:pPr>
      <w:r>
        <w:rPr>
          <w:rStyle w:val="10"/>
        </w:rPr>
        <w:footnoteRef/>
      </w:r>
      <w:r>
        <w:tab/>
      </w:r>
      <w:r>
        <w:rPr>
          <w:rFonts w:ascii="Times New Roman" w:hAnsi="Times New Roman" w:cs="Times New Roman"/>
        </w:rPr>
        <w:t>E Andem, ‘Generative AI and Nigerian Copyright Law’ [2024] SSRN e-J &lt;https://dx.doi.org/10.2139/ssrn.5072317&gt; accessed 11 December 2025.</w:t>
      </w:r>
    </w:p>
  </w:footnote>
  <w:footnote w:id="5">
    <w:p w14:paraId="397FBDDD">
      <w:pPr>
        <w:pStyle w:val="11"/>
        <w:ind w:left="360" w:hanging="360"/>
        <w:jc w:val="left"/>
      </w:pPr>
      <w:r>
        <w:rPr>
          <w:rStyle w:val="10"/>
        </w:rPr>
        <w:footnoteRef/>
      </w:r>
      <w:r>
        <w:tab/>
      </w:r>
      <w:r>
        <w:rPr>
          <w:rFonts w:ascii="Times New Roman" w:hAnsi="Times New Roman" w:cs="Times New Roman"/>
        </w:rPr>
        <w:t>ICC (n2).</w:t>
      </w:r>
    </w:p>
  </w:footnote>
  <w:footnote w:id="6">
    <w:p w14:paraId="74A390F0">
      <w:pPr>
        <w:pStyle w:val="11"/>
        <w:ind w:left="360" w:hanging="360"/>
        <w:jc w:val="left"/>
      </w:pPr>
      <w:r>
        <w:rPr>
          <w:rStyle w:val="10"/>
        </w:rPr>
        <w:footnoteRef/>
      </w:r>
      <w:r>
        <w:tab/>
      </w:r>
      <w:r>
        <w:rPr>
          <w:rFonts w:ascii="Times New Roman" w:hAnsi="Times New Roman" w:cs="Times New Roman"/>
        </w:rPr>
        <w:t>WIPO (n1).</w:t>
      </w:r>
    </w:p>
  </w:footnote>
  <w:footnote w:id="7">
    <w:p w14:paraId="41FC363B">
      <w:pPr>
        <w:pStyle w:val="11"/>
        <w:ind w:left="360" w:hanging="360"/>
        <w:jc w:val="left"/>
      </w:pPr>
      <w:r>
        <w:rPr>
          <w:rStyle w:val="10"/>
        </w:rPr>
        <w:footnoteRef/>
      </w:r>
      <w:r>
        <w:tab/>
      </w:r>
      <w:r>
        <w:rPr>
          <w:rFonts w:ascii="Times New Roman" w:hAnsi="Times New Roman" w:cs="Times New Roman"/>
        </w:rPr>
        <w:t>P Adegoke, ‘Implications of the Copyright Act 2022 on Generative AI and Fair Dealing’ [2025] SSRN &lt;https://papers.ssrn.com/sol3/papers.cfm?abstract_id=5010517&gt; accessed 10 December 2025.</w:t>
      </w:r>
    </w:p>
  </w:footnote>
  <w:footnote w:id="8">
    <w:p w14:paraId="03B9569F">
      <w:pPr>
        <w:pStyle w:val="11"/>
        <w:ind w:left="360" w:hanging="360"/>
        <w:jc w:val="left"/>
      </w:pPr>
      <w:r>
        <w:rPr>
          <w:rStyle w:val="10"/>
        </w:rPr>
        <w:footnoteRef/>
      </w:r>
      <w:r>
        <w:tab/>
      </w:r>
      <w:r>
        <w:rPr>
          <w:rFonts w:ascii="Times New Roman" w:hAnsi="Times New Roman" w:cs="Times New Roman"/>
        </w:rPr>
        <w:t>Andem (n5).</w:t>
      </w:r>
    </w:p>
  </w:footnote>
  <w:footnote w:id="9">
    <w:p w14:paraId="783CB56D">
      <w:pPr>
        <w:pStyle w:val="11"/>
        <w:ind w:left="360" w:hanging="360"/>
        <w:jc w:val="left"/>
      </w:pPr>
      <w:r>
        <w:rPr>
          <w:rStyle w:val="10"/>
        </w:rPr>
        <w:footnoteRef/>
      </w:r>
      <w:r>
        <w:tab/>
      </w:r>
      <w:r>
        <w:rPr>
          <w:rFonts w:ascii="Times New Roman" w:hAnsi="Times New Roman" w:cs="Times New Roman"/>
        </w:rPr>
        <w:t>R Booth, ‘AI Firm Wins High Court Ruling After Photo Agency’s Copyright Claim’ The Guardian (London, 4 November 2025) &lt;https://www.theguardian.com/media/2025/nov/04/stabilty-ai-high-court-getty-images-copyright&gt; accessed 11 December 2025.</w:t>
      </w:r>
    </w:p>
  </w:footnote>
  <w:footnote w:id="10">
    <w:p w14:paraId="4C09021F">
      <w:pPr>
        <w:pStyle w:val="11"/>
        <w:ind w:left="360" w:hanging="360"/>
        <w:jc w:val="left"/>
      </w:pPr>
      <w:r>
        <w:rPr>
          <w:rStyle w:val="10"/>
        </w:rPr>
        <w:footnoteRef/>
      </w:r>
      <w:r>
        <w:tab/>
      </w:r>
      <w:r>
        <w:rPr>
          <w:rFonts w:ascii="Times New Roman" w:hAnsi="Times New Roman" w:cs="Times New Roman"/>
        </w:rPr>
        <w:t>ICC (n2).</w:t>
      </w:r>
    </w:p>
  </w:footnote>
  <w:footnote w:id="11">
    <w:p w14:paraId="10A32BEB">
      <w:pPr>
        <w:pStyle w:val="11"/>
        <w:ind w:left="360" w:hanging="360"/>
        <w:jc w:val="left"/>
      </w:pPr>
      <w:r>
        <w:rPr>
          <w:rStyle w:val="10"/>
        </w:rPr>
        <w:footnoteRef/>
      </w:r>
      <w:r>
        <w:tab/>
      </w:r>
      <w:r>
        <w:rPr>
          <w:rFonts w:ascii="Times New Roman" w:hAnsi="Times New Roman" w:cs="Times New Roman"/>
        </w:rPr>
        <w:t>WIPO (n1).</w:t>
      </w:r>
    </w:p>
  </w:footnote>
  <w:footnote w:id="12">
    <w:p w14:paraId="5ED882E0">
      <w:pPr>
        <w:pStyle w:val="11"/>
        <w:ind w:left="360" w:hanging="360"/>
        <w:jc w:val="left"/>
      </w:pPr>
      <w:r>
        <w:rPr>
          <w:rStyle w:val="10"/>
        </w:rPr>
        <w:footnoteRef/>
      </w:r>
      <w:r>
        <w:tab/>
      </w:r>
      <w:r>
        <w:rPr>
          <w:rFonts w:ascii="Times New Roman" w:hAnsi="Times New Roman" w:cs="Times New Roman"/>
        </w:rPr>
        <w:t>Adegoke (n8).</w:t>
      </w:r>
    </w:p>
  </w:footnote>
  <w:footnote w:id="13">
    <w:p w14:paraId="3321C788">
      <w:pPr>
        <w:pStyle w:val="11"/>
        <w:ind w:left="360" w:hanging="360"/>
        <w:jc w:val="left"/>
      </w:pPr>
      <w:r>
        <w:rPr>
          <w:rStyle w:val="10"/>
        </w:rPr>
        <w:footnoteRef/>
      </w:r>
      <w:r>
        <w:tab/>
      </w:r>
      <w:r>
        <w:rPr>
          <w:rFonts w:ascii="Times New Roman" w:hAnsi="Times New Roman" w:cs="Times New Roman"/>
        </w:rPr>
        <w:t xml:space="preserve">C I Obianyo, ‘Artificial Intelligence and Intellectual Property Rights in Nigeria: Rethinking Authorship and Ownership’ [2025] (2)(1) </w:t>
      </w:r>
      <w:r>
        <w:rPr>
          <w:rFonts w:ascii="Times New Roman" w:hAnsi="Times New Roman" w:cs="Times New Roman"/>
          <w:i/>
        </w:rPr>
        <w:t>NAU J Pub L</w:t>
      </w:r>
      <w:r>
        <w:rPr>
          <w:rFonts w:ascii="Times New Roman" w:hAnsi="Times New Roman" w:cs="Times New Roman"/>
        </w:rPr>
        <w:t xml:space="preserve"> 88–98 &lt;https://journals.ezenwaohaetorc.org/index.php/Naujopl/article/view/3234&gt; accessed 11 December 2025.</w:t>
      </w:r>
    </w:p>
  </w:footnote>
  <w:footnote w:id="14">
    <w:p w14:paraId="31F0856C">
      <w:pPr>
        <w:pStyle w:val="11"/>
        <w:ind w:left="360" w:hanging="360"/>
        <w:jc w:val="left"/>
      </w:pPr>
      <w:r>
        <w:rPr>
          <w:rStyle w:val="10"/>
        </w:rPr>
        <w:footnoteRef/>
      </w:r>
      <w:r>
        <w:tab/>
      </w:r>
      <w:r>
        <w:rPr>
          <w:rFonts w:ascii="Times New Roman" w:hAnsi="Times New Roman" w:cs="Times New Roman"/>
        </w:rPr>
        <w:t>Obianyo (n14).</w:t>
      </w:r>
    </w:p>
  </w:footnote>
  <w:footnote w:id="15">
    <w:p w14:paraId="733B51FA">
      <w:pPr>
        <w:pStyle w:val="11"/>
        <w:ind w:left="360" w:hanging="360"/>
        <w:jc w:val="left"/>
      </w:pPr>
      <w:r>
        <w:rPr>
          <w:rStyle w:val="10"/>
        </w:rPr>
        <w:footnoteRef/>
      </w:r>
      <w:r>
        <w:tab/>
      </w:r>
      <w:r>
        <w:rPr>
          <w:rFonts w:ascii="Times New Roman" w:hAnsi="Times New Roman" w:cs="Times New Roman"/>
        </w:rPr>
        <w:t xml:space="preserve">T O Oloko, ‘Artificial Intelligence and Intellectual Property Rights in Nigeria: A Legal Discourse of the Challenges and Prospects’ [2025] (16)(1) </w:t>
      </w:r>
      <w:r>
        <w:rPr>
          <w:rFonts w:ascii="Times New Roman" w:hAnsi="Times New Roman" w:cs="Times New Roman"/>
          <w:i/>
        </w:rPr>
        <w:t>NAU J Intl L &amp; Jurisprudence</w:t>
      </w:r>
      <w:r>
        <w:rPr>
          <w:rFonts w:ascii="Times New Roman" w:hAnsi="Times New Roman" w:cs="Times New Roman"/>
        </w:rPr>
        <w:t xml:space="preserve"> 140–165 &lt;https://www.ajol.info/index.php/naujilj/article/view/295718&gt; accessed 11 December 2025.</w:t>
      </w:r>
    </w:p>
  </w:footnote>
  <w:footnote w:id="16">
    <w:p w14:paraId="45C4EA8B">
      <w:pPr>
        <w:pStyle w:val="11"/>
        <w:ind w:left="360" w:hanging="360"/>
        <w:jc w:val="left"/>
      </w:pPr>
      <w:r>
        <w:rPr>
          <w:rStyle w:val="10"/>
        </w:rPr>
        <w:footnoteRef/>
      </w:r>
      <w:r>
        <w:tab/>
      </w:r>
      <w:r>
        <w:rPr>
          <w:rFonts w:ascii="Times New Roman" w:hAnsi="Times New Roman" w:cs="Times New Roman"/>
        </w:rPr>
        <w:t>Oloko (n16).</w:t>
      </w:r>
    </w:p>
  </w:footnote>
  <w:footnote w:id="17">
    <w:p w14:paraId="2E66A09A">
      <w:pPr>
        <w:pStyle w:val="11"/>
        <w:ind w:left="360" w:hanging="360"/>
        <w:jc w:val="left"/>
      </w:pPr>
      <w:r>
        <w:rPr>
          <w:rStyle w:val="10"/>
        </w:rPr>
        <w:footnoteRef/>
      </w:r>
      <w:r>
        <w:tab/>
      </w:r>
      <w:r>
        <w:rPr>
          <w:rFonts w:ascii="Times New Roman" w:hAnsi="Times New Roman" w:cs="Times New Roman"/>
        </w:rPr>
        <w:t>Andem (n5).</w:t>
      </w:r>
    </w:p>
  </w:footnote>
  <w:footnote w:id="18">
    <w:p w14:paraId="322C0013">
      <w:pPr>
        <w:pStyle w:val="11"/>
        <w:ind w:left="360" w:hanging="360"/>
        <w:jc w:val="left"/>
      </w:pPr>
      <w:r>
        <w:rPr>
          <w:rStyle w:val="10"/>
        </w:rPr>
        <w:footnoteRef/>
      </w:r>
      <w:r>
        <w:tab/>
      </w:r>
      <w:r>
        <w:rPr>
          <w:rFonts w:ascii="Times New Roman" w:hAnsi="Times New Roman" w:cs="Times New Roman"/>
        </w:rPr>
        <w:t>Adegoke (n8).</w:t>
      </w:r>
    </w:p>
  </w:footnote>
  <w:footnote w:id="19">
    <w:p w14:paraId="5D0BA15B">
      <w:pPr>
        <w:pStyle w:val="11"/>
        <w:ind w:left="360" w:hanging="360"/>
        <w:jc w:val="left"/>
      </w:pPr>
      <w:r>
        <w:rPr>
          <w:rStyle w:val="10"/>
        </w:rPr>
        <w:footnoteRef/>
      </w:r>
      <w:r>
        <w:tab/>
      </w:r>
      <w:r>
        <w:rPr>
          <w:rFonts w:ascii="Times New Roman" w:hAnsi="Times New Roman" w:cs="Times New Roman"/>
        </w:rPr>
        <w:t>ibid.</w:t>
      </w:r>
    </w:p>
  </w:footnote>
  <w:footnote w:id="20">
    <w:p w14:paraId="223A12B3">
      <w:pPr>
        <w:pStyle w:val="11"/>
        <w:ind w:left="360" w:hanging="360"/>
        <w:jc w:val="left"/>
      </w:pPr>
      <w:r>
        <w:rPr>
          <w:rStyle w:val="10"/>
        </w:rPr>
        <w:footnoteRef/>
      </w:r>
      <w:r>
        <w:tab/>
      </w:r>
      <w:r>
        <w:rPr>
          <w:rFonts w:ascii="Times New Roman" w:hAnsi="Times New Roman" w:cs="Times New Roman"/>
        </w:rPr>
        <w:t>ibid.</w:t>
      </w:r>
    </w:p>
  </w:footnote>
  <w:footnote w:id="21">
    <w:p w14:paraId="28EC336C">
      <w:pPr>
        <w:pStyle w:val="11"/>
        <w:ind w:left="360" w:hanging="360"/>
        <w:jc w:val="left"/>
      </w:pPr>
      <w:r>
        <w:rPr>
          <w:rStyle w:val="10"/>
        </w:rPr>
        <w:footnoteRef/>
      </w:r>
      <w:r>
        <w:tab/>
      </w:r>
      <w:r>
        <w:rPr>
          <w:rFonts w:ascii="Times New Roman" w:hAnsi="Times New Roman" w:cs="Times New Roman"/>
        </w:rPr>
        <w:t>C I Okorie, ‘The Fair Dealing/Fair Use Landscape for Artificial Intelligence Innovation and Computational Research in Africa’ [2025] (39)(2) Intl Rev L Computers &amp; Tech &lt;https://www.tandfonline.com/doi/full/10.1080/13600869.2025.2557640&gt; accessed 11 December 2025.</w:t>
      </w:r>
    </w:p>
  </w:footnote>
  <w:footnote w:id="22">
    <w:p w14:paraId="087D7A46">
      <w:pPr>
        <w:pStyle w:val="11"/>
        <w:ind w:left="360" w:hanging="360"/>
        <w:jc w:val="left"/>
      </w:pPr>
      <w:r>
        <w:rPr>
          <w:rStyle w:val="10"/>
        </w:rPr>
        <w:footnoteRef/>
      </w:r>
      <w:r>
        <w:tab/>
      </w:r>
      <w:r>
        <w:rPr>
          <w:rFonts w:ascii="Times New Roman" w:hAnsi="Times New Roman" w:cs="Times New Roman"/>
        </w:rPr>
        <w:t>Okorie (n22).</w:t>
      </w:r>
    </w:p>
  </w:footnote>
  <w:footnote w:id="23">
    <w:p w14:paraId="50C88035">
      <w:pPr>
        <w:pStyle w:val="11"/>
        <w:ind w:left="360" w:hanging="360"/>
        <w:jc w:val="left"/>
      </w:pPr>
      <w:r>
        <w:rPr>
          <w:rStyle w:val="10"/>
        </w:rPr>
        <w:footnoteRef/>
      </w:r>
      <w:r>
        <w:tab/>
      </w:r>
      <w:r>
        <w:rPr>
          <w:rFonts w:ascii="Times New Roman" w:hAnsi="Times New Roman" w:cs="Times New Roman"/>
        </w:rPr>
        <w:t>A Cuntz, C Fink and H Stamm, Artificial Intelligence and Intellectual Property: An Economic Perspective (WIPO Econ Research Working Paper No 77, WIPO 2024) &lt;https://www.wipo.int/edocs/pubdocs/en/wipo-pub-econstat-wp-77-en-artificial-intelligence-and-intellectual-property-an-economic-perspective.pdf&gt; accessed 11 December 2025.</w:t>
      </w:r>
    </w:p>
  </w:footnote>
  <w:footnote w:id="24">
    <w:p w14:paraId="36EB549C">
      <w:pPr>
        <w:pStyle w:val="11"/>
        <w:ind w:left="360" w:hanging="360"/>
        <w:jc w:val="left"/>
      </w:pPr>
      <w:r>
        <w:rPr>
          <w:rStyle w:val="10"/>
        </w:rPr>
        <w:footnoteRef/>
      </w:r>
      <w:r>
        <w:tab/>
      </w:r>
      <w:r>
        <w:rPr>
          <w:rFonts w:ascii="Times New Roman" w:hAnsi="Times New Roman" w:cs="Times New Roman"/>
        </w:rPr>
        <w:t xml:space="preserve">C A Ojeih and O Ogidan, ‘Digital Innovation and Technological Advancement: Any Role for Copyright in the Wake of Artificial Intelligence in Nigeria?’ [2025] (8)(1) </w:t>
      </w:r>
      <w:r>
        <w:rPr>
          <w:rFonts w:ascii="Times New Roman" w:hAnsi="Times New Roman" w:cs="Times New Roman"/>
          <w:i/>
        </w:rPr>
        <w:t>Afr J L Ethics &amp; Education</w:t>
      </w:r>
      <w:r>
        <w:rPr>
          <w:rFonts w:ascii="Times New Roman" w:hAnsi="Times New Roman" w:cs="Times New Roman"/>
        </w:rPr>
        <w:t xml:space="preserve"> 19–42 &lt;https://ajleejournal.com/index.php/ajlee/article/view/232&gt; accessed 11 December 2025.</w:t>
      </w:r>
    </w:p>
  </w:footnote>
  <w:footnote w:id="25">
    <w:p w14:paraId="7D19B8F6">
      <w:pPr>
        <w:pStyle w:val="11"/>
        <w:ind w:left="360" w:hanging="360"/>
        <w:jc w:val="left"/>
      </w:pPr>
      <w:r>
        <w:rPr>
          <w:rStyle w:val="10"/>
        </w:rPr>
        <w:footnoteRef/>
      </w:r>
      <w:r>
        <w:tab/>
      </w:r>
      <w:r>
        <w:rPr>
          <w:rFonts w:ascii="Times New Roman" w:hAnsi="Times New Roman" w:cs="Times New Roman"/>
        </w:rPr>
        <w:t xml:space="preserve">I U Ibe and N NUdeoji, ‘The Challenges and Prospects of Nigeria Copyright Administration in a Digital Artificial Intelligence Age’ [2019] (3)(1) </w:t>
      </w:r>
      <w:r>
        <w:rPr>
          <w:rFonts w:ascii="Times New Roman" w:hAnsi="Times New Roman" w:cs="Times New Roman"/>
          <w:i/>
        </w:rPr>
        <w:t>ABUAD Private &amp; Bus L J</w:t>
      </w:r>
      <w:r>
        <w:rPr>
          <w:rFonts w:ascii="Times New Roman" w:hAnsi="Times New Roman" w:cs="Times New Roman"/>
        </w:rPr>
        <w:t xml:space="preserve"> 110–132 &lt;https://doi.org/10.53982/apblj.2019.0301.06-j&gt; accessed 11 December 2025.</w:t>
      </w:r>
    </w:p>
  </w:footnote>
  <w:footnote w:id="26">
    <w:p w14:paraId="5ED9C2D5">
      <w:pPr>
        <w:pStyle w:val="11"/>
        <w:ind w:left="360" w:hanging="360"/>
        <w:jc w:val="left"/>
      </w:pPr>
      <w:r>
        <w:rPr>
          <w:rStyle w:val="10"/>
        </w:rPr>
        <w:footnoteRef/>
      </w:r>
      <w:r>
        <w:tab/>
      </w:r>
      <w:r>
        <w:rPr>
          <w:rFonts w:ascii="Times New Roman" w:hAnsi="Times New Roman" w:cs="Times New Roman"/>
        </w:rPr>
        <w:t>D Collopy, ‘Artificial Intelligence and Intellectual Property Enforcement: Overview of Challenges and Opportunities’ (Presentation to WIPO Advisory Committee on Enforcement, Geneva, 2 February 2024).</w:t>
      </w:r>
    </w:p>
  </w:footnote>
  <w:footnote w:id="27">
    <w:p w14:paraId="63143CD2">
      <w:pPr>
        <w:pStyle w:val="11"/>
        <w:ind w:left="360" w:hanging="360"/>
        <w:jc w:val="left"/>
      </w:pPr>
      <w:r>
        <w:rPr>
          <w:rStyle w:val="10"/>
        </w:rPr>
        <w:footnoteRef/>
      </w:r>
      <w:r>
        <w:tab/>
      </w:r>
      <w:r>
        <w:rPr>
          <w:rFonts w:ascii="Times New Roman" w:hAnsi="Times New Roman" w:cs="Times New Roman"/>
        </w:rPr>
        <w:t xml:space="preserve">M Adejoh, J Ibrahim, E-K Muktar and Y N Qaribu, ‘Artificial Intelligence (AI), Incidence of Copyright Infringement and Revenue Loss in the Nollywood Movie Industry in Nigeria: Issues for Ethical Usage’ [2025] (9)(1) </w:t>
      </w:r>
      <w:r>
        <w:rPr>
          <w:rFonts w:ascii="Times New Roman" w:hAnsi="Times New Roman" w:cs="Times New Roman"/>
          <w:i/>
        </w:rPr>
        <w:t>Advance J Linguistics &amp; Mass Communication</w:t>
      </w:r>
      <w:r>
        <w:rPr>
          <w:rFonts w:ascii="Times New Roman" w:hAnsi="Times New Roman" w:cs="Times New Roman"/>
        </w:rPr>
        <w:t xml:space="preserve"> 31–45 &lt;https://aspjournals.net/Journals/index.php/Ajlmc/article/view/713&gt; accessed 11 December 2025.</w:t>
      </w:r>
    </w:p>
  </w:footnote>
  <w:footnote w:id="28">
    <w:p w14:paraId="1A6E1D28">
      <w:pPr>
        <w:pStyle w:val="11"/>
        <w:ind w:left="360" w:hanging="360"/>
        <w:jc w:val="left"/>
      </w:pPr>
      <w:r>
        <w:rPr>
          <w:rStyle w:val="10"/>
        </w:rPr>
        <w:footnoteRef/>
      </w:r>
      <w:r>
        <w:tab/>
      </w:r>
      <w:r>
        <w:rPr>
          <w:rFonts w:ascii="Times New Roman" w:hAnsi="Times New Roman" w:cs="Times New Roman"/>
        </w:rPr>
        <w:t xml:space="preserve">N Itanyi, ‘Nigeria: Artificial Intelligence and Its Impact on Nollywood: Bridging the Compensation Gap’ [2024] (1)(1) </w:t>
      </w:r>
      <w:r>
        <w:rPr>
          <w:rFonts w:ascii="Times New Roman" w:hAnsi="Times New Roman" w:cs="Times New Roman"/>
          <w:i/>
        </w:rPr>
        <w:t>AIRe J AI L &amp;Reg</w:t>
      </w:r>
      <w:r>
        <w:rPr>
          <w:rFonts w:ascii="Times New Roman" w:hAnsi="Times New Roman" w:cs="Times New Roman"/>
        </w:rPr>
        <w:t xml:space="preserve"> 143–149 &lt;https://doi.org/10.21552/aire/2024/1/17&gt; accessed 11 December 2025.</w:t>
      </w:r>
    </w:p>
  </w:footnote>
  <w:footnote w:id="29">
    <w:p w14:paraId="0D614B58">
      <w:pPr>
        <w:pStyle w:val="11"/>
        <w:ind w:left="360" w:hanging="360"/>
        <w:jc w:val="left"/>
      </w:pPr>
      <w:r>
        <w:rPr>
          <w:rStyle w:val="10"/>
        </w:rPr>
        <w:footnoteRef/>
      </w:r>
      <w:r>
        <w:tab/>
      </w:r>
      <w:r>
        <w:rPr>
          <w:rFonts w:ascii="Times New Roman" w:hAnsi="Times New Roman" w:cs="Times New Roman"/>
        </w:rPr>
        <w:t xml:space="preserve">E Çebi, P Reisoğlu and E Goktas, ‘The Influence of Artificial Intelligence on Copyright Law’ [2023] (2)(2) </w:t>
      </w:r>
      <w:r>
        <w:rPr>
          <w:rFonts w:ascii="Times New Roman" w:hAnsi="Times New Roman" w:cs="Times New Roman"/>
          <w:i/>
        </w:rPr>
        <w:t>Interdisciplinary Stud Society L &amp; Politics</w:t>
      </w:r>
      <w:r>
        <w:rPr>
          <w:rFonts w:ascii="Times New Roman" w:hAnsi="Times New Roman" w:cs="Times New Roman"/>
        </w:rPr>
        <w:t xml:space="preserve"> 33–41 &lt;https://journalisslp.com/index.php/isslp/article/download/26/23/48&gt; accessed 11 December 2025.</w:t>
      </w:r>
    </w:p>
  </w:footnote>
  <w:footnote w:id="30">
    <w:p w14:paraId="68943134">
      <w:pPr>
        <w:pStyle w:val="11"/>
        <w:ind w:left="360" w:hanging="360"/>
        <w:jc w:val="left"/>
      </w:pPr>
      <w:r>
        <w:rPr>
          <w:rStyle w:val="10"/>
        </w:rPr>
        <w:footnoteRef/>
      </w:r>
      <w:r>
        <w:tab/>
      </w:r>
      <w:r>
        <w:rPr>
          <w:rFonts w:ascii="Times New Roman" w:hAnsi="Times New Roman" w:cs="Times New Roman"/>
        </w:rPr>
        <w:t xml:space="preserve">M A Lawan, M Shettima and A Usman, ‘Copyright and the Protection of Innovation: The Importance of Intellectual Property Rights in Nigeria’ [2025] (10)(6) </w:t>
      </w:r>
      <w:r>
        <w:rPr>
          <w:rFonts w:ascii="Times New Roman" w:hAnsi="Times New Roman" w:cs="Times New Roman"/>
          <w:i/>
        </w:rPr>
        <w:t>J Arts &amp; Sociological Research</w:t>
      </w:r>
      <w:r>
        <w:rPr>
          <w:rFonts w:ascii="Times New Roman" w:hAnsi="Times New Roman" w:cs="Times New Roman"/>
        </w:rPr>
        <w:t>&lt;https://africanscholarpub.com/ajasr/article/view/941&gt; accessed 19 December 2025.</w:t>
      </w:r>
    </w:p>
  </w:footnote>
  <w:footnote w:id="31">
    <w:p w14:paraId="1830879D">
      <w:pPr>
        <w:pStyle w:val="11"/>
        <w:ind w:left="360" w:hanging="360"/>
        <w:jc w:val="left"/>
      </w:pPr>
      <w:r>
        <w:rPr>
          <w:rStyle w:val="10"/>
        </w:rPr>
        <w:footnoteRef/>
      </w:r>
      <w:r>
        <w:tab/>
      </w:r>
      <w:r>
        <w:rPr>
          <w:rFonts w:ascii="Times New Roman" w:hAnsi="Times New Roman" w:cs="Times New Roman"/>
        </w:rPr>
        <w:t xml:space="preserve">C CNwabachili, </w:t>
      </w:r>
      <w:r>
        <w:rPr>
          <w:rFonts w:ascii="Times New Roman" w:hAnsi="Times New Roman" w:cs="Times New Roman"/>
          <w:i/>
        </w:rPr>
        <w:t>Intellectual Property and Law in Nigeria</w:t>
      </w:r>
      <w:r>
        <w:rPr>
          <w:rFonts w:ascii="Times New Roman" w:hAnsi="Times New Roman" w:cs="Times New Roman"/>
        </w:rPr>
        <w:t xml:space="preserve"> (Lagos: Malthouse Press 2016).</w:t>
      </w:r>
    </w:p>
  </w:footnote>
  <w:footnote w:id="32">
    <w:p w14:paraId="18CF3ED8">
      <w:pPr>
        <w:pStyle w:val="11"/>
        <w:ind w:left="360" w:hanging="360"/>
        <w:jc w:val="left"/>
      </w:pPr>
      <w:r>
        <w:rPr>
          <w:rStyle w:val="10"/>
        </w:rPr>
        <w:footnoteRef/>
      </w:r>
      <w:r>
        <w:tab/>
      </w:r>
      <w:r>
        <w:rPr>
          <w:rFonts w:ascii="Times New Roman" w:hAnsi="Times New Roman" w:cs="Times New Roman"/>
        </w:rPr>
        <w:t>Copyright Act 2022, s 5(1)–(3).</w:t>
      </w:r>
    </w:p>
  </w:footnote>
  <w:footnote w:id="33">
    <w:p w14:paraId="61AAAFC5">
      <w:pPr>
        <w:pStyle w:val="11"/>
        <w:ind w:left="360" w:hanging="360"/>
        <w:jc w:val="left"/>
      </w:pPr>
      <w:r>
        <w:rPr>
          <w:rStyle w:val="10"/>
        </w:rPr>
        <w:footnoteRef/>
      </w:r>
      <w:r>
        <w:tab/>
      </w:r>
      <w:r>
        <w:rPr>
          <w:rFonts w:ascii="Times New Roman" w:hAnsi="Times New Roman" w:cs="Times New Roman"/>
        </w:rPr>
        <w:t xml:space="preserve">E C Dike, ‘Repositioning Lockean Idea of Natural Rights: Nigerian Experience’ [2019] (4)(2) </w:t>
      </w:r>
      <w:r>
        <w:rPr>
          <w:rFonts w:ascii="Times New Roman" w:hAnsi="Times New Roman" w:cs="Times New Roman"/>
          <w:i/>
        </w:rPr>
        <w:t>PREORC J Arts &amp; Humanities</w:t>
      </w:r>
      <w:r>
        <w:rPr>
          <w:rFonts w:ascii="Times New Roman" w:hAnsi="Times New Roman" w:cs="Times New Roman"/>
        </w:rPr>
        <w:t xml:space="preserve"> 129–142.</w:t>
      </w:r>
    </w:p>
  </w:footnote>
  <w:footnote w:id="34">
    <w:p w14:paraId="6C260775">
      <w:pPr>
        <w:pStyle w:val="11"/>
        <w:ind w:left="360" w:hanging="360"/>
        <w:jc w:val="left"/>
      </w:pPr>
      <w:r>
        <w:rPr>
          <w:rStyle w:val="10"/>
        </w:rPr>
        <w:footnoteRef/>
      </w:r>
      <w:r>
        <w:tab/>
      </w:r>
      <w:r>
        <w:rPr>
          <w:rFonts w:ascii="Times New Roman" w:hAnsi="Times New Roman" w:cs="Times New Roman"/>
        </w:rPr>
        <w:t xml:space="preserve">M J Radin, </w:t>
      </w:r>
      <w:r>
        <w:rPr>
          <w:rFonts w:ascii="Times New Roman" w:hAnsi="Times New Roman" w:cs="Times New Roman"/>
          <w:i/>
        </w:rPr>
        <w:t>Reinterpreting Property</w:t>
      </w:r>
      <w:r>
        <w:rPr>
          <w:rFonts w:ascii="Times New Roman" w:hAnsi="Times New Roman" w:cs="Times New Roman"/>
        </w:rPr>
        <w:t xml:space="preserve"> (Chicago: Univ of Chicago Press 2009).</w:t>
      </w:r>
    </w:p>
  </w:footnote>
  <w:footnote w:id="35">
    <w:p w14:paraId="09F90D1E">
      <w:pPr>
        <w:pStyle w:val="11"/>
        <w:ind w:left="360" w:hanging="360"/>
        <w:jc w:val="left"/>
      </w:pPr>
      <w:r>
        <w:rPr>
          <w:rStyle w:val="10"/>
        </w:rPr>
        <w:footnoteRef/>
      </w:r>
      <w:r>
        <w:tab/>
      </w:r>
      <w:r>
        <w:rPr>
          <w:rFonts w:ascii="Times New Roman" w:hAnsi="Times New Roman" w:cs="Times New Roman"/>
        </w:rPr>
        <w:t>Copyright Act 2022, s 2(1).</w:t>
      </w:r>
    </w:p>
  </w:footnote>
  <w:footnote w:id="36">
    <w:p w14:paraId="3278E3E2">
      <w:pPr>
        <w:pStyle w:val="11"/>
        <w:ind w:left="360" w:hanging="360"/>
        <w:jc w:val="left"/>
      </w:pPr>
      <w:r>
        <w:rPr>
          <w:rStyle w:val="10"/>
        </w:rPr>
        <w:footnoteRef/>
      </w:r>
      <w:r>
        <w:tab/>
      </w:r>
      <w:r>
        <w:rPr>
          <w:rFonts w:ascii="Times New Roman" w:hAnsi="Times New Roman" w:cs="Times New Roman"/>
        </w:rPr>
        <w:t>ibid s 2(1)(d).</w:t>
      </w:r>
    </w:p>
  </w:footnote>
  <w:footnote w:id="37">
    <w:p w14:paraId="62CB207A">
      <w:pPr>
        <w:pStyle w:val="11"/>
        <w:ind w:left="360" w:hanging="360"/>
        <w:jc w:val="left"/>
      </w:pPr>
      <w:r>
        <w:rPr>
          <w:rStyle w:val="10"/>
        </w:rPr>
        <w:footnoteRef/>
      </w:r>
      <w:r>
        <w:tab/>
      </w:r>
      <w:r>
        <w:rPr>
          <w:rFonts w:ascii="Times New Roman" w:hAnsi="Times New Roman" w:cs="Times New Roman"/>
        </w:rPr>
        <w:t>F Olubanwo and O Osundolire, ‘Implications of the Copyright Act on the Entertainment and Advertising Industries in Nigeria’ (Banwo&amp;Ighodalo, 5 December 2023) &lt;https://www.banwo-ighodalo.com/grey-matter/implications-of-the-copyright-act-on-the-entertainment-and-advertising-industries-in-nigeria&gt; accessed 19 December 2025.</w:t>
      </w:r>
    </w:p>
  </w:footnote>
  <w:footnote w:id="38">
    <w:p w14:paraId="25A9DE2F">
      <w:pPr>
        <w:pStyle w:val="11"/>
        <w:ind w:left="360" w:hanging="360"/>
        <w:jc w:val="left"/>
      </w:pPr>
      <w:r>
        <w:rPr>
          <w:rStyle w:val="10"/>
        </w:rPr>
        <w:footnoteRef/>
      </w:r>
      <w:r>
        <w:tab/>
      </w:r>
      <w:r>
        <w:rPr>
          <w:rFonts w:ascii="Times New Roman" w:hAnsi="Times New Roman" w:cs="Times New Roman"/>
        </w:rPr>
        <w:t>Copyright Act 2022, ss 74–76.</w:t>
      </w:r>
    </w:p>
  </w:footnote>
  <w:footnote w:id="39">
    <w:p w14:paraId="00BD8034">
      <w:pPr>
        <w:pStyle w:val="11"/>
        <w:ind w:left="360" w:hanging="360"/>
        <w:jc w:val="left"/>
      </w:pPr>
      <w:r>
        <w:rPr>
          <w:rStyle w:val="10"/>
        </w:rPr>
        <w:footnoteRef/>
      </w:r>
      <w:r>
        <w:tab/>
      </w:r>
      <w:r>
        <w:rPr>
          <w:rFonts w:ascii="Times New Roman" w:hAnsi="Times New Roman" w:cs="Times New Roman"/>
        </w:rPr>
        <w:t>WIPO, ‘Copyright’ &lt;https://www.wipo.int/en/web/copyright&gt; accessed 19 December 2025.</w:t>
      </w:r>
    </w:p>
  </w:footnote>
  <w:footnote w:id="40">
    <w:p w14:paraId="00EBF72D">
      <w:pPr>
        <w:pStyle w:val="11"/>
        <w:ind w:left="360" w:hanging="360"/>
        <w:jc w:val="left"/>
      </w:pPr>
      <w:r>
        <w:rPr>
          <w:rStyle w:val="10"/>
        </w:rPr>
        <w:footnoteRef/>
      </w:r>
      <w:r>
        <w:tab/>
      </w:r>
      <w:r>
        <w:rPr>
          <w:rFonts w:ascii="Times New Roman" w:hAnsi="Times New Roman" w:cs="Times New Roman"/>
        </w:rPr>
        <w:t>C Stryker and E Kavlakoglu, ‘What is Artificial Intelligence?’ (IBM) &lt;https://www.ibm.com/think/topics/artificial-intelligence&gt; accessed 19 December 2025.</w:t>
      </w:r>
    </w:p>
  </w:footnote>
  <w:footnote w:id="41">
    <w:p w14:paraId="77763A3C">
      <w:pPr>
        <w:pStyle w:val="11"/>
        <w:ind w:left="360" w:hanging="360"/>
        <w:jc w:val="left"/>
      </w:pPr>
      <w:r>
        <w:rPr>
          <w:rStyle w:val="10"/>
        </w:rPr>
        <w:footnoteRef/>
      </w:r>
      <w:r>
        <w:tab/>
      </w:r>
      <w:r>
        <w:rPr>
          <w:rFonts w:ascii="Times New Roman" w:hAnsi="Times New Roman" w:cs="Times New Roman"/>
        </w:rPr>
        <w:t>ibid.</w:t>
      </w:r>
    </w:p>
  </w:footnote>
  <w:footnote w:id="42">
    <w:p w14:paraId="0DA500AD">
      <w:pPr>
        <w:pStyle w:val="11"/>
        <w:ind w:left="360" w:hanging="360"/>
        <w:jc w:val="left"/>
      </w:pPr>
      <w:r>
        <w:rPr>
          <w:rStyle w:val="10"/>
        </w:rPr>
        <w:footnoteRef/>
      </w:r>
      <w:r>
        <w:tab/>
      </w:r>
      <w:r>
        <w:rPr>
          <w:rFonts w:ascii="Times New Roman" w:hAnsi="Times New Roman" w:cs="Times New Roman"/>
        </w:rPr>
        <w:t>John S McCain National Defense Authorization Act for Fiscal Year 2019 (Pub L 115-232), s 238(g).</w:t>
      </w:r>
    </w:p>
  </w:footnote>
  <w:footnote w:id="43">
    <w:p w14:paraId="0E17B528">
      <w:pPr>
        <w:pStyle w:val="11"/>
        <w:ind w:left="360" w:hanging="360"/>
        <w:jc w:val="left"/>
      </w:pPr>
      <w:r>
        <w:rPr>
          <w:rStyle w:val="10"/>
        </w:rPr>
        <w:footnoteRef/>
      </w:r>
      <w:r>
        <w:tab/>
      </w:r>
      <w:r>
        <w:rPr>
          <w:rFonts w:ascii="Times New Roman" w:hAnsi="Times New Roman" w:cs="Times New Roman"/>
        </w:rPr>
        <w:t xml:space="preserve">K F Ogunbodede and I A Atchrim, ‘Artificial Intelligence in Nigeria: A Catalyst for Economic Growth, Innovation, and Technological Advancement’ [2025] (2)(2) </w:t>
      </w:r>
      <w:r>
        <w:rPr>
          <w:rFonts w:ascii="Times New Roman" w:hAnsi="Times New Roman" w:cs="Times New Roman"/>
          <w:i/>
        </w:rPr>
        <w:t>FNAS J Computing &amp; Applications</w:t>
      </w:r>
      <w:r>
        <w:rPr>
          <w:rFonts w:ascii="Times New Roman" w:hAnsi="Times New Roman" w:cs="Times New Roman"/>
        </w:rPr>
        <w:t xml:space="preserve"> 111–116 &lt;https://fnasjournals.com/index.php/FNAS-JCA/article/download/677/586&gt; accessed 19 December 2025.</w:t>
      </w:r>
    </w:p>
  </w:footnote>
  <w:footnote w:id="44">
    <w:p w14:paraId="3E8D7DDF">
      <w:pPr>
        <w:pStyle w:val="11"/>
        <w:ind w:left="360" w:hanging="360"/>
        <w:jc w:val="left"/>
      </w:pPr>
      <w:r>
        <w:rPr>
          <w:rStyle w:val="10"/>
        </w:rPr>
        <w:footnoteRef/>
      </w:r>
      <w:r>
        <w:tab/>
      </w:r>
      <w:r>
        <w:rPr>
          <w:rFonts w:ascii="Times New Roman" w:hAnsi="Times New Roman" w:cs="Times New Roman"/>
        </w:rPr>
        <w:t>Ogunbodede and Atchrim (n44).</w:t>
      </w:r>
    </w:p>
  </w:footnote>
  <w:footnote w:id="45">
    <w:p w14:paraId="5522B2A5">
      <w:pPr>
        <w:pStyle w:val="11"/>
        <w:ind w:left="360" w:hanging="360"/>
        <w:jc w:val="left"/>
      </w:pPr>
      <w:r>
        <w:rPr>
          <w:rStyle w:val="10"/>
        </w:rPr>
        <w:footnoteRef/>
      </w:r>
      <w:r>
        <w:tab/>
      </w:r>
      <w:r>
        <w:rPr>
          <w:rFonts w:ascii="Times New Roman" w:hAnsi="Times New Roman" w:cs="Times New Roman"/>
        </w:rPr>
        <w:t>ibid.</w:t>
      </w:r>
    </w:p>
  </w:footnote>
  <w:footnote w:id="46">
    <w:p w14:paraId="2F2C4D97">
      <w:pPr>
        <w:pStyle w:val="11"/>
        <w:ind w:left="360" w:hanging="360"/>
        <w:jc w:val="left"/>
      </w:pPr>
      <w:r>
        <w:rPr>
          <w:rStyle w:val="10"/>
        </w:rPr>
        <w:footnoteRef/>
      </w:r>
      <w:r>
        <w:tab/>
      </w:r>
      <w:r>
        <w:rPr>
          <w:rFonts w:ascii="Times New Roman" w:hAnsi="Times New Roman" w:cs="Times New Roman"/>
        </w:rPr>
        <w:t>ibid.</w:t>
      </w:r>
    </w:p>
  </w:footnote>
  <w:footnote w:id="47">
    <w:p w14:paraId="51A9780A">
      <w:pPr>
        <w:pStyle w:val="11"/>
        <w:ind w:left="360" w:hanging="360"/>
        <w:jc w:val="left"/>
      </w:pPr>
      <w:r>
        <w:rPr>
          <w:rStyle w:val="10"/>
        </w:rPr>
        <w:footnoteRef/>
      </w:r>
      <w:r>
        <w:tab/>
      </w:r>
      <w:r>
        <w:rPr>
          <w:rFonts w:ascii="Times New Roman" w:hAnsi="Times New Roman" w:cs="Times New Roman"/>
        </w:rPr>
        <w:t>ibid.</w:t>
      </w:r>
    </w:p>
  </w:footnote>
  <w:footnote w:id="48">
    <w:p w14:paraId="6D6EFDD5">
      <w:pPr>
        <w:pStyle w:val="11"/>
        <w:ind w:left="360" w:hanging="360"/>
        <w:jc w:val="left"/>
      </w:pPr>
      <w:r>
        <w:rPr>
          <w:rStyle w:val="10"/>
        </w:rPr>
        <w:footnoteRef/>
      </w:r>
      <w:r>
        <w:tab/>
      </w:r>
      <w:r>
        <w:rPr>
          <w:rFonts w:ascii="Times New Roman" w:hAnsi="Times New Roman" w:cs="Times New Roman"/>
        </w:rPr>
        <w:t xml:space="preserve">U Ibrahim and N S Omoarebu, ‘An Examination of Artificial Intelligence and Legislative Drafting through a Comparative Lens’ [2025] (1)(1) </w:t>
      </w:r>
      <w:r>
        <w:rPr>
          <w:rFonts w:ascii="Times New Roman" w:hAnsi="Times New Roman" w:cs="Times New Roman"/>
          <w:i/>
        </w:rPr>
        <w:t>AUN J L</w:t>
      </w:r>
      <w:r>
        <w:rPr>
          <w:rFonts w:ascii="Times New Roman" w:hAnsi="Times New Roman" w:cs="Times New Roman"/>
        </w:rPr>
        <w:t xml:space="preserve"> 1–13.</w:t>
      </w:r>
    </w:p>
  </w:footnote>
  <w:footnote w:id="49">
    <w:p w14:paraId="560CCB4A">
      <w:pPr>
        <w:pStyle w:val="11"/>
        <w:ind w:left="360" w:hanging="360"/>
        <w:jc w:val="left"/>
      </w:pPr>
      <w:r>
        <w:rPr>
          <w:rStyle w:val="10"/>
        </w:rPr>
        <w:footnoteRef/>
      </w:r>
      <w:r>
        <w:tab/>
      </w:r>
      <w:r>
        <w:rPr>
          <w:rFonts w:ascii="Times New Roman" w:hAnsi="Times New Roman" w:cs="Times New Roman"/>
        </w:rPr>
        <w:t>Ogunbodede and Atchrim (n44).</w:t>
      </w:r>
    </w:p>
  </w:footnote>
  <w:footnote w:id="50">
    <w:p w14:paraId="43DFB9EA">
      <w:pPr>
        <w:pStyle w:val="11"/>
        <w:ind w:left="360" w:hanging="360"/>
        <w:jc w:val="left"/>
      </w:pPr>
      <w:r>
        <w:rPr>
          <w:rStyle w:val="10"/>
        </w:rPr>
        <w:footnoteRef/>
      </w:r>
      <w:r>
        <w:tab/>
      </w:r>
      <w:r>
        <w:rPr>
          <w:rFonts w:ascii="Times New Roman" w:hAnsi="Times New Roman" w:cs="Times New Roman"/>
        </w:rPr>
        <w:t>J Lambo, C Okolie and S Ngwu, ‘AI Watch: Global Regulatory Tracker - Nigeria’ (White &amp; Case, 27 January 2025) &lt;https://www.whitecase.com/insight-our-thinking/ai-watch-global-regulatory-tracker-nigeria&gt; accessed 19 December 2025.</w:t>
      </w:r>
    </w:p>
  </w:footnote>
  <w:footnote w:id="51">
    <w:p w14:paraId="78EC0C4A">
      <w:pPr>
        <w:pStyle w:val="11"/>
        <w:ind w:left="360" w:hanging="360"/>
        <w:jc w:val="left"/>
      </w:pPr>
      <w:r>
        <w:rPr>
          <w:rStyle w:val="10"/>
        </w:rPr>
        <w:footnoteRef/>
      </w:r>
      <w:r>
        <w:tab/>
      </w:r>
      <w:r>
        <w:rPr>
          <w:rFonts w:ascii="Times New Roman" w:hAnsi="Times New Roman" w:cs="Times New Roman"/>
        </w:rPr>
        <w:t>Pavestones Legal, ‘Nigeria’s AI Strategy: Key Highlights and Strategic Priorities for Businesses’ &lt;https://pavestoneslegal.com/wp-content/uploads/2024/08/Nigerias-AI-Strategy-.pdf&gt; accessed 19 December 2025.</w:t>
      </w:r>
    </w:p>
  </w:footnote>
  <w:footnote w:id="52">
    <w:p w14:paraId="12A05B43">
      <w:pPr>
        <w:pStyle w:val="11"/>
        <w:ind w:left="360" w:hanging="360"/>
        <w:jc w:val="left"/>
      </w:pPr>
      <w:r>
        <w:rPr>
          <w:rStyle w:val="10"/>
        </w:rPr>
        <w:footnoteRef/>
      </w:r>
      <w:r>
        <w:tab/>
      </w:r>
      <w:r>
        <w:rPr>
          <w:rFonts w:ascii="Times New Roman" w:hAnsi="Times New Roman" w:cs="Times New Roman"/>
        </w:rPr>
        <w:t>Ibrahim and Omoarebu (n49).</w:t>
      </w:r>
    </w:p>
  </w:footnote>
  <w:footnote w:id="53">
    <w:p w14:paraId="2CD9CDDE">
      <w:pPr>
        <w:pStyle w:val="11"/>
        <w:ind w:left="360" w:hanging="360"/>
        <w:jc w:val="left"/>
      </w:pPr>
      <w:r>
        <w:rPr>
          <w:rStyle w:val="10"/>
        </w:rPr>
        <w:footnoteRef/>
      </w:r>
      <w:r>
        <w:tab/>
      </w:r>
      <w:r>
        <w:rPr>
          <w:rFonts w:ascii="Times New Roman" w:hAnsi="Times New Roman" w:cs="Times New Roman"/>
        </w:rPr>
        <w:t>ibid.</w:t>
      </w:r>
    </w:p>
  </w:footnote>
  <w:footnote w:id="54">
    <w:p w14:paraId="3ABB7DCA">
      <w:pPr>
        <w:pStyle w:val="11"/>
        <w:ind w:left="360" w:hanging="360"/>
        <w:jc w:val="left"/>
      </w:pPr>
      <w:r>
        <w:rPr>
          <w:rStyle w:val="10"/>
        </w:rPr>
        <w:footnoteRef/>
      </w:r>
      <w:r>
        <w:tab/>
      </w:r>
      <w:r>
        <w:rPr>
          <w:rFonts w:ascii="Times New Roman" w:hAnsi="Times New Roman" w:cs="Times New Roman"/>
        </w:rPr>
        <w:t>F Eleanya, ‘Nigeria’s AI Bill Proposes Mandatory Registration and Licensing for Developers and Users’ TechCabal (6 November 2025) &lt;https://techcabal.com/2025/11/06/nigeria-ai-bill/&gt; accessed 19 December 2025.</w:t>
      </w:r>
    </w:p>
  </w:footnote>
  <w:footnote w:id="55">
    <w:p w14:paraId="45D57471">
      <w:pPr>
        <w:pStyle w:val="11"/>
        <w:ind w:left="360" w:hanging="360"/>
        <w:jc w:val="left"/>
      </w:pPr>
      <w:r>
        <w:rPr>
          <w:rStyle w:val="10"/>
        </w:rPr>
        <w:footnoteRef/>
      </w:r>
      <w:r>
        <w:tab/>
      </w:r>
      <w:r>
        <w:rPr>
          <w:rFonts w:ascii="Times New Roman" w:hAnsi="Times New Roman" w:cs="Times New Roman"/>
        </w:rPr>
        <w:t>ibid.</w:t>
      </w:r>
    </w:p>
  </w:footnote>
  <w:footnote w:id="56">
    <w:p w14:paraId="28E0E686">
      <w:pPr>
        <w:pStyle w:val="11"/>
        <w:ind w:left="360" w:hanging="360"/>
        <w:jc w:val="left"/>
      </w:pPr>
      <w:r>
        <w:rPr>
          <w:rStyle w:val="10"/>
        </w:rPr>
        <w:footnoteRef/>
      </w:r>
      <w:r>
        <w:tab/>
      </w:r>
      <w:r>
        <w:rPr>
          <w:rFonts w:ascii="Times New Roman" w:hAnsi="Times New Roman" w:cs="Times New Roman"/>
        </w:rPr>
        <w:t>Lambo, Okolie and Ngwu (n51).</w:t>
      </w:r>
    </w:p>
  </w:footnote>
  <w:footnote w:id="57">
    <w:p w14:paraId="56F8637E">
      <w:pPr>
        <w:pStyle w:val="11"/>
        <w:ind w:left="360" w:hanging="360"/>
        <w:jc w:val="left"/>
      </w:pPr>
      <w:r>
        <w:rPr>
          <w:rStyle w:val="10"/>
        </w:rPr>
        <w:footnoteRef/>
      </w:r>
      <w:r>
        <w:tab/>
      </w:r>
      <w:r>
        <w:rPr>
          <w:rFonts w:ascii="Times New Roman" w:hAnsi="Times New Roman" w:cs="Times New Roman"/>
        </w:rPr>
        <w:t>ibid.</w:t>
      </w:r>
    </w:p>
  </w:footnote>
  <w:footnote w:id="58">
    <w:p w14:paraId="120DB730">
      <w:pPr>
        <w:pStyle w:val="11"/>
        <w:ind w:left="360" w:hanging="360"/>
        <w:jc w:val="left"/>
      </w:pPr>
      <w:r>
        <w:rPr>
          <w:rStyle w:val="10"/>
        </w:rPr>
        <w:footnoteRef/>
      </w:r>
      <w:r>
        <w:tab/>
      </w:r>
      <w:r>
        <w:rPr>
          <w:rFonts w:ascii="Times New Roman" w:hAnsi="Times New Roman" w:cs="Times New Roman"/>
        </w:rPr>
        <w:t>Ogunbodede and Atchrim (n44).</w:t>
      </w:r>
    </w:p>
  </w:footnote>
  <w:footnote w:id="59">
    <w:p w14:paraId="33395AD2">
      <w:pPr>
        <w:pStyle w:val="11"/>
        <w:ind w:left="360" w:hanging="360"/>
        <w:jc w:val="left"/>
      </w:pPr>
      <w:r>
        <w:rPr>
          <w:rStyle w:val="10"/>
        </w:rPr>
        <w:footnoteRef/>
      </w:r>
      <w:r>
        <w:tab/>
      </w:r>
      <w:r>
        <w:rPr>
          <w:rFonts w:ascii="Times New Roman" w:hAnsi="Times New Roman" w:cs="Times New Roman"/>
        </w:rPr>
        <w:t>Copyright Act 2022, s 2(2)(a)–(b).</w:t>
      </w:r>
    </w:p>
  </w:footnote>
  <w:footnote w:id="60">
    <w:p w14:paraId="3A5DEE79">
      <w:pPr>
        <w:pStyle w:val="11"/>
        <w:ind w:left="360" w:hanging="360"/>
        <w:jc w:val="left"/>
      </w:pPr>
      <w:r>
        <w:rPr>
          <w:rStyle w:val="10"/>
        </w:rPr>
        <w:footnoteRef/>
      </w:r>
      <w:r>
        <w:tab/>
      </w:r>
      <w:r>
        <w:rPr>
          <w:rFonts w:ascii="Times New Roman" w:hAnsi="Times New Roman" w:cs="Times New Roman"/>
          <w:i/>
        </w:rPr>
        <w:t>Li v Liu</w:t>
      </w:r>
      <w:r>
        <w:rPr>
          <w:rFonts w:ascii="Times New Roman" w:hAnsi="Times New Roman" w:cs="Times New Roman"/>
        </w:rPr>
        <w:t xml:space="preserve"> [2023] Jing 0491 Min Chu No 11279 (Beijing Internet Ct, 27 November 2023).</w:t>
      </w:r>
    </w:p>
  </w:footnote>
  <w:footnote w:id="61">
    <w:p w14:paraId="40927D09">
      <w:pPr>
        <w:pStyle w:val="11"/>
        <w:ind w:left="360" w:hanging="360"/>
        <w:jc w:val="left"/>
      </w:pPr>
      <w:r>
        <w:rPr>
          <w:rStyle w:val="10"/>
        </w:rPr>
        <w:footnoteRef/>
      </w:r>
      <w:r>
        <w:tab/>
      </w:r>
      <w:r>
        <w:rPr>
          <w:rFonts w:ascii="Times New Roman" w:hAnsi="Times New Roman" w:cs="Times New Roman"/>
          <w:i/>
        </w:rPr>
        <w:t>Thaler v Perlmutter</w:t>
      </w:r>
      <w:r>
        <w:rPr>
          <w:rFonts w:ascii="Times New Roman" w:hAnsi="Times New Roman" w:cs="Times New Roman"/>
        </w:rPr>
        <w:t xml:space="preserve"> 687 F Supp3d 140(DDC2023).</w:t>
      </w:r>
    </w:p>
  </w:footnote>
  <w:footnote w:id="62">
    <w:p w14:paraId="4ED39D62">
      <w:pPr>
        <w:pStyle w:val="11"/>
        <w:ind w:left="360" w:hanging="360"/>
        <w:jc w:val="left"/>
      </w:pPr>
      <w:r>
        <w:rPr>
          <w:rStyle w:val="10"/>
        </w:rPr>
        <w:footnoteRef/>
      </w:r>
      <w:r>
        <w:tab/>
      </w:r>
      <w:r>
        <w:rPr>
          <w:rFonts w:ascii="Times New Roman" w:hAnsi="Times New Roman" w:cs="Times New Roman"/>
        </w:rPr>
        <w:t>Copyright, Designs and Patents Act 1988 (UK), s 9(3).</w:t>
      </w:r>
    </w:p>
  </w:footnote>
  <w:footnote w:id="63">
    <w:p w14:paraId="27498DA6">
      <w:pPr>
        <w:pStyle w:val="11"/>
        <w:ind w:left="360" w:hanging="360"/>
        <w:jc w:val="left"/>
      </w:pPr>
      <w:r>
        <w:rPr>
          <w:rStyle w:val="10"/>
        </w:rPr>
        <w:footnoteRef/>
      </w:r>
      <w:r>
        <w:tab/>
      </w:r>
      <w:r>
        <w:rPr>
          <w:rFonts w:ascii="Times New Roman" w:hAnsi="Times New Roman" w:cs="Times New Roman"/>
          <w:i/>
          <w:iCs/>
        </w:rPr>
        <w:t>Ifeanyi</w:t>
      </w:r>
      <w:r>
        <w:rPr>
          <w:rFonts w:hint="default" w:ascii="Times New Roman" w:hAnsi="Times New Roman" w:cs="Times New Roman"/>
          <w:i/>
          <w:iCs/>
          <w:lang w:val="en-US"/>
        </w:rPr>
        <w:t xml:space="preserve"> </w:t>
      </w:r>
      <w:r>
        <w:rPr>
          <w:rFonts w:ascii="Times New Roman" w:hAnsi="Times New Roman" w:cs="Times New Roman"/>
          <w:i/>
          <w:iCs/>
        </w:rPr>
        <w:t>Okoye v Prompt and Quality Services Ltd</w:t>
      </w:r>
      <w:r>
        <w:rPr>
          <w:rFonts w:ascii="Times New Roman" w:hAnsi="Times New Roman" w:cs="Times New Roman"/>
        </w:rPr>
        <w:t xml:space="preserve"> [1996] FHCLR 814.</w:t>
      </w:r>
    </w:p>
  </w:footnote>
  <w:footnote w:id="64">
    <w:p w14:paraId="4BCBD300">
      <w:pPr>
        <w:pStyle w:val="11"/>
        <w:ind w:left="360" w:hanging="360"/>
        <w:jc w:val="left"/>
      </w:pPr>
      <w:r>
        <w:rPr>
          <w:rStyle w:val="10"/>
        </w:rPr>
        <w:footnoteRef/>
      </w:r>
      <w:r>
        <w:tab/>
      </w:r>
      <w:r>
        <w:rPr>
          <w:rFonts w:ascii="Times New Roman" w:hAnsi="Times New Roman" w:cs="Times New Roman"/>
        </w:rPr>
        <w:t>Dike (n34).</w:t>
      </w:r>
    </w:p>
  </w:footnote>
  <w:footnote w:id="65">
    <w:p w14:paraId="656A7B98">
      <w:pPr>
        <w:pStyle w:val="11"/>
        <w:ind w:left="360" w:hanging="360"/>
        <w:jc w:val="left"/>
      </w:pPr>
      <w:r>
        <w:rPr>
          <w:rStyle w:val="10"/>
        </w:rPr>
        <w:footnoteRef/>
      </w:r>
      <w:r>
        <w:tab/>
      </w:r>
      <w:r>
        <w:rPr>
          <w:rFonts w:ascii="Times New Roman" w:hAnsi="Times New Roman" w:cs="Times New Roman"/>
        </w:rPr>
        <w:t>Berne Convention for the Protection of Literary and Artistic Works 1886, art 6bis.</w:t>
      </w:r>
    </w:p>
  </w:footnote>
  <w:footnote w:id="66">
    <w:p w14:paraId="411452D5">
      <w:pPr>
        <w:pStyle w:val="11"/>
        <w:ind w:left="360" w:hanging="360"/>
        <w:jc w:val="left"/>
      </w:pPr>
      <w:r>
        <w:rPr>
          <w:rStyle w:val="10"/>
        </w:rPr>
        <w:footnoteRef/>
      </w:r>
      <w:r>
        <w:tab/>
      </w:r>
      <w:r>
        <w:rPr>
          <w:rFonts w:ascii="Times New Roman" w:hAnsi="Times New Roman" w:cs="Times New Roman"/>
        </w:rPr>
        <w:t>Copyright Act 2022, ss 14–15.</w:t>
      </w:r>
    </w:p>
  </w:footnote>
  <w:footnote w:id="67">
    <w:p w14:paraId="43BA7C56">
      <w:pPr>
        <w:pStyle w:val="11"/>
        <w:ind w:left="360" w:hanging="360"/>
        <w:jc w:val="left"/>
      </w:pPr>
      <w:r>
        <w:rPr>
          <w:rStyle w:val="10"/>
        </w:rPr>
        <w:footnoteRef/>
      </w:r>
      <w:r>
        <w:tab/>
      </w:r>
      <w:r>
        <w:rPr>
          <w:rFonts w:ascii="Times New Roman" w:hAnsi="Times New Roman" w:cs="Times New Roman"/>
        </w:rPr>
        <w:t xml:space="preserve">R Wacks, </w:t>
      </w:r>
      <w:r>
        <w:rPr>
          <w:rFonts w:ascii="Times New Roman" w:hAnsi="Times New Roman" w:cs="Times New Roman"/>
          <w:i/>
        </w:rPr>
        <w:t>Understanding Jurisprudence: An Introduction to Legal Theory</w:t>
      </w:r>
      <w:r>
        <w:rPr>
          <w:rFonts w:ascii="Times New Roman" w:hAnsi="Times New Roman" w:cs="Times New Roman"/>
        </w:rPr>
        <w:t xml:space="preserve"> (6th edn, OUP 2021).</w:t>
      </w:r>
    </w:p>
  </w:footnote>
  <w:footnote w:id="68">
    <w:p w14:paraId="6440C99B">
      <w:pPr>
        <w:pStyle w:val="11"/>
        <w:ind w:left="360" w:hanging="360"/>
        <w:jc w:val="left"/>
      </w:pPr>
      <w:r>
        <w:rPr>
          <w:rStyle w:val="10"/>
        </w:rPr>
        <w:footnoteRef/>
      </w:r>
      <w:r>
        <w:tab/>
      </w:r>
      <w:r>
        <w:rPr>
          <w:rFonts w:ascii="Times New Roman" w:hAnsi="Times New Roman" w:cs="Times New Roman"/>
        </w:rPr>
        <w:t>Wacks (n68).</w:t>
      </w:r>
    </w:p>
  </w:footnote>
  <w:footnote w:id="69">
    <w:p w14:paraId="24831B66">
      <w:pPr>
        <w:pStyle w:val="11"/>
        <w:ind w:left="360" w:hanging="360"/>
        <w:jc w:val="left"/>
      </w:pPr>
      <w:r>
        <w:rPr>
          <w:rStyle w:val="10"/>
        </w:rPr>
        <w:footnoteRef/>
      </w:r>
      <w:r>
        <w:tab/>
      </w:r>
      <w:r>
        <w:rPr>
          <w:rFonts w:ascii="Times New Roman" w:hAnsi="Times New Roman" w:cs="Times New Roman"/>
        </w:rPr>
        <w:t>Copyright Act 2022, ss 13–15.</w:t>
      </w:r>
    </w:p>
  </w:footnote>
  <w:footnote w:id="70">
    <w:p w14:paraId="54BED499">
      <w:pPr>
        <w:pStyle w:val="11"/>
        <w:ind w:left="360" w:hanging="360"/>
        <w:jc w:val="left"/>
      </w:pPr>
      <w:r>
        <w:rPr>
          <w:rStyle w:val="10"/>
        </w:rPr>
        <w:footnoteRef/>
      </w:r>
      <w:r>
        <w:tab/>
      </w:r>
      <w:r>
        <w:rPr>
          <w:rFonts w:ascii="Times New Roman" w:hAnsi="Times New Roman" w:cs="Times New Roman"/>
        </w:rPr>
        <w:t>ibid ss 40–46, 52–56.</w:t>
      </w:r>
    </w:p>
  </w:footnote>
  <w:footnote w:id="71">
    <w:p w14:paraId="37EEC26E">
      <w:pPr>
        <w:pStyle w:val="11"/>
        <w:ind w:left="360" w:hanging="360"/>
        <w:jc w:val="left"/>
      </w:pPr>
      <w:r>
        <w:rPr>
          <w:rStyle w:val="10"/>
        </w:rPr>
        <w:footnoteRef/>
      </w:r>
      <w:r>
        <w:tab/>
      </w:r>
      <w:r>
        <w:rPr>
          <w:rFonts w:ascii="Times New Roman" w:hAnsi="Times New Roman" w:cs="Times New Roman"/>
        </w:rPr>
        <w:t>Radin (n35).</w:t>
      </w:r>
    </w:p>
  </w:footnote>
  <w:footnote w:id="72">
    <w:p w14:paraId="5DA5CF6D">
      <w:pPr>
        <w:pStyle w:val="11"/>
        <w:ind w:left="360" w:hanging="360"/>
        <w:jc w:val="left"/>
      </w:pPr>
      <w:r>
        <w:rPr>
          <w:rStyle w:val="10"/>
        </w:rPr>
        <w:footnoteRef/>
      </w:r>
      <w:r>
        <w:tab/>
      </w:r>
      <w:r>
        <w:rPr>
          <w:rFonts w:ascii="Times New Roman" w:hAnsi="Times New Roman" w:cs="Times New Roman"/>
        </w:rPr>
        <w:t>ibid.</w:t>
      </w:r>
    </w:p>
  </w:footnote>
  <w:footnote w:id="73">
    <w:p w14:paraId="3D135DCB">
      <w:pPr>
        <w:pStyle w:val="11"/>
        <w:ind w:left="360" w:hanging="360"/>
        <w:jc w:val="left"/>
      </w:pPr>
      <w:r>
        <w:rPr>
          <w:rStyle w:val="10"/>
        </w:rPr>
        <w:footnoteRef/>
      </w:r>
      <w:r>
        <w:tab/>
      </w:r>
      <w:r>
        <w:rPr>
          <w:rFonts w:ascii="Times New Roman" w:hAnsi="Times New Roman" w:cs="Times New Roman"/>
        </w:rPr>
        <w:t>Copyright Act 2022, s 14.</w:t>
      </w:r>
    </w:p>
  </w:footnote>
  <w:footnote w:id="74">
    <w:p w14:paraId="2B01FC61">
      <w:pPr>
        <w:pStyle w:val="11"/>
        <w:ind w:left="360" w:hanging="360"/>
        <w:jc w:val="left"/>
      </w:pPr>
      <w:r>
        <w:rPr>
          <w:rStyle w:val="10"/>
        </w:rPr>
        <w:footnoteRef/>
      </w:r>
      <w:r>
        <w:tab/>
      </w:r>
      <w:r>
        <w:rPr>
          <w:rFonts w:ascii="Times New Roman" w:hAnsi="Times New Roman" w:cs="Times New Roman"/>
        </w:rPr>
        <w:t>Radin (n35).</w:t>
      </w:r>
    </w:p>
  </w:footnote>
  <w:footnote w:id="75">
    <w:p w14:paraId="063BE198">
      <w:pPr>
        <w:pStyle w:val="11"/>
        <w:ind w:left="360" w:hanging="360"/>
        <w:jc w:val="left"/>
      </w:pPr>
      <w:r>
        <w:rPr>
          <w:rStyle w:val="10"/>
        </w:rPr>
        <w:footnoteRef/>
      </w:r>
      <w:r>
        <w:tab/>
      </w:r>
      <w:r>
        <w:rPr>
          <w:rFonts w:ascii="Times New Roman" w:hAnsi="Times New Roman" w:cs="Times New Roman"/>
        </w:rPr>
        <w:t>Copyright Act 2022, ss 55–62.</w:t>
      </w:r>
    </w:p>
  </w:footnote>
  <w:footnote w:id="76">
    <w:p w14:paraId="424A3B37">
      <w:pPr>
        <w:pStyle w:val="11"/>
        <w:ind w:left="360" w:hanging="360"/>
        <w:jc w:val="left"/>
      </w:pPr>
      <w:r>
        <w:rPr>
          <w:rStyle w:val="10"/>
        </w:rPr>
        <w:footnoteRef/>
      </w:r>
      <w:r>
        <w:tab/>
      </w:r>
      <w:r>
        <w:rPr>
          <w:rFonts w:ascii="Times New Roman" w:hAnsi="Times New Roman" w:cs="Times New Roman"/>
        </w:rPr>
        <w:t>ibid s 37.</w:t>
      </w:r>
    </w:p>
  </w:footnote>
  <w:footnote w:id="77">
    <w:p w14:paraId="34CE9342">
      <w:pPr>
        <w:pStyle w:val="11"/>
        <w:ind w:left="360" w:hanging="360"/>
        <w:jc w:val="left"/>
      </w:pPr>
      <w:r>
        <w:rPr>
          <w:rStyle w:val="10"/>
        </w:rPr>
        <w:footnoteRef/>
      </w:r>
      <w:r>
        <w:tab/>
      </w:r>
      <w:r>
        <w:rPr>
          <w:rFonts w:ascii="Times New Roman" w:hAnsi="Times New Roman" w:cs="Times New Roman"/>
          <w:i/>
        </w:rPr>
        <w:t>MCSN v Compact Disc</w:t>
      </w:r>
      <w:r>
        <w:rPr>
          <w:rFonts w:ascii="Times New Roman" w:hAnsi="Times New Roman" w:cs="Times New Roman"/>
        </w:rPr>
        <w:t xml:space="preserve"> [2018] LPELR-46353 (SC).</w:t>
      </w:r>
    </w:p>
  </w:footnote>
  <w:footnote w:id="78">
    <w:p w14:paraId="73F4227D">
      <w:pPr>
        <w:pStyle w:val="11"/>
        <w:ind w:left="360" w:hanging="360"/>
        <w:jc w:val="left"/>
      </w:pPr>
      <w:r>
        <w:rPr>
          <w:rStyle w:val="10"/>
        </w:rPr>
        <w:footnoteRef/>
      </w:r>
      <w:r>
        <w:tab/>
      </w:r>
      <w:r>
        <w:rPr>
          <w:rFonts w:ascii="Times New Roman" w:hAnsi="Times New Roman" w:cs="Times New Roman"/>
        </w:rPr>
        <w:t>ibid.</w:t>
      </w:r>
    </w:p>
  </w:footnote>
  <w:footnote w:id="79">
    <w:p w14:paraId="77DC1B9B">
      <w:pPr>
        <w:pStyle w:val="11"/>
        <w:ind w:left="360" w:hanging="360"/>
        <w:jc w:val="left"/>
      </w:pPr>
      <w:r>
        <w:rPr>
          <w:rStyle w:val="10"/>
        </w:rPr>
        <w:footnoteRef/>
      </w:r>
      <w:r>
        <w:tab/>
      </w:r>
      <w:r>
        <w:rPr>
          <w:rFonts w:ascii="Times New Roman" w:hAnsi="Times New Roman" w:cs="Times New Roman"/>
        </w:rPr>
        <w:t>Copyright Act 2022, ss 37 and 39.</w:t>
      </w:r>
    </w:p>
  </w:footnote>
  <w:footnote w:id="80">
    <w:p w14:paraId="521BEF6F">
      <w:pPr>
        <w:pStyle w:val="11"/>
        <w:ind w:left="360" w:hanging="360"/>
        <w:jc w:val="left"/>
      </w:pPr>
      <w:r>
        <w:rPr>
          <w:rStyle w:val="10"/>
        </w:rPr>
        <w:footnoteRef/>
      </w:r>
      <w:r>
        <w:tab/>
      </w:r>
      <w:r>
        <w:rPr>
          <w:rFonts w:ascii="Times New Roman" w:hAnsi="Times New Roman" w:cs="Times New Roman"/>
        </w:rPr>
        <w:t>ibid s 78(2)(a).</w:t>
      </w:r>
    </w:p>
  </w:footnote>
  <w:footnote w:id="81">
    <w:p w14:paraId="14BD6558">
      <w:pPr>
        <w:pStyle w:val="11"/>
        <w:ind w:left="360" w:hanging="360"/>
        <w:jc w:val="left"/>
      </w:pPr>
      <w:r>
        <w:rPr>
          <w:rStyle w:val="10"/>
        </w:rPr>
        <w:footnoteRef/>
      </w:r>
      <w:r>
        <w:tab/>
      </w:r>
      <w:r>
        <w:rPr>
          <w:rFonts w:ascii="Times New Roman" w:hAnsi="Times New Roman" w:cs="Times New Roman"/>
        </w:rPr>
        <w:t>ibid s 2.</w:t>
      </w:r>
    </w:p>
  </w:footnote>
  <w:footnote w:id="82">
    <w:p w14:paraId="40E5A9A6">
      <w:pPr>
        <w:pStyle w:val="11"/>
        <w:ind w:left="360" w:hanging="360"/>
        <w:jc w:val="left"/>
      </w:pPr>
      <w:r>
        <w:rPr>
          <w:rStyle w:val="10"/>
        </w:rPr>
        <w:footnoteRef/>
      </w:r>
      <w:r>
        <w:tab/>
      </w:r>
      <w:r>
        <w:rPr>
          <w:rFonts w:ascii="Times New Roman" w:hAnsi="Times New Roman" w:cs="Times New Roman"/>
        </w:rPr>
        <w:t>ibid.</w:t>
      </w:r>
    </w:p>
  </w:footnote>
  <w:footnote w:id="83">
    <w:p w14:paraId="45AA267D">
      <w:pPr>
        <w:pStyle w:val="11"/>
        <w:ind w:left="360" w:hanging="360"/>
        <w:jc w:val="left"/>
      </w:pPr>
      <w:r>
        <w:rPr>
          <w:rStyle w:val="10"/>
        </w:rPr>
        <w:footnoteRef/>
      </w:r>
      <w:r>
        <w:tab/>
      </w:r>
      <w:r>
        <w:rPr>
          <w:rFonts w:ascii="Times New Roman" w:hAnsi="Times New Roman" w:cs="Times New Roman"/>
        </w:rPr>
        <w:t>ibid s 54.</w:t>
      </w:r>
    </w:p>
  </w:footnote>
  <w:footnote w:id="84">
    <w:p w14:paraId="2B935371">
      <w:pPr>
        <w:pStyle w:val="11"/>
        <w:ind w:left="360" w:hanging="360"/>
        <w:jc w:val="left"/>
      </w:pPr>
      <w:r>
        <w:rPr>
          <w:rStyle w:val="10"/>
        </w:rPr>
        <w:footnoteRef/>
      </w:r>
      <w:r>
        <w:tab/>
      </w:r>
      <w:r>
        <w:rPr>
          <w:rFonts w:ascii="Times New Roman" w:hAnsi="Times New Roman" w:cs="Times New Roman"/>
        </w:rPr>
        <w:t>ibid ss 54–55.</w:t>
      </w:r>
    </w:p>
  </w:footnote>
  <w:footnote w:id="85">
    <w:p w14:paraId="4DF4DB36">
      <w:pPr>
        <w:pStyle w:val="11"/>
        <w:ind w:left="360" w:hanging="360"/>
        <w:jc w:val="left"/>
      </w:pPr>
      <w:r>
        <w:rPr>
          <w:rStyle w:val="10"/>
        </w:rPr>
        <w:footnoteRef/>
      </w:r>
      <w:r>
        <w:tab/>
      </w:r>
      <w:r>
        <w:rPr>
          <w:rFonts w:ascii="Times New Roman" w:hAnsi="Times New Roman" w:cs="Times New Roman"/>
        </w:rPr>
        <w:t>ibid s 88.</w:t>
      </w:r>
    </w:p>
  </w:footnote>
  <w:footnote w:id="86">
    <w:p w14:paraId="458A7332">
      <w:pPr>
        <w:pStyle w:val="11"/>
        <w:ind w:left="360" w:hanging="360"/>
        <w:jc w:val="left"/>
      </w:pPr>
      <w:r>
        <w:rPr>
          <w:rStyle w:val="10"/>
        </w:rPr>
        <w:footnoteRef/>
      </w:r>
      <w:r>
        <w:tab/>
      </w:r>
      <w:r>
        <w:rPr>
          <w:rFonts w:ascii="Times New Roman" w:hAnsi="Times New Roman" w:cs="Times New Roman"/>
        </w:rPr>
        <w:t>Cybercrimes (Prohibition, Prevention, etc) Act 2015, s 1(a)–(c).</w:t>
      </w:r>
    </w:p>
  </w:footnote>
  <w:footnote w:id="87">
    <w:p w14:paraId="6B721110">
      <w:pPr>
        <w:pStyle w:val="11"/>
        <w:ind w:left="360" w:hanging="360"/>
        <w:jc w:val="left"/>
      </w:pPr>
      <w:r>
        <w:rPr>
          <w:rStyle w:val="10"/>
        </w:rPr>
        <w:footnoteRef/>
      </w:r>
      <w:r>
        <w:tab/>
      </w:r>
      <w:r>
        <w:rPr>
          <w:rFonts w:ascii="Times New Roman" w:hAnsi="Times New Roman" w:cs="Times New Roman"/>
        </w:rPr>
        <w:t>ibid ss 5–36.</w:t>
      </w:r>
    </w:p>
  </w:footnote>
  <w:footnote w:id="88">
    <w:p w14:paraId="12059318">
      <w:pPr>
        <w:pStyle w:val="11"/>
        <w:ind w:left="360" w:hanging="360"/>
        <w:jc w:val="left"/>
      </w:pPr>
      <w:r>
        <w:rPr>
          <w:rStyle w:val="10"/>
        </w:rPr>
        <w:footnoteRef/>
      </w:r>
      <w:r>
        <w:tab/>
      </w:r>
      <w:r>
        <w:rPr>
          <w:rFonts w:ascii="Times New Roman" w:hAnsi="Times New Roman" w:cs="Times New Roman"/>
        </w:rPr>
        <w:t>ibid s 42(1)–(5).</w:t>
      </w:r>
    </w:p>
  </w:footnote>
  <w:footnote w:id="89">
    <w:p w14:paraId="7AE8B1FE">
      <w:pPr>
        <w:pStyle w:val="11"/>
        <w:ind w:left="360" w:hanging="360"/>
        <w:jc w:val="left"/>
      </w:pPr>
      <w:r>
        <w:rPr>
          <w:rStyle w:val="10"/>
        </w:rPr>
        <w:footnoteRef/>
      </w:r>
      <w:r>
        <w:tab/>
      </w:r>
      <w:r>
        <w:rPr>
          <w:rFonts w:ascii="Times New Roman" w:hAnsi="Times New Roman" w:cs="Times New Roman"/>
          <w:i/>
        </w:rPr>
        <w:t>Sylva v Dickson</w:t>
      </w:r>
      <w:r>
        <w:rPr>
          <w:rFonts w:ascii="Times New Roman" w:hAnsi="Times New Roman" w:cs="Times New Roman"/>
        </w:rPr>
        <w:t xml:space="preserve"> [2016] LPELR-41257 (SC).</w:t>
      </w:r>
    </w:p>
  </w:footnote>
  <w:footnote w:id="90">
    <w:p w14:paraId="4C0158E8">
      <w:pPr>
        <w:pStyle w:val="11"/>
        <w:ind w:left="360" w:hanging="360"/>
        <w:jc w:val="left"/>
      </w:pPr>
      <w:r>
        <w:rPr>
          <w:rStyle w:val="10"/>
        </w:rPr>
        <w:footnoteRef/>
      </w:r>
      <w:r>
        <w:tab/>
      </w:r>
      <w:r>
        <w:rPr>
          <w:rFonts w:ascii="Times New Roman" w:hAnsi="Times New Roman" w:cs="Times New Roman"/>
        </w:rPr>
        <w:t>Evidence Act 2011, s 84.</w:t>
      </w:r>
    </w:p>
  </w:footnote>
  <w:footnote w:id="91">
    <w:p w14:paraId="6ABC8AE1">
      <w:pPr>
        <w:pStyle w:val="11"/>
        <w:ind w:left="360" w:hanging="360"/>
        <w:jc w:val="left"/>
      </w:pPr>
      <w:r>
        <w:rPr>
          <w:rStyle w:val="10"/>
        </w:rPr>
        <w:footnoteRef/>
      </w:r>
      <w:r>
        <w:tab/>
      </w:r>
      <w:r>
        <w:rPr>
          <w:rFonts w:ascii="Times New Roman" w:hAnsi="Times New Roman" w:cs="Times New Roman"/>
        </w:rPr>
        <w:t>NITDA Act 2007, s 1(1)–(2).</w:t>
      </w:r>
    </w:p>
  </w:footnote>
  <w:footnote w:id="92">
    <w:p w14:paraId="5E28C855">
      <w:pPr>
        <w:pStyle w:val="11"/>
        <w:ind w:left="360" w:hanging="360"/>
        <w:jc w:val="left"/>
      </w:pPr>
      <w:r>
        <w:rPr>
          <w:rStyle w:val="10"/>
        </w:rPr>
        <w:footnoteRef/>
      </w:r>
      <w:r>
        <w:tab/>
      </w:r>
      <w:r>
        <w:rPr>
          <w:rFonts w:ascii="Times New Roman" w:hAnsi="Times New Roman" w:cs="Times New Roman"/>
        </w:rPr>
        <w:t>ibid s 6(a) and (c).</w:t>
      </w:r>
    </w:p>
  </w:footnote>
  <w:footnote w:id="93">
    <w:p w14:paraId="5D9A429D">
      <w:pPr>
        <w:pStyle w:val="11"/>
        <w:ind w:left="360" w:hanging="360"/>
        <w:jc w:val="left"/>
      </w:pPr>
      <w:r>
        <w:rPr>
          <w:rStyle w:val="10"/>
        </w:rPr>
        <w:footnoteRef/>
      </w:r>
      <w:r>
        <w:tab/>
      </w:r>
      <w:r>
        <w:rPr>
          <w:rFonts w:ascii="Times New Roman" w:hAnsi="Times New Roman" w:cs="Times New Roman"/>
        </w:rPr>
        <w:t>AfCFTA Protocol on Intellectual Property Rights 2023, art 2(1).</w:t>
      </w:r>
    </w:p>
  </w:footnote>
  <w:footnote w:id="94">
    <w:p w14:paraId="01FA63CB">
      <w:pPr>
        <w:pStyle w:val="11"/>
        <w:ind w:left="360" w:hanging="360"/>
        <w:jc w:val="left"/>
      </w:pPr>
      <w:r>
        <w:rPr>
          <w:rStyle w:val="10"/>
        </w:rPr>
        <w:footnoteRef/>
      </w:r>
      <w:r>
        <w:tab/>
      </w:r>
      <w:r>
        <w:rPr>
          <w:rFonts w:ascii="Times New Roman" w:hAnsi="Times New Roman" w:cs="Times New Roman"/>
        </w:rPr>
        <w:t>ibid art 30.</w:t>
      </w:r>
    </w:p>
  </w:footnote>
  <w:footnote w:id="95">
    <w:p w14:paraId="7DD325A7">
      <w:pPr>
        <w:pStyle w:val="11"/>
        <w:ind w:left="360" w:hanging="360"/>
        <w:jc w:val="left"/>
      </w:pPr>
      <w:r>
        <w:rPr>
          <w:rStyle w:val="10"/>
        </w:rPr>
        <w:footnoteRef/>
      </w:r>
      <w:r>
        <w:tab/>
      </w:r>
      <w:r>
        <w:rPr>
          <w:rFonts w:ascii="Times New Roman" w:hAnsi="Times New Roman" w:cs="Times New Roman"/>
        </w:rPr>
        <w:t>ibid art 29(1).</w:t>
      </w:r>
    </w:p>
  </w:footnote>
  <w:footnote w:id="96">
    <w:p w14:paraId="28587FBE">
      <w:pPr>
        <w:pStyle w:val="11"/>
        <w:ind w:left="360" w:hanging="360"/>
        <w:jc w:val="left"/>
      </w:pPr>
      <w:r>
        <w:rPr>
          <w:rStyle w:val="10"/>
        </w:rPr>
        <w:footnoteRef/>
      </w:r>
      <w:r>
        <w:tab/>
      </w:r>
      <w:r>
        <w:rPr>
          <w:rFonts w:ascii="Times New Roman" w:hAnsi="Times New Roman" w:cs="Times New Roman"/>
        </w:rPr>
        <w:t>TRIPS Agreement 1994, art 7(8); Berne Convention 1886, art 5(2).</w:t>
      </w:r>
    </w:p>
  </w:footnote>
  <w:footnote w:id="97">
    <w:p w14:paraId="66296108">
      <w:pPr>
        <w:pStyle w:val="11"/>
        <w:ind w:left="360" w:hanging="360"/>
        <w:jc w:val="left"/>
      </w:pPr>
      <w:r>
        <w:rPr>
          <w:rStyle w:val="10"/>
        </w:rPr>
        <w:footnoteRef/>
      </w:r>
      <w:r>
        <w:tab/>
      </w:r>
      <w:r>
        <w:rPr>
          <w:rFonts w:ascii="Times New Roman" w:hAnsi="Times New Roman" w:cs="Times New Roman"/>
        </w:rPr>
        <w:t>Copyright Act 2022, s 37.</w:t>
      </w:r>
    </w:p>
  </w:footnote>
  <w:footnote w:id="98">
    <w:p w14:paraId="5C7C54E8">
      <w:pPr>
        <w:pStyle w:val="11"/>
        <w:ind w:left="360" w:hanging="360"/>
        <w:jc w:val="left"/>
      </w:pPr>
      <w:r>
        <w:rPr>
          <w:rStyle w:val="10"/>
        </w:rPr>
        <w:footnoteRef/>
      </w:r>
      <w:r>
        <w:tab/>
      </w:r>
      <w:r>
        <w:rPr>
          <w:rFonts w:ascii="Times New Roman" w:hAnsi="Times New Roman" w:cs="Times New Roman"/>
        </w:rPr>
        <w:t>WIPO, ‘WIPO-Administered Treaties’ &lt;https://www.wipo.int/wipolex/en/treaties/&gt; accessed 12 February 2026.</w:t>
      </w:r>
    </w:p>
  </w:footnote>
  <w:footnote w:id="99">
    <w:p w14:paraId="28D242CA">
      <w:pPr>
        <w:pStyle w:val="11"/>
        <w:ind w:left="360" w:hanging="360"/>
        <w:jc w:val="left"/>
      </w:pPr>
      <w:r>
        <w:rPr>
          <w:rStyle w:val="10"/>
        </w:rPr>
        <w:footnoteRef/>
      </w:r>
      <w:r>
        <w:tab/>
      </w:r>
      <w:r>
        <w:rPr>
          <w:rFonts w:ascii="Times New Roman" w:hAnsi="Times New Roman" w:cs="Times New Roman"/>
        </w:rPr>
        <w:t>Copyright Act 2022, ss 55–62.</w:t>
      </w:r>
    </w:p>
  </w:footnote>
  <w:footnote w:id="100">
    <w:p w14:paraId="2559188D">
      <w:pPr>
        <w:pStyle w:val="11"/>
        <w:ind w:left="360" w:hanging="360"/>
        <w:jc w:val="left"/>
      </w:pPr>
      <w:r>
        <w:rPr>
          <w:rStyle w:val="10"/>
        </w:rPr>
        <w:footnoteRef/>
      </w:r>
      <w:r>
        <w:tab/>
      </w:r>
      <w:r>
        <w:rPr>
          <w:rFonts w:ascii="Times New Roman" w:hAnsi="Times New Roman" w:cs="Times New Roman"/>
        </w:rPr>
        <w:t>ibid s 52.</w:t>
      </w:r>
    </w:p>
  </w:footnote>
  <w:footnote w:id="101">
    <w:p w14:paraId="660F928A">
      <w:pPr>
        <w:pStyle w:val="11"/>
        <w:ind w:left="360" w:hanging="360"/>
        <w:jc w:val="left"/>
      </w:pPr>
      <w:r>
        <w:rPr>
          <w:rStyle w:val="10"/>
        </w:rPr>
        <w:footnoteRef/>
      </w:r>
      <w:r>
        <w:tab/>
      </w:r>
      <w:r>
        <w:rPr>
          <w:rFonts w:ascii="Times New Roman" w:hAnsi="Times New Roman" w:cs="Times New Roman"/>
        </w:rPr>
        <w:t>ibid s 18(2).</w:t>
      </w:r>
    </w:p>
  </w:footnote>
  <w:footnote w:id="102">
    <w:p w14:paraId="7E75B69C">
      <w:pPr>
        <w:pStyle w:val="11"/>
        <w:ind w:left="360" w:hanging="360"/>
        <w:jc w:val="left"/>
      </w:pPr>
      <w:r>
        <w:rPr>
          <w:rStyle w:val="10"/>
        </w:rPr>
        <w:footnoteRef/>
      </w:r>
      <w:r>
        <w:tab/>
      </w:r>
      <w:r>
        <w:rPr>
          <w:rFonts w:ascii="Times New Roman" w:hAnsi="Times New Roman" w:cs="Times New Roman"/>
        </w:rPr>
        <w:t>WIPO (n99).</w:t>
      </w:r>
    </w:p>
  </w:footnote>
  <w:footnote w:id="103">
    <w:p w14:paraId="04EB6FE4">
      <w:pPr>
        <w:pStyle w:val="11"/>
        <w:ind w:left="360" w:hanging="360"/>
        <w:jc w:val="left"/>
      </w:pPr>
      <w:r>
        <w:rPr>
          <w:rStyle w:val="10"/>
        </w:rPr>
        <w:footnoteRef/>
      </w:r>
      <w:r>
        <w:tab/>
      </w:r>
      <w:r>
        <w:rPr>
          <w:rFonts w:ascii="Times New Roman" w:hAnsi="Times New Roman" w:cs="Times New Roman"/>
        </w:rPr>
        <w:t>Copyright Act 2022, ss 26–35.</w:t>
      </w:r>
    </w:p>
  </w:footnote>
  <w:footnote w:id="104">
    <w:p w14:paraId="573042FC">
      <w:pPr>
        <w:pStyle w:val="11"/>
        <w:ind w:left="360" w:hanging="360"/>
        <w:jc w:val="left"/>
      </w:pPr>
      <w:r>
        <w:rPr>
          <w:rStyle w:val="10"/>
        </w:rPr>
        <w:footnoteRef/>
      </w:r>
      <w:r>
        <w:tab/>
      </w:r>
      <w:r>
        <w:rPr>
          <w:rFonts w:ascii="Times New Roman" w:hAnsi="Times New Roman" w:cs="Times New Roman"/>
          <w:i/>
        </w:rPr>
        <w:t>MCSN v Compact Disc</w:t>
      </w:r>
      <w:r>
        <w:rPr>
          <w:rFonts w:ascii="Times New Roman" w:hAnsi="Times New Roman" w:cs="Times New Roman"/>
        </w:rPr>
        <w:t xml:space="preserve"> (n78).</w:t>
      </w:r>
    </w:p>
  </w:footnote>
  <w:footnote w:id="105">
    <w:p w14:paraId="7186B07C">
      <w:pPr>
        <w:pStyle w:val="11"/>
        <w:ind w:left="360" w:hanging="360"/>
        <w:jc w:val="left"/>
      </w:pPr>
      <w:r>
        <w:rPr>
          <w:rStyle w:val="10"/>
        </w:rPr>
        <w:footnoteRef/>
      </w:r>
      <w:r>
        <w:tab/>
      </w:r>
      <w:r>
        <w:rPr>
          <w:rFonts w:ascii="Times New Roman" w:hAnsi="Times New Roman" w:cs="Times New Roman"/>
          <w:i/>
        </w:rPr>
        <w:t>Adeokin Records &amp; Anor v MCSN Ltd</w:t>
      </w:r>
      <w:r>
        <w:rPr>
          <w:rFonts w:ascii="Times New Roman" w:hAnsi="Times New Roman" w:cs="Times New Roman"/>
        </w:rPr>
        <w:t xml:space="preserve"> Suit No SC.336/2008 (SC).</w:t>
      </w:r>
    </w:p>
  </w:footnote>
  <w:footnote w:id="106">
    <w:p w14:paraId="572D7750">
      <w:pPr>
        <w:pStyle w:val="11"/>
        <w:ind w:left="360" w:hanging="360"/>
        <w:jc w:val="left"/>
      </w:pPr>
      <w:r>
        <w:rPr>
          <w:rStyle w:val="10"/>
        </w:rPr>
        <w:footnoteRef/>
      </w:r>
      <w:r>
        <w:tab/>
      </w:r>
      <w:r>
        <w:rPr>
          <w:rFonts w:ascii="Times New Roman" w:hAnsi="Times New Roman" w:cs="Times New Roman"/>
        </w:rPr>
        <w:t>Copyright Act 2022, s 77.</w:t>
      </w:r>
    </w:p>
  </w:footnote>
  <w:footnote w:id="107">
    <w:p w14:paraId="0647120E">
      <w:pPr>
        <w:pStyle w:val="11"/>
        <w:ind w:left="360" w:hanging="360"/>
        <w:jc w:val="left"/>
      </w:pPr>
      <w:r>
        <w:rPr>
          <w:rStyle w:val="10"/>
        </w:rPr>
        <w:footnoteRef/>
      </w:r>
      <w:r>
        <w:tab/>
      </w:r>
      <w:r>
        <w:rPr>
          <w:rFonts w:ascii="Times New Roman" w:hAnsi="Times New Roman" w:cs="Times New Roman"/>
        </w:rPr>
        <w:t>ibid s 78(1)(a).</w:t>
      </w:r>
    </w:p>
  </w:footnote>
  <w:footnote w:id="108">
    <w:p w14:paraId="6F8C5C54">
      <w:pPr>
        <w:pStyle w:val="11"/>
        <w:ind w:left="360" w:hanging="360"/>
        <w:jc w:val="left"/>
      </w:pPr>
      <w:r>
        <w:rPr>
          <w:rStyle w:val="10"/>
        </w:rPr>
        <w:footnoteRef/>
      </w:r>
      <w:r>
        <w:tab/>
      </w:r>
      <w:r>
        <w:rPr>
          <w:rFonts w:ascii="Times New Roman" w:hAnsi="Times New Roman" w:cs="Times New Roman"/>
        </w:rPr>
        <w:t>ibid s 78(2)(a).</w:t>
      </w:r>
    </w:p>
  </w:footnote>
  <w:footnote w:id="109">
    <w:p w14:paraId="76BEFA06">
      <w:pPr>
        <w:pStyle w:val="11"/>
        <w:ind w:left="360" w:hanging="360"/>
        <w:jc w:val="left"/>
      </w:pPr>
      <w:r>
        <w:rPr>
          <w:rStyle w:val="10"/>
        </w:rPr>
        <w:footnoteRef/>
      </w:r>
      <w:r>
        <w:tab/>
      </w:r>
      <w:r>
        <w:rPr>
          <w:rFonts w:ascii="Times New Roman" w:hAnsi="Times New Roman" w:cs="Times New Roman"/>
        </w:rPr>
        <w:t>ibid s 78(1)(c).</w:t>
      </w:r>
    </w:p>
  </w:footnote>
  <w:footnote w:id="110">
    <w:p w14:paraId="178AAD98">
      <w:pPr>
        <w:pStyle w:val="11"/>
        <w:ind w:left="360" w:hanging="360"/>
        <w:jc w:val="left"/>
      </w:pPr>
      <w:r>
        <w:rPr>
          <w:rStyle w:val="10"/>
        </w:rPr>
        <w:footnoteRef/>
      </w:r>
      <w:r>
        <w:tab/>
      </w:r>
      <w:r>
        <w:rPr>
          <w:rFonts w:ascii="Times New Roman" w:hAnsi="Times New Roman" w:cs="Times New Roman"/>
        </w:rPr>
        <w:t>The Nation, ‘53 Convicted in Four Years for Copyright Offences’ The Nation (28 July 2015) &lt;https://thenationonlineng.net/53-convicted-in-four-years-for-copyright-offences/&gt; accessed 14 February 2026.</w:t>
      </w:r>
    </w:p>
  </w:footnote>
  <w:footnote w:id="111">
    <w:p w14:paraId="3E326BF9">
      <w:pPr>
        <w:pStyle w:val="11"/>
        <w:ind w:left="360" w:hanging="360"/>
        <w:jc w:val="left"/>
      </w:pPr>
      <w:r>
        <w:rPr>
          <w:rStyle w:val="10"/>
        </w:rPr>
        <w:footnoteRef/>
      </w:r>
      <w:r>
        <w:tab/>
      </w:r>
      <w:r>
        <w:rPr>
          <w:rFonts w:ascii="Times New Roman" w:hAnsi="Times New Roman" w:cs="Times New Roman"/>
        </w:rPr>
        <w:t>ibid.</w:t>
      </w:r>
    </w:p>
  </w:footnote>
  <w:footnote w:id="112">
    <w:p w14:paraId="2F64FB70">
      <w:pPr>
        <w:pStyle w:val="11"/>
        <w:ind w:left="360" w:hanging="360"/>
        <w:jc w:val="left"/>
      </w:pPr>
      <w:r>
        <w:rPr>
          <w:rStyle w:val="10"/>
        </w:rPr>
        <w:footnoteRef/>
      </w:r>
      <w:r>
        <w:tab/>
      </w:r>
      <w:r>
        <w:rPr>
          <w:rFonts w:ascii="Times New Roman" w:hAnsi="Times New Roman" w:cs="Times New Roman"/>
        </w:rPr>
        <w:t>Ibe and Udeoji (n26).</w:t>
      </w:r>
    </w:p>
  </w:footnote>
  <w:footnote w:id="113">
    <w:p w14:paraId="500EB235">
      <w:pPr>
        <w:pStyle w:val="11"/>
        <w:ind w:left="360" w:hanging="360"/>
        <w:jc w:val="left"/>
      </w:pPr>
      <w:r>
        <w:rPr>
          <w:rStyle w:val="10"/>
        </w:rPr>
        <w:footnoteRef/>
      </w:r>
      <w:r>
        <w:tab/>
      </w:r>
      <w:r>
        <w:rPr>
          <w:rFonts w:ascii="Times New Roman" w:hAnsi="Times New Roman" w:cs="Times New Roman"/>
          <w:i/>
        </w:rPr>
        <w:t>MCSN v Compact Disc</w:t>
      </w:r>
      <w:r>
        <w:rPr>
          <w:rFonts w:ascii="Times New Roman" w:hAnsi="Times New Roman" w:cs="Times New Roman"/>
        </w:rPr>
        <w:t xml:space="preserve"> (n78).</w:t>
      </w:r>
    </w:p>
  </w:footnote>
  <w:footnote w:id="114">
    <w:p w14:paraId="5ED76FC5">
      <w:pPr>
        <w:pStyle w:val="11"/>
        <w:ind w:left="360" w:hanging="360"/>
        <w:jc w:val="left"/>
      </w:pPr>
      <w:r>
        <w:rPr>
          <w:rStyle w:val="10"/>
        </w:rPr>
        <w:footnoteRef/>
      </w:r>
      <w:r>
        <w:tab/>
      </w:r>
      <w:r>
        <w:rPr>
          <w:rFonts w:ascii="Times New Roman" w:hAnsi="Times New Roman" w:cs="Times New Roman"/>
        </w:rPr>
        <w:t>For example, disputes between COSON and MCSN.</w:t>
      </w:r>
    </w:p>
  </w:footnote>
  <w:footnote w:id="115">
    <w:p w14:paraId="09E7D494">
      <w:pPr>
        <w:pStyle w:val="11"/>
        <w:ind w:left="360" w:hanging="360"/>
        <w:jc w:val="left"/>
      </w:pPr>
      <w:r>
        <w:rPr>
          <w:rStyle w:val="10"/>
        </w:rPr>
        <w:footnoteRef/>
      </w:r>
      <w:r>
        <w:tab/>
      </w:r>
      <w:r>
        <w:rPr>
          <w:rFonts w:ascii="Times New Roman" w:hAnsi="Times New Roman" w:cs="Times New Roman"/>
        </w:rPr>
        <w:t>NITDA Act 2007, ss 1(1)–(2), 6(a), (j) and (l).</w:t>
      </w:r>
    </w:p>
  </w:footnote>
  <w:footnote w:id="116">
    <w:p w14:paraId="1DD2D67C">
      <w:pPr>
        <w:pStyle w:val="11"/>
        <w:ind w:left="360" w:hanging="360"/>
        <w:jc w:val="left"/>
      </w:pPr>
      <w:r>
        <w:rPr>
          <w:rStyle w:val="10"/>
        </w:rPr>
        <w:footnoteRef/>
      </w:r>
      <w:r>
        <w:tab/>
      </w:r>
      <w:r>
        <w:rPr>
          <w:rFonts w:ascii="Times New Roman" w:hAnsi="Times New Roman" w:cs="Times New Roman"/>
        </w:rPr>
        <w:t>Nigeria Data Protection Regulation 2019.</w:t>
      </w:r>
    </w:p>
  </w:footnote>
  <w:footnote w:id="117">
    <w:p w14:paraId="3C7B06AC">
      <w:pPr>
        <w:pStyle w:val="11"/>
        <w:ind w:left="360" w:hanging="360"/>
        <w:jc w:val="left"/>
      </w:pPr>
      <w:r>
        <w:rPr>
          <w:rStyle w:val="10"/>
        </w:rPr>
        <w:footnoteRef/>
      </w:r>
      <w:r>
        <w:tab/>
      </w:r>
      <w:r>
        <w:rPr>
          <w:rFonts w:ascii="Times New Roman" w:hAnsi="Times New Roman" w:cs="Times New Roman"/>
        </w:rPr>
        <w:t>Federal Ministry of Communications and Digital Economy, National Digital Economy Policy and Strategy 2020–2030 &lt;https://nitda.gov.ng/wp-content/uploads/2020/06/National-Digital-Economy-Policy-and-Strategy.pdf&gt; accessed 12 February 2026.</w:t>
      </w:r>
    </w:p>
  </w:footnote>
  <w:footnote w:id="118">
    <w:p w14:paraId="56BBD418">
      <w:pPr>
        <w:pStyle w:val="11"/>
        <w:ind w:left="360" w:hanging="360"/>
        <w:jc w:val="left"/>
      </w:pPr>
      <w:r>
        <w:rPr>
          <w:rStyle w:val="10"/>
        </w:rPr>
        <w:footnoteRef/>
      </w:r>
      <w:r>
        <w:tab/>
      </w:r>
      <w:r>
        <w:rPr>
          <w:rFonts w:ascii="Times New Roman" w:hAnsi="Times New Roman" w:cs="Times New Roman"/>
        </w:rPr>
        <w:t>AfCFTA Protocol on Intellectual Property Rights 2023, art 32.</w:t>
      </w:r>
    </w:p>
  </w:footnote>
  <w:footnote w:id="119">
    <w:p w14:paraId="7EC46DDD">
      <w:pPr>
        <w:pStyle w:val="11"/>
        <w:ind w:left="360" w:hanging="360"/>
        <w:jc w:val="left"/>
      </w:pPr>
      <w:r>
        <w:rPr>
          <w:rStyle w:val="10"/>
        </w:rPr>
        <w:footnoteRef/>
      </w:r>
      <w:r>
        <w:tab/>
      </w:r>
      <w:r>
        <w:rPr>
          <w:rFonts w:ascii="Times New Roman" w:hAnsi="Times New Roman" w:cs="Times New Roman"/>
        </w:rPr>
        <w:t>ibid arts 22–23.</w:t>
      </w:r>
    </w:p>
  </w:footnote>
  <w:footnote w:id="120">
    <w:p w14:paraId="50B7AC9F">
      <w:pPr>
        <w:pStyle w:val="11"/>
        <w:ind w:left="360" w:hanging="360"/>
        <w:jc w:val="left"/>
      </w:pPr>
      <w:r>
        <w:rPr>
          <w:rStyle w:val="10"/>
        </w:rPr>
        <w:footnoteRef/>
      </w:r>
      <w:r>
        <w:tab/>
      </w:r>
      <w:r>
        <w:rPr>
          <w:rFonts w:ascii="Times New Roman" w:hAnsi="Times New Roman" w:cs="Times New Roman"/>
        </w:rPr>
        <w:t>For example, the Copyright Act 2022 and the Collective Management Regulations.</w:t>
      </w:r>
    </w:p>
  </w:footnote>
  <w:footnote w:id="121">
    <w:p w14:paraId="31663AD6">
      <w:pPr>
        <w:pStyle w:val="11"/>
        <w:ind w:left="360" w:hanging="360"/>
        <w:jc w:val="left"/>
      </w:pPr>
      <w:r>
        <w:rPr>
          <w:rStyle w:val="10"/>
        </w:rPr>
        <w:footnoteRef/>
      </w:r>
      <w:r>
        <w:tab/>
      </w:r>
      <w:r>
        <w:rPr>
          <w:rFonts w:ascii="Times New Roman" w:hAnsi="Times New Roman" w:cs="Times New Roman"/>
        </w:rPr>
        <w:t>WIPO (n99).</w:t>
      </w:r>
    </w:p>
  </w:footnote>
  <w:footnote w:id="122">
    <w:p w14:paraId="39EBECDF">
      <w:pPr>
        <w:pStyle w:val="11"/>
        <w:ind w:left="360" w:hanging="360"/>
        <w:jc w:val="left"/>
      </w:pPr>
      <w:r>
        <w:rPr>
          <w:rStyle w:val="10"/>
        </w:rPr>
        <w:footnoteRef/>
      </w:r>
      <w:r>
        <w:tab/>
      </w:r>
      <w:r>
        <w:rPr>
          <w:rFonts w:ascii="Times New Roman" w:hAnsi="Times New Roman" w:cs="Times New Roman"/>
        </w:rPr>
        <w:t>United States Trade Representative, 2019 Special 301 Report &lt;https://ustr.gov/sites/default/files/2019_Special_301_Report.pdf&gt; accessed 12 February 2026.</w:t>
      </w:r>
    </w:p>
  </w:footnote>
  <w:footnote w:id="123">
    <w:p w14:paraId="2AEB0BA4">
      <w:pPr>
        <w:pStyle w:val="11"/>
        <w:ind w:left="360" w:hanging="360"/>
        <w:jc w:val="left"/>
      </w:pPr>
      <w:r>
        <w:rPr>
          <w:rStyle w:val="10"/>
        </w:rPr>
        <w:footnoteRef/>
      </w:r>
      <w:r>
        <w:tab/>
      </w:r>
      <w:r>
        <w:rPr>
          <w:rFonts w:ascii="Times New Roman" w:hAnsi="Times New Roman" w:cs="Times New Roman"/>
        </w:rPr>
        <w:t>Intl Federation of the Phonographic Industry (IFPI), Engaging with Music 2023 &lt;https://www.ifpi.org/wp-content/uploads/2023/12/IFPI-Engaging-With-Music-2023_full-report.pdf&gt; accessed 16 February 2026.</w:t>
      </w:r>
    </w:p>
  </w:footnote>
  <w:footnote w:id="124">
    <w:p w14:paraId="162A6A3F">
      <w:pPr>
        <w:pStyle w:val="11"/>
        <w:ind w:left="360" w:hanging="360"/>
        <w:jc w:val="left"/>
      </w:pPr>
      <w:r>
        <w:rPr>
          <w:rStyle w:val="10"/>
        </w:rPr>
        <w:footnoteRef/>
      </w:r>
      <w:r>
        <w:tab/>
      </w:r>
      <w:r>
        <w:rPr>
          <w:rFonts w:ascii="Times New Roman" w:hAnsi="Times New Roman" w:cs="Times New Roman"/>
        </w:rPr>
        <w:t>ibid.</w:t>
      </w:r>
    </w:p>
  </w:footnote>
  <w:footnote w:id="125">
    <w:p w14:paraId="743ABA4A">
      <w:pPr>
        <w:pStyle w:val="11"/>
        <w:ind w:left="360" w:hanging="360"/>
        <w:jc w:val="left"/>
      </w:pPr>
      <w:r>
        <w:rPr>
          <w:rStyle w:val="10"/>
        </w:rPr>
        <w:footnoteRef/>
      </w:r>
      <w:r>
        <w:tab/>
      </w:r>
      <w:r>
        <w:rPr>
          <w:rFonts w:ascii="Times New Roman" w:hAnsi="Times New Roman" w:cs="Times New Roman"/>
        </w:rPr>
        <w:t>UNESCO partners with NCC for cultural heritage awareness.</w:t>
      </w:r>
    </w:p>
  </w:footnote>
  <w:footnote w:id="126">
    <w:p w14:paraId="0C09AD0F">
      <w:pPr>
        <w:pStyle w:val="11"/>
        <w:ind w:left="360" w:hanging="360"/>
        <w:jc w:val="left"/>
      </w:pPr>
      <w:r>
        <w:rPr>
          <w:rStyle w:val="10"/>
        </w:rPr>
        <w:footnoteRef/>
      </w:r>
      <w:r>
        <w:tab/>
      </w:r>
      <w:r>
        <w:rPr>
          <w:rFonts w:ascii="Times New Roman" w:hAnsi="Times New Roman" w:cs="Times New Roman"/>
        </w:rPr>
        <w:t>ARIPO harmonises IP on the continent.</w:t>
      </w:r>
    </w:p>
  </w:footnote>
  <w:footnote w:id="127">
    <w:p w14:paraId="6A40DBCF">
      <w:pPr>
        <w:pStyle w:val="11"/>
        <w:ind w:left="360" w:hanging="360"/>
        <w:jc w:val="left"/>
      </w:pPr>
      <w:r>
        <w:rPr>
          <w:rStyle w:val="10"/>
        </w:rPr>
        <w:footnoteRef/>
      </w:r>
      <w:r>
        <w:tab/>
      </w:r>
      <w:r>
        <w:rPr>
          <w:rFonts w:ascii="Times New Roman" w:hAnsi="Times New Roman" w:cs="Times New Roman"/>
        </w:rPr>
        <w:t>INTERPOL combats transnational piracy rings.</w:t>
      </w:r>
    </w:p>
  </w:footnote>
  <w:footnote w:id="128">
    <w:p w14:paraId="553D795A">
      <w:pPr>
        <w:pStyle w:val="11"/>
        <w:ind w:left="360" w:hanging="360"/>
        <w:jc w:val="left"/>
      </w:pPr>
      <w:r>
        <w:rPr>
          <w:rStyle w:val="10"/>
        </w:rPr>
        <w:footnoteRef/>
      </w:r>
      <w:r>
        <w:tab/>
      </w:r>
      <w:r>
        <w:rPr>
          <w:rFonts w:ascii="Times New Roman" w:hAnsi="Times New Roman" w:cs="Times New Roman"/>
          <w:i/>
        </w:rPr>
        <w:t>Naruto v Slater</w:t>
      </w:r>
      <w:r>
        <w:rPr>
          <w:rFonts w:ascii="Times New Roman" w:hAnsi="Times New Roman" w:cs="Times New Roman"/>
        </w:rPr>
        <w:t xml:space="preserve"> 888 F 3d 418 (9th Cir 2018).</w:t>
      </w:r>
    </w:p>
  </w:footnote>
  <w:footnote w:id="129">
    <w:p w14:paraId="326553C7">
      <w:pPr>
        <w:pStyle w:val="11"/>
        <w:ind w:left="360" w:hanging="360"/>
        <w:jc w:val="left"/>
      </w:pPr>
      <w:r>
        <w:rPr>
          <w:rStyle w:val="10"/>
        </w:rPr>
        <w:footnoteRef/>
      </w:r>
      <w:r>
        <w:tab/>
      </w:r>
      <w:r>
        <w:rPr>
          <w:rFonts w:ascii="Times New Roman" w:hAnsi="Times New Roman" w:cs="Times New Roman"/>
          <w:i/>
        </w:rPr>
        <w:t>Thaler v Perlmutter</w:t>
      </w:r>
      <w:r>
        <w:rPr>
          <w:rFonts w:ascii="Times New Roman" w:hAnsi="Times New Roman" w:cs="Times New Roman"/>
        </w:rPr>
        <w:t xml:space="preserve"> (n62).</w:t>
      </w:r>
    </w:p>
  </w:footnote>
  <w:footnote w:id="130">
    <w:p w14:paraId="744BCA36">
      <w:pPr>
        <w:pStyle w:val="11"/>
        <w:ind w:left="360" w:hanging="360"/>
        <w:jc w:val="left"/>
      </w:pPr>
      <w:r>
        <w:rPr>
          <w:rStyle w:val="10"/>
        </w:rPr>
        <w:footnoteRef/>
      </w:r>
      <w:r>
        <w:tab/>
      </w:r>
      <w:r>
        <w:rPr>
          <w:rFonts w:ascii="Times New Roman" w:hAnsi="Times New Roman" w:cs="Times New Roman"/>
        </w:rPr>
        <w:t>Copyright Act 2022, s 108(1).</w:t>
      </w:r>
    </w:p>
  </w:footnote>
  <w:footnote w:id="131">
    <w:p w14:paraId="1A99806A">
      <w:pPr>
        <w:pStyle w:val="11"/>
        <w:ind w:left="360" w:hanging="360"/>
        <w:jc w:val="left"/>
      </w:pPr>
      <w:r>
        <w:rPr>
          <w:rStyle w:val="10"/>
        </w:rPr>
        <w:footnoteRef/>
      </w:r>
      <w:r>
        <w:tab/>
      </w:r>
      <w:r>
        <w:rPr>
          <w:rFonts w:ascii="Times New Roman" w:hAnsi="Times New Roman" w:cs="Times New Roman"/>
        </w:rPr>
        <w:t>S Eugene-Okorie, ‘Why AI-Generated Content Cannot Be Protected by Copyright Law’ The Guardian (10 June 2025) &lt;https://guardian.ng/opinion/why-ai-generated-content-cannot-be-protected-by-copyright-law/&gt; accessed 12 February 2026.</w:t>
      </w:r>
    </w:p>
  </w:footnote>
  <w:footnote w:id="132">
    <w:p w14:paraId="0DE033A9">
      <w:pPr>
        <w:pStyle w:val="11"/>
        <w:ind w:left="360" w:hanging="360"/>
        <w:jc w:val="left"/>
      </w:pPr>
      <w:r>
        <w:rPr>
          <w:rStyle w:val="10"/>
        </w:rPr>
        <w:footnoteRef/>
      </w:r>
      <w:r>
        <w:tab/>
      </w:r>
      <w:r>
        <w:rPr>
          <w:rFonts w:ascii="Times New Roman" w:hAnsi="Times New Roman" w:cs="Times New Roman"/>
        </w:rPr>
        <w:t>Copyright Act 2022, s 9.</w:t>
      </w:r>
    </w:p>
  </w:footnote>
  <w:footnote w:id="133">
    <w:p w14:paraId="6D2A8301">
      <w:pPr>
        <w:pStyle w:val="11"/>
        <w:ind w:left="360" w:hanging="360"/>
        <w:jc w:val="left"/>
      </w:pPr>
      <w:r>
        <w:rPr>
          <w:rStyle w:val="10"/>
        </w:rPr>
        <w:footnoteRef/>
      </w:r>
      <w:r>
        <w:tab/>
      </w:r>
      <w:r>
        <w:rPr>
          <w:rFonts w:ascii="Times New Roman" w:hAnsi="Times New Roman" w:cs="Times New Roman"/>
          <w:i/>
        </w:rPr>
        <w:t>Falcon v Famous Players Film Co</w:t>
      </w:r>
      <w:r>
        <w:rPr>
          <w:rFonts w:ascii="Times New Roman" w:hAnsi="Times New Roman" w:cs="Times New Roman"/>
        </w:rPr>
        <w:t xml:space="preserve"> [1926] 2 KB 474.</w:t>
      </w:r>
    </w:p>
  </w:footnote>
  <w:footnote w:id="134">
    <w:p w14:paraId="12F0A870">
      <w:pPr>
        <w:pStyle w:val="11"/>
        <w:ind w:left="360" w:hanging="360"/>
        <w:jc w:val="left"/>
      </w:pPr>
      <w:r>
        <w:rPr>
          <w:rStyle w:val="10"/>
        </w:rPr>
        <w:footnoteRef/>
      </w:r>
      <w:r>
        <w:tab/>
      </w:r>
      <w:r>
        <w:rPr>
          <w:rFonts w:ascii="Times New Roman" w:hAnsi="Times New Roman" w:cs="Times New Roman"/>
        </w:rPr>
        <w:t>J Emmason, ‘Copyright: Court Dismisses N500m Suit Against KCEE, E-Money’ Leadership (15 February 2026) &lt;https://leadership.ng/copyright-court-dismisses-n500m-suit-against-kcee-e-money/&gt; accessed 15 February 2026.</w:t>
      </w:r>
    </w:p>
  </w:footnote>
  <w:footnote w:id="135">
    <w:p w14:paraId="357A99E5">
      <w:pPr>
        <w:pStyle w:val="11"/>
        <w:ind w:left="360" w:hanging="360"/>
        <w:jc w:val="left"/>
      </w:pPr>
      <w:r>
        <w:rPr>
          <w:rStyle w:val="10"/>
        </w:rPr>
        <w:footnoteRef/>
      </w:r>
      <w:r>
        <w:tab/>
      </w:r>
      <w:r>
        <w:rPr>
          <w:rFonts w:ascii="Times New Roman" w:hAnsi="Times New Roman" w:cs="Times New Roman"/>
        </w:rPr>
        <w:t>Eugene-Okorie (n132).</w:t>
      </w:r>
    </w:p>
  </w:footnote>
  <w:footnote w:id="136">
    <w:p w14:paraId="3B6EAB6D">
      <w:pPr>
        <w:pStyle w:val="11"/>
        <w:ind w:left="360" w:hanging="360"/>
        <w:jc w:val="left"/>
      </w:pPr>
      <w:r>
        <w:rPr>
          <w:rStyle w:val="10"/>
        </w:rPr>
        <w:footnoteRef/>
      </w:r>
      <w:r>
        <w:tab/>
      </w:r>
      <w:r>
        <w:rPr>
          <w:rFonts w:ascii="Times New Roman" w:hAnsi="Times New Roman" w:cs="Times New Roman"/>
        </w:rPr>
        <w:t>Copyright Act 2022, s 20(1).</w:t>
      </w:r>
    </w:p>
  </w:footnote>
  <w:footnote w:id="137">
    <w:p w14:paraId="1FB34825">
      <w:pPr>
        <w:pStyle w:val="11"/>
        <w:ind w:left="360" w:hanging="360"/>
        <w:jc w:val="left"/>
      </w:pPr>
      <w:r>
        <w:rPr>
          <w:rStyle w:val="10"/>
        </w:rPr>
        <w:footnoteRef/>
      </w:r>
      <w:r>
        <w:tab/>
      </w:r>
      <w:r>
        <w:rPr>
          <w:rFonts w:ascii="Times New Roman" w:hAnsi="Times New Roman" w:cs="Times New Roman"/>
        </w:rPr>
        <w:t>ibid.</w:t>
      </w:r>
    </w:p>
  </w:footnote>
  <w:footnote w:id="138">
    <w:p w14:paraId="3BE37B39">
      <w:pPr>
        <w:pStyle w:val="11"/>
        <w:ind w:left="360" w:hanging="360"/>
        <w:jc w:val="left"/>
      </w:pPr>
      <w:r>
        <w:rPr>
          <w:rStyle w:val="10"/>
        </w:rPr>
        <w:footnoteRef/>
      </w:r>
      <w:r>
        <w:tab/>
      </w:r>
      <w:r>
        <w:rPr>
          <w:rFonts w:ascii="Times New Roman" w:hAnsi="Times New Roman" w:cs="Times New Roman"/>
        </w:rPr>
        <w:t>Adegoke (n8).</w:t>
      </w:r>
    </w:p>
  </w:footnote>
  <w:footnote w:id="139">
    <w:p w14:paraId="20FB13FF">
      <w:pPr>
        <w:pStyle w:val="11"/>
        <w:ind w:left="360" w:hanging="360"/>
        <w:jc w:val="left"/>
      </w:pPr>
      <w:r>
        <w:rPr>
          <w:rStyle w:val="10"/>
        </w:rPr>
        <w:footnoteRef/>
      </w:r>
      <w:r>
        <w:tab/>
      </w:r>
      <w:r>
        <w:rPr>
          <w:rFonts w:ascii="Times New Roman" w:hAnsi="Times New Roman" w:cs="Times New Roman"/>
        </w:rPr>
        <w:t>For example, OpenAI (USA) and Stability AI (UK).</w:t>
      </w:r>
    </w:p>
  </w:footnote>
  <w:footnote w:id="140">
    <w:p w14:paraId="5B3AF2C1">
      <w:pPr>
        <w:pStyle w:val="11"/>
        <w:ind w:left="360" w:hanging="360"/>
        <w:jc w:val="left"/>
      </w:pPr>
      <w:r>
        <w:rPr>
          <w:rStyle w:val="10"/>
        </w:rPr>
        <w:footnoteRef/>
      </w:r>
      <w:r>
        <w:tab/>
      </w:r>
      <w:r>
        <w:rPr>
          <w:rFonts w:ascii="Times New Roman" w:hAnsi="Times New Roman" w:cs="Times New Roman"/>
        </w:rPr>
        <w:t>Cuntz, Fink and Stamm (n24).</w:t>
      </w:r>
    </w:p>
  </w:footnote>
  <w:footnote w:id="141">
    <w:p w14:paraId="7F7FBD23">
      <w:pPr>
        <w:pStyle w:val="11"/>
        <w:ind w:left="360" w:hanging="360"/>
        <w:jc w:val="left"/>
      </w:pPr>
      <w:r>
        <w:rPr>
          <w:rStyle w:val="10"/>
        </w:rPr>
        <w:footnoteRef/>
      </w:r>
      <w:r>
        <w:tab/>
      </w:r>
      <w:r>
        <w:rPr>
          <w:rFonts w:ascii="Times New Roman" w:hAnsi="Times New Roman" w:cs="Times New Roman"/>
        </w:rPr>
        <w:t>State of Washington v Joshua Puloka (aka Joshua EverybodyTalksAbout) No 21-1-04851-2 KNT (Wash Super Ct, King County, 29 March 2024).</w:t>
      </w:r>
    </w:p>
  </w:footnote>
  <w:footnote w:id="142">
    <w:p w14:paraId="6287DE8D">
      <w:pPr>
        <w:pStyle w:val="11"/>
        <w:ind w:left="360" w:hanging="360"/>
        <w:jc w:val="left"/>
      </w:pPr>
      <w:r>
        <w:rPr>
          <w:rStyle w:val="10"/>
        </w:rPr>
        <w:footnoteRef/>
      </w:r>
      <w:r>
        <w:tab/>
      </w:r>
      <w:r>
        <w:rPr>
          <w:rFonts w:ascii="Times New Roman" w:hAnsi="Times New Roman" w:cs="Times New Roman"/>
        </w:rPr>
        <w:t>Law Commission of England and Wales, AI and the Law: Discussion Paper (July 2025) 16–18 &lt;https://cdn.websitebuilder.service.justice.gov.uk/uploads/sites/54/2025/07/AI-paper-PDF.pdf&gt; accessed 14 January 2026.</w:t>
      </w:r>
    </w:p>
  </w:footnote>
  <w:footnote w:id="143">
    <w:p w14:paraId="1171A436">
      <w:pPr>
        <w:pStyle w:val="11"/>
        <w:ind w:left="360" w:hanging="360"/>
        <w:jc w:val="left"/>
      </w:pPr>
      <w:r>
        <w:rPr>
          <w:rStyle w:val="10"/>
        </w:rPr>
        <w:footnoteRef/>
      </w:r>
      <w:r>
        <w:tab/>
      </w:r>
      <w:r>
        <w:rPr>
          <w:rFonts w:ascii="Times New Roman" w:hAnsi="Times New Roman" w:cs="Times New Roman"/>
        </w:rPr>
        <w:t>Proceeds of Crime (Recovery and Management) Act 2022, s 82.</w:t>
      </w:r>
    </w:p>
  </w:footnote>
  <w:footnote w:id="144">
    <w:p w14:paraId="4FB56F0D">
      <w:pPr>
        <w:pStyle w:val="11"/>
        <w:ind w:left="360" w:hanging="360"/>
        <w:jc w:val="left"/>
      </w:pPr>
      <w:r>
        <w:rPr>
          <w:rStyle w:val="10"/>
        </w:rPr>
        <w:footnoteRef/>
      </w:r>
      <w:r>
        <w:tab/>
      </w:r>
      <w:r>
        <w:rPr>
          <w:rFonts w:ascii="Times New Roman" w:hAnsi="Times New Roman" w:cs="Times New Roman"/>
        </w:rPr>
        <w:t>ibid s 6(1)–(2).</w:t>
      </w:r>
    </w:p>
  </w:footnote>
  <w:footnote w:id="145">
    <w:p w14:paraId="7E7231D7">
      <w:pPr>
        <w:pStyle w:val="11"/>
        <w:ind w:left="360" w:hanging="360"/>
        <w:jc w:val="left"/>
      </w:pPr>
      <w:r>
        <w:rPr>
          <w:rStyle w:val="10"/>
        </w:rPr>
        <w:footnoteRef/>
      </w:r>
      <w:r>
        <w:tab/>
      </w:r>
      <w:r>
        <w:rPr>
          <w:rFonts w:ascii="Times New Roman" w:hAnsi="Times New Roman" w:cs="Times New Roman"/>
        </w:rPr>
        <w:t>ibid s 67(1)–(4).</w:t>
      </w:r>
    </w:p>
  </w:footnote>
  <w:footnote w:id="146">
    <w:p w14:paraId="7DEF096D">
      <w:pPr>
        <w:pStyle w:val="11"/>
        <w:ind w:left="360" w:hanging="360"/>
        <w:jc w:val="left"/>
      </w:pPr>
      <w:r>
        <w:rPr>
          <w:rStyle w:val="10"/>
        </w:rPr>
        <w:footnoteRef/>
      </w:r>
      <w:r>
        <w:tab/>
      </w:r>
      <w:r>
        <w:rPr>
          <w:rFonts w:ascii="Times New Roman" w:hAnsi="Times New Roman" w:cs="Times New Roman"/>
        </w:rPr>
        <w:t>For example, a US technology firm.</w:t>
      </w:r>
    </w:p>
  </w:footnote>
  <w:footnote w:id="147">
    <w:p w14:paraId="56499242">
      <w:pPr>
        <w:pStyle w:val="11"/>
        <w:ind w:left="360" w:hanging="360"/>
        <w:jc w:val="left"/>
      </w:pPr>
      <w:r>
        <w:rPr>
          <w:rStyle w:val="10"/>
        </w:rPr>
        <w:footnoteRef/>
      </w:r>
      <w:r>
        <w:tab/>
      </w:r>
      <w:r>
        <w:rPr>
          <w:rFonts w:ascii="Times New Roman" w:hAnsi="Times New Roman" w:cs="Times New Roman"/>
        </w:rPr>
        <w:t>Oloko (n16) 167.</w:t>
      </w:r>
    </w:p>
  </w:footnote>
  <w:footnote w:id="148">
    <w:p w14:paraId="5F7CCAF6">
      <w:pPr>
        <w:pStyle w:val="11"/>
        <w:ind w:left="360" w:hanging="360"/>
        <w:jc w:val="left"/>
      </w:pPr>
      <w:r>
        <w:rPr>
          <w:rStyle w:val="10"/>
        </w:rPr>
        <w:footnoteRef/>
      </w:r>
      <w:r>
        <w:tab/>
      </w:r>
      <w:r>
        <w:rPr>
          <w:rFonts w:ascii="Times New Roman" w:hAnsi="Times New Roman" w:cs="Times New Roman"/>
        </w:rPr>
        <w:t xml:space="preserve">M I O Nwogu, ‘The Challenges of the Nigerian Copyright Commission (NCC) in the Fight Against Copyright Piracy in Nigeria’ [2014] (2)(5) </w:t>
      </w:r>
      <w:r>
        <w:rPr>
          <w:rFonts w:ascii="Times New Roman" w:hAnsi="Times New Roman" w:cs="Times New Roman"/>
          <w:i/>
        </w:rPr>
        <w:t>Global J Politics &amp; L Research</w:t>
      </w:r>
      <w:r>
        <w:rPr>
          <w:rFonts w:ascii="Times New Roman" w:hAnsi="Times New Roman" w:cs="Times New Roman"/>
        </w:rPr>
        <w:t xml:space="preserve"> 22–34 &lt;https://eajournals.org/gjplr/tag/nigerian-copyright-commission/&gt; accessed 12 February 2026.</w:t>
      </w:r>
    </w:p>
  </w:footnote>
  <w:footnote w:id="149">
    <w:p w14:paraId="5183292A">
      <w:pPr>
        <w:pStyle w:val="11"/>
        <w:ind w:left="360" w:hanging="360"/>
        <w:jc w:val="left"/>
      </w:pPr>
      <w:r>
        <w:rPr>
          <w:rStyle w:val="10"/>
        </w:rPr>
        <w:footnoteRef/>
      </w:r>
      <w:r>
        <w:tab/>
      </w:r>
      <w:r>
        <w:rPr>
          <w:rFonts w:ascii="Times New Roman" w:hAnsi="Times New Roman" w:cs="Times New Roman"/>
        </w:rPr>
        <w:t>For example, counterfeiting CDs and Nollywood DVDs.</w:t>
      </w:r>
    </w:p>
  </w:footnote>
  <w:footnote w:id="150">
    <w:p w14:paraId="2FCF1C61">
      <w:pPr>
        <w:pStyle w:val="11"/>
        <w:ind w:left="360" w:hanging="360"/>
        <w:jc w:val="left"/>
      </w:pPr>
      <w:r>
        <w:rPr>
          <w:rStyle w:val="10"/>
        </w:rPr>
        <w:footnoteRef/>
      </w:r>
      <w:r>
        <w:tab/>
      </w:r>
      <w:r>
        <w:rPr>
          <w:rFonts w:ascii="Times New Roman" w:hAnsi="Times New Roman" w:cs="Times New Roman"/>
        </w:rPr>
        <w:t>Ibe and Udeoji (n26).</w:t>
      </w:r>
    </w:p>
  </w:footnote>
  <w:footnote w:id="151">
    <w:p w14:paraId="37809333">
      <w:pPr>
        <w:pStyle w:val="11"/>
        <w:ind w:left="360" w:hanging="360"/>
        <w:jc w:val="left"/>
      </w:pPr>
      <w:r>
        <w:rPr>
          <w:rStyle w:val="10"/>
        </w:rPr>
        <w:footnoteRef/>
      </w:r>
      <w:r>
        <w:tab/>
      </w:r>
      <w:r>
        <w:rPr>
          <w:rFonts w:ascii="Times New Roman" w:hAnsi="Times New Roman" w:cs="Times New Roman"/>
          <w:i/>
        </w:rPr>
        <w:t xml:space="preserve">TV Xtra Productions Ltd v NUC&amp; Zain Nigeria Ltd </w:t>
      </w:r>
      <w:r>
        <w:rPr>
          <w:rFonts w:ascii="Times New Roman" w:hAnsi="Times New Roman" w:cs="Times New Roman"/>
        </w:rPr>
        <w:t>Suit No FHC/ABJ/CS/680/2008 (FHC).</w:t>
      </w:r>
    </w:p>
  </w:footnote>
  <w:footnote w:id="152">
    <w:p w14:paraId="5A9BDCD3">
      <w:pPr>
        <w:pStyle w:val="11"/>
        <w:ind w:left="360" w:hanging="360"/>
        <w:jc w:val="left"/>
      </w:pPr>
      <w:r>
        <w:rPr>
          <w:rStyle w:val="10"/>
        </w:rPr>
        <w:footnoteRef/>
      </w:r>
      <w:r>
        <w:tab/>
      </w:r>
      <w:r>
        <w:rPr>
          <w:rFonts w:ascii="Times New Roman" w:hAnsi="Times New Roman" w:cs="Times New Roman"/>
        </w:rPr>
        <w:t>F Olubanwo, O Osundolire, C Uwanna and E Chuks-Okeke, ‘N703 Million Damages for Copyright Infringement: An Affirmation or Miscarriage of Justice?’ (Banwo&amp;Ighodalo, 2021) &lt;https://www.mondaq.com/nigeria/trademark/1098178/n703-million-damages-for-copyright-infringement-an-affirmation-or-miscarriage-of-justice&gt; accessed 19 February 2026.</w:t>
      </w:r>
    </w:p>
  </w:footnote>
  <w:footnote w:id="153">
    <w:p w14:paraId="28736791">
      <w:pPr>
        <w:pStyle w:val="11"/>
        <w:ind w:left="360" w:hanging="360"/>
        <w:jc w:val="left"/>
      </w:pPr>
      <w:r>
        <w:rPr>
          <w:rStyle w:val="10"/>
        </w:rPr>
        <w:footnoteRef/>
      </w:r>
      <w:r>
        <w:tab/>
      </w:r>
      <w:r>
        <w:rPr>
          <w:rFonts w:ascii="Times New Roman" w:hAnsi="Times New Roman" w:cs="Times New Roman"/>
        </w:rPr>
        <w:t>That is, treating a TV show proposal/format too broadly as if similarity alone proved infringement.</w:t>
      </w:r>
    </w:p>
  </w:footnote>
  <w:footnote w:id="154">
    <w:p w14:paraId="6E58E224">
      <w:pPr>
        <w:pStyle w:val="11"/>
        <w:ind w:left="360" w:hanging="360"/>
        <w:jc w:val="left"/>
      </w:pPr>
      <w:r>
        <w:rPr>
          <w:rStyle w:val="10"/>
        </w:rPr>
        <w:footnoteRef/>
      </w:r>
      <w:r>
        <w:tab/>
      </w:r>
      <w:r>
        <w:rPr>
          <w:rFonts w:ascii="Times New Roman" w:hAnsi="Times New Roman" w:cs="Times New Roman"/>
        </w:rPr>
        <w:t>For example, EU has IP-specialised judges and India has IP offices.</w:t>
      </w:r>
    </w:p>
  </w:footnote>
  <w:footnote w:id="155">
    <w:p w14:paraId="62E86F52">
      <w:pPr>
        <w:pStyle w:val="11"/>
        <w:ind w:left="360" w:hanging="360"/>
        <w:jc w:val="left"/>
      </w:pPr>
      <w:r>
        <w:rPr>
          <w:rStyle w:val="10"/>
        </w:rPr>
        <w:footnoteRef/>
      </w:r>
      <w:r>
        <w:tab/>
      </w:r>
      <w:r>
        <w:rPr>
          <w:rFonts w:ascii="Times New Roman" w:hAnsi="Times New Roman" w:cs="Times New Roman"/>
          <w:i/>
        </w:rPr>
        <w:t xml:space="preserve">TV Xtra Productions Ltd v NUC &amp; Zain </w:t>
      </w:r>
      <w:r>
        <w:rPr>
          <w:rFonts w:ascii="Times New Roman" w:hAnsi="Times New Roman" w:cs="Times New Roman"/>
        </w:rPr>
        <w:t>(n152).</w:t>
      </w:r>
    </w:p>
  </w:footnote>
  <w:footnote w:id="156">
    <w:p w14:paraId="0A037A61">
      <w:pPr>
        <w:pStyle w:val="11"/>
        <w:ind w:left="360" w:hanging="360"/>
        <w:jc w:val="left"/>
      </w:pPr>
      <w:r>
        <w:rPr>
          <w:rStyle w:val="10"/>
        </w:rPr>
        <w:footnoteRef/>
      </w:r>
      <w:r>
        <w:tab/>
      </w:r>
      <w:r>
        <w:rPr>
          <w:rFonts w:ascii="Times New Roman" w:hAnsi="Times New Roman" w:cs="Times New Roman"/>
          <w:i/>
        </w:rPr>
        <w:t>MCSN v Compact Disc</w:t>
      </w:r>
      <w:r>
        <w:rPr>
          <w:rFonts w:ascii="Times New Roman" w:hAnsi="Times New Roman" w:cs="Times New Roman"/>
        </w:rPr>
        <w:t xml:space="preserve"> (n78).</w:t>
      </w:r>
    </w:p>
  </w:footnote>
  <w:footnote w:id="157">
    <w:p w14:paraId="427A89B2">
      <w:pPr>
        <w:pStyle w:val="11"/>
        <w:ind w:left="360" w:hanging="360"/>
        <w:jc w:val="left"/>
      </w:pPr>
      <w:r>
        <w:rPr>
          <w:rStyle w:val="10"/>
        </w:rPr>
        <w:footnoteRef/>
      </w:r>
      <w:r>
        <w:tab/>
      </w:r>
      <w:r>
        <w:rPr>
          <w:rFonts w:ascii="Times New Roman" w:hAnsi="Times New Roman" w:cs="Times New Roman"/>
        </w:rPr>
        <w:t>Proceeds of Crime (Recovery and Management) Act 2022, s 6(1)–(2).</w:t>
      </w:r>
    </w:p>
  </w:footnote>
  <w:footnote w:id="158">
    <w:p w14:paraId="72013CD0">
      <w:pPr>
        <w:pStyle w:val="11"/>
        <w:ind w:left="360" w:hanging="360"/>
        <w:jc w:val="left"/>
      </w:pPr>
      <w:r>
        <w:rPr>
          <w:rStyle w:val="10"/>
        </w:rPr>
        <w:footnoteRef/>
      </w:r>
      <w:r>
        <w:tab/>
      </w:r>
      <w:r>
        <w:rPr>
          <w:rFonts w:ascii="Times New Roman" w:hAnsi="Times New Roman" w:cs="Times New Roman"/>
        </w:rPr>
        <w:t>A Ochojila, ‘Challenges of Copyright Enforcement in Nigeria’ The Guardian (25 April 2023) &lt;https://guardian.ng/features/law/challenges-of-copyright-enforcement-in-nigeria&gt; accessed 12 February 2026.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9465EB"/>
    <w:multiLevelType w:val="multilevel"/>
    <w:tmpl w:val="039465EB"/>
    <w:lvl w:ilvl="0" w:tentative="0">
      <w:start w:val="1"/>
      <w:numFmt w:val="lowerRoman"/>
      <w:lvlText w:val="%1."/>
      <w:lvlJc w:val="right"/>
      <w:pPr>
        <w:tabs>
          <w:tab w:val="left" w:pos="360"/>
        </w:tabs>
        <w:ind w:left="360" w:hanging="360"/>
      </w:pPr>
      <w:rPr>
        <w:rFonts w:asciiTheme="minorHAnsi" w:hAnsiTheme="minorHAnsi" w:eastAsiaTheme="minorHAnsi" w:cstheme="minorBidi"/>
        <w:sz w:val="20"/>
      </w:rPr>
    </w:lvl>
    <w:lvl w:ilvl="1" w:tentative="0">
      <w:start w:val="1"/>
      <w:numFmt w:val="bullet"/>
      <w:lvlText w:val="o"/>
      <w:lvlJc w:val="left"/>
      <w:pPr>
        <w:tabs>
          <w:tab w:val="left" w:pos="1080"/>
        </w:tabs>
        <w:ind w:left="1080" w:hanging="360"/>
      </w:pPr>
      <w:rPr>
        <w:rFonts w:hint="default" w:ascii="Courier New" w:hAnsi="Courier New"/>
        <w:sz w:val="20"/>
      </w:rPr>
    </w:lvl>
    <w:lvl w:ilvl="2" w:tentative="0">
      <w:start w:val="1"/>
      <w:numFmt w:val="bullet"/>
      <w:lvlText w:val=""/>
      <w:lvlJc w:val="left"/>
      <w:pPr>
        <w:tabs>
          <w:tab w:val="left" w:pos="1800"/>
        </w:tabs>
        <w:ind w:left="1800" w:hanging="360"/>
      </w:pPr>
      <w:rPr>
        <w:rFonts w:hint="default" w:ascii="Wingdings" w:hAnsi="Wingdings"/>
        <w:sz w:val="20"/>
      </w:rPr>
    </w:lvl>
    <w:lvl w:ilvl="3" w:tentative="0">
      <w:start w:val="1"/>
      <w:numFmt w:val="bullet"/>
      <w:lvlText w:val=""/>
      <w:lvlJc w:val="left"/>
      <w:pPr>
        <w:tabs>
          <w:tab w:val="left" w:pos="2520"/>
        </w:tabs>
        <w:ind w:left="2520" w:hanging="360"/>
      </w:pPr>
      <w:rPr>
        <w:rFonts w:hint="default" w:ascii="Wingdings" w:hAnsi="Wingdings"/>
        <w:sz w:val="20"/>
      </w:rPr>
    </w:lvl>
    <w:lvl w:ilvl="4" w:tentative="0">
      <w:start w:val="1"/>
      <w:numFmt w:val="bullet"/>
      <w:lvlText w:val=""/>
      <w:lvlJc w:val="left"/>
      <w:pPr>
        <w:tabs>
          <w:tab w:val="left" w:pos="3240"/>
        </w:tabs>
        <w:ind w:left="3240" w:hanging="360"/>
      </w:pPr>
      <w:rPr>
        <w:rFonts w:hint="default" w:ascii="Wingdings" w:hAnsi="Wingdings"/>
        <w:sz w:val="20"/>
      </w:rPr>
    </w:lvl>
    <w:lvl w:ilvl="5" w:tentative="0">
      <w:start w:val="1"/>
      <w:numFmt w:val="bullet"/>
      <w:lvlText w:val=""/>
      <w:lvlJc w:val="left"/>
      <w:pPr>
        <w:tabs>
          <w:tab w:val="left" w:pos="3960"/>
        </w:tabs>
        <w:ind w:left="3960" w:hanging="360"/>
      </w:pPr>
      <w:rPr>
        <w:rFonts w:hint="default" w:ascii="Wingdings" w:hAnsi="Wingdings"/>
        <w:sz w:val="20"/>
      </w:rPr>
    </w:lvl>
    <w:lvl w:ilvl="6" w:tentative="0">
      <w:start w:val="1"/>
      <w:numFmt w:val="bullet"/>
      <w:lvlText w:val=""/>
      <w:lvlJc w:val="left"/>
      <w:pPr>
        <w:tabs>
          <w:tab w:val="left" w:pos="4680"/>
        </w:tabs>
        <w:ind w:left="4680" w:hanging="360"/>
      </w:pPr>
      <w:rPr>
        <w:rFonts w:hint="default" w:ascii="Wingdings" w:hAnsi="Wingdings"/>
        <w:sz w:val="20"/>
      </w:rPr>
    </w:lvl>
    <w:lvl w:ilvl="7" w:tentative="0">
      <w:start w:val="1"/>
      <w:numFmt w:val="bullet"/>
      <w:lvlText w:val=""/>
      <w:lvlJc w:val="left"/>
      <w:pPr>
        <w:tabs>
          <w:tab w:val="left" w:pos="5400"/>
        </w:tabs>
        <w:ind w:left="5400" w:hanging="360"/>
      </w:pPr>
      <w:rPr>
        <w:rFonts w:hint="default" w:ascii="Wingdings" w:hAnsi="Wingdings"/>
        <w:sz w:val="20"/>
      </w:rPr>
    </w:lvl>
    <w:lvl w:ilvl="8" w:tentative="0">
      <w:start w:val="1"/>
      <w:numFmt w:val="bullet"/>
      <w:lvlText w:val=""/>
      <w:lvlJc w:val="left"/>
      <w:pPr>
        <w:tabs>
          <w:tab w:val="left" w:pos="6120"/>
        </w:tabs>
        <w:ind w:left="6120" w:hanging="360"/>
      </w:pPr>
      <w:rPr>
        <w:rFonts w:hint="default" w:ascii="Wingdings" w:hAnsi="Wingdings"/>
        <w:sz w:val="20"/>
      </w:rPr>
    </w:lvl>
  </w:abstractNum>
  <w:abstractNum w:abstractNumId="1">
    <w:nsid w:val="07F45A60"/>
    <w:multiLevelType w:val="multilevel"/>
    <w:tmpl w:val="07F45A60"/>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83D31FF"/>
    <w:multiLevelType w:val="multilevel"/>
    <w:tmpl w:val="083D31FF"/>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D4033E0"/>
    <w:multiLevelType w:val="multilevel"/>
    <w:tmpl w:val="2D4033E0"/>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5F97F26"/>
    <w:multiLevelType w:val="multilevel"/>
    <w:tmpl w:val="55F97F26"/>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D874F90"/>
    <w:multiLevelType w:val="multilevel"/>
    <w:tmpl w:val="5D874F90"/>
    <w:lvl w:ilvl="0" w:tentative="0">
      <w:start w:val="2"/>
      <w:numFmt w:val="decimal"/>
      <w:lvlText w:val="%1"/>
      <w:lvlJc w:val="left"/>
      <w:pPr>
        <w:ind w:left="480" w:hanging="480"/>
      </w:pPr>
      <w:rPr>
        <w:rFonts w:hint="default"/>
      </w:rPr>
    </w:lvl>
    <w:lvl w:ilvl="1" w:tentative="0">
      <w:start w:val="1"/>
      <w:numFmt w:val="decimal"/>
      <w:lvlText w:val="%1.%2"/>
      <w:lvlJc w:val="left"/>
      <w:pPr>
        <w:ind w:left="480" w:hanging="480"/>
      </w:pPr>
      <w:rPr>
        <w:rFonts w:hint="default"/>
      </w:rPr>
    </w:lvl>
    <w:lvl w:ilvl="2" w:tentative="0">
      <w:start w:val="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6">
    <w:nsid w:val="61FD7E45"/>
    <w:multiLevelType w:val="multilevel"/>
    <w:tmpl w:val="61FD7E45"/>
    <w:lvl w:ilvl="0" w:tentative="0">
      <w:start w:val="3"/>
      <w:numFmt w:val="decimal"/>
      <w:lvlText w:val="%1"/>
      <w:lvlJc w:val="left"/>
      <w:pPr>
        <w:ind w:left="660" w:hanging="660"/>
      </w:pPr>
      <w:rPr>
        <w:rFonts w:hint="default"/>
      </w:rPr>
    </w:lvl>
    <w:lvl w:ilvl="1" w:tentative="0">
      <w:start w:val="1"/>
      <w:numFmt w:val="decimal"/>
      <w:lvlText w:val="%1.%2"/>
      <w:lvlJc w:val="left"/>
      <w:pPr>
        <w:ind w:left="660" w:hanging="660"/>
      </w:pPr>
      <w:rPr>
        <w:rFonts w:hint="default"/>
      </w:rPr>
    </w:lvl>
    <w:lvl w:ilvl="2" w:tentative="0">
      <w:start w:val="3"/>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3"/>
  </w:num>
  <w:num w:numId="2">
    <w:abstractNumId w:val="1"/>
  </w:num>
  <w:num w:numId="3">
    <w:abstractNumId w:val="2"/>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displayVerticalDrawingGridEvery w:val="2"/>
  <w:characterSpacingControl w:val="doNotCompress"/>
  <w:footnotePr>
    <w:footnote w:id="318"/>
    <w:footnote w:id="319"/>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071"/>
    <w:rsid w:val="00000778"/>
    <w:rsid w:val="00015B7F"/>
    <w:rsid w:val="000235CF"/>
    <w:rsid w:val="000323C7"/>
    <w:rsid w:val="0004007E"/>
    <w:rsid w:val="00070018"/>
    <w:rsid w:val="0007710A"/>
    <w:rsid w:val="00080D15"/>
    <w:rsid w:val="000A556B"/>
    <w:rsid w:val="000E59FD"/>
    <w:rsid w:val="00107167"/>
    <w:rsid w:val="001208FD"/>
    <w:rsid w:val="001214FF"/>
    <w:rsid w:val="00131962"/>
    <w:rsid w:val="00151757"/>
    <w:rsid w:val="00171889"/>
    <w:rsid w:val="0017681F"/>
    <w:rsid w:val="00187818"/>
    <w:rsid w:val="001A6C96"/>
    <w:rsid w:val="00215B3E"/>
    <w:rsid w:val="00286D20"/>
    <w:rsid w:val="002972F2"/>
    <w:rsid w:val="002A6696"/>
    <w:rsid w:val="002C1D56"/>
    <w:rsid w:val="002E2BAB"/>
    <w:rsid w:val="002F61D8"/>
    <w:rsid w:val="003272C0"/>
    <w:rsid w:val="003638D1"/>
    <w:rsid w:val="00382F59"/>
    <w:rsid w:val="00392031"/>
    <w:rsid w:val="004076FD"/>
    <w:rsid w:val="004207B8"/>
    <w:rsid w:val="004252BC"/>
    <w:rsid w:val="0046155D"/>
    <w:rsid w:val="004639AD"/>
    <w:rsid w:val="00473071"/>
    <w:rsid w:val="00496F1D"/>
    <w:rsid w:val="004D7B23"/>
    <w:rsid w:val="004E6261"/>
    <w:rsid w:val="004E6436"/>
    <w:rsid w:val="004F23E8"/>
    <w:rsid w:val="00505AE1"/>
    <w:rsid w:val="005153FC"/>
    <w:rsid w:val="00524C79"/>
    <w:rsid w:val="0053496D"/>
    <w:rsid w:val="005A6B7F"/>
    <w:rsid w:val="005B415D"/>
    <w:rsid w:val="005D027B"/>
    <w:rsid w:val="0061112B"/>
    <w:rsid w:val="00625B55"/>
    <w:rsid w:val="006538E1"/>
    <w:rsid w:val="0065412C"/>
    <w:rsid w:val="00654817"/>
    <w:rsid w:val="00674AE1"/>
    <w:rsid w:val="00680CBF"/>
    <w:rsid w:val="006B67AD"/>
    <w:rsid w:val="006B6EE1"/>
    <w:rsid w:val="00707227"/>
    <w:rsid w:val="0072239F"/>
    <w:rsid w:val="00765BBD"/>
    <w:rsid w:val="007755B8"/>
    <w:rsid w:val="00786A6D"/>
    <w:rsid w:val="007A4E89"/>
    <w:rsid w:val="007D2193"/>
    <w:rsid w:val="007F4B07"/>
    <w:rsid w:val="008075B5"/>
    <w:rsid w:val="008262A3"/>
    <w:rsid w:val="00857B73"/>
    <w:rsid w:val="00861F3C"/>
    <w:rsid w:val="00866B2E"/>
    <w:rsid w:val="008752EE"/>
    <w:rsid w:val="008B551D"/>
    <w:rsid w:val="008C639E"/>
    <w:rsid w:val="00942163"/>
    <w:rsid w:val="0095576E"/>
    <w:rsid w:val="009560DC"/>
    <w:rsid w:val="0095797E"/>
    <w:rsid w:val="00966C60"/>
    <w:rsid w:val="00994EFC"/>
    <w:rsid w:val="009958D7"/>
    <w:rsid w:val="009E4B33"/>
    <w:rsid w:val="009F0BA8"/>
    <w:rsid w:val="00A1683D"/>
    <w:rsid w:val="00A27C35"/>
    <w:rsid w:val="00A34559"/>
    <w:rsid w:val="00A504F3"/>
    <w:rsid w:val="00A624A5"/>
    <w:rsid w:val="00A709DE"/>
    <w:rsid w:val="00A71BFE"/>
    <w:rsid w:val="00A86780"/>
    <w:rsid w:val="00AC7810"/>
    <w:rsid w:val="00AE2EA6"/>
    <w:rsid w:val="00AE41DE"/>
    <w:rsid w:val="00B10387"/>
    <w:rsid w:val="00B22EC7"/>
    <w:rsid w:val="00B91951"/>
    <w:rsid w:val="00BB1D0E"/>
    <w:rsid w:val="00BB5CA1"/>
    <w:rsid w:val="00BC3C04"/>
    <w:rsid w:val="00BC4D0E"/>
    <w:rsid w:val="00C05ABB"/>
    <w:rsid w:val="00C22646"/>
    <w:rsid w:val="00C245AD"/>
    <w:rsid w:val="00C55EF0"/>
    <w:rsid w:val="00C60337"/>
    <w:rsid w:val="00C76C35"/>
    <w:rsid w:val="00C81A3D"/>
    <w:rsid w:val="00C82A8E"/>
    <w:rsid w:val="00CD2B8D"/>
    <w:rsid w:val="00CD69D9"/>
    <w:rsid w:val="00CE6B15"/>
    <w:rsid w:val="00D31D1B"/>
    <w:rsid w:val="00D36668"/>
    <w:rsid w:val="00D5105E"/>
    <w:rsid w:val="00D60C13"/>
    <w:rsid w:val="00D64C7C"/>
    <w:rsid w:val="00D71CDF"/>
    <w:rsid w:val="00D86ECD"/>
    <w:rsid w:val="00D901F9"/>
    <w:rsid w:val="00D97FE9"/>
    <w:rsid w:val="00DB3203"/>
    <w:rsid w:val="00E01F23"/>
    <w:rsid w:val="00E17067"/>
    <w:rsid w:val="00E4306A"/>
    <w:rsid w:val="00E93CD0"/>
    <w:rsid w:val="00EB7B73"/>
    <w:rsid w:val="00ED3650"/>
    <w:rsid w:val="00EF39B1"/>
    <w:rsid w:val="00EF79BC"/>
    <w:rsid w:val="00F15E7C"/>
    <w:rsid w:val="00F32CFF"/>
    <w:rsid w:val="00F35A81"/>
    <w:rsid w:val="00F65D14"/>
    <w:rsid w:val="00F806F7"/>
    <w:rsid w:val="00F9038C"/>
    <w:rsid w:val="00F913E2"/>
    <w:rsid w:val="00FA11EB"/>
    <w:rsid w:val="00FC412F"/>
    <w:rsid w:val="00FD0671"/>
    <w:rsid w:val="00FD571E"/>
    <w:rsid w:val="047523B7"/>
    <w:rsid w:val="26C20A34"/>
    <w:rsid w:val="5B607CF8"/>
    <w:rsid w:val="6AD61F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paragraph" w:styleId="2">
    <w:name w:val="heading 1"/>
    <w:basedOn w:val="1"/>
    <w:link w:val="21"/>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val="en-US"/>
    </w:rPr>
  </w:style>
  <w:style w:type="paragraph" w:styleId="3">
    <w:name w:val="heading 2"/>
    <w:basedOn w:val="1"/>
    <w:link w:val="22"/>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val="en-US"/>
    </w:rPr>
  </w:style>
  <w:style w:type="paragraph" w:styleId="4">
    <w:name w:val="heading 3"/>
    <w:basedOn w:val="1"/>
    <w:next w:val="1"/>
    <w:link w:val="23"/>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Emphasis"/>
    <w:basedOn w:val="5"/>
    <w:qFormat/>
    <w:uiPriority w:val="20"/>
    <w:rPr>
      <w:i/>
      <w:iCs/>
    </w:rPr>
  </w:style>
  <w:style w:type="character" w:styleId="8">
    <w:name w:val="FollowedHyperlink"/>
    <w:basedOn w:val="5"/>
    <w:semiHidden/>
    <w:unhideWhenUsed/>
    <w:qFormat/>
    <w:uiPriority w:val="99"/>
    <w:rPr>
      <w:color w:val="800080" w:themeColor="followedHyperlink"/>
      <w:u w:val="single"/>
      <w14:textFill>
        <w14:solidFill>
          <w14:schemeClr w14:val="folHlink"/>
        </w14:solidFill>
      </w14:textFill>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character" w:styleId="10">
    <w:name w:val="footnote reference"/>
    <w:basedOn w:val="5"/>
    <w:semiHidden/>
    <w:unhideWhenUsed/>
    <w:qFormat/>
    <w:uiPriority w:val="99"/>
    <w:rPr>
      <w:vertAlign w:val="superscript"/>
    </w:rPr>
  </w:style>
  <w:style w:type="paragraph" w:styleId="11">
    <w:name w:val="footnote text"/>
    <w:basedOn w:val="1"/>
    <w:link w:val="18"/>
    <w:semiHidden/>
    <w:unhideWhenUsed/>
    <w:qFormat/>
    <w:uiPriority w:val="99"/>
    <w:pPr>
      <w:spacing w:after="0" w:line="240" w:lineRule="auto"/>
    </w:pPr>
    <w:rPr>
      <w:sz w:val="20"/>
      <w:szCs w:val="20"/>
    </w:rPr>
  </w:style>
  <w:style w:type="paragraph" w:styleId="12">
    <w:name w:val="header"/>
    <w:basedOn w:val="1"/>
    <w:semiHidden/>
    <w:unhideWhenUsed/>
    <w:qFormat/>
    <w:uiPriority w:val="99"/>
    <w:pPr>
      <w:tabs>
        <w:tab w:val="center" w:pos="4153"/>
        <w:tab w:val="right" w:pos="8306"/>
      </w:tabs>
      <w:snapToGrid w:val="0"/>
    </w:pPr>
    <w:rPr>
      <w:sz w:val="18"/>
      <w:szCs w:val="18"/>
    </w:rPr>
  </w:style>
  <w:style w:type="character" w:styleId="13">
    <w:name w:val="Hyperlink"/>
    <w:basedOn w:val="5"/>
    <w:unhideWhenUsed/>
    <w:qFormat/>
    <w:uiPriority w:val="99"/>
    <w:rPr>
      <w:color w:val="0000FF" w:themeColor="hyperlink"/>
      <w:u w:val="single"/>
      <w14:textFill>
        <w14:solidFill>
          <w14:schemeClr w14:val="hlink"/>
        </w14:solidFill>
      </w14:textFill>
    </w:rPr>
  </w:style>
  <w:style w:type="paragraph" w:styleId="14">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15">
    <w:name w:val="Strong"/>
    <w:basedOn w:val="5"/>
    <w:qFormat/>
    <w:uiPriority w:val="22"/>
    <w:rPr>
      <w:b/>
      <w:bCs/>
    </w:rPr>
  </w:style>
  <w:style w:type="paragraph" w:styleId="16">
    <w:name w:val="toc 1"/>
    <w:basedOn w:val="1"/>
    <w:next w:val="1"/>
    <w:semiHidden/>
    <w:unhideWhenUsed/>
    <w:qFormat/>
    <w:uiPriority w:val="39"/>
  </w:style>
  <w:style w:type="table" w:customStyle="1" w:styleId="17">
    <w:name w:val="Blaise Style1"/>
    <w:basedOn w:val="6"/>
    <w:qFormat/>
    <w:uiPriority w:val="99"/>
    <w:pPr>
      <w:spacing w:after="0" w:line="240" w:lineRule="auto"/>
    </w:pPr>
    <w:tblPr>
      <w:tblBorders>
        <w:top w:val="single" w:color="548DD4" w:themeColor="text2" w:themeTint="99" w:sz="12" w:space="0"/>
        <w:left w:val="single" w:color="548DD4" w:themeColor="text2" w:themeTint="99" w:sz="12" w:space="0"/>
        <w:bottom w:val="single" w:color="548DD4" w:themeColor="text2" w:themeTint="99" w:sz="12" w:space="0"/>
        <w:right w:val="single" w:color="548DD4" w:themeColor="text2" w:themeTint="99" w:sz="12" w:space="0"/>
        <w:insideH w:val="single" w:color="548DD4" w:themeColor="text2" w:themeTint="99" w:sz="12" w:space="0"/>
        <w:insideV w:val="single" w:color="548DD4" w:themeColor="text2" w:themeTint="99" w:sz="12" w:space="0"/>
      </w:tblBorders>
    </w:tblPr>
    <w:tcPr>
      <w:shd w:val="clear" w:color="auto" w:fill="auto"/>
    </w:tcPr>
  </w:style>
  <w:style w:type="character" w:customStyle="1" w:styleId="18">
    <w:name w:val="Footnote Text Char"/>
    <w:basedOn w:val="5"/>
    <w:link w:val="11"/>
    <w:semiHidden/>
    <w:qFormat/>
    <w:uiPriority w:val="99"/>
    <w:rPr>
      <w:sz w:val="20"/>
      <w:szCs w:val="20"/>
      <w:lang w:val="en-GB"/>
    </w:rPr>
  </w:style>
  <w:style w:type="paragraph" w:styleId="19">
    <w:name w:val="List Paragraph"/>
    <w:basedOn w:val="1"/>
    <w:qFormat/>
    <w:uiPriority w:val="34"/>
    <w:pPr>
      <w:ind w:left="720"/>
      <w:contextualSpacing/>
    </w:pPr>
  </w:style>
  <w:style w:type="character" w:customStyle="1" w:styleId="20">
    <w:name w:val="katex-mathml"/>
    <w:basedOn w:val="5"/>
    <w:qFormat/>
    <w:uiPriority w:val="0"/>
  </w:style>
  <w:style w:type="character" w:customStyle="1" w:styleId="21">
    <w:name w:val="Heading 1 Char"/>
    <w:basedOn w:val="5"/>
    <w:link w:val="2"/>
    <w:qFormat/>
    <w:uiPriority w:val="9"/>
    <w:rPr>
      <w:rFonts w:ascii="Times New Roman" w:hAnsi="Times New Roman" w:eastAsia="Times New Roman" w:cs="Times New Roman"/>
      <w:b/>
      <w:bCs/>
      <w:kern w:val="36"/>
      <w:sz w:val="48"/>
      <w:szCs w:val="48"/>
    </w:rPr>
  </w:style>
  <w:style w:type="character" w:customStyle="1" w:styleId="22">
    <w:name w:val="Heading 2 Char"/>
    <w:basedOn w:val="5"/>
    <w:link w:val="3"/>
    <w:qFormat/>
    <w:uiPriority w:val="9"/>
    <w:rPr>
      <w:rFonts w:ascii="Times New Roman" w:hAnsi="Times New Roman" w:eastAsia="Times New Roman" w:cs="Times New Roman"/>
      <w:b/>
      <w:bCs/>
      <w:sz w:val="36"/>
      <w:szCs w:val="36"/>
    </w:rPr>
  </w:style>
  <w:style w:type="character" w:customStyle="1" w:styleId="23">
    <w:name w:val="Heading 3 Char"/>
    <w:basedOn w:val="5"/>
    <w:link w:val="4"/>
    <w:semiHidden/>
    <w:qFormat/>
    <w:uiPriority w:val="9"/>
    <w:rPr>
      <w:rFonts w:asciiTheme="majorHAnsi" w:hAnsiTheme="majorHAnsi" w:eastAsiaTheme="majorEastAsia" w:cstheme="majorBidi"/>
      <w:b/>
      <w:bCs/>
      <w:color w:val="4F81BD" w:themeColor="accent1"/>
      <w:lang w:val="en-GB"/>
      <w14:textFill>
        <w14:solidFill>
          <w14:schemeClr w14:val="accent1"/>
        </w14:solidFill>
      </w14:textFill>
    </w:rPr>
  </w:style>
  <w:style w:type="character" w:customStyle="1" w:styleId="24">
    <w:name w:val="ms-1"/>
    <w:basedOn w:val="5"/>
    <w:qFormat/>
    <w:uiPriority w:val="0"/>
  </w:style>
  <w:style w:type="character" w:customStyle="1" w:styleId="25">
    <w:name w:val="max-w-[15ch]"/>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84</Pages>
  <Words>2256</Words>
  <Characters>12860</Characters>
  <Lines>917</Lines>
  <Paragraphs>258</Paragraphs>
  <TotalTime>1</TotalTime>
  <ScaleCrop>false</ScaleCrop>
  <LinksUpToDate>false</LinksUpToDate>
  <CharactersWithSpaces>15088</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2026-07-12T12:22:00Z</dcterms:created>
  <dc:creator>hp</dc:creator>
  <cp:lastModifiedBy>LULU BIZ</cp:lastModifiedBy>
  <cp:lastPrinted>2026-07-12T14:27:00Z</cp:lastPrinted>
  <dcterms:modified xsi:type="dcterms:W3CDTF">2026-07-27T12:12:44Z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eyJoZGlkIjoiNmNjZWYwYmMwMzIyNGZkZjhiMGQzMmEzMjI2NjRlZDEiLCJ1c2VySWQiOiIzNzI4NjY3MTQyNTU5In0=</vt:lpwstr>
  </property>
  <property fmtid="{D5CDD505-2E9C-101B-9397-08002B2CF9AE}" pid="3" name="KSOProductBuildVer">
    <vt:lpwstr>1033-12.1.0.27458</vt:lpwstr>
  </property>
  <property fmtid="{D5CDD505-2E9C-101B-9397-08002B2CF9AE}" pid="4" name="ICV">
    <vt:lpwstr>85586629AACB493D849A1FFA21AA01EC_13</vt:lpwstr>
  </property>
</Properties>
</file>