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40"/>
        <w:jc w:val="center"/>
        <w:rPr>
          <w:rFonts w:ascii="Times New Roman" w:cs="Times New Roman" w:eastAsia="Times New Roman" w:hAnsi="Times New Roman"/>
          <w:sz w:val="28"/>
          <w:szCs w:val="28"/>
        </w:rPr>
      </w:pPr>
    </w:p>
    <w:p>
      <w:pPr>
        <w:pStyle w:val="style0"/>
        <w:spacing w:after="0" w:lineRule="auto" w:line="240"/>
        <w:jc w:val="center"/>
        <w:rPr>
          <w:rFonts w:ascii="Times New Roman" w:cs="Times New Roman" w:eastAsia="Times New Roman" w:hAnsi="Times New Roman"/>
          <w:sz w:val="28"/>
          <w:szCs w:val="28"/>
        </w:rPr>
      </w:pPr>
      <w:r>
        <w:rPr>
          <w:rFonts w:ascii="Times New Roman" w:cs="Times New Roman" w:eastAsia="Times New Roman" w:hAnsi="Times New Roman"/>
          <w:b/>
          <w:bCs/>
          <w:sz w:val="28"/>
          <w:szCs w:val="28"/>
        </w:rPr>
        <w:t>ISSUES AND CHALLENGES OF EVIDENTIAL REQUIREMENTS IN ESTABLISHING GUILT IN MURDER CASES IN NIGERIA</w:t>
      </w:r>
    </w:p>
    <w:p>
      <w:pPr>
        <w:pStyle w:val="style0"/>
        <w:spacing w:after="0" w:lineRule="auto" w:line="240"/>
        <w:rPr>
          <w:rFonts w:ascii="Times New Roman" w:cs="Times New Roman" w:eastAsia="Times New Roman" w:hAnsi="Times New Roman"/>
          <w:sz w:val="28"/>
          <w:szCs w:val="28"/>
        </w:rPr>
      </w:pPr>
    </w:p>
    <w:p>
      <w:pPr>
        <w:pStyle w:val="style0"/>
        <w:spacing w:after="0" w:lineRule="auto" w:line="240"/>
        <w:jc w:val="center"/>
        <w:rPr>
          <w:rFonts w:ascii="Times New Roman" w:cs="Times New Roman" w:eastAsia="Times New Roman" w:hAnsi="Times New Roman"/>
          <w:sz w:val="28"/>
          <w:szCs w:val="28"/>
        </w:rPr>
      </w:pPr>
      <w:r>
        <w:rPr>
          <w:rFonts w:ascii="Times New Roman" w:cs="Times New Roman" w:eastAsia="Times New Roman" w:hAnsi="Times New Roman"/>
          <w:sz w:val="28"/>
          <w:szCs w:val="28"/>
        </w:rPr>
        <w:t>BY</w:t>
      </w:r>
    </w:p>
    <w:p>
      <w:pPr>
        <w:pStyle w:val="style0"/>
        <w:spacing w:after="0" w:lineRule="auto" w:line="240"/>
        <w:rPr>
          <w:rFonts w:ascii="Times New Roman" w:cs="Times New Roman" w:eastAsia="Times New Roman" w:hAnsi="Times New Roman"/>
          <w:sz w:val="28"/>
          <w:szCs w:val="28"/>
        </w:rPr>
      </w:pPr>
    </w:p>
    <w:p>
      <w:pPr>
        <w:pStyle w:val="style0"/>
        <w:spacing w:after="120" w:lineRule="auto" w:line="240"/>
        <w:jc w:val="center"/>
        <w:rPr>
          <w:rFonts w:ascii="Times New Roman" w:cs="Times New Roman" w:eastAsia="Times New Roman" w:hAnsi="Times New Roman"/>
          <w:sz w:val="28"/>
          <w:szCs w:val="28"/>
        </w:rPr>
      </w:pPr>
      <w:r>
        <w:rPr>
          <w:rFonts w:ascii="Times New Roman" w:cs="Times New Roman" w:eastAsia="Times New Roman" w:hAnsi="Times New Roman"/>
          <w:b/>
          <w:bCs/>
          <w:sz w:val="28"/>
          <w:szCs w:val="28"/>
        </w:rPr>
        <w:t>ILO STACY CHINAZA</w:t>
      </w:r>
    </w:p>
    <w:p>
      <w:pPr>
        <w:pStyle w:val="style0"/>
        <w:spacing w:after="120" w:lineRule="auto" w:line="240"/>
        <w:jc w:val="center"/>
        <w:rPr>
          <w:rFonts w:ascii="Times New Roman" w:cs="Times New Roman" w:eastAsia="Times New Roman" w:hAnsi="Times New Roman"/>
          <w:sz w:val="28"/>
          <w:szCs w:val="28"/>
        </w:rPr>
      </w:pPr>
      <w:r>
        <w:rPr>
          <w:rFonts w:ascii="Times New Roman" w:cs="Times New Roman" w:eastAsia="Times New Roman" w:hAnsi="Times New Roman"/>
          <w:sz w:val="28"/>
          <w:szCs w:val="28"/>
        </w:rPr>
        <w:t>GOU/U21/LAW/389</w:t>
      </w:r>
    </w:p>
    <w:p>
      <w:pPr>
        <w:pStyle w:val="style0"/>
        <w:spacing w:after="0" w:lineRule="auto" w:line="240"/>
        <w:rPr>
          <w:rFonts w:ascii="Times New Roman" w:cs="Times New Roman" w:eastAsia="Times New Roman" w:hAnsi="Times New Roman"/>
          <w:sz w:val="28"/>
          <w:szCs w:val="28"/>
        </w:rPr>
      </w:pPr>
    </w:p>
    <w:p>
      <w:pPr>
        <w:pStyle w:val="style0"/>
        <w:spacing w:after="0" w:lineRule="auto" w:line="240"/>
        <w:rPr>
          <w:rFonts w:ascii="Times New Roman" w:cs="Times New Roman" w:eastAsia="Times New Roman" w:hAnsi="Times New Roman"/>
          <w:sz w:val="28"/>
          <w:szCs w:val="28"/>
        </w:rPr>
      </w:pPr>
    </w:p>
    <w:p>
      <w:pPr>
        <w:pStyle w:val="style0"/>
        <w:spacing w:after="0" w:lineRule="auto" w:line="240"/>
        <w:rPr>
          <w:rFonts w:ascii="Times New Roman" w:cs="Times New Roman" w:eastAsia="Times New Roman" w:hAnsi="Times New Roman"/>
          <w:sz w:val="28"/>
          <w:szCs w:val="28"/>
        </w:rPr>
      </w:pPr>
    </w:p>
    <w:p>
      <w:pPr>
        <w:pStyle w:val="style0"/>
        <w:spacing w:after="0" w:lineRule="auto" w:line="240"/>
        <w:rPr>
          <w:rFonts w:ascii="Times New Roman" w:cs="Times New Roman" w:eastAsia="Times New Roman" w:hAnsi="Times New Roman"/>
          <w:sz w:val="28"/>
          <w:szCs w:val="28"/>
        </w:rPr>
      </w:pPr>
    </w:p>
    <w:p>
      <w:pPr>
        <w:pStyle w:val="style0"/>
        <w:spacing w:after="0" w:lineRule="auto" w:line="240"/>
        <w:rPr>
          <w:rFonts w:ascii="Times New Roman" w:cs="Times New Roman" w:eastAsia="Times New Roman" w:hAnsi="Times New Roman"/>
          <w:sz w:val="28"/>
          <w:szCs w:val="28"/>
        </w:rPr>
      </w:pPr>
    </w:p>
    <w:p>
      <w:pPr>
        <w:pStyle w:val="style0"/>
        <w:spacing w:after="120" w:lineRule="auto" w:line="240"/>
        <w:jc w:val="center"/>
        <w:rPr>
          <w:rFonts w:ascii="Times New Roman" w:cs="Times New Roman" w:eastAsia="Times New Roman" w:hAnsi="Times New Roman"/>
          <w:sz w:val="28"/>
          <w:szCs w:val="28"/>
        </w:rPr>
      </w:pPr>
      <w:r>
        <w:rPr>
          <w:rFonts w:ascii="Times New Roman" w:cs="Times New Roman" w:eastAsia="Times New Roman" w:hAnsi="Times New Roman"/>
          <w:sz w:val="28"/>
          <w:szCs w:val="28"/>
        </w:rPr>
        <w:t>JULY 2026</w:t>
      </w:r>
    </w:p>
    <w:p>
      <w:pPr>
        <w:pStyle w:val="style0"/>
        <w:shd w:val="clear" w:color="auto" w:fill="ffffff"/>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sz w:val="28"/>
          <w:szCs w:val="28"/>
        </w:rPr>
        <w:br w:type="page"/>
      </w:r>
    </w:p>
    <w:p>
      <w:pPr>
        <w:pStyle w:val="style0"/>
        <w:spacing w:after="0" w:lineRule="auto" w:line="240"/>
        <w:rPr>
          <w:rFonts w:ascii="Times New Roman" w:cs="Times New Roman" w:eastAsia="Times New Roman" w:hAnsi="Times New Roman"/>
          <w:sz w:val="20"/>
          <w:szCs w:val="20"/>
        </w:rPr>
      </w:pPr>
    </w:p>
    <w:p>
      <w:pPr>
        <w:pStyle w:val="style0"/>
        <w:spacing w:after="0" w:lineRule="auto" w:line="240"/>
        <w:rPr>
          <w:rFonts w:ascii="Times New Roman" w:cs="Times New Roman" w:eastAsia="Times New Roman" w:hAnsi="Times New Roman"/>
          <w:sz w:val="20"/>
          <w:szCs w:val="20"/>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before="200" w:lineRule="auto" w:line="240"/>
        <w:jc w:val="center"/>
        <w:rPr>
          <w:rFonts w:ascii="Times New Roman" w:cs="Times New Roman" w:eastAsia="Times New Roman" w:hAnsi="Times New Roman"/>
          <w:b/>
          <w:bCs/>
          <w:sz w:val="24"/>
          <w:szCs w:val="24"/>
        </w:rPr>
      </w:pPr>
    </w:p>
    <w:p>
      <w:pPr>
        <w:pStyle w:val="style0"/>
        <w:spacing w:after="0" w:lineRule="auto" w:line="240"/>
        <w:jc w:val="center"/>
        <w:rPr>
          <w:rFonts w:ascii="Times New Roman" w:cs="Times New Roman" w:eastAsia="Times New Roman" w:hAnsi="Times New Roman"/>
          <w:sz w:val="32"/>
          <w:szCs w:val="32"/>
        </w:rPr>
      </w:pPr>
      <w:r>
        <w:rPr>
          <w:rFonts w:ascii="Times New Roman" w:cs="Times New Roman" w:eastAsia="Times New Roman" w:hAnsi="Times New Roman"/>
          <w:b/>
          <w:bCs/>
          <w:sz w:val="32"/>
          <w:szCs w:val="32"/>
        </w:rPr>
        <w:t>ISSUES AND CHALLENGES OF EVIDENTIAL REQUIREMENTS IN ESTABLISHING GUILT IN MURDER CASES IN NIGERIA</w:t>
      </w:r>
    </w:p>
    <w:p>
      <w:pPr>
        <w:pStyle w:val="style0"/>
        <w:spacing w:after="0" w:lineRule="auto" w:line="240"/>
        <w:jc w:val="center"/>
        <w:rPr>
          <w:rFonts w:ascii="Times New Roman" w:cs="Times New Roman" w:eastAsia="Times New Roman" w:hAnsi="Times New Roman"/>
          <w:sz w:val="32"/>
          <w:szCs w:val="32"/>
        </w:rPr>
      </w:pPr>
      <w:r>
        <w:rPr>
          <w:rFonts w:ascii="Times New Roman" w:cs="Times New Roman" w:eastAsia="Times New Roman" w:hAnsi="Times New Roman"/>
          <w:b/>
          <w:bCs/>
          <w:sz w:val="32"/>
          <w:szCs w:val="32"/>
        </w:rPr>
        <w:t>ILO STACY CHINAZA</w:t>
      </w:r>
    </w:p>
    <w:p>
      <w:pPr>
        <w:pStyle w:val="style0"/>
        <w:spacing w:after="120" w:lineRule="auto" w:line="240"/>
        <w:jc w:val="center"/>
        <w:rPr>
          <w:rFonts w:ascii="Times New Roman" w:cs="Times New Roman" w:eastAsia="Times New Roman" w:hAnsi="Times New Roman"/>
          <w:sz w:val="32"/>
          <w:szCs w:val="32"/>
        </w:rPr>
      </w:pPr>
      <w:r>
        <w:rPr>
          <w:rFonts w:ascii="Times New Roman" w:cs="Times New Roman" w:eastAsia="Times New Roman" w:hAnsi="Times New Roman"/>
          <w:sz w:val="32"/>
          <w:szCs w:val="32"/>
        </w:rPr>
        <w:t>GOU/U21/LAW/389</w:t>
      </w:r>
    </w:p>
    <w:p>
      <w:pPr>
        <w:pStyle w:val="style0"/>
        <w:tabs>
          <w:tab w:val="left" w:leader="none" w:pos="3478"/>
        </w:tabs>
        <w:spacing w:after="0" w:lineRule="auto" w:line="240"/>
        <w:rPr>
          <w:rFonts w:ascii="Times New Roman" w:cs="Times New Roman" w:eastAsia="Times New Roman" w:hAnsi="Times New Roman"/>
          <w:sz w:val="32"/>
          <w:szCs w:val="32"/>
        </w:rPr>
      </w:pPr>
      <w:r>
        <w:rPr>
          <w:rFonts w:ascii="Times New Roman" w:cs="Times New Roman" w:eastAsia="Times New Roman" w:hAnsi="Times New Roman"/>
          <w:sz w:val="32"/>
          <w:szCs w:val="32"/>
        </w:rPr>
        <w:tab/>
      </w:r>
    </w:p>
    <w:p>
      <w:pPr>
        <w:pStyle w:val="style0"/>
        <w:spacing w:after="80" w:lineRule="auto" w:line="240"/>
        <w:jc w:val="center"/>
        <w:rPr>
          <w:rFonts w:ascii="Times New Roman" w:cs="Times New Roman" w:eastAsia="Times New Roman" w:hAnsi="Times New Roman"/>
          <w:sz w:val="32"/>
          <w:szCs w:val="32"/>
        </w:rPr>
      </w:pPr>
      <w:r>
        <w:rPr>
          <w:rFonts w:ascii="Times New Roman" w:cs="Times New Roman" w:eastAsia="Times New Roman" w:hAnsi="Times New Roman"/>
          <w:sz w:val="32"/>
          <w:szCs w:val="32"/>
        </w:rPr>
        <w:t>A LONG ESSAY SUBMITTED TO THE FACULTY OF LAW, GODFREY OKOYE UNIVERSITY, ENUGU STATE OF NIGERIA</w:t>
      </w:r>
    </w:p>
    <w:p>
      <w:pPr>
        <w:pStyle w:val="style0"/>
        <w:spacing w:after="120" w:lineRule="auto" w:line="240"/>
        <w:jc w:val="center"/>
        <w:rPr>
          <w:rFonts w:ascii="Times New Roman" w:cs="Times New Roman" w:eastAsia="Times New Roman" w:hAnsi="Times New Roman"/>
          <w:sz w:val="32"/>
          <w:szCs w:val="32"/>
        </w:rPr>
      </w:pPr>
      <w:r>
        <w:rPr>
          <w:rFonts w:ascii="Times New Roman" w:cs="Times New Roman" w:eastAsia="Times New Roman" w:hAnsi="Times New Roman"/>
          <w:sz w:val="32"/>
          <w:szCs w:val="32"/>
        </w:rPr>
        <w:t>IN PARTIAL FULFILMENT OF THE REQUIREMENTS FOR THE AWARD OF BACHELOR OF LAWS (LL.B) DEGREE</w:t>
      </w:r>
    </w:p>
    <w:p>
      <w:pPr>
        <w:pStyle w:val="style0"/>
        <w:spacing w:after="0" w:lineRule="auto" w:line="240"/>
        <w:rPr>
          <w:rFonts w:ascii="Times New Roman" w:cs="Times New Roman" w:eastAsia="Times New Roman" w:hAnsi="Times New Roman"/>
          <w:sz w:val="32"/>
          <w:szCs w:val="32"/>
        </w:rPr>
      </w:pPr>
    </w:p>
    <w:p>
      <w:pPr>
        <w:pStyle w:val="style0"/>
        <w:spacing w:after="120" w:lineRule="auto" w:line="240"/>
        <w:jc w:val="center"/>
        <w:rPr>
          <w:rFonts w:ascii="Times New Roman" w:cs="Times New Roman" w:eastAsia="Times New Roman" w:hAnsi="Times New Roman"/>
          <w:sz w:val="32"/>
          <w:szCs w:val="32"/>
        </w:rPr>
      </w:pPr>
      <w:r>
        <w:rPr>
          <w:rFonts w:ascii="Times New Roman" w:cs="Times New Roman" w:eastAsia="Times New Roman" w:hAnsi="Times New Roman"/>
          <w:sz w:val="32"/>
          <w:szCs w:val="32"/>
        </w:rPr>
        <w:t>SUPERVISOR: JOY OBIANUJU NANI</w:t>
      </w:r>
    </w:p>
    <w:p>
      <w:pPr>
        <w:pStyle w:val="style0"/>
        <w:spacing w:after="120" w:lineRule="auto" w:line="240"/>
        <w:jc w:val="center"/>
        <w:rPr>
          <w:rFonts w:ascii="Times New Roman" w:cs="Times New Roman" w:eastAsia="Times New Roman" w:hAnsi="Times New Roman"/>
          <w:sz w:val="32"/>
          <w:szCs w:val="32"/>
        </w:rPr>
      </w:pPr>
    </w:p>
    <w:p>
      <w:pPr>
        <w:pStyle w:val="style0"/>
        <w:spacing w:after="120" w:lineRule="auto" w:line="240"/>
        <w:jc w:val="center"/>
        <w:rPr>
          <w:rFonts w:ascii="Times New Roman" w:cs="Times New Roman" w:eastAsia="Times New Roman" w:hAnsi="Times New Roman"/>
          <w:sz w:val="32"/>
          <w:szCs w:val="32"/>
        </w:rPr>
      </w:pPr>
      <w:r>
        <w:rPr>
          <w:rFonts w:ascii="Times New Roman" w:cs="Times New Roman" w:eastAsia="Times New Roman" w:hAnsi="Times New Roman"/>
          <w:sz w:val="32"/>
          <w:szCs w:val="32"/>
        </w:rPr>
        <w:t>JULY 2026</w:t>
      </w:r>
    </w:p>
    <w:p>
      <w:pPr>
        <w:pStyle w:val="style0"/>
        <w:spacing w:after="0" w:lineRule="auto" w:line="240"/>
        <w:rPr>
          <w:rFonts w:ascii="Times New Roman" w:cs="Times New Roman" w:eastAsia="Times New Roman" w:hAnsi="Times New Roman"/>
          <w:sz w:val="32"/>
          <w:szCs w:val="32"/>
        </w:rPr>
      </w:pPr>
      <w:r>
        <w:rPr>
          <w:rFonts w:ascii="Times New Roman" w:cs="Times New Roman" w:eastAsia="Times New Roman" w:hAnsi="Times New Roman"/>
          <w:sz w:val="32"/>
          <w:szCs w:val="32"/>
        </w:rPr>
        <w:br w:type="page"/>
      </w:r>
    </w:p>
    <w:p>
      <w:pPr>
        <w:pStyle w:val="style0"/>
        <w:spacing w:after="240" w:lineRule="auto" w:line="240"/>
        <w:jc w:val="center"/>
        <w:rPr>
          <w:rFonts w:ascii="Times New Roman" w:cs="Times New Roman" w:eastAsia="Times New Roman" w:hAnsi="Times New Roman"/>
          <w:sz w:val="20"/>
          <w:szCs w:val="20"/>
        </w:rPr>
      </w:pPr>
      <w:r>
        <w:rPr>
          <w:rFonts w:ascii="Times New Roman" w:cs="Times New Roman" w:eastAsia="Times New Roman" w:hAnsi="Times New Roman"/>
          <w:b/>
          <w:bCs/>
          <w:sz w:val="24"/>
          <w:szCs w:val="24"/>
        </w:rPr>
        <w:t>DECLARATION</w:t>
      </w:r>
    </w:p>
    <w:p>
      <w:pPr>
        <w:pStyle w:val="style0"/>
        <w:spacing w:after="0" w:lineRule="auto" w:line="240"/>
        <w:rPr>
          <w:rFonts w:ascii="Times New Roman" w:cs="Times New Roman" w:eastAsia="Times New Roman" w:hAnsi="Times New Roman"/>
          <w:sz w:val="20"/>
          <w:szCs w:val="20"/>
        </w:rPr>
      </w:pPr>
    </w:p>
    <w:p>
      <w:pPr>
        <w:pStyle w:val="style0"/>
        <w:spacing w:after="120" w:lineRule="auto" w:line="480"/>
        <w:jc w:val="both"/>
        <w:rPr>
          <w:rFonts w:ascii="Times New Roman" w:cs="Times New Roman" w:eastAsia="Times New Roman" w:hAnsi="Times New Roman"/>
          <w:sz w:val="20"/>
          <w:szCs w:val="20"/>
        </w:rPr>
      </w:pPr>
      <w:r>
        <w:rPr>
          <w:rFonts w:ascii="Times New Roman" w:cs="Times New Roman" w:eastAsia="Times New Roman" w:hAnsi="Times New Roman"/>
          <w:sz w:val="24"/>
          <w:szCs w:val="24"/>
        </w:rPr>
        <w:t>I declare that this research titled Issues and Challenges of Evidential Requirements in Establishing Guilt in Murder Cases in Nigeria was carried out by me in the Faculty of Law, Godfrey Okoye University, Enugu. The information derived from other sources has been duly acknowledged in the text and a list of references provided in the content of this work is original and has not been submitted in part or full to this university or any other institution or body for the award of any degree or diploma.</w:t>
      </w:r>
    </w:p>
    <w:p>
      <w:pPr>
        <w:pStyle w:val="style0"/>
        <w:spacing w:after="0" w:lineRule="auto" w:line="240"/>
        <w:rPr>
          <w:rFonts w:ascii="Times New Roman" w:cs="Times New Roman" w:eastAsia="Times New Roman" w:hAnsi="Times New Roman"/>
          <w:sz w:val="20"/>
          <w:szCs w:val="20"/>
        </w:rPr>
      </w:pPr>
    </w:p>
    <w:p>
      <w:pPr>
        <w:pStyle w:val="style0"/>
        <w:spacing w:after="0" w:lineRule="auto" w:line="240"/>
        <w:rPr>
          <w:rFonts w:ascii="Times New Roman" w:cs="Times New Roman" w:eastAsia="Times New Roman" w:hAnsi="Times New Roman"/>
          <w:sz w:val="20"/>
          <w:szCs w:val="20"/>
        </w:rPr>
      </w:pPr>
    </w:p>
    <w:p>
      <w:pPr>
        <w:pStyle w:val="style0"/>
        <w:spacing w:after="0" w:lineRule="auto" w:line="240"/>
        <w:rPr>
          <w:rFonts w:ascii="Times New Roman" w:cs="Times New Roman" w:eastAsia="Times New Roman" w:hAnsi="Times New Roman"/>
          <w:sz w:val="20"/>
          <w:szCs w:val="20"/>
        </w:rPr>
      </w:pPr>
    </w:p>
    <w:p>
      <w:pPr>
        <w:pStyle w:val="style0"/>
        <w:spacing w:before="480" w:after="12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__________________________________</w:t>
      </w:r>
    </w:p>
    <w:p>
      <w:pPr>
        <w:pStyle w:val="style0"/>
        <w:spacing w:after="120" w:lineRule="auto" w:line="480"/>
        <w:jc w:val="both"/>
        <w:rPr>
          <w:rFonts w:ascii="Times New Roman" w:cs="Times New Roman" w:eastAsia="Times New Roman" w:hAnsi="Times New Roman"/>
          <w:sz w:val="20"/>
          <w:szCs w:val="20"/>
        </w:rPr>
      </w:pP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ILO STACY CHINAZA</w:t>
      </w:r>
    </w:p>
    <w:p>
      <w:pPr>
        <w:pStyle w:val="style0"/>
        <w:spacing w:after="120" w:lineRule="auto" w:line="480"/>
        <w:jc w:val="both"/>
        <w:rPr>
          <w:rFonts w:ascii="Times New Roman" w:cs="Times New Roman" w:eastAsia="Times New Roman" w:hAnsi="Times New Roman"/>
          <w:sz w:val="20"/>
          <w:szCs w:val="20"/>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GOU/U21/LAW/389</w:t>
      </w:r>
    </w:p>
    <w:p>
      <w:pPr>
        <w:pStyle w:val="style0"/>
        <w:spacing w:after="0" w:lineRule="auto" w:line="240"/>
        <w:rPr>
          <w:rFonts w:ascii="Times New Roman" w:cs="Times New Roman" w:eastAsia="Times New Roman" w:hAnsi="Times New Roman"/>
          <w:sz w:val="20"/>
          <w:szCs w:val="20"/>
        </w:rPr>
      </w:pPr>
      <w:r>
        <w:rPr>
          <w:rFonts w:ascii="Times New Roman" w:cs="Times New Roman" w:eastAsia="Times New Roman" w:hAnsi="Times New Roman"/>
          <w:sz w:val="20"/>
          <w:szCs w:val="20"/>
        </w:rPr>
        <w:br w:type="page"/>
      </w:r>
    </w:p>
    <w:p>
      <w:pPr>
        <w:pStyle w:val="style0"/>
        <w:spacing w:after="240" w:lineRule="auto" w:line="240"/>
        <w:jc w:val="center"/>
        <w:rPr>
          <w:rFonts w:ascii="Times New Roman" w:cs="Times New Roman" w:eastAsia="Times New Roman" w:hAnsi="Times New Roman"/>
          <w:sz w:val="20"/>
          <w:szCs w:val="20"/>
        </w:rPr>
      </w:pPr>
      <w:r>
        <w:rPr>
          <w:rFonts w:ascii="Times New Roman" w:cs="Times New Roman" w:eastAsia="Times New Roman" w:hAnsi="Times New Roman"/>
          <w:b/>
          <w:bCs/>
          <w:sz w:val="24"/>
          <w:szCs w:val="24"/>
        </w:rPr>
        <w:t>CERTIFICATION</w:t>
      </w:r>
    </w:p>
    <w:p>
      <w:pPr>
        <w:pStyle w:val="style0"/>
        <w:spacing w:after="0" w:lineRule="auto" w:line="240"/>
        <w:rPr>
          <w:rFonts w:ascii="Times New Roman" w:cs="Times New Roman" w:eastAsia="Times New Roman" w:hAnsi="Times New Roman"/>
          <w:sz w:val="20"/>
          <w:szCs w:val="20"/>
        </w:rPr>
      </w:pPr>
    </w:p>
    <w:p>
      <w:pPr>
        <w:pStyle w:val="style0"/>
        <w:spacing w:after="120" w:lineRule="auto" w:line="480"/>
        <w:jc w:val="both"/>
        <w:rPr>
          <w:rFonts w:ascii="Times New Roman" w:cs="Times New Roman" w:eastAsia="Times New Roman" w:hAnsi="Times New Roman"/>
          <w:sz w:val="20"/>
          <w:szCs w:val="20"/>
        </w:rPr>
      </w:pPr>
      <w:r>
        <w:rPr>
          <w:rFonts w:ascii="Times New Roman" w:cs="Times New Roman" w:eastAsia="Times New Roman" w:hAnsi="Times New Roman"/>
          <w:sz w:val="24"/>
          <w:szCs w:val="24"/>
        </w:rPr>
        <w:t>This is to certify that ILO STACY CHINAZA an undergraduate student of The Faculty of Law, Godfrey Okoye University, Enugu with registration number GOU/U21/LAW/389 carried out this research work under my supervision in partial fulfilment for the award of Degree of Bachelor of Law (LL.B)</w:t>
      </w:r>
    </w:p>
    <w:p>
      <w:pPr>
        <w:pStyle w:val="style0"/>
        <w:spacing w:after="0" w:lineRule="auto" w:line="240"/>
        <w:rPr>
          <w:rFonts w:ascii="Times New Roman" w:cs="Times New Roman" w:eastAsia="Times New Roman" w:hAnsi="Times New Roman"/>
          <w:sz w:val="24"/>
          <w:szCs w:val="24"/>
        </w:rPr>
      </w:pPr>
    </w:p>
    <w:p>
      <w:pPr>
        <w:pStyle w:val="style0"/>
        <w:spacing w:after="0" w:lineRule="auto" w:line="240"/>
        <w:rPr>
          <w:rFonts w:ascii="Times New Roman" w:cs="Times New Roman" w:eastAsia="Times New Roman" w:hAnsi="Times New Roman"/>
          <w:sz w:val="24"/>
          <w:szCs w:val="24"/>
        </w:rPr>
      </w:pPr>
    </w:p>
    <w:p>
      <w:pPr>
        <w:pStyle w:val="style0"/>
        <w:spacing w:after="0" w:lineRule="auto" w:line="240"/>
        <w:rPr>
          <w:rFonts w:ascii="Times New Roman" w:cs="Times New Roman" w:eastAsia="Times New Roman" w:hAnsi="Times New Roman"/>
          <w:sz w:val="24"/>
          <w:szCs w:val="24"/>
        </w:rPr>
      </w:pPr>
    </w:p>
    <w:p>
      <w:pPr>
        <w:pStyle w:val="style0"/>
        <w:spacing w:before="480" w:after="4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__________________________                                    __________________________</w:t>
      </w:r>
    </w:p>
    <w:p>
      <w:pPr>
        <w:pStyle w:val="style0"/>
        <w:spacing w:after="0" w:lineRule="auto" w:line="240"/>
        <w:rPr>
          <w:rFonts w:ascii="Times New Roman" w:cs="Times New Roman" w:eastAsia="Times New Roman" w:hAnsi="Times New Roman"/>
          <w:sz w:val="20"/>
          <w:szCs w:val="20"/>
        </w:rPr>
      </w:pPr>
      <w:r>
        <w:rPr>
          <w:rFonts w:ascii="Times New Roman" w:cs="Times New Roman" w:eastAsia="Times New Roman" w:hAnsi="Times New Roman"/>
          <w:b/>
          <w:sz w:val="24"/>
          <w:szCs w:val="24"/>
        </w:rPr>
        <w:t xml:space="preserve">      Joy Obianuju Nani</w:t>
      </w:r>
      <w:r>
        <w:rPr>
          <w:rFonts w:ascii="Times New Roman" w:cs="Times New Roman" w:eastAsia="Times New Roman" w:hAnsi="Times New Roman"/>
          <w:sz w:val="24"/>
          <w:szCs w:val="24"/>
        </w:rPr>
        <w:t xml:space="preserve">                                                                       Date</w:t>
      </w:r>
    </w:p>
    <w:p>
      <w:pPr>
        <w:pStyle w:val="style0"/>
        <w:spacing w:after="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Supervisor </w:t>
      </w:r>
    </w:p>
    <w:p>
      <w:pPr>
        <w:pStyle w:val="style0"/>
        <w:spacing w:after="0" w:lineRule="auto" w:line="240"/>
        <w:rPr>
          <w:rFonts w:ascii="Times New Roman" w:cs="Times New Roman" w:eastAsia="Times New Roman" w:hAnsi="Times New Roman"/>
          <w:sz w:val="20"/>
          <w:szCs w:val="20"/>
        </w:rPr>
      </w:pPr>
    </w:p>
    <w:p>
      <w:pPr>
        <w:pStyle w:val="style0"/>
        <w:spacing w:before="480" w:after="4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__________________________                               </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 xml:space="preserve">   __________________________</w:t>
      </w:r>
    </w:p>
    <w:p>
      <w:pPr>
        <w:pStyle w:val="style0"/>
        <w:spacing w:after="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lang w:val="en-US"/>
        </w:rPr>
        <w:t>DR. G O Omeh</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Date</w:t>
      </w:r>
    </w:p>
    <w:p>
      <w:pPr>
        <w:pStyle w:val="style0"/>
        <w:spacing w:after="120" w:lineRule="auto" w:line="480"/>
        <w:jc w:val="both"/>
        <w:rPr>
          <w:rFonts w:ascii="Times New Roman" w:cs="Times New Roman" w:eastAsia="Times New Roman" w:hAnsi="Times New Roman"/>
          <w:sz w:val="20"/>
          <w:szCs w:val="20"/>
        </w:rPr>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lang w:val="en-US"/>
        </w:rPr>
        <w:t xml:space="preserve">AG </w:t>
      </w:r>
      <w:r>
        <w:rPr>
          <w:rFonts w:ascii="Times New Roman" w:cs="Times New Roman" w:eastAsia="Times New Roman" w:hAnsi="Times New Roman"/>
          <w:sz w:val="24"/>
          <w:szCs w:val="24"/>
        </w:rPr>
        <w:t xml:space="preserve">Dean, Faculty of Law </w:t>
      </w:r>
    </w:p>
    <w:p>
      <w:pPr>
        <w:pStyle w:val="style0"/>
        <w:spacing w:after="0" w:lineRule="auto" w:line="240"/>
        <w:rPr>
          <w:rFonts w:ascii="Times New Roman" w:cs="Times New Roman" w:eastAsia="Times New Roman" w:hAnsi="Times New Roman"/>
          <w:sz w:val="20"/>
          <w:szCs w:val="20"/>
        </w:rPr>
      </w:pPr>
    </w:p>
    <w:p>
      <w:pPr>
        <w:pStyle w:val="style0"/>
        <w:spacing w:before="480" w:after="4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__________________________</w:t>
      </w:r>
    </w:p>
    <w:p>
      <w:pPr>
        <w:pStyle w:val="style0"/>
        <w:spacing w:before="480" w:after="40" w:lineRule="auto" w:line="240"/>
        <w:rPr>
          <w:rFonts w:ascii="Times New Roman" w:cs="Times New Roman" w:eastAsia="Times New Roman" w:hAnsi="Times New Roman"/>
          <w:sz w:val="28"/>
          <w:szCs w:val="28"/>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w:t>
      </w:r>
      <w:r>
        <w:rPr>
          <w:rFonts w:ascii="Times New Roman" w:cs="Times New Roman" w:eastAsia="Times New Roman" w:hAnsi="Times New Roman"/>
          <w:sz w:val="28"/>
          <w:szCs w:val="28"/>
        </w:rPr>
        <w:t>External Examiner</w:t>
      </w:r>
      <w:r>
        <w:rPr>
          <w:rFonts w:ascii="Times New Roman" w:cs="Times New Roman" w:eastAsia="Times New Roman" w:hAnsi="Times New Roman"/>
          <w:sz w:val="28"/>
          <w:szCs w:val="28"/>
        </w:rPr>
        <w:tab/>
      </w:r>
      <w:r>
        <w:rPr>
          <w:rFonts w:ascii="Times New Roman" w:cs="Times New Roman" w:eastAsia="Times New Roman" w:hAnsi="Times New Roman"/>
          <w:sz w:val="28"/>
          <w:szCs w:val="28"/>
        </w:rPr>
        <w:tab/>
      </w:r>
    </w:p>
    <w:p>
      <w:pPr>
        <w:pStyle w:val="style0"/>
        <w:spacing w:before="480" w:after="40" w:lineRule="auto" w:line="240"/>
        <w:rPr>
          <w:rFonts w:ascii="Times New Roman" w:cs="Times New Roman" w:eastAsia="Times New Roman" w:hAnsi="Times New Roman"/>
          <w:sz w:val="24"/>
          <w:szCs w:val="24"/>
        </w:rPr>
      </w:pPr>
      <w:r>
        <w:rPr>
          <w:rFonts w:ascii="Times New Roman" w:cs="Times New Roman" w:eastAsia="Times New Roman" w:hAnsi="Times New Roman"/>
          <w:sz w:val="28"/>
          <w:szCs w:val="28"/>
        </w:rPr>
        <w:tab/>
      </w:r>
      <w:r>
        <w:rPr>
          <w:rFonts w:ascii="Times New Roman" w:cs="Times New Roman" w:eastAsia="Times New Roman" w:hAnsi="Times New Roman"/>
          <w:sz w:val="28"/>
          <w:szCs w:val="28"/>
        </w:rPr>
        <w:tab/>
      </w:r>
      <w:r>
        <w:rPr>
          <w:rFonts w:ascii="Times New Roman" w:cs="Times New Roman" w:eastAsia="Times New Roman" w:hAnsi="Times New Roman"/>
          <w:sz w:val="28"/>
          <w:szCs w:val="28"/>
        </w:rPr>
        <w:tab/>
      </w:r>
      <w:r>
        <w:rPr>
          <w:rFonts w:ascii="Times New Roman" w:cs="Times New Roman" w:eastAsia="Times New Roman" w:hAnsi="Times New Roman"/>
          <w:sz w:val="28"/>
          <w:szCs w:val="28"/>
        </w:rPr>
        <w:t xml:space="preserve">     </w:t>
      </w:r>
      <w:r>
        <w:rPr>
          <w:rFonts w:ascii="Times New Roman" w:cs="Times New Roman" w:eastAsia="Times New Roman" w:hAnsi="Times New Roman"/>
          <w:sz w:val="24"/>
          <w:szCs w:val="24"/>
        </w:rPr>
        <w:t>__________________________</w:t>
      </w:r>
    </w:p>
    <w:p>
      <w:pPr>
        <w:pStyle w:val="style0"/>
        <w:spacing w:before="480" w:after="40" w:lineRule="auto" w:line="240"/>
        <w:rPr>
          <w:rFonts w:ascii="Times New Roman" w:cs="Times New Roman" w:eastAsia="Times New Roman" w:hAnsi="Times New Roman"/>
          <w:sz w:val="28"/>
          <w:szCs w:val="28"/>
        </w:rPr>
      </w:pPr>
      <w:r>
        <w:rPr>
          <w:rFonts w:ascii="Times New Roman" w:cs="Times New Roman" w:eastAsia="Times New Roman" w:hAnsi="Times New Roman"/>
          <w:sz w:val="28"/>
          <w:szCs w:val="28"/>
        </w:rPr>
        <w:tab/>
      </w:r>
      <w:r>
        <w:rPr>
          <w:rFonts w:ascii="Times New Roman" w:cs="Times New Roman" w:eastAsia="Times New Roman" w:hAnsi="Times New Roman"/>
          <w:sz w:val="28"/>
          <w:szCs w:val="28"/>
        </w:rPr>
        <w:tab/>
      </w:r>
      <w:r>
        <w:rPr>
          <w:rFonts w:ascii="Times New Roman" w:cs="Times New Roman" w:eastAsia="Times New Roman" w:hAnsi="Times New Roman"/>
          <w:sz w:val="28"/>
          <w:szCs w:val="28"/>
        </w:rPr>
        <w:tab/>
      </w:r>
      <w:r>
        <w:rPr>
          <w:rFonts w:ascii="Times New Roman" w:cs="Times New Roman" w:eastAsia="Times New Roman" w:hAnsi="Times New Roman"/>
          <w:sz w:val="28"/>
          <w:szCs w:val="28"/>
        </w:rPr>
        <w:tab/>
      </w:r>
      <w:r>
        <w:rPr>
          <w:rFonts w:ascii="Times New Roman" w:cs="Times New Roman" w:eastAsia="Times New Roman" w:hAnsi="Times New Roman"/>
          <w:sz w:val="28"/>
          <w:szCs w:val="28"/>
        </w:rPr>
        <w:t xml:space="preserve">              Date</w:t>
      </w:r>
    </w:p>
    <w:p>
      <w:pPr>
        <w:pStyle w:val="style0"/>
        <w:spacing w:after="0" w:lineRule="auto" w:line="240"/>
        <w:rPr>
          <w:rFonts w:ascii="Times New Roman" w:cs="Times New Roman" w:eastAsia="Times New Roman" w:hAnsi="Times New Roman"/>
          <w:sz w:val="20"/>
          <w:szCs w:val="20"/>
        </w:rPr>
      </w:pPr>
      <w:r>
        <w:rPr>
          <w:rFonts w:ascii="Times New Roman" w:cs="Times New Roman" w:eastAsia="Times New Roman" w:hAnsi="Times New Roman"/>
          <w:sz w:val="20"/>
          <w:szCs w:val="20"/>
        </w:rPr>
        <w:br w:type="page"/>
      </w:r>
    </w:p>
    <w:p>
      <w:pPr>
        <w:pStyle w:val="style0"/>
        <w:spacing w:after="240" w:lineRule="auto" w:line="240"/>
        <w:jc w:val="center"/>
        <w:rPr>
          <w:rFonts w:ascii="Times New Roman" w:cs="Times New Roman" w:eastAsia="Times New Roman" w:hAnsi="Times New Roman"/>
          <w:sz w:val="20"/>
          <w:szCs w:val="20"/>
        </w:rPr>
      </w:pPr>
      <w:r>
        <w:rPr>
          <w:rFonts w:ascii="Times New Roman" w:cs="Times New Roman" w:eastAsia="Times New Roman" w:hAnsi="Times New Roman"/>
          <w:b/>
          <w:bCs/>
          <w:sz w:val="24"/>
          <w:szCs w:val="24"/>
        </w:rPr>
        <w:t>DEDICATION</w:t>
      </w:r>
    </w:p>
    <w:p>
      <w:pPr>
        <w:pStyle w:val="style0"/>
        <w:spacing w:after="0" w:lineRule="auto" w:line="240"/>
        <w:rPr>
          <w:rFonts w:ascii="Times New Roman" w:cs="Times New Roman" w:eastAsia="Times New Roman" w:hAnsi="Times New Roman"/>
          <w:sz w:val="20"/>
          <w:szCs w:val="20"/>
        </w:rPr>
      </w:pPr>
    </w:p>
    <w:p>
      <w:pPr>
        <w:pStyle w:val="style0"/>
        <w:spacing w:after="0" w:lineRule="auto" w:line="240"/>
        <w:rPr>
          <w:rFonts w:ascii="Times New Roman" w:cs="Times New Roman" w:eastAsia="Times New Roman" w:hAnsi="Times New Roman"/>
          <w:sz w:val="20"/>
          <w:szCs w:val="20"/>
        </w:rPr>
      </w:pPr>
    </w:p>
    <w:p>
      <w:pPr>
        <w:pStyle w:val="style0"/>
        <w:spacing w:after="120" w:lineRule="auto" w:line="480"/>
        <w:jc w:val="center"/>
        <w:rPr>
          <w:rFonts w:ascii="Times New Roman" w:cs="Times New Roman" w:eastAsia="Times New Roman" w:hAnsi="Times New Roman"/>
          <w:sz w:val="20"/>
          <w:szCs w:val="20"/>
        </w:rPr>
      </w:pPr>
      <w:r>
        <w:rPr>
          <w:rFonts w:ascii="Times New Roman" w:cs="Times New Roman" w:eastAsia="Times New Roman" w:hAnsi="Times New Roman"/>
          <w:sz w:val="24"/>
          <w:szCs w:val="24"/>
        </w:rPr>
        <w:t>This work is dedicated first and foremost to Almighty God, the source of all wisdom and strength, without whom this research would not have been possible. It is also dedicated to my beloved parents, Mr Ilo Emmanuel and Mrs Ilo Chioke, whose unconditional love, sacrifice, and unwavering support throughout my education have been the foundation upon which I stand.</w:t>
      </w:r>
    </w:p>
    <w:p>
      <w:pPr>
        <w:pStyle w:val="style0"/>
        <w:spacing w:after="0" w:lineRule="auto" w:line="240"/>
        <w:rPr>
          <w:rFonts w:ascii="Times New Roman" w:cs="Times New Roman" w:eastAsia="Times New Roman" w:hAnsi="Times New Roman"/>
          <w:sz w:val="20"/>
          <w:szCs w:val="20"/>
        </w:rPr>
      </w:pPr>
      <w:r>
        <w:rPr>
          <w:rFonts w:ascii="Times New Roman" w:cs="Times New Roman" w:eastAsia="Times New Roman" w:hAnsi="Times New Roman"/>
          <w:sz w:val="20"/>
          <w:szCs w:val="20"/>
        </w:rPr>
        <w:br w:type="page"/>
      </w:r>
    </w:p>
    <w:p>
      <w:pPr>
        <w:pStyle w:val="style0"/>
        <w:spacing w:before="100" w:beforeAutospacing="true" w:after="100" w:afterAutospacing="true" w:lineRule="auto" w:line="240"/>
        <w:jc w:val="both"/>
        <w:rPr>
          <w:rFonts w:ascii="Times New Roman" w:cs="Times New Roman" w:eastAsia="Times New Roman" w:hAnsi="Times New Roman"/>
          <w:b/>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b/>
          <w:sz w:val="24"/>
          <w:szCs w:val="24"/>
        </w:rPr>
        <w:t>ACKNOWLEDGEMENTS</w:t>
      </w:r>
    </w:p>
    <w:p>
      <w:pPr>
        <w:pStyle w:val="style0"/>
        <w:spacing w:before="100" w:beforeAutospacing="true" w:after="100" w:afterAutospacing="true"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All glory and honour belong to Almighty God, who has been my constant guide and strength throughout this academic journey. Without Him, none of this would have been possible.</w:t>
      </w:r>
    </w:p>
    <w:p>
      <w:pPr>
        <w:pStyle w:val="style0"/>
        <w:spacing w:before="100" w:beforeAutospacing="true" w:after="100" w:afterAutospacing="true"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I wish to express my sincere and heartfelt gratitude to my supervisor, Mrs Nnani Joy, for her invaluable guidance, patience, and dedication in supervising this research. Her insightful comments and encouragement greatly shaped the quality of this work.</w:t>
      </w:r>
    </w:p>
    <w:p>
      <w:pPr>
        <w:pStyle w:val="style0"/>
        <w:spacing w:before="100" w:beforeAutospacing="true" w:after="100" w:afterAutospacing="true"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I am deeply grateful to all my lecturers at the Faculty of Law, Godfrey Okoye University, whose teaching and mentorship have been instrumental in shaping my legal mind. I am grateful to every member of the Faculty of Law especially my course mates and friends — Oluoma, Mesomma and Mary — who in one way or another contributed to my growth as a student and as a person.</w:t>
      </w:r>
    </w:p>
    <w:p>
      <w:pPr>
        <w:pStyle w:val="style0"/>
        <w:spacing w:before="100" w:beforeAutospacing="true" w:after="100" w:afterAutospacing="true"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Finally, I thank my beloved father, Mr Ilo Emmanuel, and my dear mother, Mrs Ilo Chioke, for their unconditional love, sacrifice, and unwavering support throughout my education. You are the foundation upon which I stand.</w:t>
      </w:r>
    </w:p>
    <w:p>
      <w:pPr>
        <w:pStyle w:val="style0"/>
        <w:spacing w:after="240" w:lineRule="auto" w:line="240"/>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 xml:space="preserve">   </w:t>
      </w:r>
    </w:p>
    <w:p>
      <w:pPr>
        <w:pStyle w:val="style0"/>
        <w:spacing w:after="240" w:lineRule="auto" w:line="240"/>
        <w:jc w:val="both"/>
        <w:rPr>
          <w:rFonts w:ascii="Times New Roman" w:cs="Times New Roman" w:eastAsia="Times New Roman" w:hAnsi="Times New Roman"/>
          <w:b/>
          <w:bCs/>
          <w:sz w:val="24"/>
          <w:szCs w:val="24"/>
        </w:rPr>
      </w:pPr>
    </w:p>
    <w:p>
      <w:pPr>
        <w:pStyle w:val="style0"/>
        <w:spacing w:after="240" w:lineRule="auto" w:line="240"/>
        <w:rPr>
          <w:rFonts w:ascii="Times New Roman" w:cs="Times New Roman" w:eastAsia="Times New Roman" w:hAnsi="Times New Roman"/>
          <w:b/>
          <w:bCs/>
          <w:sz w:val="24"/>
          <w:szCs w:val="24"/>
        </w:rPr>
      </w:pPr>
    </w:p>
    <w:p>
      <w:pPr>
        <w:pStyle w:val="style0"/>
        <w:spacing w:after="240" w:lineRule="auto" w:line="240"/>
        <w:rPr>
          <w:rFonts w:ascii="Times New Roman" w:cs="Times New Roman" w:eastAsia="Times New Roman" w:hAnsi="Times New Roman"/>
          <w:b/>
          <w:bCs/>
          <w:sz w:val="24"/>
          <w:szCs w:val="24"/>
        </w:rPr>
      </w:pPr>
    </w:p>
    <w:p>
      <w:pPr>
        <w:pStyle w:val="style0"/>
        <w:spacing w:after="240" w:lineRule="auto" w:line="240"/>
        <w:rPr>
          <w:rFonts w:ascii="Times New Roman" w:cs="Times New Roman" w:eastAsia="Times New Roman" w:hAnsi="Times New Roman"/>
          <w:b/>
          <w:bCs/>
          <w:sz w:val="24"/>
          <w:szCs w:val="24"/>
        </w:rPr>
      </w:pPr>
    </w:p>
    <w:p>
      <w:pPr>
        <w:pStyle w:val="style0"/>
        <w:spacing w:after="240" w:lineRule="auto" w:line="240"/>
        <w:rPr>
          <w:rFonts w:ascii="Times New Roman" w:cs="Times New Roman" w:eastAsia="Times New Roman" w:hAnsi="Times New Roman"/>
          <w:b/>
          <w:bCs/>
          <w:sz w:val="24"/>
          <w:szCs w:val="24"/>
        </w:rPr>
      </w:pPr>
    </w:p>
    <w:p>
      <w:pPr>
        <w:pStyle w:val="style0"/>
        <w:spacing w:after="240" w:lineRule="auto" w:line="240"/>
        <w:rPr>
          <w:rFonts w:ascii="Times New Roman" w:cs="Times New Roman" w:eastAsia="Times New Roman" w:hAnsi="Times New Roman"/>
          <w:b/>
          <w:bCs/>
          <w:sz w:val="24"/>
          <w:szCs w:val="24"/>
        </w:rPr>
      </w:pPr>
    </w:p>
    <w:p>
      <w:pPr>
        <w:pStyle w:val="style0"/>
        <w:spacing w:after="240" w:lineRule="auto" w:line="240"/>
        <w:rPr>
          <w:rFonts w:ascii="Times New Roman" w:cs="Times New Roman" w:eastAsia="Times New Roman" w:hAnsi="Times New Roman"/>
          <w:b/>
          <w:bCs/>
          <w:sz w:val="24"/>
          <w:szCs w:val="24"/>
        </w:rPr>
      </w:pPr>
    </w:p>
    <w:p>
      <w:pPr>
        <w:pStyle w:val="style0"/>
        <w:spacing w:after="240" w:lineRule="auto" w:line="240"/>
        <w:rPr>
          <w:rFonts w:ascii="Times New Roman" w:cs="Times New Roman" w:eastAsia="Times New Roman" w:hAnsi="Times New Roman"/>
          <w:b/>
          <w:bCs/>
          <w:sz w:val="24"/>
          <w:szCs w:val="24"/>
        </w:rPr>
      </w:pPr>
    </w:p>
    <w:p>
      <w:pPr>
        <w:pStyle w:val="style0"/>
        <w:spacing w:after="240" w:lineRule="auto" w:line="240"/>
        <w:rPr>
          <w:rFonts w:ascii="Times New Roman" w:cs="Times New Roman" w:eastAsia="Times New Roman" w:hAnsi="Times New Roman"/>
          <w:b/>
          <w:bCs/>
          <w:sz w:val="24"/>
          <w:szCs w:val="24"/>
        </w:rPr>
      </w:pPr>
    </w:p>
    <w:p>
      <w:pPr>
        <w:pStyle w:val="style0"/>
        <w:spacing w:after="240" w:lineRule="auto" w:line="240"/>
        <w:rPr>
          <w:rFonts w:ascii="Times New Roman" w:cs="Times New Roman" w:eastAsia="Times New Roman" w:hAnsi="Times New Roman"/>
          <w:b/>
          <w:bCs/>
          <w:sz w:val="24"/>
          <w:szCs w:val="24"/>
        </w:rPr>
      </w:pPr>
    </w:p>
    <w:p>
      <w:pPr>
        <w:pStyle w:val="style0"/>
        <w:spacing w:after="240" w:lineRule="auto" w:line="240"/>
        <w:rPr>
          <w:rFonts w:ascii="Times New Roman" w:cs="Times New Roman" w:eastAsia="Times New Roman" w:hAnsi="Times New Roman"/>
          <w:b/>
          <w:bCs/>
          <w:sz w:val="24"/>
          <w:szCs w:val="24"/>
        </w:rPr>
      </w:pPr>
    </w:p>
    <w:p>
      <w:pPr>
        <w:pStyle w:val="style0"/>
        <w:spacing w:after="240" w:lineRule="auto" w:line="240"/>
        <w:rPr>
          <w:rFonts w:ascii="Times New Roman" w:cs="Times New Roman" w:eastAsia="Times New Roman" w:hAnsi="Times New Roman"/>
          <w:b/>
          <w:bCs/>
          <w:sz w:val="24"/>
          <w:szCs w:val="24"/>
        </w:rPr>
      </w:pPr>
    </w:p>
    <w:p>
      <w:pPr>
        <w:pStyle w:val="style0"/>
        <w:spacing w:after="240" w:lineRule="auto" w:line="240"/>
        <w:rPr>
          <w:rFonts w:ascii="Times New Roman" w:cs="Times New Roman" w:eastAsia="Times New Roman" w:hAnsi="Times New Roman"/>
          <w:b/>
          <w:bCs/>
          <w:sz w:val="24"/>
          <w:szCs w:val="24"/>
        </w:rPr>
      </w:pPr>
    </w:p>
    <w:p>
      <w:pPr>
        <w:pStyle w:val="style0"/>
        <w:spacing w:after="240" w:lineRule="auto" w:line="240"/>
        <w:rPr>
          <w:rFonts w:ascii="Times New Roman" w:cs="Times New Roman" w:eastAsia="Times New Roman" w:hAnsi="Times New Roman"/>
          <w:b/>
          <w:bCs/>
          <w:sz w:val="24"/>
          <w:szCs w:val="24"/>
        </w:rPr>
      </w:pPr>
    </w:p>
    <w:p>
      <w:pPr>
        <w:pStyle w:val="style0"/>
        <w:spacing w:after="240" w:lineRule="auto" w:line="240"/>
        <w:rPr>
          <w:rFonts w:ascii="Times New Roman" w:cs="Times New Roman" w:eastAsia="Times New Roman" w:hAnsi="Times New Roman"/>
          <w:b/>
          <w:bCs/>
          <w:sz w:val="24"/>
          <w:szCs w:val="24"/>
        </w:rPr>
      </w:pPr>
    </w:p>
    <w:p>
      <w:pPr>
        <w:pStyle w:val="style0"/>
        <w:spacing w:after="240" w:lineRule="auto" w:line="240"/>
        <w:rPr>
          <w:rFonts w:ascii="Times New Roman" w:cs="Times New Roman" w:eastAsia="Times New Roman" w:hAnsi="Times New Roman"/>
          <w:b/>
          <w:bCs/>
          <w:sz w:val="24"/>
          <w:szCs w:val="24"/>
        </w:rPr>
      </w:pPr>
    </w:p>
    <w:p>
      <w:pPr>
        <w:pStyle w:val="style0"/>
        <w:spacing w:after="240" w:lineRule="auto" w:line="240"/>
        <w:rPr>
          <w:rFonts w:ascii="Times New Roman" w:cs="Times New Roman" w:eastAsia="Times New Roman" w:hAnsi="Times New Roman"/>
          <w:b/>
          <w:bCs/>
          <w:sz w:val="24"/>
          <w:szCs w:val="24"/>
        </w:rPr>
      </w:pPr>
    </w:p>
    <w:p>
      <w:pPr>
        <w:pStyle w:val="style0"/>
        <w:spacing w:after="240" w:lineRule="auto" w:line="240"/>
        <w:rPr>
          <w:rFonts w:ascii="Times New Roman" w:cs="Times New Roman" w:eastAsia="Times New Roman" w:hAnsi="Times New Roman"/>
          <w:sz w:val="20"/>
          <w:szCs w:val="20"/>
        </w:rPr>
      </w:pP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 xml:space="preserve">              TABLE OF CONTENTS</w:t>
      </w:r>
    </w:p>
    <w:p>
      <w:pPr>
        <w:pStyle w:val="style0"/>
        <w:spacing w:after="0" w:lineRule="auto" w:line="240"/>
        <w:rPr>
          <w:rFonts w:ascii="Times New Roman" w:cs="Times New Roman" w:eastAsia="Times New Roman" w:hAnsi="Times New Roman"/>
          <w:sz w:val="20"/>
          <w:szCs w:val="20"/>
        </w:rPr>
      </w:pPr>
    </w:p>
    <w:p>
      <w:pPr>
        <w:pStyle w:val="style0"/>
        <w:tabs>
          <w:tab w:val="right" w:leader="none" w:pos="8640"/>
        </w:tabs>
        <w:spacing w:after="8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Title Page</w:t>
      </w:r>
    </w:p>
    <w:p>
      <w:pPr>
        <w:pStyle w:val="style0"/>
        <w:tabs>
          <w:tab w:val="right" w:leader="none" w:pos="8640"/>
        </w:tabs>
        <w:spacing w:after="8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Declaration </w:t>
      </w:r>
      <w:r>
        <w:rPr>
          <w:rFonts w:ascii="Times New Roman" w:cs="Times New Roman" w:eastAsia="Times New Roman" w:hAnsi="Times New Roman"/>
          <w:sz w:val="24"/>
          <w:szCs w:val="24"/>
        </w:rPr>
        <w:t>ii</w:t>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Certification</w:t>
      </w:r>
      <w:r>
        <w:rPr>
          <w:rFonts w:ascii="Times New Roman" w:cs="Times New Roman" w:eastAsia="Times New Roman" w:hAnsi="Times New Roman"/>
          <w:sz w:val="24"/>
          <w:szCs w:val="24"/>
        </w:rPr>
        <w:t xml:space="preserve">iii </w:t>
      </w:r>
    </w:p>
    <w:p>
      <w:pPr>
        <w:pStyle w:val="style0"/>
        <w:tabs>
          <w:tab w:val="right" w:leader="none" w:pos="8640"/>
        </w:tabs>
        <w:spacing w:after="8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Dedication</w:t>
      </w:r>
      <w:r>
        <w:rPr>
          <w:rFonts w:ascii="Times New Roman" w:cs="Times New Roman" w:eastAsia="Times New Roman" w:hAnsi="Times New Roman"/>
          <w:sz w:val="24"/>
          <w:szCs w:val="24"/>
        </w:rPr>
        <w:t xml:space="preserve">iv </w:t>
      </w:r>
    </w:p>
    <w:p>
      <w:pPr>
        <w:pStyle w:val="style0"/>
        <w:tabs>
          <w:tab w:val="right" w:leader="none" w:pos="8640"/>
        </w:tabs>
        <w:spacing w:after="8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Acknowledgements</w:t>
      </w:r>
      <w:r>
        <w:rPr>
          <w:rFonts w:ascii="Times New Roman" w:cs="Times New Roman" w:eastAsia="Times New Roman" w:hAnsi="Times New Roman"/>
          <w:sz w:val="24"/>
          <w:szCs w:val="24"/>
        </w:rPr>
        <w:t xml:space="preserve">v </w:t>
      </w:r>
    </w:p>
    <w:p>
      <w:pPr>
        <w:pStyle w:val="style0"/>
        <w:tabs>
          <w:tab w:val="right" w:leader="none" w:pos="8640"/>
        </w:tabs>
        <w:spacing w:after="8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Table of Contents</w:t>
      </w:r>
      <w:r>
        <w:rPr>
          <w:rFonts w:ascii="Times New Roman" w:cs="Times New Roman" w:eastAsia="Times New Roman" w:hAnsi="Times New Roman"/>
          <w:sz w:val="24"/>
          <w:szCs w:val="24"/>
        </w:rPr>
        <w:t xml:space="preserve">vi </w:t>
      </w:r>
    </w:p>
    <w:p>
      <w:pPr>
        <w:pStyle w:val="style0"/>
        <w:tabs>
          <w:tab w:val="right" w:leader="none" w:pos="8640"/>
        </w:tabs>
        <w:spacing w:after="8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List of Cases</w:t>
      </w:r>
      <w:r>
        <w:rPr>
          <w:rFonts w:ascii="Times New Roman" w:cs="Times New Roman" w:eastAsia="Times New Roman" w:hAnsi="Times New Roman"/>
          <w:sz w:val="24"/>
          <w:szCs w:val="24"/>
        </w:rPr>
        <w:t xml:space="preserve">vii </w:t>
      </w:r>
    </w:p>
    <w:p>
      <w:pPr>
        <w:pStyle w:val="style0"/>
        <w:tabs>
          <w:tab w:val="right" w:leader="none" w:pos="8640"/>
        </w:tabs>
        <w:spacing w:after="8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List of Statutes</w:t>
      </w:r>
      <w:r>
        <w:rPr>
          <w:rFonts w:ascii="Times New Roman" w:cs="Times New Roman" w:eastAsia="Times New Roman" w:hAnsi="Times New Roman"/>
          <w:sz w:val="24"/>
          <w:szCs w:val="24"/>
        </w:rPr>
        <w:t xml:space="preserve">viii </w:t>
      </w:r>
    </w:p>
    <w:p>
      <w:pPr>
        <w:pStyle w:val="style0"/>
        <w:tabs>
          <w:tab w:val="right" w:leader="none" w:pos="8640"/>
        </w:tabs>
        <w:spacing w:after="8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List of Abbreviations</w:t>
      </w:r>
      <w:r>
        <w:rPr>
          <w:rFonts w:ascii="Times New Roman" w:cs="Times New Roman" w:eastAsia="Times New Roman" w:hAnsi="Times New Roman"/>
          <w:sz w:val="24"/>
          <w:szCs w:val="24"/>
        </w:rPr>
        <w:t>ix</w:t>
      </w:r>
    </w:p>
    <w:p>
      <w:pPr>
        <w:pStyle w:val="style0"/>
        <w:tabs>
          <w:tab w:val="right" w:leader="none" w:pos="8640"/>
        </w:tabs>
        <w:spacing w:after="8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Abstract</w:t>
      </w:r>
      <w:r>
        <w:rPr>
          <w:rFonts w:ascii="Times New Roman" w:cs="Times New Roman" w:eastAsia="Times New Roman" w:hAnsi="Times New Roman"/>
          <w:sz w:val="24"/>
          <w:szCs w:val="24"/>
        </w:rPr>
        <w:t xml:space="preserve">x </w:t>
      </w:r>
    </w:p>
    <w:p>
      <w:pPr>
        <w:pStyle w:val="style0"/>
        <w:tabs>
          <w:tab w:val="right" w:leader="none" w:pos="8640"/>
        </w:tabs>
        <w:spacing w:after="80" w:lineRule="auto" w:line="360"/>
        <w:rPr>
          <w:rFonts w:ascii="Times New Roman" w:cs="Times New Roman" w:eastAsia="Times New Roman" w:hAnsi="Times New Roman"/>
          <w:b/>
          <w:bCs/>
          <w:sz w:val="24"/>
          <w:szCs w:val="24"/>
        </w:rPr>
      </w:pPr>
    </w:p>
    <w:p>
      <w:pPr>
        <w:pStyle w:val="style0"/>
        <w:spacing w:after="80" w:lineRule="auto" w:line="240"/>
        <w:rPr>
          <w:rFonts w:ascii="Times New Roman" w:cs="Times New Roman" w:eastAsia="Times New Roman" w:hAnsi="Times New Roman"/>
          <w:b/>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b/>
          <w:sz w:val="24"/>
          <w:szCs w:val="24"/>
        </w:rPr>
        <w:t>CHAPTER ONE: GENERAL INTRODUCTION</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1.1 Background of the Study</w:t>
      </w:r>
      <w:r>
        <w:rPr>
          <w:rFonts w:ascii="Times New Roman" w:cs="Times New Roman" w:eastAsia="Times New Roman" w:hAnsi="Times New Roman"/>
          <w:sz w:val="24"/>
          <w:szCs w:val="24"/>
        </w:rPr>
        <w:t>1</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1.2 Statement of the Problem</w:t>
      </w:r>
      <w:r>
        <w:rPr>
          <w:rFonts w:ascii="Times New Roman" w:cs="Times New Roman" w:eastAsia="Times New Roman" w:hAnsi="Times New Roman"/>
          <w:sz w:val="24"/>
          <w:szCs w:val="24"/>
        </w:rPr>
        <w:t>8</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1.3 Research Questions</w:t>
      </w:r>
      <w:r>
        <w:rPr>
          <w:rFonts w:ascii="Times New Roman" w:cs="Times New Roman" w:eastAsia="Times New Roman" w:hAnsi="Times New Roman"/>
          <w:sz w:val="24"/>
          <w:szCs w:val="24"/>
        </w:rPr>
        <w:t>9</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1.4 Aims and Objectives of the Study</w:t>
      </w:r>
      <w:r>
        <w:rPr>
          <w:rFonts w:ascii="Times New Roman" w:cs="Times New Roman" w:eastAsia="Times New Roman" w:hAnsi="Times New Roman"/>
          <w:sz w:val="24"/>
          <w:szCs w:val="24"/>
        </w:rPr>
        <w:t>9</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1.5 Scope of the Study</w:t>
      </w:r>
      <w:r>
        <w:rPr>
          <w:rFonts w:ascii="Times New Roman" w:cs="Times New Roman" w:eastAsia="Times New Roman" w:hAnsi="Times New Roman"/>
          <w:sz w:val="24"/>
          <w:szCs w:val="24"/>
        </w:rPr>
        <w:t>10</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1.6 Significance of the Study</w:t>
      </w:r>
      <w:r>
        <w:rPr>
          <w:rFonts w:ascii="Times New Roman" w:cs="Times New Roman" w:eastAsia="Times New Roman" w:hAnsi="Times New Roman"/>
          <w:sz w:val="24"/>
          <w:szCs w:val="24"/>
        </w:rPr>
        <w:t>10</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1.7 Research Methodology</w:t>
      </w:r>
      <w:r>
        <w:rPr>
          <w:rFonts w:ascii="Times New Roman" w:cs="Times New Roman" w:eastAsia="Times New Roman" w:hAnsi="Times New Roman"/>
          <w:sz w:val="24"/>
          <w:szCs w:val="24"/>
        </w:rPr>
        <w:t>12</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1.8 Literature Review</w:t>
      </w:r>
      <w:r>
        <w:rPr>
          <w:rFonts w:ascii="Times New Roman" w:cs="Times New Roman" w:eastAsia="Times New Roman" w:hAnsi="Times New Roman"/>
          <w:sz w:val="24"/>
          <w:szCs w:val="24"/>
        </w:rPr>
        <w:t>12</w:t>
      </w:r>
    </w:p>
    <w:p>
      <w:pPr>
        <w:pStyle w:val="style0"/>
        <w:spacing w:before="240" w:after="80" w:lineRule="auto" w:line="240"/>
        <w:jc w:val="center"/>
        <w:rPr>
          <w:rFonts w:ascii="Times New Roman" w:cs="Times New Roman" w:eastAsia="Times New Roman" w:hAnsi="Times New Roman"/>
          <w:sz w:val="20"/>
          <w:szCs w:val="20"/>
        </w:rPr>
      </w:pPr>
      <w:r>
        <w:rPr>
          <w:rFonts w:ascii="Times New Roman" w:cs="Times New Roman" w:eastAsia="Times New Roman" w:hAnsi="Times New Roman"/>
          <w:b/>
          <w:bCs/>
          <w:sz w:val="24"/>
          <w:szCs w:val="24"/>
        </w:rPr>
        <w:t>CHAPTER TWO: CONCEPTUAL AND THEORETICAL FRAMEWORK</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2.1 Conceptual Framework</w:t>
      </w:r>
      <w:r>
        <w:rPr>
          <w:rFonts w:ascii="Times New Roman" w:cs="Times New Roman" w:eastAsia="Times New Roman" w:hAnsi="Times New Roman"/>
          <w:sz w:val="24"/>
          <w:szCs w:val="24"/>
        </w:rPr>
        <w:t>18</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2.1.1 Meaning and Nature of Murder</w:t>
      </w:r>
      <w:r>
        <w:rPr>
          <w:rFonts w:ascii="Times New Roman" w:cs="Times New Roman" w:eastAsia="Times New Roman" w:hAnsi="Times New Roman"/>
          <w:sz w:val="24"/>
          <w:szCs w:val="24"/>
        </w:rPr>
        <w:t>19</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2.1.2 Proof in Criminal Law</w:t>
      </w:r>
      <w:r>
        <w:rPr>
          <w:rFonts w:ascii="Times New Roman" w:cs="Times New Roman" w:eastAsia="Times New Roman" w:hAnsi="Times New Roman"/>
          <w:sz w:val="24"/>
          <w:szCs w:val="24"/>
        </w:rPr>
        <w:t>21</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2.1.3 Elements of Murder under Nigerian Law</w:t>
      </w:r>
      <w:r>
        <w:rPr>
          <w:rFonts w:ascii="Times New Roman" w:cs="Times New Roman" w:eastAsia="Times New Roman" w:hAnsi="Times New Roman"/>
          <w:sz w:val="24"/>
          <w:szCs w:val="24"/>
        </w:rPr>
        <w:t>23</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2.1.4 Historical Development of Murder Provisions in Nigeria</w:t>
      </w:r>
      <w:r>
        <w:rPr>
          <w:rFonts w:ascii="Times New Roman" w:cs="Times New Roman" w:eastAsia="Times New Roman" w:hAnsi="Times New Roman"/>
          <w:sz w:val="24"/>
          <w:szCs w:val="24"/>
        </w:rPr>
        <w:t>25</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2.2 Theoretical Framework</w:t>
      </w:r>
      <w:r>
        <w:rPr>
          <w:rFonts w:ascii="Times New Roman" w:cs="Times New Roman" w:eastAsia="Times New Roman" w:hAnsi="Times New Roman"/>
          <w:sz w:val="24"/>
          <w:szCs w:val="24"/>
        </w:rPr>
        <w:t>27</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2.2.1 Presumption of Innocence Theory</w:t>
      </w:r>
      <w:r>
        <w:rPr>
          <w:rFonts w:ascii="Times New Roman" w:cs="Times New Roman" w:eastAsia="Times New Roman" w:hAnsi="Times New Roman"/>
          <w:sz w:val="24"/>
          <w:szCs w:val="24"/>
        </w:rPr>
        <w:t>27</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2.2.2 Rational Fact-Finding Theory</w:t>
      </w:r>
      <w:r>
        <w:rPr>
          <w:rFonts w:ascii="Times New Roman" w:cs="Times New Roman" w:eastAsia="Times New Roman" w:hAnsi="Times New Roman"/>
          <w:sz w:val="24"/>
          <w:szCs w:val="24"/>
        </w:rPr>
        <w:t>28</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2.2.3 Evidential Theory</w:t>
      </w:r>
      <w:r>
        <w:rPr>
          <w:rFonts w:ascii="Times New Roman" w:cs="Times New Roman" w:eastAsia="Times New Roman" w:hAnsi="Times New Roman"/>
          <w:sz w:val="24"/>
          <w:szCs w:val="24"/>
        </w:rPr>
        <w:t>30</w:t>
      </w:r>
    </w:p>
    <w:p>
      <w:pPr>
        <w:pStyle w:val="style0"/>
        <w:spacing w:before="240" w:after="80" w:lineRule="auto" w:line="240"/>
        <w:jc w:val="center"/>
        <w:rPr>
          <w:rFonts w:ascii="Times New Roman" w:cs="Times New Roman" w:eastAsia="Times New Roman" w:hAnsi="Times New Roman"/>
          <w:sz w:val="20"/>
          <w:szCs w:val="20"/>
        </w:rPr>
      </w:pPr>
      <w:r>
        <w:rPr>
          <w:rFonts w:ascii="Times New Roman" w:cs="Times New Roman" w:eastAsia="Times New Roman" w:hAnsi="Times New Roman"/>
          <w:b/>
          <w:bCs/>
          <w:sz w:val="24"/>
          <w:szCs w:val="24"/>
        </w:rPr>
        <w:t>CHAPTER THREE: LEGAL FRAMEWORK FOR PROOF OF MURDER IN NIGERIA</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3.1 Statutory Provisions on Murder and Proof</w:t>
      </w:r>
      <w:r>
        <w:rPr>
          <w:rFonts w:ascii="Times New Roman" w:cs="Times New Roman" w:eastAsia="Times New Roman" w:hAnsi="Times New Roman"/>
          <w:sz w:val="24"/>
          <w:szCs w:val="24"/>
        </w:rPr>
        <w:t>33</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3.1.1 Criminal Code Act (Sections 316–319) – Southern States</w:t>
      </w:r>
      <w:r>
        <w:rPr>
          <w:rFonts w:ascii="Times New Roman" w:cs="Times New Roman" w:eastAsia="Times New Roman" w:hAnsi="Times New Roman"/>
          <w:sz w:val="24"/>
          <w:szCs w:val="24"/>
        </w:rPr>
        <w:t>33</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3.1.2 Penal Code (Sections 221–222) – Northern States</w:t>
      </w:r>
      <w:r>
        <w:rPr>
          <w:rFonts w:ascii="Times New Roman" w:cs="Times New Roman" w:eastAsia="Times New Roman" w:hAnsi="Times New Roman"/>
          <w:sz w:val="24"/>
          <w:szCs w:val="24"/>
        </w:rPr>
        <w:t>35</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3.1.3 Evidence Act 2023 on Admissibility and Proof (Sections 27–29 and 167)</w:t>
      </w:r>
      <w:r>
        <w:rPr>
          <w:rFonts w:ascii="Times New Roman" w:cs="Times New Roman" w:eastAsia="Times New Roman" w:hAnsi="Times New Roman"/>
          <w:sz w:val="24"/>
          <w:szCs w:val="24"/>
        </w:rPr>
        <w:t>37</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3.2 Constitutional Safeguards in Murder Trials</w:t>
      </w:r>
      <w:r>
        <w:rPr>
          <w:rFonts w:ascii="Times New Roman" w:cs="Times New Roman" w:eastAsia="Times New Roman" w:hAnsi="Times New Roman"/>
          <w:sz w:val="24"/>
          <w:szCs w:val="24"/>
        </w:rPr>
        <w:t>40</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3.2.1 Right to Fair Hearing under Section 36 of the CFRN 1999</w:t>
      </w:r>
      <w:r>
        <w:rPr>
          <w:rFonts w:ascii="Times New Roman" w:cs="Times New Roman" w:eastAsia="Times New Roman" w:hAnsi="Times New Roman"/>
          <w:sz w:val="24"/>
          <w:szCs w:val="24"/>
        </w:rPr>
        <w:t>40</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3.2.2 Presumption of Innocence under Section 36(5)</w:t>
      </w:r>
      <w:r>
        <w:rPr>
          <w:rFonts w:ascii="Times New Roman" w:cs="Times New Roman" w:eastAsia="Times New Roman" w:hAnsi="Times New Roman"/>
          <w:sz w:val="24"/>
          <w:szCs w:val="24"/>
        </w:rPr>
        <w:t>43</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3.3 Evidential Requirements for Establishing Murder</w:t>
      </w:r>
      <w:r>
        <w:rPr>
          <w:rFonts w:ascii="Times New Roman" w:cs="Times New Roman" w:eastAsia="Times New Roman" w:hAnsi="Times New Roman"/>
          <w:sz w:val="24"/>
          <w:szCs w:val="24"/>
        </w:rPr>
        <w:t>44</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3.3.1 Proof of Death and Causation</w:t>
      </w:r>
      <w:r>
        <w:rPr>
          <w:rFonts w:ascii="Times New Roman" w:cs="Times New Roman" w:eastAsia="Times New Roman" w:hAnsi="Times New Roman"/>
          <w:sz w:val="24"/>
          <w:szCs w:val="24"/>
        </w:rPr>
        <w:t>44</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3.3.2 Proof of Malice and Intent</w:t>
      </w:r>
      <w:r>
        <w:rPr>
          <w:rFonts w:ascii="Times New Roman" w:cs="Times New Roman" w:eastAsia="Times New Roman" w:hAnsi="Times New Roman"/>
          <w:sz w:val="24"/>
          <w:szCs w:val="24"/>
        </w:rPr>
        <w:t>44</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3.3.3 Circumstantial Evidence in Murder Cases</w:t>
      </w:r>
      <w:r>
        <w:rPr>
          <w:rFonts w:ascii="Times New Roman" w:cs="Times New Roman" w:eastAsia="Times New Roman" w:hAnsi="Times New Roman"/>
          <w:sz w:val="24"/>
          <w:szCs w:val="24"/>
        </w:rPr>
        <w:t>44</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3.4 Notable Judicial Decisions on Proof of Murder</w:t>
      </w:r>
      <w:r>
        <w:rPr>
          <w:rFonts w:ascii="Times New Roman" w:cs="Times New Roman" w:eastAsia="Times New Roman" w:hAnsi="Times New Roman"/>
          <w:sz w:val="24"/>
          <w:szCs w:val="24"/>
        </w:rPr>
        <w:t>46</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3.5 Institutional Framework for Proof of Murder Charge in Nigeria</w:t>
      </w:r>
      <w:r>
        <w:rPr>
          <w:rFonts w:ascii="Times New Roman" w:cs="Times New Roman" w:eastAsia="Times New Roman" w:hAnsi="Times New Roman"/>
          <w:sz w:val="24"/>
          <w:szCs w:val="24"/>
        </w:rPr>
        <w:t>44</w:t>
      </w:r>
    </w:p>
    <w:p>
      <w:pPr>
        <w:pStyle w:val="style0"/>
        <w:spacing w:before="240" w:after="80" w:lineRule="auto" w:line="240"/>
        <w:jc w:val="center"/>
        <w:rPr>
          <w:rFonts w:ascii="Times New Roman" w:cs="Times New Roman" w:eastAsia="Times New Roman" w:hAnsi="Times New Roman"/>
          <w:sz w:val="20"/>
          <w:szCs w:val="20"/>
        </w:rPr>
      </w:pPr>
      <w:r>
        <w:rPr>
          <w:rFonts w:ascii="Times New Roman" w:cs="Times New Roman" w:eastAsia="Times New Roman" w:hAnsi="Times New Roman"/>
          <w:b/>
          <w:bCs/>
          <w:sz w:val="24"/>
          <w:szCs w:val="24"/>
        </w:rPr>
        <w:t>CHAPTER FOUR: CHALLENGES IN PROVING MURDER CHARGES IN NIGERIA</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4.1 Evidential Challenges</w:t>
      </w:r>
      <w:r>
        <w:rPr>
          <w:rFonts w:ascii="Times New Roman" w:cs="Times New Roman" w:eastAsia="Times New Roman" w:hAnsi="Times New Roman"/>
          <w:sz w:val="24"/>
          <w:szCs w:val="24"/>
        </w:rPr>
        <w:t>52</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4.1.1 Absence of Corpse and Proof of Death</w:t>
      </w:r>
      <w:r>
        <w:rPr>
          <w:rFonts w:ascii="Times New Roman" w:cs="Times New Roman" w:eastAsia="Times New Roman" w:hAnsi="Times New Roman"/>
          <w:sz w:val="24"/>
          <w:szCs w:val="24"/>
        </w:rPr>
        <w:t>53</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4.1.2 Confessional Statements</w:t>
      </w:r>
      <w:r>
        <w:rPr>
          <w:rFonts w:ascii="Times New Roman" w:cs="Times New Roman" w:eastAsia="Times New Roman" w:hAnsi="Times New Roman"/>
          <w:sz w:val="24"/>
          <w:szCs w:val="24"/>
        </w:rPr>
        <w:t>56</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4.1.3 Hostile Witnesses</w:t>
      </w:r>
      <w:r>
        <w:rPr>
          <w:rFonts w:ascii="Times New Roman" w:cs="Times New Roman" w:eastAsia="Times New Roman" w:hAnsi="Times New Roman"/>
          <w:sz w:val="24"/>
          <w:szCs w:val="24"/>
        </w:rPr>
        <w:t>59</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4.2 Institutional and Systemic Challenges</w:t>
      </w:r>
      <w:r>
        <w:rPr>
          <w:rFonts w:ascii="Times New Roman" w:cs="Times New Roman" w:eastAsia="Times New Roman" w:hAnsi="Times New Roman"/>
          <w:sz w:val="24"/>
          <w:szCs w:val="24"/>
        </w:rPr>
        <w:t>61</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4.2.1 Police Investigation Deficiencies</w:t>
      </w:r>
      <w:r>
        <w:rPr>
          <w:rFonts w:ascii="Times New Roman" w:cs="Times New Roman" w:eastAsia="Times New Roman" w:hAnsi="Times New Roman"/>
          <w:sz w:val="24"/>
          <w:szCs w:val="24"/>
        </w:rPr>
        <w:t>61</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4.2.2 Delay in Prosecution and Trial</w:t>
      </w:r>
      <w:r>
        <w:rPr>
          <w:rFonts w:ascii="Times New Roman" w:cs="Times New Roman" w:eastAsia="Times New Roman" w:hAnsi="Times New Roman"/>
          <w:sz w:val="24"/>
          <w:szCs w:val="24"/>
        </w:rPr>
        <w:t>64</w:t>
      </w:r>
    </w:p>
    <w:p>
      <w:pPr>
        <w:pStyle w:val="style0"/>
        <w:spacing w:after="80" w:lineRule="auto" w:line="240"/>
        <w:ind w:left="720"/>
        <w:rPr>
          <w:rFonts w:ascii="Times New Roman" w:cs="Times New Roman" w:eastAsia="Times New Roman" w:hAnsi="Times New Roman"/>
          <w:sz w:val="20"/>
          <w:szCs w:val="20"/>
        </w:rPr>
      </w:pPr>
      <w:r>
        <w:rPr>
          <w:rFonts w:ascii="Times New Roman" w:cs="Times New Roman" w:eastAsia="Times New Roman" w:hAnsi="Times New Roman"/>
          <w:sz w:val="24"/>
          <w:szCs w:val="24"/>
        </w:rPr>
        <w:t>4.2.3 Forensic Evidence Limitations</w:t>
      </w:r>
      <w:r>
        <w:rPr>
          <w:rFonts w:ascii="Times New Roman" w:cs="Times New Roman" w:eastAsia="Times New Roman" w:hAnsi="Times New Roman"/>
          <w:sz w:val="24"/>
          <w:szCs w:val="24"/>
        </w:rPr>
        <w:t>66</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4.3 Comparative Insights: Challenges in Other Jurisdictions</w:t>
      </w:r>
      <w:r>
        <w:rPr>
          <w:rFonts w:ascii="Times New Roman" w:cs="Times New Roman" w:eastAsia="Times New Roman" w:hAnsi="Times New Roman"/>
          <w:sz w:val="24"/>
          <w:szCs w:val="24"/>
        </w:rPr>
        <w:t>68</w:t>
      </w:r>
    </w:p>
    <w:p>
      <w:pPr>
        <w:pStyle w:val="style0"/>
        <w:spacing w:before="240" w:after="80" w:lineRule="auto" w:line="240"/>
        <w:jc w:val="center"/>
        <w:rPr>
          <w:rFonts w:ascii="Times New Roman" w:cs="Times New Roman" w:eastAsia="Times New Roman" w:hAnsi="Times New Roman"/>
          <w:sz w:val="20"/>
          <w:szCs w:val="20"/>
        </w:rPr>
      </w:pPr>
      <w:r>
        <w:rPr>
          <w:rFonts w:ascii="Times New Roman" w:cs="Times New Roman" w:eastAsia="Times New Roman" w:hAnsi="Times New Roman"/>
          <w:b/>
          <w:bCs/>
          <w:sz w:val="24"/>
          <w:szCs w:val="24"/>
        </w:rPr>
        <w:t>CHAPTER FIVE: SUMMARY OF FINDINGS, RECOMMENDATIONS AND CONCLUSION</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5.1 Summary of Findings</w:t>
      </w:r>
      <w:r>
        <w:rPr>
          <w:rFonts w:ascii="Times New Roman" w:cs="Times New Roman" w:eastAsia="Times New Roman" w:hAnsi="Times New Roman"/>
          <w:sz w:val="24"/>
          <w:szCs w:val="24"/>
        </w:rPr>
        <w:t>74</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5.2 Recommendations</w:t>
      </w:r>
      <w:r>
        <w:rPr>
          <w:rFonts w:ascii="Times New Roman" w:cs="Times New Roman" w:eastAsia="Times New Roman" w:hAnsi="Times New Roman"/>
          <w:sz w:val="24"/>
          <w:szCs w:val="24"/>
        </w:rPr>
        <w:t>75</w:t>
      </w:r>
    </w:p>
    <w:p>
      <w:pPr>
        <w:pStyle w:val="style0"/>
        <w:spacing w:after="80" w:lineRule="auto" w:line="240"/>
        <w:rPr>
          <w:rFonts w:ascii="Times New Roman" w:cs="Times New Roman" w:eastAsia="Times New Roman" w:hAnsi="Times New Roman"/>
          <w:sz w:val="20"/>
          <w:szCs w:val="20"/>
        </w:rPr>
      </w:pPr>
      <w:r>
        <w:rPr>
          <w:rFonts w:ascii="Times New Roman" w:cs="Times New Roman" w:eastAsia="Times New Roman" w:hAnsi="Times New Roman"/>
          <w:sz w:val="24"/>
          <w:szCs w:val="24"/>
        </w:rPr>
        <w:t>5.3 Conclusion</w:t>
      </w:r>
      <w:r>
        <w:rPr>
          <w:rFonts w:ascii="Times New Roman" w:cs="Times New Roman" w:eastAsia="Times New Roman" w:hAnsi="Times New Roman"/>
          <w:sz w:val="24"/>
          <w:szCs w:val="24"/>
        </w:rPr>
        <w:t>76</w:t>
      </w:r>
    </w:p>
    <w:p>
      <w:pPr>
        <w:pStyle w:val="style0"/>
        <w:spacing w:after="0" w:lineRule="auto" w:line="240"/>
        <w:rPr>
          <w:rFonts w:ascii="Times New Roman" w:cs="Times New Roman" w:eastAsia="Times New Roman" w:hAnsi="Times New Roman"/>
          <w:sz w:val="20"/>
          <w:szCs w:val="20"/>
        </w:rPr>
      </w:pP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 xml:space="preserve">          BIBLIOGRAPHY</w:t>
      </w:r>
    </w:p>
    <w:p>
      <w:pPr>
        <w:pStyle w:val="style0"/>
        <w:spacing w:after="0" w:lineRule="auto" w:line="240"/>
        <w:rPr>
          <w:rFonts w:ascii="Times New Roman" w:cs="Times New Roman" w:eastAsia="Times New Roman" w:hAnsi="Times New Roman"/>
          <w:sz w:val="20"/>
          <w:szCs w:val="20"/>
        </w:rPr>
      </w:pPr>
      <w:r>
        <w:rPr>
          <w:rFonts w:ascii="Times New Roman" w:cs="Times New Roman" w:eastAsia="Times New Roman" w:hAnsi="Times New Roman"/>
          <w:sz w:val="20"/>
          <w:szCs w:val="20"/>
        </w:rPr>
        <w:br w:type="page"/>
      </w:r>
    </w:p>
    <w:p>
      <w:pPr>
        <w:pStyle w:val="style0"/>
        <w:spacing w:after="240" w:lineRule="auto" w:line="240"/>
        <w:jc w:val="center"/>
        <w:rPr>
          <w:rFonts w:ascii="Times New Roman" w:cs="Times New Roman" w:eastAsia="Times New Roman" w:hAnsi="Times New Roman"/>
          <w:sz w:val="20"/>
          <w:szCs w:val="20"/>
        </w:rPr>
      </w:pPr>
      <w:r>
        <w:rPr>
          <w:rFonts w:ascii="Times New Roman" w:cs="Times New Roman" w:eastAsia="Times New Roman" w:hAnsi="Times New Roman"/>
          <w:b/>
          <w:bCs/>
          <w:sz w:val="24"/>
          <w:szCs w:val="24"/>
        </w:rPr>
        <w:t>LIST OF CASES</w:t>
      </w:r>
    </w:p>
    <w:p>
      <w:pPr>
        <w:pStyle w:val="style0"/>
        <w:spacing w:after="0" w:lineRule="auto" w:line="240"/>
        <w:rPr>
          <w:rFonts w:ascii="Times New Roman" w:cs="Times New Roman" w:eastAsia="Times New Roman" w:hAnsi="Times New Roman"/>
          <w:sz w:val="20"/>
          <w:szCs w:val="20"/>
        </w:rPr>
      </w:pPr>
    </w:p>
    <w:p>
      <w:pPr>
        <w:pStyle w:val="style0"/>
        <w:spacing w:after="0" w:lineRule="auto" w:line="240"/>
        <w:rPr>
          <w:rFonts w:ascii="Times New Roman" w:cs="Times New Roman" w:eastAsia="Times New Roman" w:hAnsi="Times New Roman"/>
          <w:sz w:val="20"/>
          <w:szCs w:val="20"/>
        </w:rPr>
      </w:pP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Adekunle v The State (2006) 14 NWLR (Pt. 1000) 717 (SC)</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Babuga v The State (1996) 7 NWLR (Pt. 460) 279</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Bakare v The State (1987) 1 NWLR (Pt 52) 579 (SC)</w:t>
      </w:r>
    </w:p>
    <w:p>
      <w:pPr>
        <w:pStyle w:val="style0"/>
        <w:tabs>
          <w:tab w:val="right" w:leader="none" w:pos="8640"/>
        </w:tabs>
        <w:spacing w:after="80" w:lineRule="auto" w:line="360"/>
        <w:rPr>
          <w:rFonts w:ascii="Times New Roman" w:cs="Times New Roman" w:eastAsia="Times New Roman" w:hAnsi="Times New Roman"/>
          <w:sz w:val="24"/>
          <w:szCs w:val="24"/>
        </w:rPr>
      </w:pPr>
      <w:r>
        <w:rPr>
          <w:rFonts w:ascii="Times New Roman" w:cs="Times New Roman" w:eastAsia="Times New Roman" w:hAnsi="Times New Roman"/>
          <w:iCs/>
          <w:sz w:val="24"/>
          <w:szCs w:val="24"/>
        </w:rPr>
        <w:t>Chief Vincent Duru (alias Otokoto) v The State (2001) 14 NWLR (Pt 733) 274 (SC)</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Dibie v The State (1987) JELR 42730 (SC)</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Emmanuel Ochiba v The State (2011) 17 NWLR (Pt 1277) 663 (SC)</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Hassan v The State (2001) 15 NWLR (Pt 736) 392 (SC)</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Isah v The State (2017) 6 NWLR (Pt 1562) 524 (SC)</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Kalu v The State (2017) LPELR-42101 (SC)</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Lori v State (1980) 8–11 SC 81</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Nwaeze v The State (1996) 2 NWLR (Pt 428) 1 (SC)</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Ogba v The State (1992) 2 NWLR (Pt. 222) 164 (SC)</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Oforlete v The State (2000) 12 NWLR (Pt 681) 415 (SC)</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Onah v The State (1985) 3 NWLR (Pt 12) 236 (SC)</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Peterside v The State (1994) 2 NWLR (Pt. 328) 552 (CA)</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Salihu v The State (2014) LPELR-22764 (SC)</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Yongo v Commissioner of Police (1992) 8 NWLR (Pt 257) 36 (SC)</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DPP v Hyam [1975] AC 57 (HL)</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Miranda v Arizona 384 US 436 (1966)</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Peacock v The King [1911] 13 CLR 619 (HCA)</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R v Baxendale-Walker [2007] EWCA Crim 1314 (England)</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S v Makwanyane (CCT50/95) [1997] ZACC 2 (South Africa)</w:t>
      </w:r>
      <w:r>
        <w:rPr>
          <w:rFonts w:ascii="Times New Roman" w:cs="Times New Roman" w:eastAsia="Times New Roman" w:hAnsi="Times New Roman"/>
          <w:sz w:val="24"/>
          <w:szCs w:val="24"/>
        </w:rPr>
        <w:tab/>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iCs/>
          <w:sz w:val="24"/>
          <w:szCs w:val="24"/>
        </w:rPr>
        <w:t>Woolmington v Director of Public Prosecutions [1935] AC 462 (HL)</w:t>
      </w:r>
    </w:p>
    <w:p>
      <w:pPr>
        <w:pStyle w:val="style0"/>
        <w:spacing w:after="0" w:lineRule="auto" w:line="240"/>
        <w:rPr>
          <w:rFonts w:ascii="Times New Roman" w:cs="Times New Roman" w:eastAsia="Times New Roman" w:hAnsi="Times New Roman"/>
          <w:sz w:val="20"/>
          <w:szCs w:val="20"/>
        </w:rPr>
      </w:pPr>
      <w:r>
        <w:rPr>
          <w:rFonts w:ascii="Times New Roman" w:cs="Times New Roman" w:eastAsia="Times New Roman" w:hAnsi="Times New Roman"/>
          <w:sz w:val="20"/>
          <w:szCs w:val="20"/>
        </w:rPr>
        <w:br w:type="page"/>
      </w:r>
    </w:p>
    <w:p>
      <w:pPr>
        <w:pStyle w:val="style0"/>
        <w:spacing w:after="240" w:lineRule="auto" w:line="240"/>
        <w:jc w:val="center"/>
        <w:rPr>
          <w:rFonts w:ascii="Times New Roman" w:cs="Times New Roman" w:eastAsia="Times New Roman" w:hAnsi="Times New Roman"/>
          <w:sz w:val="20"/>
          <w:szCs w:val="20"/>
        </w:rPr>
      </w:pPr>
      <w:r>
        <w:rPr>
          <w:rFonts w:ascii="Times New Roman" w:cs="Times New Roman" w:eastAsia="Times New Roman" w:hAnsi="Times New Roman"/>
          <w:b/>
          <w:bCs/>
          <w:sz w:val="24"/>
          <w:szCs w:val="24"/>
        </w:rPr>
        <w:t>LIST OF STATUTES</w:t>
      </w:r>
    </w:p>
    <w:p>
      <w:pPr>
        <w:pStyle w:val="style0"/>
        <w:spacing w:after="0" w:lineRule="auto" w:line="240"/>
        <w:rPr>
          <w:rFonts w:ascii="Times New Roman" w:cs="Times New Roman" w:eastAsia="Times New Roman" w:hAnsi="Times New Roman"/>
          <w:sz w:val="20"/>
          <w:szCs w:val="20"/>
        </w:rPr>
      </w:pPr>
    </w:p>
    <w:p>
      <w:pPr>
        <w:pStyle w:val="style0"/>
        <w:tabs>
          <w:tab w:val="right" w:leader="none" w:pos="8640"/>
        </w:tabs>
        <w:spacing w:after="8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Administration of Criminal Justice Act 2015 </w:t>
      </w:r>
    </w:p>
    <w:p>
      <w:pPr>
        <w:pStyle w:val="style0"/>
        <w:tabs>
          <w:tab w:val="right" w:leader="none" w:pos="8640"/>
        </w:tabs>
        <w:spacing w:after="8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Constitution of the Federal Republic of Nigeria 1999 (as amended) </w:t>
      </w:r>
    </w:p>
    <w:p>
      <w:pPr>
        <w:pStyle w:val="style0"/>
        <w:tabs>
          <w:tab w:val="right" w:leader="none" w:pos="8640"/>
        </w:tabs>
        <w:spacing w:after="8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Criminal Code Act, Cap C38, Laws of the Federation of Nigeria 2004 </w:t>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Evidence Act 2011 22</w:t>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 xml:space="preserve">Evidence Act 2023 </w:t>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Penal Code (Federal Provisions) Act, Cap P3, Laws of the Federation of Nigeria 2004</w:t>
      </w:r>
    </w:p>
    <w:p>
      <w:pPr>
        <w:pStyle w:val="style0"/>
        <w:tabs>
          <w:tab w:val="right" w:leader="none" w:pos="864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 xml:space="preserve">Nigeria Police Act 2020 </w:t>
      </w:r>
    </w:p>
    <w:p>
      <w:pPr>
        <w:pStyle w:val="style0"/>
        <w:spacing w:after="0" w:lineRule="auto" w:line="240"/>
        <w:rPr>
          <w:rFonts w:ascii="Times New Roman" w:cs="Times New Roman" w:eastAsia="Times New Roman" w:hAnsi="Times New Roman"/>
          <w:sz w:val="20"/>
          <w:szCs w:val="20"/>
        </w:rPr>
      </w:pPr>
      <w:r>
        <w:rPr>
          <w:rFonts w:ascii="Times New Roman" w:cs="Times New Roman" w:eastAsia="Times New Roman" w:hAnsi="Times New Roman"/>
          <w:sz w:val="20"/>
          <w:szCs w:val="20"/>
        </w:rPr>
        <w:br w:type="page"/>
      </w:r>
    </w:p>
    <w:p>
      <w:pPr>
        <w:pStyle w:val="style0"/>
        <w:spacing w:after="240" w:lineRule="auto" w:line="240"/>
        <w:jc w:val="center"/>
        <w:rPr>
          <w:rFonts w:ascii="Times New Roman" w:cs="Times New Roman" w:eastAsia="Times New Roman" w:hAnsi="Times New Roman"/>
          <w:sz w:val="20"/>
          <w:szCs w:val="20"/>
        </w:rPr>
      </w:pPr>
      <w:r>
        <w:rPr>
          <w:rFonts w:ascii="Times New Roman" w:cs="Times New Roman" w:eastAsia="Times New Roman" w:hAnsi="Times New Roman"/>
          <w:b/>
          <w:bCs/>
          <w:sz w:val="24"/>
          <w:szCs w:val="24"/>
        </w:rPr>
        <w:t>LIST OF ABBREVIATIONS</w:t>
      </w:r>
    </w:p>
    <w:p>
      <w:pPr>
        <w:pStyle w:val="style0"/>
        <w:spacing w:after="0" w:lineRule="auto" w:line="240"/>
        <w:rPr>
          <w:rFonts w:ascii="Times New Roman" w:cs="Times New Roman" w:eastAsia="Times New Roman" w:hAnsi="Times New Roman"/>
          <w:sz w:val="20"/>
          <w:szCs w:val="20"/>
        </w:rPr>
      </w:pPr>
    </w:p>
    <w:p>
      <w:pPr>
        <w:pStyle w:val="style0"/>
        <w:tabs>
          <w:tab w:val="left" w:leader="none" w:pos="216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 xml:space="preserve">ACJA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Administration of Criminal Justice Act 2015</w:t>
      </w:r>
    </w:p>
    <w:p>
      <w:pPr>
        <w:pStyle w:val="style0"/>
        <w:tabs>
          <w:tab w:val="left" w:leader="none" w:pos="216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 xml:space="preserve">CA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Court of Appeal</w:t>
      </w:r>
    </w:p>
    <w:p>
      <w:pPr>
        <w:pStyle w:val="style0"/>
        <w:tabs>
          <w:tab w:val="left" w:leader="none" w:pos="216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 xml:space="preserve">CAP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Chapter</w:t>
      </w:r>
    </w:p>
    <w:p>
      <w:pPr>
        <w:pStyle w:val="style0"/>
        <w:tabs>
          <w:tab w:val="left" w:leader="none" w:pos="216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 xml:space="preserve">CFRN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Constitution of the Federal Republic of Nigeria</w:t>
      </w:r>
    </w:p>
    <w:p>
      <w:pPr>
        <w:pStyle w:val="style0"/>
        <w:tabs>
          <w:tab w:val="left" w:leader="none" w:pos="216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 xml:space="preserve">CPA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Criminal Procedure Act</w:t>
      </w:r>
    </w:p>
    <w:p>
      <w:pPr>
        <w:pStyle w:val="style0"/>
        <w:tabs>
          <w:tab w:val="left" w:leader="none" w:pos="216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 xml:space="preserve">FSC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Federal Supreme Court</w:t>
      </w:r>
    </w:p>
    <w:p>
      <w:pPr>
        <w:pStyle w:val="style0"/>
        <w:tabs>
          <w:tab w:val="left" w:leader="none" w:pos="216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 xml:space="preserve">ICCPR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International Covenant on Civil and Political Rights</w:t>
      </w:r>
    </w:p>
    <w:p>
      <w:pPr>
        <w:pStyle w:val="style0"/>
        <w:tabs>
          <w:tab w:val="left" w:leader="none" w:pos="216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 xml:space="preserve">JELR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Journal of Electronic Law Reports</w:t>
      </w:r>
    </w:p>
    <w:p>
      <w:pPr>
        <w:pStyle w:val="style0"/>
        <w:tabs>
          <w:tab w:val="left" w:leader="none" w:pos="216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 xml:space="preserve">LFN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Laws of the Federation of Nigeria</w:t>
      </w:r>
    </w:p>
    <w:p>
      <w:pPr>
        <w:pStyle w:val="style0"/>
        <w:tabs>
          <w:tab w:val="left" w:leader="none" w:pos="216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 xml:space="preserve">LPELR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Law Pavilion Electronic Law Report</w:t>
      </w:r>
    </w:p>
    <w:p>
      <w:pPr>
        <w:pStyle w:val="style0"/>
        <w:tabs>
          <w:tab w:val="left" w:leader="none" w:pos="216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 xml:space="preserve">NGSC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Nigerian Supreme Court</w:t>
      </w:r>
    </w:p>
    <w:p>
      <w:pPr>
        <w:pStyle w:val="style0"/>
        <w:tabs>
          <w:tab w:val="left" w:leader="none" w:pos="216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 xml:space="preserve">NWLR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Nigerian Weekly Law Report</w:t>
      </w:r>
    </w:p>
    <w:p>
      <w:pPr>
        <w:pStyle w:val="style0"/>
        <w:tabs>
          <w:tab w:val="left" w:leader="none" w:pos="216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 xml:space="preserve">SC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Supreme Court</w:t>
      </w:r>
    </w:p>
    <w:p>
      <w:pPr>
        <w:pStyle w:val="style0"/>
        <w:tabs>
          <w:tab w:val="left" w:leader="none" w:pos="216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 xml:space="preserve">SCNLR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Supreme Court of Nigeria Law Report</w:t>
      </w:r>
    </w:p>
    <w:p>
      <w:pPr>
        <w:pStyle w:val="style0"/>
        <w:tabs>
          <w:tab w:val="left" w:leader="none" w:pos="216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 xml:space="preserve">UDHR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Universal Declaration of Human Rights</w:t>
      </w:r>
    </w:p>
    <w:p>
      <w:pPr>
        <w:pStyle w:val="style0"/>
        <w:tabs>
          <w:tab w:val="left" w:leader="none" w:pos="2160"/>
        </w:tabs>
        <w:spacing w:after="80" w:lineRule="auto" w:line="360"/>
        <w:rPr>
          <w:rFonts w:ascii="Times New Roman" w:cs="Times New Roman" w:eastAsia="Times New Roman" w:hAnsi="Times New Roman"/>
          <w:sz w:val="20"/>
          <w:szCs w:val="20"/>
        </w:rPr>
      </w:pPr>
      <w:r>
        <w:rPr>
          <w:rFonts w:ascii="Times New Roman" w:cs="Times New Roman" w:eastAsia="Times New Roman" w:hAnsi="Times New Roman"/>
          <w:sz w:val="24"/>
          <w:szCs w:val="24"/>
        </w:rPr>
        <w:t xml:space="preserve">WRN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Weekly Reports of Nigeria</w:t>
      </w:r>
    </w:p>
    <w:p>
      <w:pPr>
        <w:pStyle w:val="style0"/>
        <w:spacing w:after="0" w:lineRule="auto" w:line="240"/>
        <w:rPr>
          <w:rFonts w:ascii="Times New Roman" w:cs="Times New Roman" w:eastAsia="Times New Roman" w:hAnsi="Times New Roman"/>
          <w:sz w:val="20"/>
          <w:szCs w:val="20"/>
        </w:rPr>
      </w:pPr>
      <w:r>
        <w:rPr>
          <w:rFonts w:ascii="Times New Roman" w:cs="Times New Roman" w:eastAsia="Times New Roman" w:hAnsi="Times New Roman"/>
          <w:sz w:val="20"/>
          <w:szCs w:val="20"/>
        </w:rPr>
        <w:br w:type="page"/>
      </w:r>
    </w:p>
    <w:p>
      <w:pPr>
        <w:pStyle w:val="style0"/>
        <w:spacing w:after="240" w:lineRule="auto" w:line="240"/>
        <w:jc w:val="center"/>
        <w:rPr>
          <w:rFonts w:ascii="Times New Roman" w:cs="Times New Roman" w:eastAsia="Times New Roman" w:hAnsi="Times New Roman"/>
          <w:b/>
          <w:bCs/>
          <w:sz w:val="24"/>
          <w:szCs w:val="24"/>
        </w:rPr>
      </w:pPr>
    </w:p>
    <w:p>
      <w:pPr>
        <w:pStyle w:val="style0"/>
        <w:spacing w:after="160" w:lineRule="auto" w:line="240"/>
        <w:jc w:val="both"/>
        <w:rPr>
          <w:rFonts w:ascii="Times New Roman" w:cs="Times New Roman" w:eastAsia="Calibri" w:hAnsi="Times New Roman"/>
          <w:b/>
          <w:sz w:val="24"/>
          <w:szCs w:val="24"/>
        </w:rPr>
      </w:pPr>
      <w:r>
        <w:rPr>
          <w:rFonts w:ascii="Times New Roman" w:cs="Times New Roman" w:eastAsia="Calibri" w:hAnsi="Times New Roman"/>
          <w:b/>
          <w:sz w:val="24"/>
          <w:szCs w:val="24"/>
        </w:rPr>
        <w:tab/>
      </w:r>
      <w:r>
        <w:rPr>
          <w:rFonts w:ascii="Times New Roman" w:cs="Times New Roman" w:eastAsia="Calibri" w:hAnsi="Times New Roman"/>
          <w:b/>
          <w:sz w:val="24"/>
          <w:szCs w:val="24"/>
        </w:rPr>
        <w:tab/>
      </w:r>
      <w:r>
        <w:rPr>
          <w:rFonts w:ascii="Times New Roman" w:cs="Times New Roman" w:eastAsia="Calibri" w:hAnsi="Times New Roman"/>
          <w:b/>
          <w:sz w:val="24"/>
          <w:szCs w:val="24"/>
        </w:rPr>
        <w:tab/>
      </w:r>
      <w:r>
        <w:rPr>
          <w:rFonts w:ascii="Times New Roman" w:cs="Times New Roman" w:eastAsia="Calibri" w:hAnsi="Times New Roman"/>
          <w:b/>
          <w:sz w:val="24"/>
          <w:szCs w:val="24"/>
        </w:rPr>
        <w:tab/>
      </w:r>
      <w:r>
        <w:rPr>
          <w:rFonts w:ascii="Times New Roman" w:cs="Times New Roman" w:eastAsia="Calibri" w:hAnsi="Times New Roman"/>
          <w:b/>
          <w:sz w:val="24"/>
          <w:szCs w:val="24"/>
        </w:rPr>
        <w:tab/>
      </w:r>
      <w:r>
        <w:rPr>
          <w:rFonts w:ascii="Times New Roman" w:cs="Times New Roman" w:eastAsia="Calibri" w:hAnsi="Times New Roman"/>
          <w:b/>
          <w:sz w:val="24"/>
          <w:szCs w:val="24"/>
        </w:rPr>
        <w:t>ABSTRACT</w:t>
      </w:r>
    </w:p>
    <w:p>
      <w:pPr>
        <w:pStyle w:val="style0"/>
        <w:spacing w:after="160" w:lineRule="auto" w:line="240"/>
        <w:jc w:val="both"/>
        <w:rPr>
          <w:rFonts w:ascii="Times New Roman" w:cs="Times New Roman" w:eastAsia="Calibri" w:hAnsi="Times New Roman"/>
          <w:sz w:val="24"/>
          <w:szCs w:val="24"/>
        </w:rPr>
      </w:pPr>
      <w:r>
        <w:rPr>
          <w:rFonts w:ascii="Times New Roman" w:cs="Times New Roman" w:eastAsia="Calibri" w:hAnsi="Times New Roman"/>
          <w:sz w:val="24"/>
          <w:szCs w:val="24"/>
        </w:rPr>
        <w:t>At the apex of criminal offenses, is murder, which is mandatorily punishable by the death penalty in Nigerian criminal law; yet, its proof in prosecution is demonstrably beleaguered by deeply ingrained institutional, evidential, forensic, and constitutional impediments. The present study interrogates the legal and institutional regime that governs the pro</w:t>
      </w:r>
      <w:r>
        <w:rPr>
          <w:rFonts w:ascii="Times New Roman" w:cs="Times New Roman" w:eastAsia="Calibri" w:hAnsi="Times New Roman"/>
          <w:sz w:val="24"/>
          <w:szCs w:val="24"/>
        </w:rPr>
        <w:t>of</w:t>
      </w:r>
      <w:r>
        <w:rPr>
          <w:rFonts w:ascii="Times New Roman" w:cs="Times New Roman" w:eastAsia="Calibri" w:hAnsi="Times New Roman"/>
          <w:sz w:val="24"/>
          <w:szCs w:val="24"/>
        </w:rPr>
        <w:t xml:space="preserve"> of murder under the Criminal Code Act, the Penal Code, the Evidence Act 2023, and the Administration of Criminal Justice Act 2015, and constitutionally protected rights. Applying doctrinal research, which engages a critical examination of principal statutes and established jurisprudence of higher courts, the study dissects the trinity components of proof; the fact of death, cause and effect, and finally mens rea. It establishes the perennial forensic infrastructure gap, an outdated emphasis on coactive confession evidence, evidence decay due to systemic trial delay, and poor police investigations, has led to courts consistently relying on imperfect oral witness evidence or convoluted pieces of circumstantial evidence which occasion mistrial. The paper recommends urgent and systematic implementation of mandated video recordings of all police investigations of murder, establishment of state financed inter-state Forensic Sciences laboratories, a robust witness Protection Act and Specialist Murder Trials teams in Nigerian’s case management architecture.</w:t>
      </w:r>
    </w:p>
    <w:p>
      <w:pPr>
        <w:pStyle w:val="style0"/>
        <w:spacing w:after="160" w:lineRule="auto" w:line="480"/>
        <w:jc w:val="both"/>
        <w:rPr>
          <w:rFonts w:ascii="Times New Roman" w:cs="Times New Roman" w:eastAsia="Calibri" w:hAnsi="Times New Roman"/>
          <w:sz w:val="24"/>
          <w:szCs w:val="24"/>
        </w:rPr>
      </w:pPr>
    </w:p>
    <w:p>
      <w:pPr>
        <w:pStyle w:val="style0"/>
        <w:spacing w:after="160" w:lineRule="auto" w:line="480"/>
        <w:jc w:val="both"/>
        <w:rPr>
          <w:rFonts w:ascii="Times New Roman" w:cs="Times New Roman" w:eastAsia="Calibri" w:hAnsi="Times New Roman"/>
          <w:sz w:val="24"/>
          <w:szCs w:val="24"/>
        </w:rPr>
      </w:pPr>
    </w:p>
    <w:p>
      <w:pPr>
        <w:pStyle w:val="style0"/>
        <w:spacing w:after="160" w:lineRule="auto" w:line="480"/>
        <w:jc w:val="both"/>
        <w:rPr>
          <w:rFonts w:ascii="Times New Roman" w:cs="Times New Roman" w:eastAsia="Calibri" w:hAnsi="Times New Roman"/>
          <w:sz w:val="24"/>
          <w:szCs w:val="24"/>
        </w:rPr>
      </w:pPr>
    </w:p>
    <w:p>
      <w:pPr>
        <w:pStyle w:val="style0"/>
        <w:spacing w:after="160" w:lineRule="auto" w:line="480"/>
        <w:jc w:val="both"/>
        <w:rPr>
          <w:rFonts w:ascii="Times New Roman" w:cs="Times New Roman" w:eastAsia="Calibri" w:hAnsi="Times New Roman"/>
          <w:sz w:val="24"/>
          <w:szCs w:val="24"/>
        </w:rPr>
      </w:pPr>
    </w:p>
    <w:p>
      <w:pPr>
        <w:pStyle w:val="style0"/>
        <w:spacing w:after="160" w:lineRule="auto" w:line="480"/>
        <w:jc w:val="both"/>
        <w:rPr>
          <w:rFonts w:ascii="Times New Roman" w:cs="Times New Roman" w:eastAsia="Calibri" w:hAnsi="Times New Roman"/>
          <w:sz w:val="24"/>
          <w:szCs w:val="24"/>
        </w:rPr>
      </w:pPr>
    </w:p>
    <w:p>
      <w:pPr>
        <w:pStyle w:val="style0"/>
        <w:spacing w:after="160" w:lineRule="auto" w:line="480"/>
        <w:jc w:val="both"/>
        <w:rPr>
          <w:rFonts w:ascii="Times New Roman" w:cs="Times New Roman" w:eastAsia="Calibri" w:hAnsi="Times New Roman"/>
          <w:sz w:val="24"/>
          <w:szCs w:val="24"/>
        </w:rPr>
      </w:pPr>
    </w:p>
    <w:p>
      <w:pPr>
        <w:pStyle w:val="style0"/>
        <w:spacing w:after="160" w:lineRule="auto" w:line="480"/>
        <w:jc w:val="both"/>
        <w:rPr>
          <w:rFonts w:ascii="Times New Roman" w:cs="Times New Roman" w:eastAsia="Calibri" w:hAnsi="Times New Roman"/>
          <w:sz w:val="24"/>
          <w:szCs w:val="24"/>
        </w:rPr>
      </w:pPr>
    </w:p>
    <w:p>
      <w:pPr>
        <w:pStyle w:val="style0"/>
        <w:spacing w:after="160" w:lineRule="auto" w:line="480"/>
        <w:jc w:val="both"/>
        <w:rPr>
          <w:rFonts w:ascii="Times New Roman" w:cs="Times New Roman" w:eastAsia="Calibri" w:hAnsi="Times New Roman"/>
          <w:sz w:val="24"/>
          <w:szCs w:val="24"/>
        </w:rPr>
      </w:pPr>
    </w:p>
    <w:p>
      <w:pPr>
        <w:pStyle w:val="style0"/>
        <w:spacing w:after="160" w:lineRule="auto" w:line="480"/>
        <w:jc w:val="both"/>
        <w:rPr>
          <w:rFonts w:ascii="Times New Roman" w:cs="Times New Roman" w:eastAsia="Calibri" w:hAnsi="Times New Roman"/>
          <w:sz w:val="24"/>
          <w:szCs w:val="24"/>
        </w:rPr>
      </w:pPr>
    </w:p>
    <w:p>
      <w:pPr>
        <w:pStyle w:val="style0"/>
        <w:spacing w:after="160" w:lineRule="auto" w:line="480"/>
        <w:jc w:val="both"/>
        <w:rPr>
          <w:rFonts w:ascii="Times New Roman" w:cs="Times New Roman" w:eastAsia="Calibri" w:hAnsi="Times New Roman"/>
          <w:sz w:val="24"/>
          <w:szCs w:val="24"/>
        </w:rPr>
      </w:pPr>
    </w:p>
    <w:p>
      <w:pPr>
        <w:pStyle w:val="style0"/>
        <w:spacing w:after="160" w:lineRule="auto" w:line="480"/>
        <w:jc w:val="both"/>
        <w:rPr>
          <w:rFonts w:ascii="Times New Roman" w:cs="Times New Roman" w:eastAsia="Calibri" w:hAnsi="Times New Roman"/>
          <w:sz w:val="24"/>
          <w:szCs w:val="24"/>
        </w:rPr>
      </w:pPr>
    </w:p>
    <w:p>
      <w:pPr>
        <w:pStyle w:val="style0"/>
        <w:spacing w:after="160" w:lineRule="auto" w:line="480"/>
        <w:jc w:val="both"/>
        <w:rPr>
          <w:rFonts w:ascii="Times New Roman" w:cs="Times New Roman" w:eastAsia="Calibri" w:hAnsi="Times New Roman"/>
          <w:b/>
          <w:sz w:val="24"/>
          <w:szCs w:val="24"/>
        </w:rPr>
      </w:pPr>
      <w:r>
        <w:rPr>
          <w:rFonts w:ascii="Times New Roman" w:cs="Times New Roman" w:eastAsia="Calibri" w:hAnsi="Times New Roman"/>
          <w:sz w:val="24"/>
          <w:szCs w:val="24"/>
        </w:rPr>
        <w:tab/>
      </w:r>
      <w:r>
        <w:rPr>
          <w:rFonts w:ascii="Times New Roman" w:cs="Times New Roman" w:eastAsia="Calibri" w:hAnsi="Times New Roman"/>
          <w:sz w:val="24"/>
          <w:szCs w:val="24"/>
        </w:rPr>
        <w:tab/>
      </w:r>
      <w:r>
        <w:rPr>
          <w:rFonts w:ascii="Times New Roman" w:cs="Times New Roman" w:eastAsia="Calibri" w:hAnsi="Times New Roman"/>
          <w:sz w:val="24"/>
          <w:szCs w:val="24"/>
        </w:rPr>
        <w:tab/>
      </w:r>
      <w:r>
        <w:rPr>
          <w:rFonts w:ascii="Times New Roman" w:cs="Times New Roman" w:eastAsia="Calibri" w:hAnsi="Times New Roman"/>
          <w:sz w:val="24"/>
          <w:szCs w:val="24"/>
        </w:rPr>
        <w:t xml:space="preserve">         </w:t>
      </w:r>
      <w:r>
        <w:rPr>
          <w:rFonts w:ascii="Times New Roman" w:cs="Times New Roman" w:eastAsia="Calibri" w:hAnsi="Times New Roman"/>
          <w:sz w:val="24"/>
          <w:szCs w:val="24"/>
        </w:rPr>
        <w:t xml:space="preserve">           </w:t>
      </w:r>
      <w:r>
        <w:rPr>
          <w:rFonts w:ascii="Times New Roman" w:cs="Times New Roman" w:eastAsia="Calibri" w:hAnsi="Times New Roman"/>
          <w:b/>
          <w:sz w:val="24"/>
          <w:szCs w:val="24"/>
        </w:rPr>
        <w:t xml:space="preserve">CHAPTER ONE  </w:t>
      </w:r>
    </w:p>
    <w:p>
      <w:pPr>
        <w:pStyle w:val="style0"/>
        <w:spacing w:after="160" w:lineRule="auto" w:line="480"/>
        <w:jc w:val="both"/>
        <w:rPr>
          <w:rFonts w:ascii="Times New Roman" w:cs="Times New Roman" w:eastAsia="Calibri" w:hAnsi="Times New Roman"/>
          <w:b/>
          <w:sz w:val="24"/>
          <w:szCs w:val="24"/>
        </w:rPr>
      </w:pPr>
      <w:r>
        <w:rPr>
          <w:rFonts w:ascii="Times New Roman" w:cs="Times New Roman" w:eastAsia="Calibri" w:hAnsi="Times New Roman"/>
          <w:b/>
          <w:sz w:val="24"/>
          <w:szCs w:val="24"/>
        </w:rPr>
        <w:tab/>
      </w:r>
      <w:r>
        <w:rPr>
          <w:rFonts w:ascii="Times New Roman" w:cs="Times New Roman" w:eastAsia="Calibri" w:hAnsi="Times New Roman"/>
          <w:b/>
          <w:sz w:val="24"/>
          <w:szCs w:val="24"/>
        </w:rPr>
        <w:tab/>
      </w:r>
      <w:r>
        <w:rPr>
          <w:rFonts w:ascii="Times New Roman" w:cs="Times New Roman" w:eastAsia="Calibri" w:hAnsi="Times New Roman"/>
          <w:b/>
          <w:sz w:val="24"/>
          <w:szCs w:val="24"/>
        </w:rPr>
        <w:tab/>
      </w:r>
      <w:r>
        <w:rPr>
          <w:rFonts w:ascii="Times New Roman" w:cs="Times New Roman" w:eastAsia="Calibri" w:hAnsi="Times New Roman"/>
          <w:b/>
          <w:sz w:val="24"/>
          <w:szCs w:val="24"/>
        </w:rPr>
        <w:tab/>
      </w:r>
      <w:r>
        <w:rPr>
          <w:rFonts w:ascii="Times New Roman" w:cs="Times New Roman" w:eastAsia="Calibri" w:hAnsi="Times New Roman"/>
          <w:b/>
          <w:sz w:val="24"/>
          <w:szCs w:val="24"/>
        </w:rPr>
        <w:t xml:space="preserve">          INTRODUCTION  </w:t>
      </w:r>
    </w:p>
    <w:p>
      <w:pPr>
        <w:pStyle w:val="style0"/>
        <w:spacing w:after="160" w:lineRule="auto" w:line="480"/>
        <w:jc w:val="both"/>
        <w:rPr>
          <w:rFonts w:ascii="Times New Roman" w:cs="Times New Roman" w:eastAsia="Calibri" w:hAnsi="Times New Roman"/>
          <w:b/>
          <w:sz w:val="24"/>
          <w:szCs w:val="24"/>
        </w:rPr>
      </w:pPr>
    </w:p>
    <w:p>
      <w:pPr>
        <w:pStyle w:val="style0"/>
        <w:spacing w:after="160" w:lineRule="auto" w:line="480"/>
        <w:jc w:val="both"/>
        <w:rPr>
          <w:rFonts w:ascii="Times New Roman" w:cs="Times New Roman" w:eastAsia="Calibri" w:hAnsi="Times New Roman"/>
          <w:b/>
          <w:sz w:val="24"/>
          <w:szCs w:val="24"/>
        </w:rPr>
      </w:pPr>
      <w:r>
        <w:rPr>
          <w:rFonts w:ascii="Times New Roman" w:cs="Times New Roman" w:eastAsia="Calibri" w:hAnsi="Times New Roman"/>
          <w:b/>
          <w:sz w:val="24"/>
          <w:szCs w:val="24"/>
        </w:rPr>
        <w:t xml:space="preserve">1.1 Background to the Study  </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Murder is one of the most serious crimes in a society and in Nigeria, it is especially important because of the complicated nature of the country's  social, cultural, historical, and legal roots. In Nigeria’s legal system, murder is mainly described and is punished by applying two main laws that showcase the country's regional differences. These Codes include; the</w:t>
      </w:r>
      <w:r>
        <w:rPr>
          <w:rFonts w:ascii="Times New Roman" w:cs="Times New Roman" w:eastAsia="Calibri" w:hAnsi="Times New Roman"/>
          <w:b/>
          <w:sz w:val="24"/>
          <w:szCs w:val="24"/>
        </w:rPr>
        <w:t xml:space="preserve"> </w:t>
      </w:r>
      <w:r>
        <w:rPr>
          <w:rFonts w:ascii="Times New Roman" w:cs="Times New Roman" w:eastAsia="Calibri" w:hAnsi="Times New Roman"/>
          <w:sz w:val="24"/>
          <w:szCs w:val="24"/>
        </w:rPr>
        <w:t>Criminal Code Act, which is applied mainly across all Southern states, and the Penal Code, which governs the Northern states. Section 316 of the Criminal Code defined murder as “the unlawful killing of another person with malice aforethought, with an  intention to cause death or serious bodily harm, or an act done with reckless indifference to human life”. Similarly to this, Section 221 of the Penal Code addresses “culpable homicide punishable with death, which is focused on acts that are carried out on purpose to cause death or acts done with the understanding that death might happen as a result of such action”. Both provisions of these sections require that someone found guilty be sentenced to death, showing how serious Nigerian law considers this crime. This is clearly stated in Section 319 of the Criminal Code</w:t>
      </w:r>
      <w:r>
        <w:rPr>
          <w:rFonts w:ascii="Times New Roman" w:cs="Times New Roman" w:eastAsia="Calibri" w:hAnsi="Times New Roman"/>
          <w:b/>
          <w:sz w:val="24"/>
          <w:szCs w:val="24"/>
        </w:rPr>
        <w:t xml:space="preserve"> </w:t>
      </w:r>
      <w:r>
        <w:rPr>
          <w:rFonts w:ascii="Times New Roman" w:cs="Times New Roman" w:eastAsia="Calibri" w:hAnsi="Times New Roman"/>
          <w:sz w:val="24"/>
          <w:szCs w:val="24"/>
        </w:rPr>
        <w:t xml:space="preserve">and the similar sections of the Penal Code. </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This system can be traced back to Nigeria's history as a colony. Before the colonial rule, local communities in Nigeria dealt with the crime of murder using their own traditional laws, </w:t>
      </w:r>
      <w:r>
        <w:rPr>
          <w:rFonts w:ascii="Times New Roman" w:cs="Times New Roman" w:eastAsia="Calibri" w:hAnsi="Times New Roman"/>
          <w:sz w:val="24"/>
          <w:szCs w:val="24"/>
        </w:rPr>
        <w:t>which were different depending on the ethnic group.</w:t>
      </w:r>
      <w:r>
        <w:rPr>
          <w:rFonts w:ascii="Times New Roman" w:cs="Times New Roman" w:eastAsia="Calibri" w:hAnsi="Times New Roman"/>
          <w:sz w:val="24"/>
          <w:vertAlign w:val="superscript"/>
        </w:rPr>
        <w:footnoteReference w:id="1"/>
      </w:r>
      <w:r>
        <w:rPr>
          <w:rFonts w:ascii="Times New Roman" w:cs="Times New Roman" w:eastAsia="Calibri" w:hAnsi="Times New Roman"/>
          <w:sz w:val="24"/>
          <w:szCs w:val="24"/>
        </w:rPr>
        <w:t xml:space="preserve"> For example, among the Yoruba</w:t>
      </w:r>
      <w:r>
        <w:rPr>
          <w:rFonts w:ascii="Times New Roman" w:cs="Times New Roman" w:eastAsia="Calibri" w:hAnsi="Times New Roman"/>
          <w:b/>
          <w:sz w:val="24"/>
          <w:szCs w:val="24"/>
        </w:rPr>
        <w:t xml:space="preserve"> </w:t>
      </w:r>
      <w:r>
        <w:rPr>
          <w:rFonts w:ascii="Times New Roman" w:cs="Times New Roman" w:eastAsia="Calibri" w:hAnsi="Times New Roman"/>
          <w:sz w:val="24"/>
          <w:szCs w:val="24"/>
        </w:rPr>
        <w:t>people in the Southwest, community courts usually gave punishments like paying back the victim or banishing the person, instead of giving the death penalty. Balogun argues that “punishment in the traditional Yoruba legal system is fundamentally geared toward repairing the social fabric and restoring harmony to the community rather than just punitive”.</w:t>
      </w:r>
      <w:r>
        <w:rPr>
          <w:rFonts w:ascii="Times New Roman" w:cs="Times New Roman" w:eastAsia="Calibri" w:hAnsi="Times New Roman"/>
          <w:sz w:val="24"/>
          <w:vertAlign w:val="superscript"/>
        </w:rPr>
        <w:footnoteReference w:id="2"/>
      </w:r>
      <w:r>
        <w:rPr>
          <w:rFonts w:ascii="Times New Roman" w:cs="Times New Roman" w:eastAsia="Calibri" w:hAnsi="Times New Roman"/>
          <w:sz w:val="24"/>
          <w:szCs w:val="24"/>
        </w:rPr>
        <w:t xml:space="preserve"> Their main goal was to restore peace and good relationships in the community. On the other hand, some communities in the North, made up of Hausa and Fulani people, used Islamic rules.</w:t>
      </w:r>
      <w:r>
        <w:rPr>
          <w:rFonts w:ascii="Times New Roman" w:cs="Times New Roman" w:eastAsia="Calibri" w:hAnsi="Times New Roman"/>
          <w:sz w:val="24"/>
          <w:vertAlign w:val="superscript"/>
        </w:rPr>
        <w:footnoteReference w:id="3"/>
      </w:r>
      <w:r>
        <w:rPr>
          <w:rFonts w:ascii="Times New Roman" w:cs="Times New Roman" w:eastAsia="Calibri" w:hAnsi="Times New Roman"/>
          <w:sz w:val="24"/>
          <w:szCs w:val="24"/>
        </w:rPr>
        <w:t xml:space="preserve"> In these communities, a punishment called Qisas, which means retaliation, could result in the death penalty for deliberate murder.</w:t>
      </w:r>
      <w:r>
        <w:rPr>
          <w:rFonts w:ascii="Times New Roman" w:cs="Times New Roman" w:eastAsia="Calibri" w:hAnsi="Times New Roman"/>
          <w:sz w:val="24"/>
          <w:vertAlign w:val="superscript"/>
        </w:rPr>
        <w:footnoteReference w:id="4"/>
      </w:r>
      <w:r>
        <w:rPr>
          <w:rFonts w:ascii="Times New Roman" w:cs="Times New Roman" w:eastAsia="Calibri" w:hAnsi="Times New Roman"/>
          <w:sz w:val="24"/>
          <w:szCs w:val="24"/>
        </w:rPr>
        <w:t xml:space="preserve"> However, they also had the option to pay Diya, or blood money, as a way to settle the matter.</w:t>
      </w:r>
      <w:r>
        <w:rPr>
          <w:rFonts w:ascii="Times New Roman" w:cs="Times New Roman" w:eastAsia="Calibri" w:hAnsi="Times New Roman"/>
          <w:sz w:val="24"/>
          <w:vertAlign w:val="superscript"/>
        </w:rPr>
        <w:footnoteReference w:id="5"/>
      </w:r>
      <w:r>
        <w:rPr>
          <w:rFonts w:ascii="Times New Roman" w:cs="Times New Roman" w:eastAsia="Calibri" w:hAnsi="Times New Roman"/>
          <w:sz w:val="24"/>
          <w:szCs w:val="24"/>
        </w:rPr>
        <w:t xml:space="preserve"> These pre-colonial or traditional mechanisms of dealing with crimes were closely tied to their culture. They rely on elders, oaths, rituals like divination, and the agreement of the community to decide if someone was guilty. They often did not follow the formal rules of modern courts that require specific types of evidence.</w:t>
      </w:r>
      <w:r>
        <w:rPr>
          <w:rFonts w:ascii="Times New Roman" w:cs="Times New Roman" w:eastAsia="Calibri" w:hAnsi="Times New Roman"/>
          <w:sz w:val="24"/>
          <w:vertAlign w:val="superscript"/>
        </w:rPr>
        <w:footnoteReference w:id="6"/>
      </w:r>
      <w:r>
        <w:rPr>
          <w:rFonts w:ascii="Times New Roman" w:cs="Times New Roman" w:eastAsia="Calibri" w:hAnsi="Times New Roman"/>
          <w:sz w:val="24"/>
          <w:szCs w:val="24"/>
        </w:rPr>
        <w:t xml:space="preserve"> </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The burden of proof in murder prosecutions is placed squarely on the prosecution, which must establish every ingredient of the offence beyond reasonable doubt.</w:t>
      </w:r>
      <w:r>
        <w:rPr>
          <w:rFonts w:ascii="Times New Roman" w:cs="Times New Roman" w:eastAsia="Calibri" w:hAnsi="Times New Roman"/>
          <w:sz w:val="24"/>
          <w:szCs w:val="24"/>
          <w:vertAlign w:val="superscript"/>
        </w:rPr>
        <w:footnoteReference w:id="7"/>
      </w:r>
      <w:r>
        <w:rPr>
          <w:rFonts w:ascii="Times New Roman" w:cs="Times New Roman" w:eastAsia="Calibri" w:hAnsi="Times New Roman"/>
          <w:sz w:val="24"/>
          <w:szCs w:val="24"/>
        </w:rPr>
        <w:t xml:space="preserve"> The courts have consistently held that “this burden never shifts to the accused person, and any doubt arising from the evidence must be resolved in favour of the defendant”.</w:t>
      </w:r>
      <w:r>
        <w:rPr>
          <w:rFonts w:ascii="Times New Roman" w:cs="Times New Roman" w:eastAsia="Calibri" w:hAnsi="Times New Roman"/>
          <w:sz w:val="24"/>
          <w:szCs w:val="24"/>
          <w:vertAlign w:val="superscript"/>
        </w:rPr>
        <w:footnoteReference w:id="8"/>
      </w:r>
      <w:r>
        <w:rPr>
          <w:rFonts w:ascii="Times New Roman" w:cs="Times New Roman" w:eastAsia="Calibri" w:hAnsi="Times New Roman"/>
          <w:sz w:val="24"/>
          <w:szCs w:val="24"/>
        </w:rPr>
        <w:t xml:space="preserve"> The prosecution is therefore required to prove, to the satisfaction of the court, the three essential ingredients of murder: </w:t>
      </w:r>
      <w:r>
        <w:rPr>
          <w:rFonts w:ascii="Times New Roman" w:cs="Times New Roman" w:eastAsia="Calibri" w:hAnsi="Times New Roman"/>
          <w:sz w:val="24"/>
          <w:szCs w:val="24"/>
        </w:rPr>
        <w:t>that the deceased person is dead; that the death was caused by the act or omission of the accused; and that the act which caused the death was done with the intention to kill or to cause grievous bodily harm, or with the knowledge that it would result in death.</w:t>
      </w:r>
      <w:r>
        <w:rPr>
          <w:rFonts w:ascii="Times New Roman" w:cs="Times New Roman" w:eastAsia="Calibri" w:hAnsi="Times New Roman"/>
          <w:sz w:val="24"/>
          <w:szCs w:val="24"/>
          <w:vertAlign w:val="superscript"/>
        </w:rPr>
        <w:footnoteReference w:id="9"/>
      </w:r>
      <w:r>
        <w:rPr>
          <w:rFonts w:ascii="Times New Roman" w:cs="Times New Roman" w:eastAsia="Calibri" w:hAnsi="Times New Roman"/>
          <w:sz w:val="24"/>
          <w:szCs w:val="24"/>
        </w:rPr>
        <w:t xml:space="preserve"> This tripartite requirement, though well-settled in principle, gives rise to considerable evidential difficulties in practice, particularly in cases involving complex factual scenarios, conflicting witness accounts, or the absence of a body.</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The constitutional framework governing criminal trials in Nigeria is anchored in </w:t>
      </w:r>
      <w:r>
        <w:rPr>
          <w:rFonts w:ascii="Times New Roman" w:cs="Times New Roman" w:eastAsia="Calibri" w:hAnsi="Times New Roman"/>
          <w:sz w:val="24"/>
          <w:szCs w:val="24"/>
        </w:rPr>
        <w:t>"</w:t>
      </w:r>
      <w:r>
        <w:rPr>
          <w:rFonts w:ascii="Times New Roman" w:cs="Times New Roman" w:eastAsia="Calibri" w:hAnsi="Times New Roman"/>
          <w:sz w:val="24"/>
          <w:szCs w:val="24"/>
        </w:rPr>
        <w:t>section 36(5) of the Constitution of the Fed</w:t>
      </w:r>
      <w:r>
        <w:rPr>
          <w:rFonts w:ascii="Times New Roman" w:cs="Times New Roman" w:eastAsia="Calibri" w:hAnsi="Times New Roman"/>
          <w:sz w:val="24"/>
          <w:szCs w:val="24"/>
        </w:rPr>
        <w:t xml:space="preserve">eral Republic of Nigeria which </w:t>
      </w:r>
      <w:r>
        <w:rPr>
          <w:rFonts w:ascii="Times New Roman" w:cs="Times New Roman" w:eastAsia="Calibri" w:hAnsi="Times New Roman"/>
          <w:sz w:val="24"/>
          <w:szCs w:val="24"/>
        </w:rPr>
        <w:t>guarantees the presumption of innocence until the contrary is proved”.</w:t>
      </w:r>
      <w:r>
        <w:rPr>
          <w:rFonts w:ascii="Times New Roman" w:cs="Times New Roman" w:eastAsia="Calibri" w:hAnsi="Times New Roman"/>
          <w:sz w:val="24"/>
          <w:szCs w:val="24"/>
          <w:vertAlign w:val="superscript"/>
        </w:rPr>
        <w:footnoteReference w:id="10"/>
      </w:r>
      <w:r>
        <w:rPr>
          <w:rFonts w:ascii="Times New Roman" w:cs="Times New Roman" w:eastAsia="Calibri" w:hAnsi="Times New Roman"/>
          <w:sz w:val="24"/>
          <w:szCs w:val="24"/>
        </w:rPr>
        <w:t xml:space="preserve"> Section 36(12) Constitution of the Federal Republic of Nigeria of the  further reinforces the principle of legality by providing that “no person shall be convicted of a criminal offence unless that offence is defined and the penalty prescribed in a written law”.</w:t>
      </w:r>
      <w:r>
        <w:rPr>
          <w:rFonts w:ascii="Times New Roman" w:cs="Times New Roman" w:eastAsia="Calibri" w:hAnsi="Times New Roman"/>
          <w:sz w:val="24"/>
          <w:szCs w:val="24"/>
          <w:vertAlign w:val="superscript"/>
        </w:rPr>
        <w:footnoteReference w:id="11"/>
      </w:r>
      <w:r>
        <w:rPr>
          <w:rFonts w:ascii="Times New Roman" w:cs="Times New Roman" w:eastAsia="Calibri" w:hAnsi="Times New Roman"/>
          <w:sz w:val="24"/>
          <w:szCs w:val="24"/>
        </w:rPr>
        <w:t xml:space="preserve"> These constitutional imperatives impose corresponding obligations on the prosecution in murder cases to anchor its evidence on admissible, credible, and sufficient proof.</w:t>
      </w:r>
      <w:r>
        <w:rPr>
          <w:rFonts w:ascii="Times New Roman" w:cs="Times New Roman" w:eastAsia="Calibri" w:hAnsi="Times New Roman"/>
          <w:sz w:val="24"/>
          <w:szCs w:val="24"/>
          <w:vertAlign w:val="superscript"/>
        </w:rPr>
        <w:footnoteReference w:id="12"/>
      </w:r>
      <w:r>
        <w:rPr>
          <w:rFonts w:ascii="Times New Roman" w:cs="Times New Roman" w:eastAsia="Calibri" w:hAnsi="Times New Roman"/>
          <w:sz w:val="24"/>
          <w:szCs w:val="24"/>
        </w:rPr>
        <w:t xml:space="preserve"> The courts have therefore developed a substantial body of jurisprudence elaborating the standard and quantum of evidence required to ground a murder conviction, addressing matters such as the admissibility of confessional statements, the weight to be attached to eyewitness testimony, the use of circumstantial evidence, and the role of expert and scientific evidence.</w:t>
      </w:r>
      <w:r>
        <w:rPr>
          <w:rFonts w:ascii="Times New Roman" w:cs="Times New Roman" w:eastAsia="Calibri" w:hAnsi="Times New Roman"/>
          <w:sz w:val="24"/>
          <w:szCs w:val="24"/>
          <w:vertAlign w:val="superscript"/>
        </w:rPr>
        <w:footnoteReference w:id="13"/>
      </w:r>
      <w:r>
        <w:rPr>
          <w:rFonts w:ascii="Times New Roman" w:cs="Times New Roman" w:eastAsia="Calibri" w:hAnsi="Times New Roman"/>
          <w:sz w:val="24"/>
          <w:szCs w:val="24"/>
        </w:rPr>
        <w:t xml:space="preserve"> </w:t>
      </w:r>
      <w:r>
        <w:rPr>
          <w:rFonts w:ascii="Times New Roman" w:cs="Times New Roman" w:eastAsia="Calibri" w:hAnsi="Times New Roman"/>
          <w:sz w:val="24"/>
          <w:szCs w:val="24"/>
        </w:rPr>
        <w:t>The prosecution must establish:</w:t>
      </w:r>
      <w:r>
        <w:rPr>
          <w:rFonts w:ascii="Times New Roman" w:cs="Times New Roman" w:eastAsia="Calibri" w:hAnsi="Times New Roman"/>
          <w:sz w:val="24"/>
          <w:szCs w:val="24"/>
        </w:rPr>
        <w:t xml:space="preserve">(i) the death of the </w:t>
      </w:r>
      <w:r>
        <w:rPr>
          <w:rFonts w:ascii="Times New Roman" w:cs="Times New Roman" w:eastAsia="Calibri" w:hAnsi="Times New Roman"/>
          <w:sz w:val="24"/>
          <w:szCs w:val="24"/>
        </w:rPr>
        <w:t>deceased; (ii) that the death was caused by the accused; and (iii) that the act was intentional with knowledge that death or grievous bodily harm would result.</w:t>
      </w:r>
      <w:r>
        <w:rPr>
          <w:rFonts w:ascii="Times New Roman" w:cs="Times New Roman" w:eastAsia="Calibri" w:hAnsi="Times New Roman"/>
          <w:sz w:val="24"/>
          <w:szCs w:val="24"/>
          <w:vertAlign w:val="superscript"/>
        </w:rPr>
        <w:footnoteReference w:id="14"/>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A particularly contentious evidential challenge arises from allegations of torture and ill-treatment of suspects in police custody, a practice that has been widely documented by human rights organizations and which significantly undermines the reliability of confessions obtained by law enforcement agencies. The courts have held that “a confession, even if retracted by the accused at trial, may still ground a conviction if it is corroborated by other credible evidence”.</w:t>
      </w:r>
      <w:r>
        <w:rPr>
          <w:rFonts w:ascii="Times New Roman" w:cs="Times New Roman" w:eastAsia="Calibri" w:hAnsi="Times New Roman"/>
          <w:sz w:val="24"/>
          <w:szCs w:val="24"/>
          <w:vertAlign w:val="superscript"/>
        </w:rPr>
        <w:footnoteReference w:id="15"/>
      </w:r>
      <w:r>
        <w:rPr>
          <w:rFonts w:ascii="Times New Roman" w:cs="Times New Roman" w:eastAsia="Calibri" w:hAnsi="Times New Roman"/>
          <w:sz w:val="24"/>
          <w:szCs w:val="24"/>
        </w:rPr>
        <w:t xml:space="preserve"> This position, while legally defensible, has attracted criticism from scholars who contend that it creates a risk of wrongful conviction in cases where confessions are the product of coercion rather than a voluntary acknowledgement of guilt.</w:t>
      </w:r>
      <w:r>
        <w:rPr>
          <w:rFonts w:ascii="Times New Roman" w:cs="Times New Roman" w:eastAsia="Calibri" w:hAnsi="Times New Roman"/>
          <w:sz w:val="24"/>
          <w:szCs w:val="24"/>
          <w:vertAlign w:val="superscript"/>
        </w:rPr>
        <w:footnoteReference w:id="16"/>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Circumstantial evidence has also occupied a central place in the proof of murder in Nigeria, particularly in cases where there are no eyewitnesses and the prosecution relies on a chain of inferences to establish the guilt of the accused.</w:t>
      </w:r>
      <w:r>
        <w:rPr>
          <w:rFonts w:ascii="Times New Roman" w:cs="Times New Roman" w:eastAsia="Calibri" w:hAnsi="Times New Roman"/>
          <w:sz w:val="24"/>
          <w:szCs w:val="24"/>
          <w:vertAlign w:val="superscript"/>
        </w:rPr>
        <w:footnoteReference w:id="17"/>
      </w:r>
      <w:r>
        <w:rPr>
          <w:rFonts w:ascii="Times New Roman" w:cs="Times New Roman" w:eastAsia="Calibri" w:hAnsi="Times New Roman"/>
          <w:sz w:val="24"/>
          <w:szCs w:val="24"/>
        </w:rPr>
        <w:t xml:space="preserve"> The Supreme Court has recognized that “circumstantial evidence, if sufficiently cogent and conclusive, may be sufficient to ground a conviction for murder even in the absence of direct evidence”.</w:t>
      </w:r>
      <w:r>
        <w:rPr>
          <w:rFonts w:ascii="Times New Roman" w:cs="Times New Roman" w:eastAsia="Calibri" w:hAnsi="Times New Roman"/>
          <w:sz w:val="24"/>
          <w:szCs w:val="24"/>
          <w:vertAlign w:val="superscript"/>
        </w:rPr>
        <w:footnoteReference w:id="18"/>
      </w:r>
      <w:r>
        <w:rPr>
          <w:rFonts w:ascii="Times New Roman" w:cs="Times New Roman" w:eastAsia="Calibri" w:hAnsi="Times New Roman"/>
          <w:sz w:val="24"/>
          <w:szCs w:val="24"/>
        </w:rPr>
        <w:t xml:space="preserve"> However, the courts have equally cautioned that “circumstantial evidence must be carefully examined to ensure that it is irresistible and points conclusively to the guilt of the accused, excluding every other reasonable hypothesis consistent with innocence”.</w:t>
      </w:r>
      <w:r>
        <w:rPr>
          <w:rFonts w:ascii="Times New Roman" w:cs="Times New Roman" w:eastAsia="Calibri" w:hAnsi="Times New Roman"/>
          <w:sz w:val="24"/>
          <w:szCs w:val="24"/>
          <w:vertAlign w:val="superscript"/>
        </w:rPr>
        <w:footnoteReference w:id="19"/>
      </w:r>
      <w:r>
        <w:rPr>
          <w:rFonts w:ascii="Times New Roman" w:cs="Times New Roman" w:eastAsia="Calibri" w:hAnsi="Times New Roman"/>
          <w:sz w:val="24"/>
          <w:szCs w:val="24"/>
        </w:rPr>
        <w:t xml:space="preserve"> The practical challenge lies in applying this standard consistently, given the varying quality of police investigations and the limited </w:t>
      </w:r>
      <w:r>
        <w:rPr>
          <w:rFonts w:ascii="Times New Roman" w:cs="Times New Roman" w:eastAsia="Calibri" w:hAnsi="Times New Roman"/>
          <w:sz w:val="24"/>
          <w:szCs w:val="24"/>
        </w:rPr>
        <w:t>availability of forensic evidence to support or contradict inferences drawn from circumstantial facts.</w:t>
      </w:r>
      <w:r>
        <w:rPr>
          <w:rFonts w:ascii="Times New Roman" w:cs="Times New Roman" w:eastAsia="Calibri" w:hAnsi="Times New Roman"/>
          <w:sz w:val="24"/>
          <w:szCs w:val="24"/>
          <w:vertAlign w:val="superscript"/>
        </w:rPr>
        <w:footnoteReference w:id="20"/>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The role of medical and forensic evidence in murder trials is a dimension that has assumed increasing importance in Nigerian jurisprudence. The production of a medical certificate of cause of death, prepared by a qualified pathologist who conducted a post-mortem examination, has been held to be “the standard and most satisfactory means of establishing the fact and cause of death in murder cases”.</w:t>
      </w:r>
      <w:r>
        <w:rPr>
          <w:rFonts w:ascii="Times New Roman" w:cs="Times New Roman" w:eastAsia="Calibri" w:hAnsi="Times New Roman"/>
          <w:sz w:val="24"/>
          <w:szCs w:val="24"/>
          <w:vertAlign w:val="superscript"/>
        </w:rPr>
        <w:footnoteReference w:id="21"/>
      </w:r>
      <w:r>
        <w:rPr>
          <w:rFonts w:ascii="Times New Roman" w:cs="Times New Roman" w:eastAsia="Calibri" w:hAnsi="Times New Roman"/>
          <w:sz w:val="24"/>
          <w:szCs w:val="24"/>
        </w:rPr>
        <w:t xml:space="preserve"> Yet the forensic infrastructure supporting criminal investigations in Nigeria remains critically underdeveloped: pathology services are unevenly distributed across the country; forensic laboratories are limited in number and capacity; and the integrity of the chain of custody for physical evidence is often compromised by inadequate training and resources.</w:t>
      </w:r>
      <w:r>
        <w:rPr>
          <w:rFonts w:ascii="Times New Roman" w:cs="Times New Roman" w:eastAsia="Calibri" w:hAnsi="Times New Roman"/>
          <w:sz w:val="24"/>
          <w:szCs w:val="24"/>
          <w:vertAlign w:val="superscript"/>
        </w:rPr>
        <w:footnoteReference w:id="22"/>
      </w:r>
      <w:r>
        <w:rPr>
          <w:rFonts w:ascii="Times New Roman" w:cs="Times New Roman" w:eastAsia="Calibri" w:hAnsi="Times New Roman"/>
          <w:sz w:val="24"/>
          <w:szCs w:val="24"/>
        </w:rPr>
        <w:t xml:space="preserve"> These systemic gaps routinely impair the quality of evidence available to the prosecution in murder cases and, in some instances, have resulted in acquittals on technical grounds or miscarriages of justice in the form of wrongful convictions.</w:t>
      </w:r>
      <w:r>
        <w:rPr>
          <w:rFonts w:ascii="Times New Roman" w:cs="Times New Roman" w:eastAsia="Calibri" w:hAnsi="Times New Roman"/>
          <w:sz w:val="24"/>
          <w:szCs w:val="24"/>
          <w:vertAlign w:val="superscript"/>
        </w:rPr>
        <w:footnoteReference w:id="23"/>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The Evidence Act 2023, which consolidates and updates the framework governing the admissibility and weight of evidence in Nigerian courts, provides the primary statutory basis for the resolution of evidential questions in murder trials.</w:t>
      </w:r>
      <w:r>
        <w:rPr>
          <w:rFonts w:ascii="Times New Roman" w:cs="Times New Roman" w:eastAsia="Calibri" w:hAnsi="Times New Roman"/>
          <w:sz w:val="24"/>
          <w:szCs w:val="24"/>
          <w:vertAlign w:val="superscript"/>
        </w:rPr>
        <w:footnoteReference w:id="24"/>
      </w:r>
      <w:r>
        <w:rPr>
          <w:rFonts w:ascii="Times New Roman" w:cs="Times New Roman" w:eastAsia="Calibri" w:hAnsi="Times New Roman"/>
          <w:sz w:val="24"/>
          <w:szCs w:val="24"/>
        </w:rPr>
        <w:t xml:space="preserve"> The Evidence Act prescribes the rules governing the proof of facts, the competence and compellability of witnesses, the admissibility of documentary evidence, and the circumstances in which confessions and </w:t>
      </w:r>
      <w:r>
        <w:rPr>
          <w:rFonts w:ascii="Times New Roman" w:cs="Times New Roman" w:eastAsia="Calibri" w:hAnsi="Times New Roman"/>
          <w:sz w:val="24"/>
          <w:szCs w:val="24"/>
        </w:rPr>
        <w:t>statements made to the police may be tendered in evidence.</w:t>
      </w:r>
      <w:r>
        <w:rPr>
          <w:rFonts w:ascii="Times New Roman" w:cs="Times New Roman" w:eastAsia="Calibri" w:hAnsi="Times New Roman"/>
          <w:sz w:val="24"/>
          <w:szCs w:val="24"/>
          <w:vertAlign w:val="superscript"/>
        </w:rPr>
        <w:footnoteReference w:id="25"/>
      </w:r>
      <w:r>
        <w:rPr>
          <w:rFonts w:ascii="Times New Roman" w:cs="Times New Roman" w:eastAsia="Calibri" w:hAnsi="Times New Roman"/>
          <w:sz w:val="24"/>
          <w:szCs w:val="24"/>
        </w:rPr>
        <w:t xml:space="preserve"> Notwithstanding this statutory framework, the proof of murder in Nigeria continues to encounter significant challenges. A recurring issue is the reliability and sufficiency of eyewitness testimony, which remains the most commonly relied upon form of evidence in Nigerian courts yet is widely acknowledged to be susceptible to error, bias, and fabrication.</w:t>
      </w:r>
      <w:r>
        <w:rPr>
          <w:rFonts w:ascii="Times New Roman" w:cs="Times New Roman" w:eastAsia="Calibri" w:hAnsi="Times New Roman"/>
          <w:sz w:val="24"/>
          <w:szCs w:val="24"/>
          <w:vertAlign w:val="superscript"/>
        </w:rPr>
        <w:footnoteReference w:id="26"/>
      </w:r>
      <w:r>
        <w:rPr>
          <w:rFonts w:ascii="Times New Roman" w:cs="Times New Roman" w:eastAsia="Calibri" w:hAnsi="Times New Roman"/>
          <w:sz w:val="24"/>
          <w:szCs w:val="24"/>
        </w:rPr>
        <w:t xml:space="preserve"> Courts have been tasked with the difficult exercise of evaluating the credibility of witnesses and resolving conflicts in testimony without the benefit of independent forensic corroboration, a challenge that is compounded by the limited deployment of scientific and forensic investigative tools by the Nigeria Police Force.</w:t>
      </w:r>
      <w:r>
        <w:rPr>
          <w:rFonts w:ascii="Times New Roman" w:cs="Times New Roman" w:eastAsia="Calibri" w:hAnsi="Times New Roman"/>
          <w:sz w:val="24"/>
          <w:szCs w:val="24"/>
          <w:vertAlign w:val="superscript"/>
        </w:rPr>
        <w:footnoteReference w:id="27"/>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The procedural framework governing the conduct of murder trials has been significantly affected by the enactment of the Administration of Criminal Justice Act which applies at the federal level and has been domesticated by several states.</w:t>
      </w:r>
      <w:r>
        <w:rPr>
          <w:rFonts w:ascii="Times New Roman" w:cs="Times New Roman" w:eastAsia="Calibri" w:hAnsi="Times New Roman"/>
          <w:sz w:val="24"/>
          <w:szCs w:val="24"/>
          <w:vertAlign w:val="superscript"/>
        </w:rPr>
        <w:footnoteReference w:id="28"/>
      </w:r>
      <w:r>
        <w:rPr>
          <w:rFonts w:ascii="Times New Roman" w:cs="Times New Roman" w:eastAsia="Calibri" w:hAnsi="Times New Roman"/>
          <w:sz w:val="24"/>
          <w:szCs w:val="24"/>
        </w:rPr>
        <w:t xml:space="preserve"> The Administration of Criminal Justice Act introduced reforms aimed at accelerating the trial process, expanding the use of deposition evidence, and strengthening safeguards against the abuse of pre-trial detention.</w:t>
      </w:r>
      <w:r>
        <w:rPr>
          <w:rFonts w:ascii="Times New Roman" w:cs="Times New Roman" w:eastAsia="Calibri" w:hAnsi="Times New Roman"/>
          <w:sz w:val="24"/>
          <w:szCs w:val="24"/>
          <w:vertAlign w:val="superscript"/>
        </w:rPr>
        <w:footnoteReference w:id="29"/>
      </w:r>
      <w:r>
        <w:rPr>
          <w:rFonts w:ascii="Times New Roman" w:cs="Times New Roman" w:eastAsia="Calibri" w:hAnsi="Times New Roman"/>
          <w:sz w:val="24"/>
          <w:szCs w:val="24"/>
        </w:rPr>
        <w:t xml:space="preserve"> Notwithstanding these reforms, the challenge of obtaining and preserving admissible evidence in murder cases persists, as the gap between legislative intent and practical implementation remains wide in many jurisdictions.</w:t>
      </w:r>
      <w:r>
        <w:rPr>
          <w:rFonts w:ascii="Times New Roman" w:cs="Times New Roman" w:eastAsia="Calibri" w:hAnsi="Times New Roman"/>
          <w:sz w:val="24"/>
          <w:szCs w:val="24"/>
          <w:vertAlign w:val="superscript"/>
        </w:rPr>
        <w:footnoteReference w:id="30"/>
      </w:r>
      <w:r>
        <w:rPr>
          <w:rFonts w:ascii="Times New Roman" w:cs="Times New Roman" w:eastAsia="Calibri" w:hAnsi="Times New Roman"/>
          <w:sz w:val="24"/>
          <w:szCs w:val="24"/>
        </w:rPr>
        <w:t xml:space="preserve"> Defense counsel, on the other hand, frequently exploit evidential weaknesses in the prosecution's case including gaps in the chain </w:t>
      </w:r>
      <w:r>
        <w:rPr>
          <w:rFonts w:ascii="Times New Roman" w:cs="Times New Roman" w:eastAsia="Calibri" w:hAnsi="Times New Roman"/>
          <w:sz w:val="24"/>
          <w:szCs w:val="24"/>
        </w:rPr>
        <w:t>of custody, irregularities in the taking and recording of statements, and the absence of expert evidence to secure acquittals or mitigations in sentence.</w:t>
      </w:r>
      <w:r>
        <w:rPr>
          <w:rFonts w:ascii="Times New Roman" w:cs="Times New Roman" w:eastAsia="Calibri" w:hAnsi="Times New Roman"/>
          <w:sz w:val="24"/>
          <w:szCs w:val="24"/>
          <w:vertAlign w:val="superscript"/>
        </w:rPr>
        <w:footnoteReference w:id="31"/>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The intersection of human rights norms and the evidential requirements in murder trials has similarly attracted growing academic and judicial attention.</w:t>
      </w:r>
      <w:r>
        <w:rPr>
          <w:rFonts w:ascii="Times New Roman" w:cs="Times New Roman" w:eastAsia="Calibri" w:hAnsi="Times New Roman"/>
          <w:sz w:val="24"/>
          <w:szCs w:val="24"/>
          <w:vertAlign w:val="superscript"/>
        </w:rPr>
        <w:footnoteReference w:id="32"/>
      </w:r>
      <w:r>
        <w:rPr>
          <w:rFonts w:ascii="Times New Roman" w:cs="Times New Roman" w:eastAsia="Calibri" w:hAnsi="Times New Roman"/>
          <w:sz w:val="24"/>
          <w:szCs w:val="24"/>
        </w:rPr>
        <w:t xml:space="preserve"> The National Human Rights Commission and civil society organizations have consistently identified the criminal justice system as </w:t>
      </w:r>
      <w:r>
        <w:rPr>
          <w:rFonts w:ascii="Times New Roman" w:cs="Times New Roman" w:eastAsia="Calibri" w:hAnsi="Times New Roman"/>
          <w:sz w:val="24"/>
          <w:szCs w:val="24"/>
        </w:rPr>
        <w:t>"</w:t>
      </w:r>
      <w:r>
        <w:rPr>
          <w:rFonts w:ascii="Times New Roman" w:cs="Times New Roman" w:eastAsia="Calibri" w:hAnsi="Times New Roman"/>
          <w:sz w:val="24"/>
          <w:szCs w:val="24"/>
        </w:rPr>
        <w:t>an arena in which the rights of suspects and accused persons are most acutely at risk, particularly in relation to the right to a fair hearing guaranteed by section 36 of the 1999 Constitution of the Federal Republic of Nigeria.</w:t>
      </w:r>
      <w:r>
        <w:rPr>
          <w:rFonts w:ascii="Times New Roman" w:cs="Times New Roman" w:eastAsia="Calibri" w:hAnsi="Times New Roman"/>
          <w:sz w:val="24"/>
          <w:szCs w:val="24"/>
        </w:rPr>
        <w:t>"</w:t>
      </w:r>
      <w:r>
        <w:rPr>
          <w:rFonts w:ascii="Times New Roman" w:cs="Times New Roman" w:eastAsia="Calibri" w:hAnsi="Times New Roman"/>
          <w:sz w:val="24"/>
          <w:szCs w:val="24"/>
          <w:vertAlign w:val="superscript"/>
        </w:rPr>
        <w:footnoteReference w:id="33"/>
      </w:r>
      <w:r>
        <w:rPr>
          <w:rFonts w:ascii="Times New Roman" w:cs="Times New Roman" w:eastAsia="Calibri" w:hAnsi="Times New Roman"/>
          <w:sz w:val="24"/>
          <w:szCs w:val="24"/>
        </w:rPr>
        <w:t xml:space="preserve"> The treatment of suspects during investigation, the conditions under which statements are taken, and the access of accused persons to legal representation before and during trial all have direct implications for the quality and admissibility of the evidence on which murder prosecutions are founded.</w:t>
      </w:r>
      <w:r>
        <w:rPr>
          <w:rFonts w:ascii="Times New Roman" w:cs="Times New Roman" w:eastAsia="Calibri" w:hAnsi="Times New Roman"/>
          <w:sz w:val="24"/>
          <w:szCs w:val="24"/>
          <w:vertAlign w:val="superscript"/>
        </w:rPr>
        <w:footnoteReference w:id="34"/>
      </w:r>
      <w:r>
        <w:rPr>
          <w:rFonts w:ascii="Times New Roman" w:cs="Times New Roman" w:eastAsia="Calibri" w:hAnsi="Times New Roman"/>
          <w:sz w:val="24"/>
          <w:szCs w:val="24"/>
        </w:rPr>
        <w:t xml:space="preserve"> The systemic failure to ensure compliance with these rights has not only resulted in acquittals on grounds of constitutional violation but has also raised broader questions about the legitimacy and effectiveness of the Nigerian criminal justice system in dealing with the most serious category of offences.</w:t>
      </w:r>
      <w:r>
        <w:rPr>
          <w:rFonts w:ascii="Times New Roman" w:cs="Times New Roman" w:eastAsia="Calibri" w:hAnsi="Times New Roman"/>
          <w:sz w:val="24"/>
          <w:szCs w:val="24"/>
          <w:vertAlign w:val="superscript"/>
        </w:rPr>
        <w:footnoteReference w:id="35"/>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It is against this multifaceted background that this study undertakes a critical examination of the challenges of evidential requirements in establishing guilt in murder cases in Nigeria. The study recognizes that the difficulties are simultaneously legal, institutional, forensic, and constitutional in nature, and that any meaningful analysis must engage with the interplay between statutory provisions, judicial decisions, and the realities of criminal investigation </w:t>
      </w:r>
      <w:r>
        <w:rPr>
          <w:rFonts w:ascii="Times New Roman" w:cs="Times New Roman" w:eastAsia="Calibri" w:hAnsi="Times New Roman"/>
          <w:sz w:val="24"/>
          <w:szCs w:val="24"/>
        </w:rPr>
        <w:t>and prosecution in Nigeria.</w:t>
      </w:r>
      <w:r>
        <w:rPr>
          <w:rFonts w:ascii="Times New Roman" w:cs="Times New Roman" w:eastAsia="Calibri" w:hAnsi="Times New Roman"/>
          <w:sz w:val="24"/>
          <w:szCs w:val="24"/>
          <w:vertAlign w:val="superscript"/>
        </w:rPr>
        <w:footnoteReference w:id="36"/>
      </w:r>
      <w:r>
        <w:rPr>
          <w:rFonts w:ascii="Times New Roman" w:cs="Times New Roman" w:eastAsia="Calibri" w:hAnsi="Times New Roman"/>
          <w:sz w:val="24"/>
          <w:szCs w:val="24"/>
        </w:rPr>
        <w:t xml:space="preserve"> As the Supreme Court has affirmed, “the rules of evidence in capital matters must serve the twin objectives of securing the conviction of the truly guilty while ensuring that the innocent are not wrongly condemned”.</w:t>
      </w:r>
      <w:r>
        <w:rPr>
          <w:rFonts w:ascii="Times New Roman" w:cs="Times New Roman" w:eastAsia="Calibri" w:hAnsi="Times New Roman"/>
          <w:sz w:val="24"/>
          <w:szCs w:val="24"/>
          <w:vertAlign w:val="superscript"/>
        </w:rPr>
        <w:footnoteReference w:id="37"/>
      </w:r>
      <w:r>
        <w:rPr>
          <w:rFonts w:ascii="Times New Roman" w:cs="Times New Roman" w:eastAsia="Calibri" w:hAnsi="Times New Roman"/>
          <w:sz w:val="24"/>
          <w:szCs w:val="24"/>
        </w:rPr>
        <w:t xml:space="preserve"> Achieving this balance, in the context of a criminal justice system beset by institutional challenges, remains the central concern that this research seeks to critically interrogate.</w:t>
      </w:r>
    </w:p>
    <w:p>
      <w:pPr>
        <w:pStyle w:val="style0"/>
        <w:spacing w:after="0" w:lineRule="auto" w:line="480"/>
        <w:rPr>
          <w:rFonts w:ascii="Times New Roman" w:cs="Times New Roman" w:eastAsia="Calibri" w:hAnsi="Times New Roman"/>
          <w:sz w:val="24"/>
          <w:szCs w:val="24"/>
        </w:rPr>
      </w:pPr>
      <w:r>
        <w:rPr>
          <w:rFonts w:ascii="Times New Roman" w:cs="Times New Roman" w:eastAsia="Calibri" w:hAnsi="Times New Roman"/>
          <w:sz w:val="24"/>
          <w:szCs w:val="24"/>
        </w:rPr>
        <w:t xml:space="preserve">1.2 Statement of the Problem  </w:t>
      </w:r>
    </w:p>
    <w:p>
      <w:pPr>
        <w:pStyle w:val="style0"/>
        <w:spacing w:after="0" w:lineRule="auto" w:line="480"/>
        <w:rPr>
          <w:rFonts w:ascii="Times New Roman" w:cs="Times New Roman" w:eastAsia="Calibri" w:hAnsi="Times New Roman"/>
          <w:sz w:val="24"/>
          <w:szCs w:val="24"/>
        </w:rPr>
      </w:pPr>
      <w:r>
        <w:rPr>
          <w:rFonts w:ascii="Times New Roman" w:cs="Times New Roman" w:eastAsia="Calibri" w:hAnsi="Times New Roman"/>
          <w:sz w:val="24"/>
          <w:szCs w:val="24"/>
        </w:rPr>
        <w:t>The major problems can be summarized as follows:</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Too much reliance on the testimonies that are given by eyewitnesses and confessions often leads to making wrong decisions. Witnesses may be forced, they may also not be trustworthy, or there might not be any witness at all. Confessions that are gotten under pressure do not fall in line with the rules in the Evidence Act, which can thereby cause innocent people to be found guilty of crimes they did not commit or allow guilty people to go free.</w:t>
      </w:r>
      <w:r>
        <w:rPr>
          <w:rFonts w:ascii="Times New Roman" w:cs="Times New Roman" w:eastAsia="Calibri" w:hAnsi="Times New Roman"/>
          <w:sz w:val="24"/>
          <w:vertAlign w:val="superscript"/>
        </w:rPr>
        <w:footnoteReference w:id="38"/>
      </w:r>
      <w:r>
        <w:rPr>
          <w:rFonts w:ascii="Times New Roman" w:cs="Times New Roman" w:eastAsia="Calibri" w:hAnsi="Times New Roman"/>
          <w:sz w:val="24"/>
          <w:szCs w:val="24"/>
        </w:rPr>
        <w:t xml:space="preserve">  </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There is very little accessibility to scientific evidence such as DNA tests or ballistics. This therefore makes proving cases hard, especially in the rural areas where the police do not have the adequate resources to enable them function properly. As a result of this, courts are now forced to be dependent on indirect evidence, which may not be enough to prove if someone is actually guilty beyond a reasonable doubt.</w:t>
      </w:r>
      <w:r>
        <w:rPr>
          <w:rFonts w:ascii="Times New Roman" w:cs="Times New Roman" w:eastAsia="Calibri" w:hAnsi="Times New Roman"/>
          <w:sz w:val="24"/>
          <w:vertAlign w:val="superscript"/>
        </w:rPr>
        <w:footnoteReference w:id="39"/>
      </w:r>
      <w:r>
        <w:rPr>
          <w:rFonts w:ascii="Times New Roman" w:cs="Times New Roman" w:eastAsia="Calibri" w:hAnsi="Times New Roman"/>
          <w:sz w:val="24"/>
          <w:szCs w:val="24"/>
        </w:rPr>
        <w:t xml:space="preserve">  </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Delays in court procedures and corruption on the part of the police and courts have made it harder to prove murder cases quickly. Cases could take so many years before they are </w:t>
      </w:r>
      <w:r>
        <w:rPr>
          <w:rFonts w:ascii="Times New Roman" w:cs="Times New Roman" w:eastAsia="Calibri" w:hAnsi="Times New Roman"/>
          <w:sz w:val="24"/>
          <w:szCs w:val="24"/>
        </w:rPr>
        <w:t>resolved, evidence could be damaged , and powerful accused persons could be able to avoid justice by paying bribes to people in charge or by threatening the witnesses.</w:t>
      </w:r>
      <w:r>
        <w:rPr>
          <w:rFonts w:ascii="Times New Roman" w:cs="Times New Roman" w:eastAsia="Calibri" w:hAnsi="Times New Roman"/>
          <w:sz w:val="24"/>
          <w:vertAlign w:val="superscript"/>
        </w:rPr>
        <w:footnoteReference w:id="40"/>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There are differences between the laws in the North and South of Nigeria. These differences cause issues when trying to prove murder cases, as cultural beliefs sometimes clash with written laws. Also, the ACJA 2015 is not followed in the same manner in all states, thereby creating gaps in the rules everyone follows. </w:t>
      </w:r>
      <w:r>
        <w:rPr>
          <w:rFonts w:ascii="Times New Roman" w:cs="Times New Roman" w:eastAsia="Calibri" w:hAnsi="Times New Roman"/>
          <w:sz w:val="24"/>
          <w:vertAlign w:val="superscript"/>
        </w:rPr>
        <w:footnoteReference w:id="41"/>
      </w:r>
      <w:r>
        <w:rPr>
          <w:rFonts w:ascii="Times New Roman" w:cs="Times New Roman" w:eastAsia="Calibri" w:hAnsi="Times New Roman"/>
          <w:sz w:val="24"/>
          <w:szCs w:val="24"/>
        </w:rPr>
        <w:t xml:space="preserve"> This study looks at these problems that the Nigeria’s criminal justice system is faced with. It uses laws, case examples, and real-world instances to and propose reforms to make the system more effective.  </w:t>
      </w:r>
    </w:p>
    <w:p>
      <w:pPr>
        <w:pStyle w:val="style0"/>
        <w:spacing w:after="160" w:lineRule="auto" w:line="480"/>
        <w:jc w:val="both"/>
        <w:rPr>
          <w:rFonts w:ascii="Times New Roman" w:cs="Times New Roman" w:eastAsia="Calibri" w:hAnsi="Times New Roman"/>
          <w:b/>
          <w:sz w:val="24"/>
          <w:szCs w:val="24"/>
        </w:rPr>
      </w:pPr>
      <w:r>
        <w:rPr>
          <w:rFonts w:ascii="Times New Roman" w:cs="Times New Roman" w:eastAsia="Calibri" w:hAnsi="Times New Roman"/>
          <w:b/>
          <w:sz w:val="24"/>
          <w:szCs w:val="24"/>
        </w:rPr>
        <w:t xml:space="preserve">1.3 Research Questions </w:t>
      </w:r>
    </w:p>
    <w:p>
      <w:pPr>
        <w:pStyle w:val="style0"/>
        <w:spacing w:after="160" w:lineRule="auto" w:line="480"/>
        <w:jc w:val="both"/>
        <w:rPr>
          <w:rFonts w:ascii="Times New Roman" w:cs="Times New Roman" w:eastAsia="Calibri" w:hAnsi="Times New Roman"/>
          <w:b/>
          <w:sz w:val="24"/>
          <w:szCs w:val="24"/>
        </w:rPr>
      </w:pPr>
      <w:r>
        <w:rPr>
          <w:rFonts w:ascii="Times New Roman" w:cs="Times New Roman" w:eastAsia="Calibri" w:hAnsi="Times New Roman"/>
          <w:sz w:val="24"/>
          <w:szCs w:val="24"/>
        </w:rPr>
        <w:t>This research addressed</w:t>
      </w:r>
      <w:r>
        <w:rPr>
          <w:rFonts w:ascii="Times New Roman" w:cs="Times New Roman" w:eastAsia="Calibri" w:hAnsi="Times New Roman"/>
          <w:b/>
          <w:sz w:val="24"/>
          <w:szCs w:val="24"/>
        </w:rPr>
        <w:t xml:space="preserve"> </w:t>
      </w:r>
      <w:r>
        <w:rPr>
          <w:rFonts w:ascii="Times New Roman" w:cs="Times New Roman" w:eastAsia="Calibri" w:hAnsi="Times New Roman"/>
          <w:sz w:val="24"/>
          <w:szCs w:val="24"/>
        </w:rPr>
        <w:t>the following questions.</w:t>
      </w:r>
    </w:p>
    <w:p>
      <w:pPr>
        <w:pStyle w:val="style0"/>
        <w:numPr>
          <w:ilvl w:val="1"/>
          <w:numId w:val="1"/>
        </w:numPr>
        <w:spacing w:after="160" w:lineRule="auto" w:line="480"/>
        <w:jc w:val="both"/>
        <w:contextualSpacing/>
        <w:rPr>
          <w:rFonts w:ascii="Times New Roman" w:cs="Times New Roman" w:eastAsia="Calibri" w:hAnsi="Times New Roman"/>
          <w:sz w:val="24"/>
          <w:szCs w:val="24"/>
        </w:rPr>
      </w:pPr>
      <w:r>
        <w:rPr>
          <w:rFonts w:ascii="Times New Roman" w:cs="Times New Roman" w:eastAsia="Calibri" w:hAnsi="Times New Roman"/>
          <w:sz w:val="24"/>
          <w:szCs w:val="24"/>
        </w:rPr>
        <w:t xml:space="preserve">What are the primary methods in proving murder cases in Nigeria? </w:t>
      </w:r>
    </w:p>
    <w:p>
      <w:pPr>
        <w:pStyle w:val="style0"/>
        <w:numPr>
          <w:ilvl w:val="1"/>
          <w:numId w:val="1"/>
        </w:numPr>
        <w:spacing w:after="160" w:lineRule="auto" w:line="480"/>
        <w:jc w:val="both"/>
        <w:contextualSpacing/>
        <w:rPr>
          <w:rFonts w:ascii="Times New Roman" w:cs="Times New Roman" w:eastAsia="Calibri" w:hAnsi="Times New Roman"/>
          <w:sz w:val="24"/>
          <w:szCs w:val="24"/>
        </w:rPr>
      </w:pPr>
      <w:r>
        <w:rPr>
          <w:rFonts w:ascii="Times New Roman" w:cs="Times New Roman" w:eastAsia="Calibri" w:hAnsi="Times New Roman"/>
          <w:sz w:val="24"/>
          <w:szCs w:val="24"/>
        </w:rPr>
        <w:t xml:space="preserve"> How can the state maintain a balance between efficient prosecution and preservation of human rights?</w:t>
      </w:r>
    </w:p>
    <w:p>
      <w:pPr>
        <w:pStyle w:val="style0"/>
        <w:numPr>
          <w:ilvl w:val="1"/>
          <w:numId w:val="1"/>
        </w:numPr>
        <w:spacing w:after="160" w:lineRule="auto" w:line="480"/>
        <w:jc w:val="both"/>
        <w:contextualSpacing/>
        <w:rPr>
          <w:rFonts w:ascii="Times New Roman" w:cs="Times New Roman" w:eastAsia="Calibri" w:hAnsi="Times New Roman"/>
          <w:sz w:val="24"/>
          <w:szCs w:val="24"/>
        </w:rPr>
      </w:pPr>
      <w:r>
        <w:rPr>
          <w:rFonts w:ascii="Times New Roman" w:cs="Times New Roman" w:eastAsia="Calibri" w:hAnsi="Times New Roman"/>
          <w:sz w:val="24"/>
          <w:szCs w:val="24"/>
        </w:rPr>
        <w:t xml:space="preserve">What remedies have been made available to accused persons or the families of victims when proof of murder fails? </w:t>
      </w:r>
    </w:p>
    <w:p>
      <w:pPr>
        <w:pStyle w:val="style0"/>
        <w:numPr>
          <w:ilvl w:val="1"/>
          <w:numId w:val="1"/>
        </w:numPr>
        <w:spacing w:after="160" w:lineRule="auto" w:line="480"/>
        <w:jc w:val="both"/>
        <w:contextualSpacing/>
        <w:rPr>
          <w:rFonts w:ascii="Times New Roman" w:cs="Times New Roman" w:eastAsia="Calibri" w:hAnsi="Times New Roman"/>
          <w:sz w:val="24"/>
          <w:szCs w:val="24"/>
        </w:rPr>
      </w:pPr>
      <w:r>
        <w:rPr>
          <w:rFonts w:ascii="Times New Roman" w:cs="Times New Roman" w:eastAsia="Calibri" w:hAnsi="Times New Roman"/>
          <w:bCs/>
          <w:sz w:val="24"/>
          <w:szCs w:val="24"/>
        </w:rPr>
        <w:t>What are the primary challenges facing forensic investigation in Nigerian murder cases?</w:t>
      </w:r>
      <w:r>
        <w:rPr>
          <w:rFonts w:ascii="Times New Roman" w:cs="Times New Roman" w:eastAsia="Calibri" w:hAnsi="Times New Roman"/>
          <w:sz w:val="24"/>
          <w:szCs w:val="24"/>
        </w:rPr>
        <w:t xml:space="preserve"> </w:t>
      </w:r>
    </w:p>
    <w:p>
      <w:pPr>
        <w:pStyle w:val="style0"/>
        <w:spacing w:after="160" w:lineRule="auto" w:line="480"/>
        <w:jc w:val="both"/>
        <w:rPr>
          <w:rFonts w:ascii="Times New Roman" w:cs="Times New Roman" w:eastAsia="Calibri" w:hAnsi="Times New Roman"/>
          <w:b/>
          <w:sz w:val="24"/>
          <w:szCs w:val="24"/>
        </w:rPr>
      </w:pPr>
    </w:p>
    <w:p>
      <w:pPr>
        <w:pStyle w:val="style0"/>
        <w:spacing w:after="160" w:lineRule="auto" w:line="480"/>
        <w:jc w:val="both"/>
        <w:rPr>
          <w:rFonts w:ascii="Times New Roman" w:cs="Times New Roman" w:eastAsia="Calibri" w:hAnsi="Times New Roman"/>
          <w:b/>
          <w:sz w:val="24"/>
          <w:szCs w:val="24"/>
        </w:rPr>
      </w:pPr>
      <w:r>
        <w:rPr>
          <w:rFonts w:ascii="Times New Roman" w:cs="Times New Roman" w:eastAsia="Calibri" w:hAnsi="Times New Roman"/>
          <w:b/>
          <w:sz w:val="24"/>
          <w:szCs w:val="24"/>
        </w:rPr>
        <w:t xml:space="preserve">1.4 Aims and Objectives of the Study  </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The aim of this study is to analyze the issues and challenges of the proof of murder charge under the Nigerian criminal justice system. </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These objectives include:  </w:t>
      </w:r>
    </w:p>
    <w:p>
      <w:pPr>
        <w:pStyle w:val="style0"/>
        <w:numPr>
          <w:ilvl w:val="0"/>
          <w:numId w:val="2"/>
        </w:numPr>
        <w:spacing w:after="160" w:lineRule="auto" w:line="480"/>
        <w:jc w:val="both"/>
        <w:contextualSpacing/>
        <w:rPr>
          <w:rFonts w:ascii="Times New Roman" w:cs="Times New Roman" w:eastAsia="Calibri" w:hAnsi="Times New Roman"/>
          <w:sz w:val="24"/>
          <w:szCs w:val="24"/>
        </w:rPr>
      </w:pPr>
      <w:r>
        <w:rPr>
          <w:rFonts w:ascii="Times New Roman" w:cs="Times New Roman" w:eastAsia="Calibri" w:hAnsi="Times New Roman"/>
          <w:sz w:val="24"/>
          <w:szCs w:val="24"/>
        </w:rPr>
        <w:t>To examine the key evidentiary requirements for proving murder in Nigeria.</w:t>
      </w:r>
    </w:p>
    <w:p>
      <w:pPr>
        <w:pStyle w:val="style0"/>
        <w:numPr>
          <w:ilvl w:val="0"/>
          <w:numId w:val="2"/>
        </w:numPr>
        <w:spacing w:after="160" w:lineRule="auto" w:line="480"/>
        <w:jc w:val="both"/>
        <w:contextualSpacing/>
        <w:rPr>
          <w:rFonts w:ascii="Times New Roman" w:cs="Times New Roman" w:eastAsia="Calibri" w:hAnsi="Times New Roman"/>
          <w:sz w:val="24"/>
          <w:szCs w:val="24"/>
        </w:rPr>
      </w:pPr>
      <w:r>
        <w:rPr>
          <w:rFonts w:ascii="Times New Roman" w:cs="Times New Roman" w:eastAsia="Calibri" w:hAnsi="Times New Roman"/>
          <w:sz w:val="24"/>
          <w:szCs w:val="24"/>
        </w:rPr>
        <w:t>To analyze the problems in evidence gathering, which includes forensic deficiencies, witness reliability, and confession validity, in relation to constitutional rights in Nigeria.</w:t>
      </w:r>
    </w:p>
    <w:p>
      <w:pPr>
        <w:pStyle w:val="style0"/>
        <w:numPr>
          <w:ilvl w:val="0"/>
          <w:numId w:val="2"/>
        </w:numPr>
        <w:spacing w:after="160" w:lineRule="auto" w:line="480"/>
        <w:jc w:val="both"/>
        <w:contextualSpacing/>
        <w:rPr>
          <w:rFonts w:ascii="Times New Roman" w:cs="Times New Roman" w:eastAsia="Calibri" w:hAnsi="Times New Roman"/>
          <w:sz w:val="24"/>
          <w:szCs w:val="24"/>
        </w:rPr>
      </w:pPr>
      <w:r>
        <w:rPr>
          <w:rFonts w:ascii="Times New Roman" w:cs="Times New Roman" w:eastAsia="Calibri" w:hAnsi="Times New Roman"/>
          <w:sz w:val="24"/>
          <w:szCs w:val="24"/>
        </w:rPr>
        <w:t>To interrogate the challenges that are faced in proving murder charges in Nigeria.</w:t>
      </w:r>
    </w:p>
    <w:p>
      <w:pPr>
        <w:pStyle w:val="style0"/>
        <w:numPr>
          <w:ilvl w:val="0"/>
          <w:numId w:val="2"/>
        </w:numPr>
        <w:spacing w:after="160" w:lineRule="auto" w:line="480"/>
        <w:jc w:val="both"/>
        <w:contextualSpacing/>
        <w:rPr>
          <w:rFonts w:ascii="Times New Roman" w:cs="Times New Roman" w:eastAsia="Calibri" w:hAnsi="Times New Roman"/>
          <w:sz w:val="24"/>
          <w:szCs w:val="24"/>
        </w:rPr>
      </w:pPr>
      <w:r>
        <w:rPr>
          <w:rFonts w:ascii="Times New Roman" w:cs="Times New Roman" w:eastAsia="Calibri" w:hAnsi="Times New Roman"/>
          <w:sz w:val="24"/>
          <w:szCs w:val="24"/>
        </w:rPr>
        <w:t xml:space="preserve">To suggest solutions on how to address the challenges of proof of murder charge under the Nigerian criminal justice system such as; </w:t>
      </w:r>
      <w:r>
        <w:rPr>
          <w:rFonts w:ascii="Times New Roman" w:cs="Times New Roman" w:eastAsia="Calibri" w:hAnsi="Times New Roman"/>
          <w:bCs/>
          <w:sz w:val="24"/>
          <w:szCs w:val="24"/>
        </w:rPr>
        <w:t>Forced confessions, Inadequate Investigation and Lack of Forensic Evidence.</w:t>
      </w:r>
    </w:p>
    <w:p>
      <w:pPr>
        <w:pStyle w:val="style0"/>
        <w:spacing w:after="160" w:lineRule="auto" w:line="480"/>
        <w:jc w:val="both"/>
        <w:rPr>
          <w:rFonts w:ascii="Times New Roman" w:cs="Times New Roman" w:eastAsia="Calibri" w:hAnsi="Times New Roman"/>
          <w:b/>
          <w:sz w:val="24"/>
          <w:szCs w:val="24"/>
        </w:rPr>
      </w:pPr>
      <w:r>
        <w:rPr>
          <w:rFonts w:ascii="Times New Roman" w:cs="Times New Roman" w:eastAsia="Calibri" w:hAnsi="Times New Roman"/>
          <w:b/>
          <w:sz w:val="24"/>
          <w:szCs w:val="24"/>
        </w:rPr>
        <w:t xml:space="preserve">1.5 Scope of the Study  </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This research focuses on the proof of murder in Nigeria under the criminal justice system, and mostly concerns itself with the statutes such as the </w:t>
      </w:r>
      <w:r>
        <w:rPr>
          <w:rFonts w:ascii="Times New Roman" w:cs="Times New Roman" w:eastAsia="Calibri" w:hAnsi="Times New Roman"/>
          <w:sz w:val="24"/>
          <w:szCs w:val="24"/>
        </w:rPr>
        <w:t>"</w:t>
      </w:r>
      <w:r>
        <w:rPr>
          <w:rFonts w:ascii="Times New Roman" w:cs="Times New Roman" w:eastAsia="Calibri" w:hAnsi="Times New Roman"/>
          <w:sz w:val="24"/>
          <w:szCs w:val="24"/>
        </w:rPr>
        <w:t>Criminal Code Act, the Penal Code, Evidence Act 2023, and Administration of Criminal Justice Act  2015</w:t>
      </w:r>
      <w:r>
        <w:rPr>
          <w:rFonts w:ascii="Times New Roman" w:cs="Times New Roman" w:eastAsia="Calibri" w:hAnsi="Times New Roman"/>
          <w:sz w:val="24"/>
          <w:szCs w:val="24"/>
        </w:rPr>
        <w:t>"</w:t>
      </w:r>
      <w:r>
        <w:rPr>
          <w:rFonts w:ascii="Times New Roman" w:cs="Times New Roman" w:eastAsia="Calibri" w:hAnsi="Times New Roman"/>
          <w:sz w:val="24"/>
          <w:szCs w:val="24"/>
        </w:rPr>
        <w:t xml:space="preserve">. </w:t>
      </w:r>
      <w:r>
        <w:rPr>
          <w:rFonts w:ascii="Times New Roman" w:cs="Times New Roman" w:eastAsia="Calibri" w:hAnsi="Times New Roman"/>
          <w:sz w:val="24"/>
          <w:szCs w:val="24"/>
        </w:rPr>
        <w:t>Th</w:t>
      </w:r>
      <w:r>
        <w:rPr>
          <w:rFonts w:ascii="Times New Roman" w:cs="Times New Roman" w:eastAsia="Calibri" w:hAnsi="Times New Roman"/>
          <w:sz w:val="24"/>
          <w:szCs w:val="24"/>
        </w:rPr>
        <w:t>is research</w:t>
      </w:r>
      <w:r>
        <w:rPr>
          <w:rFonts w:ascii="Times New Roman" w:cs="Times New Roman" w:eastAsia="Calibri" w:hAnsi="Times New Roman"/>
          <w:sz w:val="24"/>
          <w:szCs w:val="24"/>
        </w:rPr>
        <w:t xml:space="preserve"> will mainly cover cases handled by Nigeria's Supreme Court, Court of Appeal, and High Courts. It will not include crimes similar to murder, like manslaughter; comparisons w</w:t>
      </w:r>
      <w:r>
        <w:rPr>
          <w:rFonts w:ascii="Times New Roman" w:cs="Times New Roman" w:eastAsia="Calibri" w:hAnsi="Times New Roman"/>
          <w:sz w:val="24"/>
          <w:szCs w:val="24"/>
        </w:rPr>
        <w:t xml:space="preserve">ith other countries, </w:t>
      </w:r>
      <w:r>
        <w:rPr>
          <w:rFonts w:ascii="Times New Roman" w:cs="Times New Roman" w:eastAsia="Calibri" w:hAnsi="Times New Roman"/>
          <w:sz w:val="24"/>
          <w:szCs w:val="24"/>
        </w:rPr>
        <w:t>details about how crimes ar</w:t>
      </w:r>
      <w:r>
        <w:rPr>
          <w:rFonts w:ascii="Times New Roman" w:cs="Times New Roman" w:eastAsia="Calibri" w:hAnsi="Times New Roman"/>
          <w:sz w:val="24"/>
          <w:szCs w:val="24"/>
        </w:rPr>
        <w:t xml:space="preserve">e investigated before the trial, </w:t>
      </w:r>
      <w:r>
        <w:rPr>
          <w:rFonts w:ascii="Times New Roman" w:cs="Times New Roman" w:eastAsia="Calibri" w:hAnsi="Times New Roman"/>
          <w:sz w:val="24"/>
          <w:szCs w:val="24"/>
        </w:rPr>
        <w:t>or traditional ways people settle disputes outside the court.</w:t>
      </w:r>
    </w:p>
    <w:p>
      <w:pPr>
        <w:pStyle w:val="style0"/>
        <w:spacing w:after="160" w:lineRule="auto" w:line="480"/>
        <w:jc w:val="both"/>
        <w:rPr>
          <w:rFonts w:ascii="Times New Roman" w:cs="Times New Roman" w:eastAsia="Calibri" w:hAnsi="Times New Roman"/>
          <w:b/>
          <w:sz w:val="24"/>
          <w:szCs w:val="24"/>
        </w:rPr>
      </w:pPr>
      <w:r>
        <w:rPr>
          <w:rFonts w:ascii="Times New Roman" w:cs="Times New Roman" w:eastAsia="Calibri" w:hAnsi="Times New Roman"/>
          <w:b/>
          <w:sz w:val="24"/>
          <w:szCs w:val="24"/>
        </w:rPr>
        <w:t xml:space="preserve">1.6 Significance of the Study  </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The relevance and importance of understanding how murder is proved in Nigeria extends beyond merely learning of the relevant laws and cases. It involves critically observing the </w:t>
      </w:r>
      <w:r>
        <w:rPr>
          <w:rFonts w:ascii="Times New Roman" w:cs="Times New Roman" w:eastAsia="Calibri" w:hAnsi="Times New Roman"/>
          <w:sz w:val="24"/>
          <w:szCs w:val="24"/>
        </w:rPr>
        <w:t>intersection of real-life issues and justice for both victims and suspects, as well as the society. While many individuals are left confounded as to why strong cases may sometimes collapse while seemingly weak cases triumph in murder trials, the reasons could be due to legal deficiencies or criminal justice systemic problems.</w:t>
      </w:r>
      <w:r>
        <w:rPr>
          <w:rFonts w:ascii="Times New Roman" w:cs="Times New Roman" w:eastAsia="Calibri" w:hAnsi="Times New Roman"/>
          <w:sz w:val="24"/>
          <w:vertAlign w:val="superscript"/>
        </w:rPr>
        <w:footnoteReference w:id="42"/>
      </w:r>
      <w:r>
        <w:rPr>
          <w:rFonts w:ascii="Times New Roman" w:cs="Times New Roman" w:eastAsia="Calibri" w:hAnsi="Times New Roman"/>
          <w:sz w:val="24"/>
          <w:szCs w:val="24"/>
        </w:rPr>
        <w:t xml:space="preserve">  For example; corruption, delayed and backlogged cases, inadequate resources and infrastructure, police brutality and lack of public cooperation among others. This research aims to bridge this gap by clarifying how murder is proven under Nigerian criminal justice law and by drawing on real-life issues in that context. Moreover, it recommends solutions to the aforementioned issues.</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The results of this research may also guide citizens in asserting their legal rights in murder cases, assist lawyers in building stronger cases, reduce miscarriage of justice in murder cases by judges, and prompt Nigerian policy makers on the needed reforms in Nigerian criminal justice system. In the long run, this research, among other things, may contribute towards a stronger and more efficient criminal justice system in Nigeria, reducing wrongful convictions and increasing public confidence.</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The study is just as tremendously useful to students in other branches of Nigerian law and the criminal justice system. Scholars of evidence would find it particularly useful, since this research delves into how evidential rules operate in relation to the crimes punishable by death in Nigeria in a way not usually captured in evidential law scholarship.</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Researchers on human rights law and constitutional law would find the discussion on fair trial rights, wrongful convictions, rights of the accused to be an invaluable starting point for further research. Those working in Forensic Science and the Law in Nigeria can refer to the </w:t>
      </w:r>
      <w:r>
        <w:rPr>
          <w:rFonts w:ascii="Times New Roman" w:cs="Times New Roman" w:eastAsia="Calibri" w:hAnsi="Times New Roman"/>
          <w:sz w:val="24"/>
          <w:szCs w:val="24"/>
        </w:rPr>
        <w:t>work and base their work on it, the author offers a trenchant analysis of how forensic evidence is admitted by the Nigerian courts. Lastly, those researching in comparative criminal law would have a basis from which to compare the common law evidentiary principles in the mixed legal system that operates in Nigeria.</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In short, this study constitutes a significant body of first hand analysis and documented suggestions that researchers will be able to build on, critique or expand.</w:t>
      </w:r>
    </w:p>
    <w:p>
      <w:pPr>
        <w:pStyle w:val="style0"/>
        <w:spacing w:after="0" w:lineRule="auto" w:line="480"/>
        <w:jc w:val="both"/>
        <w:rPr>
          <w:rFonts w:ascii="Times New Roman" w:cs="Times New Roman" w:eastAsia="Calibri" w:hAnsi="Times New Roman"/>
          <w:b/>
          <w:sz w:val="24"/>
          <w:szCs w:val="24"/>
        </w:rPr>
      </w:pPr>
      <w:r>
        <w:rPr>
          <w:rFonts w:ascii="Times New Roman" w:cs="Times New Roman" w:eastAsia="Calibri" w:hAnsi="Times New Roman"/>
          <w:b/>
          <w:sz w:val="24"/>
          <w:szCs w:val="24"/>
        </w:rPr>
        <w:t xml:space="preserve">1.7 Research Methodology  </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 xml:space="preserve">This research is based on studying legal writings and court decisions. It mainly looks at decisions from Nigeria’s Supreme Court, Court of Appeal, and High Courts to understand the key rules about proving murder in Nigeria’s criminal justice system. </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The secondary sources include law books that discuss criminal justice reforms in Nigeria. This method is suitable because it allows for a clear and detailed analysis of the legal rules, how they are applied, and ideas for improving them, all supported by solid evidence.</w:t>
      </w:r>
    </w:p>
    <w:p>
      <w:pPr>
        <w:pStyle w:val="style0"/>
        <w:spacing w:after="160" w:lineRule="auto" w:line="480"/>
        <w:jc w:val="both"/>
        <w:rPr>
          <w:rFonts w:ascii="Times New Roman" w:cs="Times New Roman" w:eastAsia="Calibri" w:hAnsi="Times New Roman"/>
          <w:b/>
          <w:sz w:val="24"/>
          <w:szCs w:val="24"/>
        </w:rPr>
      </w:pPr>
      <w:r>
        <w:rPr>
          <w:rFonts w:ascii="Times New Roman" w:cs="Times New Roman" w:eastAsia="Calibri" w:hAnsi="Times New Roman"/>
          <w:b/>
          <w:sz w:val="24"/>
          <w:szCs w:val="24"/>
        </w:rPr>
        <w:t xml:space="preserve">1.8 Literature Review  </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Fidelis Oditah</w:t>
      </w:r>
      <w:r>
        <w:rPr>
          <w:rFonts w:ascii="Times New Roman" w:cs="Times New Roman" w:eastAsia="Calibri" w:hAnsi="Times New Roman"/>
          <w:sz w:val="24"/>
          <w:vertAlign w:val="superscript"/>
        </w:rPr>
        <w:footnoteReference w:id="43"/>
      </w:r>
      <w:r>
        <w:rPr>
          <w:rFonts w:ascii="Times New Roman" w:cs="Times New Roman" w:eastAsia="Calibri" w:hAnsi="Times New Roman"/>
          <w:sz w:val="24"/>
          <w:szCs w:val="24"/>
        </w:rPr>
        <w:t xml:space="preserve"> critiqued the system's over-reliance on oral evidence, arguing in his analysis that “forensic gaps lead to high acquittal rates in murder cases”. Oditah submits that “the structure of the prosecution particularly at murder trial, with reliance on viva voce which is simply oral testimony given by a witness in person during a trial or hearing, rather than facts presented through written affidavits or depositions excluding scientific and forensic corroboration, remains exceptionally unstable”. He argues that </w:t>
      </w:r>
      <w:r>
        <w:rPr>
          <w:rFonts w:ascii="Times New Roman" w:cs="Times New Roman" w:eastAsia="Calibri" w:hAnsi="Times New Roman"/>
          <w:sz w:val="24"/>
          <w:szCs w:val="24"/>
        </w:rPr>
        <w:t>"</w:t>
      </w:r>
      <w:r>
        <w:rPr>
          <w:rFonts w:ascii="Times New Roman" w:cs="Times New Roman" w:eastAsia="Calibri" w:hAnsi="Times New Roman"/>
          <w:sz w:val="24"/>
          <w:szCs w:val="24"/>
        </w:rPr>
        <w:t xml:space="preserve">the absence of corroborative forensic evidence including pathological reports, ballistics, trace evidence - creates an </w:t>
      </w:r>
      <w:r>
        <w:rPr>
          <w:rFonts w:ascii="Times New Roman" w:cs="Times New Roman" w:eastAsia="Calibri" w:hAnsi="Times New Roman"/>
          <w:sz w:val="24"/>
          <w:szCs w:val="24"/>
        </w:rPr>
        <w:t>evidential lacuna that is easily exploited by defense counsel and that these evidential deficiencies directly translate to the high levels of murder acquittal due to the prosecution's inability to prove the case beyond reasonable doubt not necessarily on account of the innocence of accused persons, but due to lack of an evidence-chain sufficient to exclude such doubt.</w:t>
      </w:r>
      <w:r>
        <w:rPr>
          <w:rFonts w:ascii="Times New Roman" w:cs="Times New Roman" w:eastAsia="Calibri" w:hAnsi="Times New Roman"/>
          <w:sz w:val="24"/>
          <w:szCs w:val="24"/>
        </w:rPr>
        <w:t>"</w:t>
      </w:r>
      <w:r>
        <w:rPr>
          <w:rFonts w:ascii="Times New Roman" w:cs="Times New Roman" w:eastAsia="Calibri" w:hAnsi="Times New Roman"/>
          <w:sz w:val="24"/>
          <w:szCs w:val="24"/>
        </w:rPr>
        <w:t xml:space="preserve"> Oditah's essay is a significant analysis of why our court's reliance on confessions and eye-witness testimony, notoriously unreliable modes of evidence, aggravates this problem: absence of a mechanism for a proper scientific method and practice of investigation causes evidence to be lost, tampered with or uncollected from crime scene. “Oditah’s essay is essential in any discussion of evidential problems in Nigerian murder trials; its implications on a scientific approach to investigative methods is immense”.</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Chioma Kanu Agomo</w:t>
      </w:r>
      <w:r>
        <w:rPr>
          <w:rFonts w:ascii="Times New Roman" w:cs="Times New Roman" w:eastAsia="Calibri" w:hAnsi="Times New Roman"/>
          <w:sz w:val="24"/>
          <w:vertAlign w:val="superscript"/>
        </w:rPr>
        <w:footnoteReference w:id="44"/>
      </w:r>
      <w:r>
        <w:rPr>
          <w:rFonts w:ascii="Times New Roman" w:cs="Times New Roman" w:eastAsia="Calibri" w:hAnsi="Times New Roman"/>
          <w:sz w:val="24"/>
          <w:szCs w:val="24"/>
        </w:rPr>
        <w:t xml:space="preserve"> examines gender biases in proof, noting how cultural factors affect witness credibility in domestic murder trials.  She asserts that “cultural perceptions of the veracity of women, the proper place of women in society, and the morality of women shape the way judges and juries assess the reliability of the testimony of female witnesses and victims”. Agomo stated that  “in a significant number of cases of domestic murder, the only or the most important witnesses are women, for example, the deceased's spouse or a domestic employee or child, the witness testimony will often be approached with a greater level of skepticism than would be appropriate given the standard of proof, instead treating sex and sexual status as evidential matters outside the rules”. She asserts that this type of gender bias taints the pre-trial investigation phase also as female complainants in domestic violence cases which become domestic murders are often dismissed or advised against by police officers leading to an investigation that fails to preserve evidence at the initial, critical stage in the </w:t>
      </w:r>
      <w:r>
        <w:rPr>
          <w:rFonts w:ascii="Times New Roman" w:cs="Times New Roman" w:eastAsia="Calibri" w:hAnsi="Times New Roman"/>
          <w:sz w:val="24"/>
          <w:szCs w:val="24"/>
        </w:rPr>
        <w:t>legal process. These investigations, as they are taken far less seriously in cases of domestic violence, lead to an undisturbed scene of the crime and at least some witnesses un-interviewed and at worst, others interviewed but not seriously investigated. Agomo's work is an essential contribution to understanding how social factors compound purely technical evidential challenges, effectively creating a double burden of proof for cases involving female victims or witnesses.</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Akeem Olajide Bello</w:t>
      </w:r>
      <w:r>
        <w:rPr>
          <w:rFonts w:ascii="Times New Roman" w:cs="Times New Roman" w:eastAsia="Calibri" w:hAnsi="Times New Roman"/>
          <w:sz w:val="24"/>
          <w:vertAlign w:val="superscript"/>
        </w:rPr>
        <w:footnoteReference w:id="45"/>
      </w:r>
      <w:r>
        <w:rPr>
          <w:rFonts w:ascii="Times New Roman" w:cs="Times New Roman" w:eastAsia="Calibri" w:hAnsi="Times New Roman"/>
          <w:sz w:val="24"/>
          <w:szCs w:val="24"/>
        </w:rPr>
        <w:t xml:space="preserve"> </w:t>
      </w:r>
      <w:r>
        <w:rPr>
          <w:rFonts w:ascii="Times New Roman" w:cs="Times New Roman" w:eastAsia="Calibri" w:hAnsi="Times New Roman"/>
          <w:sz w:val="24"/>
          <w:szCs w:val="24"/>
        </w:rPr>
        <w:t>states that</w:t>
      </w:r>
      <w:r>
        <w:rPr>
          <w:rFonts w:ascii="Times New Roman" w:cs="Times New Roman" w:eastAsia="Calibri" w:hAnsi="Times New Roman"/>
          <w:sz w:val="24"/>
          <w:szCs w:val="24"/>
        </w:rPr>
        <w:t xml:space="preserve"> </w:t>
      </w:r>
      <w:r>
        <w:rPr>
          <w:rFonts w:ascii="Times New Roman" w:cs="Times New Roman" w:eastAsia="Calibri" w:hAnsi="Times New Roman"/>
          <w:sz w:val="24"/>
          <w:szCs w:val="24"/>
        </w:rPr>
        <w:t>"</w:t>
      </w:r>
      <w:r>
        <w:rPr>
          <w:rFonts w:ascii="Times New Roman" w:cs="Times New Roman" w:eastAsia="Calibri" w:hAnsi="Times New Roman"/>
          <w:sz w:val="24"/>
          <w:szCs w:val="24"/>
        </w:rPr>
        <w:t>rules for quick trials are meant to prevent evidence from deteriorating, but these rules are hard to follow because</w:t>
      </w:r>
      <w:r>
        <w:rPr>
          <w:rFonts w:ascii="Times New Roman" w:cs="Times New Roman" w:eastAsia="Calibri" w:hAnsi="Times New Roman"/>
          <w:sz w:val="24"/>
          <w:szCs w:val="24"/>
        </w:rPr>
        <w:t xml:space="preserve"> of lack of money and resources." </w:t>
      </w:r>
      <w:r>
        <w:rPr>
          <w:rFonts w:ascii="Times New Roman" w:cs="Times New Roman" w:eastAsia="Calibri" w:hAnsi="Times New Roman"/>
          <w:sz w:val="24"/>
          <w:szCs w:val="24"/>
        </w:rPr>
        <w:t xml:space="preserve">Existing literature covers historical developments well but gaps remain in post-Administration of Criminal justice Act analyses of forensic integration and regional disparities.  Bello states that “the reason for provisions in the Administration of Criminal Justice Act mandating speedier trials such as, very tight constraints on adjournments, pre-trial conferences, and case management is because delaying proceedings tends to cause decay and decay of evidence”. He notes that, </w:t>
      </w:r>
      <w:r>
        <w:rPr>
          <w:rFonts w:ascii="Times New Roman" w:cs="Times New Roman" w:eastAsia="Calibri" w:hAnsi="Times New Roman"/>
          <w:sz w:val="24"/>
          <w:szCs w:val="24"/>
        </w:rPr>
        <w:t>"</w:t>
      </w:r>
      <w:r>
        <w:rPr>
          <w:rFonts w:ascii="Times New Roman" w:cs="Times New Roman" w:eastAsia="Calibri" w:hAnsi="Times New Roman"/>
          <w:sz w:val="24"/>
          <w:szCs w:val="24"/>
        </w:rPr>
        <w:t>witnesses die, disappear or forget during the passage of time; physical exhibits are destroyed or lost; official documentation get misplaced or discarded over time.</w:t>
      </w:r>
      <w:r>
        <w:rPr>
          <w:rFonts w:ascii="Times New Roman" w:cs="Times New Roman" w:eastAsia="Calibri" w:hAnsi="Times New Roman"/>
          <w:sz w:val="24"/>
          <w:szCs w:val="24"/>
        </w:rPr>
        <w:t>"</w:t>
      </w:r>
      <w:r>
        <w:rPr>
          <w:rFonts w:ascii="Times New Roman" w:cs="Times New Roman" w:eastAsia="Calibri" w:hAnsi="Times New Roman"/>
          <w:sz w:val="24"/>
          <w:szCs w:val="24"/>
        </w:rPr>
        <w:t xml:space="preserve"> However, Bello </w:t>
      </w:r>
      <w:r>
        <w:rPr>
          <w:rFonts w:ascii="Times New Roman" w:cs="Times New Roman" w:eastAsia="Calibri" w:hAnsi="Times New Roman"/>
          <w:sz w:val="24"/>
          <w:szCs w:val="24"/>
        </w:rPr>
        <w:t xml:space="preserve">also </w:t>
      </w:r>
      <w:r>
        <w:rPr>
          <w:rFonts w:ascii="Times New Roman" w:cs="Times New Roman" w:eastAsia="Calibri" w:hAnsi="Times New Roman"/>
          <w:sz w:val="24"/>
          <w:szCs w:val="24"/>
        </w:rPr>
        <w:t xml:space="preserve">notes that “the aims of the Administration of Criminal Justice Act are undermined by lack of resources since most state judiciaries lack the institutional wherewithal to implement its provisions-courts are overcrowded, overloaded with cases, prosecutors are inadequately funded”. Bello noted that “in relation to speedy trials as envisaged by the Act, the problem faced by prosecutors are the lack of forensic reports and witnesses”. Bello's work shows that there is a paradox at the center of criminal </w:t>
      </w:r>
      <w:r>
        <w:rPr>
          <w:rFonts w:ascii="Times New Roman" w:cs="Times New Roman" w:eastAsia="Calibri" w:hAnsi="Times New Roman"/>
          <w:sz w:val="24"/>
          <w:szCs w:val="24"/>
        </w:rPr>
        <w:t>justice reform in Nigeria whereby modern pieces of legislation lie on top of a brittle institutional framework that is not strong enough to carry it.</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Nte, Ngboawaji Daniel</w:t>
      </w:r>
      <w:r>
        <w:rPr>
          <w:rFonts w:ascii="Times New Roman" w:cs="Times New Roman" w:eastAsia="Calibri" w:hAnsi="Times New Roman"/>
          <w:sz w:val="24"/>
          <w:szCs w:val="24"/>
          <w:vertAlign w:val="superscript"/>
        </w:rPr>
        <w:footnoteReference w:id="46"/>
      </w:r>
      <w:r>
        <w:rPr>
          <w:rFonts w:ascii="Times New Roman" w:cs="Times New Roman" w:eastAsia="Calibri" w:hAnsi="Times New Roman"/>
          <w:sz w:val="24"/>
          <w:szCs w:val="24"/>
        </w:rPr>
        <w:t xml:space="preserve"> says</w:t>
      </w:r>
      <w:r>
        <w:rPr>
          <w:rFonts w:ascii="Times New Roman" w:cs="Times New Roman" w:eastAsia="Calibri" w:hAnsi="Times New Roman"/>
          <w:sz w:val="24"/>
          <w:szCs w:val="24"/>
        </w:rPr>
        <w:t xml:space="preserve"> that </w:t>
      </w:r>
      <w:r>
        <w:rPr>
          <w:rFonts w:ascii="Times New Roman" w:cs="Times New Roman" w:eastAsia="Calibri" w:hAnsi="Times New Roman"/>
          <w:sz w:val="24"/>
          <w:szCs w:val="24"/>
        </w:rPr>
        <w:t>"</w:t>
      </w:r>
      <w:r>
        <w:rPr>
          <w:rFonts w:ascii="Times New Roman" w:cs="Times New Roman" w:eastAsia="Calibri" w:hAnsi="Times New Roman"/>
          <w:sz w:val="24"/>
          <w:szCs w:val="24"/>
        </w:rPr>
        <w:t>inadequate forensic infrastructure and skills hinder the Nigerian police fr</w:t>
      </w:r>
      <w:r>
        <w:rPr>
          <w:rFonts w:ascii="Times New Roman" w:cs="Times New Roman" w:eastAsia="Calibri" w:hAnsi="Times New Roman"/>
          <w:sz w:val="24"/>
          <w:szCs w:val="24"/>
        </w:rPr>
        <w:t>om solving high profile murders."</w:t>
      </w:r>
      <w:r>
        <w:rPr>
          <w:rFonts w:ascii="Times New Roman" w:cs="Times New Roman" w:eastAsia="Calibri" w:hAnsi="Times New Roman"/>
          <w:sz w:val="24"/>
          <w:szCs w:val="24"/>
        </w:rPr>
        <w:t xml:space="preserve"> </w:t>
      </w:r>
      <w:r>
        <w:rPr>
          <w:rFonts w:ascii="Times New Roman" w:cs="Times New Roman" w:eastAsia="Calibri" w:hAnsi="Times New Roman"/>
          <w:color w:val="0a0a0a"/>
          <w:sz w:val="24"/>
          <w:szCs w:val="24"/>
          <w:shd w:val="clear" w:color="auto" w:fill="ffffff"/>
        </w:rPr>
        <w:t>The research highlights that reliance on traditional investigation methods rather than making use of  forensic evidence leads to unsolved cases. His work demonstrates how virtually entirely the investigation remains based on the orthodox confession-based technique; a suspect is taken into custody, interrogated with varying degrees of legality and required to furnish a confessional statement as opposed to empirically derived evidence. The investigative practice in question not only leads to untrustworthy evidence (confessions under duress are almost always challenged and recanted via trial-within-trial) but also leads to the non-generation of corroborating evidence which is the type of physical evidence that contemporary criminal courts require. Nte identifies among others the lack of ability to perform DNA testing, insufficient fingerprint data-bases, shortage of expert pathologists to carry out post mortems under less than favorable circumstances and routinely contamination of scenes by by-standers and poorly trained officers. It is valuable that Nte focuses on a region to illustrate how weak the nature of forensic investigation in the rural, conflict areas of the state is as compared with the metropolis and how the twin features of the system produce wide gulfs in the administration of criminal justice throughout the federation.</w:t>
      </w:r>
      <w:r>
        <w:rPr>
          <w:rFonts w:ascii="Times New Roman" w:cs="Times New Roman" w:eastAsia="Calibri" w:hAnsi="Times New Roman"/>
          <w:sz w:val="24"/>
          <w:szCs w:val="24"/>
        </w:rPr>
        <w:t xml:space="preserve"> </w:t>
      </w:r>
      <w:r>
        <w:rPr>
          <w:rFonts w:ascii="Times New Roman" w:cs="Times New Roman" w:eastAsia="Calibri" w:hAnsi="Times New Roman"/>
          <w:sz w:val="24"/>
          <w:szCs w:val="24"/>
        </w:rPr>
        <w:t>Aguda</w:t>
      </w:r>
      <w:r>
        <w:rPr>
          <w:rFonts w:ascii="Times New Roman" w:cs="Times New Roman" w:eastAsia="Calibri" w:hAnsi="Times New Roman"/>
          <w:sz w:val="24"/>
          <w:vertAlign w:val="superscript"/>
        </w:rPr>
        <w:footnoteReference w:id="47"/>
      </w:r>
      <w:r>
        <w:rPr>
          <w:rFonts w:ascii="Times New Roman" w:cs="Times New Roman" w:eastAsia="Calibri" w:hAnsi="Times New Roman"/>
          <w:sz w:val="24"/>
          <w:szCs w:val="24"/>
        </w:rPr>
        <w:t xml:space="preserve"> Argues that “the prosecution must prove three separate and essential elements of murder beyond reasonable doubt, namely (1) the death of the deceased; (2) that the death was caused by the accused; and (3) that there was malice aforethought”. His </w:t>
      </w:r>
      <w:r>
        <w:rPr>
          <w:rFonts w:ascii="Times New Roman" w:cs="Times New Roman" w:eastAsia="Calibri" w:hAnsi="Times New Roman"/>
          <w:sz w:val="24"/>
          <w:szCs w:val="24"/>
        </w:rPr>
        <w:t xml:space="preserve">formulation is the ultimate starting point of the definition of murder in Nigeria and his emphasis on proving the individual elements of murder to satisfaction is very relevant today given the number of prosecutors who sometimes merge these elements or assume that because a death has occurred and there is a suspect, proof of the fact of death and of a potential suspect suffices without proving cause of death and mental state. His analysis of causation is particularly important as it asserts that, </w:t>
      </w:r>
      <w:r>
        <w:rPr>
          <w:rFonts w:ascii="Times New Roman" w:cs="Times New Roman" w:eastAsia="Calibri" w:hAnsi="Times New Roman"/>
          <w:sz w:val="24"/>
          <w:szCs w:val="24"/>
        </w:rPr>
        <w:t>"</w:t>
      </w:r>
      <w:r>
        <w:rPr>
          <w:rFonts w:ascii="Times New Roman" w:cs="Times New Roman" w:eastAsia="Calibri" w:hAnsi="Times New Roman"/>
          <w:sz w:val="24"/>
          <w:szCs w:val="24"/>
        </w:rPr>
        <w:t>regardless of the fact of the death of the victim and the identifying of a suspect, it must be proven by reliable evidence admissible at law, generally medical evidence that the victim's death resulted from the accused's conduct as its cause and only then as its proximate cause.</w:t>
      </w:r>
      <w:r>
        <w:rPr>
          <w:rFonts w:ascii="Times New Roman" w:cs="Times New Roman" w:eastAsia="Calibri" w:hAnsi="Times New Roman"/>
          <w:sz w:val="24"/>
          <w:szCs w:val="24"/>
        </w:rPr>
        <w:t>"</w:t>
      </w:r>
      <w:r>
        <w:rPr>
          <w:rFonts w:ascii="Times New Roman" w:cs="Times New Roman" w:eastAsia="Calibri" w:hAnsi="Times New Roman"/>
          <w:sz w:val="24"/>
          <w:szCs w:val="24"/>
        </w:rPr>
        <w:t xml:space="preserve"> This element commonly fails because of the absence of appropriately qualified doctors willing to appear in court and inadequate standards for post-mortem reports generated from under-resourced systems.</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Ope-Ogunseitan</w:t>
      </w:r>
      <w:r>
        <w:rPr>
          <w:rFonts w:ascii="Times New Roman" w:cs="Times New Roman" w:eastAsia="Calibri" w:hAnsi="Times New Roman"/>
          <w:sz w:val="24"/>
          <w:vertAlign w:val="superscript"/>
        </w:rPr>
        <w:footnoteReference w:id="48"/>
      </w:r>
      <w:r>
        <w:rPr>
          <w:rFonts w:ascii="Times New Roman" w:cs="Times New Roman" w:eastAsia="Calibri" w:hAnsi="Times New Roman"/>
          <w:sz w:val="24"/>
          <w:szCs w:val="24"/>
        </w:rPr>
        <w:t xml:space="preserve"> states that “by refusing to fund and build the required modern forensic infrastructure despite international standards and precedent in other jurisdictions where forensic investigation has been used effectively, the state chose not to stop impunity from flowing with regard to homicide”. Ope-Ogunseitan provides a list of all these infrastructures that together contribute to the poor functioning of the practice of forensics. These include poor techniques for management of the crime scene, no standardization for the way the samples are package and preserve, electricity issues that affect the storing of biological evidence, unreliable source of power that affected the refrigeration process for biological samples and exhibits, and a prosecution culture that is not fully integrated with case build up procedures involving forensic evidence. She states that “the traditional method of investigation derived from the colonial period in terms of the nature of the evidence which </w:t>
      </w:r>
      <w:r>
        <w:rPr>
          <w:rFonts w:ascii="Times New Roman" w:cs="Times New Roman" w:eastAsia="Calibri" w:hAnsi="Times New Roman"/>
          <w:sz w:val="24"/>
          <w:szCs w:val="24"/>
        </w:rPr>
        <w:t>primarily includes confession and witness statements is completely contrary to the modern criminal court standards”. This demand for forensic capacity which should includes accredited forensic laboratory and forensic investigators was not implemented.</w:t>
      </w:r>
    </w:p>
    <w:p>
      <w:pPr>
        <w:pStyle w:val="style0"/>
        <w:spacing w:after="160" w:lineRule="auto" w:line="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Eghosa E. Ekhator,</w:t>
      </w:r>
      <w:r>
        <w:rPr>
          <w:rFonts w:ascii="Times New Roman" w:cs="Times New Roman" w:eastAsia="Times New Roman" w:hAnsi="Times New Roman"/>
          <w:sz w:val="24"/>
          <w:vertAlign w:val="superscript"/>
        </w:rPr>
        <w:footnoteReference w:id="49"/>
      </w:r>
      <w:r>
        <w:rPr>
          <w:rFonts w:ascii="Times New Roman" w:cs="Times New Roman" w:eastAsia="Times New Roman" w:hAnsi="Times New Roman"/>
          <w:sz w:val="24"/>
          <w:szCs w:val="24"/>
        </w:rPr>
        <w:t xml:space="preserve"> examines the modernization of Nigeria's criminal justice system, particularly focusing on the Administration of Criminal Justice Act as a tool to bridge technical legality with substantive justice.</w:t>
      </w:r>
      <w:r>
        <w:rPr>
          <w:rFonts w:ascii="Arial" w:cs="Arial" w:eastAsia="Calibri" w:hAnsi="Arial"/>
          <w:color w:val="0a0a0a"/>
          <w:sz w:val="21"/>
          <w:szCs w:val="21"/>
          <w:shd w:val="clear" w:color="auto" w:fill="ffffff"/>
        </w:rPr>
        <w:t xml:space="preserve"> </w:t>
      </w:r>
      <w:r>
        <w:rPr>
          <w:rFonts w:ascii="Times New Roman" w:cs="Times New Roman" w:eastAsia="Times New Roman" w:hAnsi="Times New Roman"/>
          <w:sz w:val="24"/>
          <w:szCs w:val="24"/>
        </w:rPr>
        <w:t>Key themes of his work  include fostering speedy trials, protecting human rights, implementing plea bargaining,</w:t>
      </w:r>
      <w:r>
        <w:rPr>
          <w:rFonts w:ascii="Times New Roman" w:cs="Times New Roman" w:eastAsia="Times New Roman" w:hAnsi="Times New Roman"/>
          <w:sz w:val="24"/>
          <w:vertAlign w:val="superscript"/>
        </w:rPr>
        <w:footnoteReference w:id="50"/>
      </w:r>
      <w:r>
        <w:rPr>
          <w:rFonts w:ascii="Times New Roman" w:cs="Times New Roman" w:eastAsia="Times New Roman" w:hAnsi="Times New Roman"/>
          <w:sz w:val="24"/>
          <w:szCs w:val="24"/>
        </w:rPr>
        <w:t xml:space="preserve"> and addressing systemic delays such as trial-within- trial, a process applied by the court to determine the voluntariness of a confessional statement in the criminal justice system.</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Adeyemi</w:t>
      </w:r>
      <w:r>
        <w:rPr>
          <w:rFonts w:ascii="Times New Roman" w:cs="Times New Roman" w:eastAsia="Calibri" w:hAnsi="Times New Roman"/>
          <w:sz w:val="24"/>
          <w:vertAlign w:val="superscript"/>
        </w:rPr>
        <w:footnoteReference w:id="51"/>
      </w:r>
      <w:r>
        <w:rPr>
          <w:rFonts w:ascii="Times New Roman" w:cs="Times New Roman" w:eastAsia="Calibri" w:hAnsi="Times New Roman"/>
          <w:sz w:val="24"/>
          <w:szCs w:val="24"/>
        </w:rPr>
        <w:t xml:space="preserve"> highlights critical challenges, including systemic corruption, excessive reliance on imprisonment causing severe prison congestion, and slow, inefficient, and costly procedures. Adeyemi argues “for reform to ensure fair, prompt trials and adherence to international human rights standards”. </w:t>
      </w:r>
    </w:p>
    <w:p>
      <w:pPr>
        <w:pStyle w:val="style0"/>
        <w:spacing w:after="160" w:lineRule="auto" w:line="480"/>
        <w:jc w:val="both"/>
        <w:rPr>
          <w:rFonts w:ascii="Arial" w:cs="Arial" w:eastAsia="Times New Roman" w:hAnsi="Arial"/>
          <w:color w:val="0a0a0a"/>
          <w:sz w:val="21"/>
        </w:rPr>
      </w:pPr>
      <w:r>
        <w:rPr>
          <w:rFonts w:ascii="Times New Roman" w:cs="Times New Roman" w:eastAsia="Calibri" w:hAnsi="Times New Roman"/>
          <w:sz w:val="24"/>
          <w:szCs w:val="24"/>
        </w:rPr>
        <w:t>Okonkwo and Naish</w:t>
      </w:r>
      <w:r>
        <w:rPr>
          <w:rFonts w:ascii="Times New Roman" w:cs="Times New Roman" w:eastAsia="Calibri" w:hAnsi="Times New Roman"/>
          <w:sz w:val="24"/>
          <w:vertAlign w:val="superscript"/>
        </w:rPr>
        <w:footnoteReference w:id="52"/>
      </w:r>
      <w:r>
        <w:rPr>
          <w:rFonts w:ascii="Times New Roman" w:cs="Times New Roman" w:eastAsia="Calibri" w:hAnsi="Times New Roman"/>
          <w:sz w:val="24"/>
          <w:szCs w:val="24"/>
        </w:rPr>
        <w:t xml:space="preserve"> state that “proving murder requires establishing both the physical act (</w:t>
      </w:r>
      <w:r>
        <w:rPr>
          <w:rFonts w:ascii="Times New Roman" w:cs="Times New Roman" w:eastAsia="Calibri" w:hAnsi="Times New Roman"/>
          <w:iCs/>
          <w:sz w:val="24"/>
          <w:szCs w:val="24"/>
        </w:rPr>
        <w:t>actus reus</w:t>
      </w:r>
      <w:r>
        <w:rPr>
          <w:rFonts w:ascii="Times New Roman" w:cs="Times New Roman" w:eastAsia="Calibri" w:hAnsi="Times New Roman"/>
          <w:sz w:val="24"/>
          <w:szCs w:val="24"/>
        </w:rPr>
        <w:t>) and the mental intent (</w:t>
      </w:r>
      <w:r>
        <w:rPr>
          <w:rFonts w:ascii="Times New Roman" w:cs="Times New Roman" w:eastAsia="Calibri" w:hAnsi="Times New Roman"/>
          <w:iCs/>
          <w:sz w:val="24"/>
          <w:szCs w:val="24"/>
        </w:rPr>
        <w:t>mens rea</w:t>
      </w:r>
      <w:r>
        <w:rPr>
          <w:rFonts w:ascii="Times New Roman" w:cs="Times New Roman" w:eastAsia="Calibri" w:hAnsi="Times New Roman"/>
          <w:sz w:val="24"/>
          <w:szCs w:val="24"/>
        </w:rPr>
        <w:t>), or malice aforethought, beyond a reasonable doubt”. They emphasize that the prosecution must be able to prove a direct causal link between the accused's voluntary act or omission and the death of a human being.</w:t>
      </w:r>
      <w:r>
        <w:rPr>
          <w:rFonts w:ascii="Arial" w:cs="Arial" w:eastAsia="Times New Roman" w:hAnsi="Arial"/>
          <w:color w:val="0a0a0a"/>
          <w:sz w:val="21"/>
        </w:rPr>
        <w:t xml:space="preserve"> </w:t>
      </w:r>
    </w:p>
    <w:p>
      <w:pPr>
        <w:pStyle w:val="style0"/>
        <w:spacing w:after="160" w:lineRule="auto" w:line="480"/>
        <w:jc w:val="both"/>
        <w:rPr>
          <w:rFonts w:ascii="Times New Roman" w:cs="Times New Roman" w:eastAsia="Calibri" w:hAnsi="Times New Roman"/>
          <w:sz w:val="24"/>
          <w:szCs w:val="24"/>
        </w:rPr>
      </w:pPr>
      <w:r>
        <w:rPr>
          <w:rFonts w:ascii="Times New Roman" w:cs="Times New Roman" w:eastAsia="Calibri" w:hAnsi="Times New Roman"/>
          <w:sz w:val="24"/>
          <w:szCs w:val="24"/>
        </w:rPr>
        <w:t>Dele Farotimi,</w:t>
      </w:r>
      <w:r>
        <w:rPr>
          <w:rFonts w:ascii="Times New Roman" w:cs="Times New Roman" w:eastAsia="Calibri" w:hAnsi="Times New Roman"/>
          <w:sz w:val="24"/>
          <w:vertAlign w:val="superscript"/>
        </w:rPr>
        <w:footnoteReference w:id="53"/>
      </w:r>
      <w:r>
        <w:rPr>
          <w:rFonts w:ascii="Times New Roman" w:cs="Times New Roman" w:eastAsia="Calibri" w:hAnsi="Times New Roman"/>
          <w:sz w:val="24"/>
          <w:szCs w:val="24"/>
        </w:rPr>
        <w:t xml:space="preserve"> provides a harsh condemnation of Nigeria's judicial and law enforcement institutions, labeling them as “structurally flawed, profoundly corrupt, and a crime scene that serves the elite while failing the poor”. Based on his firsthand experiences as a lawyer and personal interactions with the system, Farotimi stated that </w:t>
      </w:r>
      <w:r>
        <w:rPr>
          <w:rFonts w:ascii="Times New Roman" w:cs="Times New Roman" w:eastAsia="Calibri" w:hAnsi="Times New Roman"/>
          <w:bCs/>
          <w:sz w:val="24"/>
          <w:szCs w:val="24"/>
        </w:rPr>
        <w:t>“the system is criminal, there is corruption at the top, willful ignorance, Justice for the Rich, Judgments for the Poor”. These issues and challenges make the proof of murder unfair and leads to a miscarriage of justice.</w:t>
      </w:r>
    </w:p>
    <w:p>
      <w:pPr>
        <w:pStyle w:val="style0"/>
        <w:spacing w:after="160" w:lineRule="auto" w:line="480"/>
        <w:jc w:val="both"/>
        <w:rPr>
          <w:rFonts w:ascii="Times New Roman" w:cs="Times New Roman" w:eastAsia="Calibri" w:hAnsi="Times New Roman"/>
          <w:sz w:val="24"/>
          <w:szCs w:val="24"/>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spacing w:before="280" w:after="120" w:lineRule="auto" w:line="480"/>
        <w:jc w:val="both"/>
        <w:outlineLvl w:val="1"/>
        <w:rPr/>
      </w:pPr>
    </w:p>
    <w:p>
      <w:pPr>
        <w:pStyle w:val="style0"/>
        <w:rPr/>
      </w:pPr>
    </w:p>
    <w:p>
      <w:pPr>
        <w:pStyle w:val="style0"/>
        <w:spacing w:before="360" w:lineRule="auto" w:line="240"/>
        <w:jc w:val="both"/>
        <w:outlineLvl w:val="1"/>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                                                          </w:t>
      </w:r>
    </w:p>
    <w:p>
      <w:pPr>
        <w:pStyle w:val="style0"/>
        <w:spacing w:before="360" w:lineRule="auto" w:line="240"/>
        <w:jc w:val="both"/>
        <w:outlineLvl w:val="1"/>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p>
    <w:p>
      <w:pPr>
        <w:pStyle w:val="style0"/>
        <w:spacing w:before="360" w:lineRule="auto" w:line="240"/>
        <w:jc w:val="both"/>
        <w:outlineLvl w:val="1"/>
        <w:rPr>
          <w:rFonts w:ascii="Times New Roman" w:cs="Times New Roman" w:eastAsia="Times New Roman" w:hAnsi="Times New Roman"/>
          <w:b/>
          <w:bCs/>
          <w:sz w:val="24"/>
          <w:szCs w:val="24"/>
        </w:rPr>
      </w:pPr>
    </w:p>
    <w:p>
      <w:pPr>
        <w:pStyle w:val="style0"/>
        <w:spacing w:before="360" w:lineRule="auto" w:line="240"/>
        <w:jc w:val="both"/>
        <w:outlineLvl w:val="1"/>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CHAPTER TWO</w:t>
      </w:r>
    </w:p>
    <w:p>
      <w:pPr>
        <w:pStyle w:val="style0"/>
        <w:spacing w:before="360" w:lineRule="auto" w:line="240"/>
        <w:jc w:val="both"/>
        <w:outlineLvl w:val="1"/>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                        CONCEPTUAL AND THEORETICAL FRAMEWORK</w:t>
      </w:r>
    </w:p>
    <w:p>
      <w:pPr>
        <w:pStyle w:val="style0"/>
        <w:spacing w:before="360" w:lineRule="auto" w:line="480"/>
        <w:jc w:val="both"/>
        <w:outlineLvl w:val="1"/>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2.1 Conceptual Framework</w:t>
      </w:r>
    </w:p>
    <w:p>
      <w:pPr>
        <w:pStyle w:val="style0"/>
        <w:spacing w:after="0" w:lineRule="auto" w:line="480"/>
        <w:jc w:val="both"/>
        <w:outlineLvl w:val="4"/>
        <w:rPr>
          <w:rFonts w:ascii="Times New Roman" w:cs="Times New Roman" w:eastAsia="Times New Roman" w:hAnsi="Times New Roman"/>
          <w:b/>
          <w:sz w:val="24"/>
          <w:szCs w:val="24"/>
        </w:rPr>
      </w:pPr>
      <w:r>
        <w:rPr>
          <w:rFonts w:ascii="Times New Roman" w:cs="Times New Roman" w:eastAsia="Times New Roman" w:hAnsi="Times New Roman"/>
          <w:b/>
          <w:sz w:val="24"/>
          <w:szCs w:val="24"/>
        </w:rPr>
        <w:t>2.1.1 Murder</w:t>
      </w:r>
    </w:p>
    <w:p>
      <w:pPr>
        <w:pStyle w:val="style0"/>
        <w:spacing w:after="0" w:lineRule="auto" w:line="480"/>
        <w:jc w:val="both"/>
        <w:outlineLvl w:val="4"/>
        <w:rPr>
          <w:rFonts w:ascii="Times New Roman" w:cs="Times New Roman" w:eastAsia="Times New Roman" w:hAnsi="Times New Roman"/>
          <w:sz w:val="24"/>
          <w:szCs w:val="24"/>
        </w:rPr>
      </w:pPr>
      <w:r>
        <w:rPr>
          <w:rFonts w:ascii="Times New Roman" w:cs="Times New Roman" w:eastAsia="Times New Roman" w:hAnsi="Times New Roman"/>
          <w:sz w:val="24"/>
          <w:szCs w:val="24"/>
        </w:rPr>
        <w:t>Ever since the origin of all forms of penal law all over the world and through-out ages, murder will always occupy a peculiar and distinct position among all crimes, for while others were simply offenses against person, this crime against both person and mankind constitutes absolute denial of the life of a person.</w:t>
      </w:r>
      <w:r>
        <w:rPr>
          <w:rFonts w:ascii="Times New Roman" w:cs="Times New Roman" w:eastAsia="Times New Roman" w:hAnsi="Times New Roman"/>
          <w:sz w:val="24"/>
          <w:szCs w:val="24"/>
          <w:vertAlign w:val="superscript"/>
        </w:rPr>
        <w:footnoteReference w:id="54"/>
      </w:r>
      <w:r>
        <w:rPr>
          <w:rFonts w:ascii="Times New Roman" w:cs="Times New Roman" w:eastAsia="Times New Roman" w:hAnsi="Times New Roman"/>
          <w:sz w:val="24"/>
          <w:szCs w:val="24"/>
        </w:rPr>
        <w:t xml:space="preserve"> In Nigeria, the offence is defined under two separate penal codes operating in different parts of the country, namely: the criminal code Act operating in southern states and penal code in the northern states. Despite structural difference and varied term used in the code, both penal code regimes were of a united view that the act of killing a fellow human being with malice constitutes the most heinous crime possible under a penal code.</w:t>
      </w:r>
      <w:r>
        <w:rPr>
          <w:rFonts w:ascii="Times New Roman" w:cs="Times New Roman" w:eastAsia="Times New Roman" w:hAnsi="Times New Roman"/>
          <w:sz w:val="24"/>
          <w:szCs w:val="24"/>
          <w:vertAlign w:val="superscript"/>
        </w:rPr>
        <w:footnoteReference w:id="55"/>
      </w:r>
    </w:p>
    <w:p>
      <w:pPr>
        <w:pStyle w:val="style0"/>
        <w:spacing w:before="300" w:after="16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In its most rudimentary form, murder is defined as an unlawful killing of a human being by another human being with the requisite guilty mind.</w:t>
      </w:r>
      <w:r>
        <w:rPr>
          <w:rFonts w:ascii="Times New Roman" w:cs="Times New Roman" w:eastAsia="Times New Roman" w:hAnsi="Times New Roman"/>
          <w:bCs/>
          <w:sz w:val="24"/>
          <w:szCs w:val="24"/>
          <w:vertAlign w:val="superscript"/>
        </w:rPr>
        <w:footnoteReference w:id="56"/>
      </w:r>
      <w:r>
        <w:rPr>
          <w:rFonts w:ascii="Times New Roman" w:cs="Times New Roman" w:eastAsia="Times New Roman" w:hAnsi="Times New Roman"/>
          <w:bCs/>
          <w:sz w:val="24"/>
          <w:szCs w:val="24"/>
        </w:rPr>
        <w:t xml:space="preserve"> The word "unlawful" is deliberate. Killing does not always amount to murder; if, for example, a killing is justified by reason of a lawful defense of one's self, or if a sentence of death is lawfully administered by the state; then these killings fall outside criminal law, and accordingly are not murder.</w:t>
      </w:r>
      <w:r>
        <w:rPr>
          <w:rFonts w:ascii="Times New Roman" w:cs="Times New Roman" w:eastAsia="Times New Roman" w:hAnsi="Times New Roman"/>
          <w:bCs/>
          <w:sz w:val="24"/>
          <w:szCs w:val="24"/>
          <w:vertAlign w:val="superscript"/>
        </w:rPr>
        <w:footnoteReference w:id="57"/>
      </w:r>
      <w:r>
        <w:rPr>
          <w:rFonts w:ascii="Times New Roman" w:cs="Times New Roman" w:eastAsia="Times New Roman" w:hAnsi="Times New Roman"/>
          <w:bCs/>
          <w:sz w:val="24"/>
          <w:szCs w:val="24"/>
        </w:rPr>
        <w:t xml:space="preserve"> A murder, </w:t>
      </w:r>
      <w:r>
        <w:rPr>
          <w:rFonts w:ascii="Times New Roman" w:cs="Times New Roman" w:eastAsia="Times New Roman" w:hAnsi="Times New Roman"/>
          <w:bCs/>
          <w:sz w:val="24"/>
          <w:szCs w:val="24"/>
        </w:rPr>
        <w:t>therefore, requires the mental state (mens rea) to run contemporaneously with the act of the killing (actus reus) and this consideration is crucial when bringing a charge of murder.</w:t>
      </w:r>
      <w:r>
        <w:rPr>
          <w:rFonts w:ascii="Times New Roman" w:cs="Times New Roman" w:eastAsia="Times New Roman" w:hAnsi="Times New Roman"/>
          <w:bCs/>
          <w:sz w:val="24"/>
          <w:szCs w:val="24"/>
          <w:vertAlign w:val="superscript"/>
        </w:rPr>
        <w:footnoteReference w:id="58"/>
      </w:r>
    </w:p>
    <w:p>
      <w:pPr>
        <w:pStyle w:val="style0"/>
        <w:spacing w:before="300" w:after="16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In other words, a crime may also be committed against the state, but then what does it mean to say that murder is a crime against the state as opposed to against the victim or the victim's dependents? That is why the criminal prosecution of any person charged for murder in Nigeria like was the case in England before, when all criminal prosecution was that of the community, falls to the burden of the state, through the Attorney-General, not that of the close relatives or relations of the victim.</w:t>
      </w:r>
      <w:r>
        <w:rPr>
          <w:rFonts w:ascii="Times New Roman" w:cs="Times New Roman" w:eastAsia="Times New Roman" w:hAnsi="Times New Roman"/>
          <w:bCs/>
          <w:sz w:val="24"/>
          <w:szCs w:val="24"/>
          <w:vertAlign w:val="superscript"/>
        </w:rPr>
        <w:footnoteReference w:id="59"/>
      </w:r>
      <w:r>
        <w:rPr>
          <w:rFonts w:ascii="Times New Roman" w:cs="Times New Roman" w:eastAsia="Times New Roman" w:hAnsi="Times New Roman"/>
          <w:bCs/>
          <w:sz w:val="24"/>
          <w:szCs w:val="24"/>
        </w:rPr>
        <w:t xml:space="preserve"> It is usually not an individual who prosecutes, but the Attorney General as seen in the supreme court case; </w:t>
      </w:r>
      <w:r>
        <w:rPr>
          <w:rFonts w:ascii="Times New Roman" w:cs="Times New Roman" w:eastAsia="Times New Roman" w:hAnsi="Times New Roman"/>
          <w:bCs/>
          <w:i/>
          <w:iCs/>
          <w:sz w:val="24"/>
          <w:szCs w:val="24"/>
        </w:rPr>
        <w:t>Kalu v. State,</w:t>
      </w:r>
      <w:r>
        <w:rPr>
          <w:rFonts w:ascii="Times New Roman" w:cs="Times New Roman" w:eastAsia="Times New Roman" w:hAnsi="Times New Roman"/>
          <w:bCs/>
          <w:i/>
          <w:iCs/>
          <w:sz w:val="24"/>
          <w:szCs w:val="24"/>
          <w:vertAlign w:val="superscript"/>
        </w:rPr>
        <w:footnoteReference w:id="60"/>
      </w:r>
      <w:r>
        <w:rPr>
          <w:rFonts w:ascii="Times New Roman" w:cs="Times New Roman" w:eastAsia="Times New Roman" w:hAnsi="Times New Roman"/>
          <w:bCs/>
          <w:sz w:val="24"/>
          <w:szCs w:val="24"/>
        </w:rPr>
        <w:t xml:space="preserve"> the community is the complainant here and as such bears all responsibility of establishing the guilt of the accused.</w:t>
      </w:r>
    </w:p>
    <w:p>
      <w:pPr>
        <w:pStyle w:val="style0"/>
        <w:spacing w:before="300" w:after="16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Also, the very nature of murder as a crime is given special importance due to its irreversible nature. Unlike property crime and bodily harm, for which restitution can be made and recovery is possible, death allows of no remedy.</w:t>
      </w:r>
      <w:r>
        <w:rPr>
          <w:rFonts w:ascii="Times New Roman" w:cs="Times New Roman" w:eastAsia="Times New Roman" w:hAnsi="Times New Roman"/>
          <w:bCs/>
          <w:sz w:val="24"/>
          <w:szCs w:val="24"/>
          <w:vertAlign w:val="superscript"/>
        </w:rPr>
        <w:footnoteReference w:id="61"/>
      </w:r>
      <w:r>
        <w:rPr>
          <w:rFonts w:ascii="Times New Roman" w:cs="Times New Roman" w:eastAsia="Times New Roman" w:hAnsi="Times New Roman"/>
          <w:bCs/>
          <w:sz w:val="24"/>
          <w:szCs w:val="24"/>
        </w:rPr>
        <w:t xml:space="preserve"> The irreversibility of the crime is part of the reason for which Nigerian law has always had the death penalty attached to it, as have the law of a lot of other countries. Section 319(1) Criminal Code</w:t>
      </w:r>
      <w:r>
        <w:rPr>
          <w:rFonts w:ascii="Times New Roman" w:cs="Times New Roman" w:eastAsia="Times New Roman" w:hAnsi="Times New Roman"/>
          <w:bCs/>
          <w:sz w:val="24"/>
          <w:szCs w:val="24"/>
          <w:vertAlign w:val="superscript"/>
        </w:rPr>
        <w:footnoteReference w:id="62"/>
      </w:r>
      <w:r>
        <w:rPr>
          <w:rFonts w:ascii="Times New Roman" w:cs="Times New Roman" w:eastAsia="Times New Roman" w:hAnsi="Times New Roman"/>
          <w:bCs/>
          <w:sz w:val="24"/>
          <w:szCs w:val="24"/>
        </w:rPr>
        <w:t xml:space="preserve"> provides that </w:t>
      </w:r>
      <w:r>
        <w:rPr>
          <w:rFonts w:ascii="Times New Roman" w:cs="Times New Roman" w:eastAsia="Times New Roman" w:hAnsi="Times New Roman"/>
          <w:bCs/>
          <w:sz w:val="24"/>
          <w:szCs w:val="24"/>
        </w:rPr>
        <w:t>"</w:t>
      </w:r>
      <w:r>
        <w:rPr>
          <w:rFonts w:ascii="Times New Roman" w:cs="Times New Roman" w:eastAsia="Times New Roman" w:hAnsi="Times New Roman"/>
          <w:bCs/>
          <w:sz w:val="24"/>
          <w:szCs w:val="24"/>
        </w:rPr>
        <w:t>every person who is convicted of murder shall suffer death. Similar provisions were made under the northern regime where culpable homicide punishable with death is also to suffer the same fate.</w:t>
      </w:r>
      <w:r>
        <w:rPr>
          <w:rFonts w:ascii="Times New Roman" w:cs="Times New Roman" w:eastAsia="Times New Roman" w:hAnsi="Times New Roman"/>
          <w:bCs/>
          <w:sz w:val="24"/>
          <w:szCs w:val="24"/>
        </w:rPr>
        <w:t>"</w:t>
      </w:r>
    </w:p>
    <w:p>
      <w:pPr>
        <w:pStyle w:val="style0"/>
        <w:spacing w:before="300" w:after="16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It must also be clearly defined what constitutes murder in contrast to that of manslaughter (also known under the Penal Code as culpable homicide not punishable with death). The Criminal Code provides that </w:t>
      </w:r>
      <w:r>
        <w:rPr>
          <w:rFonts w:ascii="Times New Roman" w:cs="Times New Roman" w:eastAsia="Times New Roman" w:hAnsi="Times New Roman"/>
          <w:bCs/>
          <w:sz w:val="24"/>
          <w:szCs w:val="24"/>
        </w:rPr>
        <w:t>"</w:t>
      </w:r>
      <w:r>
        <w:rPr>
          <w:rFonts w:ascii="Times New Roman" w:cs="Times New Roman" w:eastAsia="Times New Roman" w:hAnsi="Times New Roman"/>
          <w:bCs/>
          <w:sz w:val="24"/>
          <w:szCs w:val="24"/>
        </w:rPr>
        <w:t>manslaughter is the unlawful killing of another in circumstances not amounting to murder.</w:t>
      </w:r>
      <w:r>
        <w:rPr>
          <w:rFonts w:ascii="Times New Roman" w:cs="Times New Roman" w:eastAsia="Times New Roman" w:hAnsi="Times New Roman"/>
          <w:bCs/>
          <w:sz w:val="24"/>
          <w:szCs w:val="24"/>
        </w:rPr>
        <w:t>"</w:t>
      </w:r>
      <w:r>
        <w:rPr>
          <w:rFonts w:ascii="Times New Roman" w:cs="Times New Roman" w:eastAsia="Times New Roman" w:hAnsi="Times New Roman"/>
          <w:bCs/>
          <w:sz w:val="24"/>
          <w:szCs w:val="24"/>
          <w:vertAlign w:val="superscript"/>
        </w:rPr>
        <w:footnoteReference w:id="63"/>
      </w:r>
      <w:r>
        <w:rPr>
          <w:rFonts w:ascii="Times New Roman" w:cs="Times New Roman" w:eastAsia="Times New Roman" w:hAnsi="Times New Roman"/>
          <w:bCs/>
          <w:sz w:val="24"/>
          <w:szCs w:val="24"/>
        </w:rPr>
        <w:t xml:space="preserve"> It exists where the mental element necessary for murder has not been proven or where some partial defense to murder operates to mitigate the seriousness of the offense, so that the offender is found guilty of manslaughter, rather than murder. The distinction is of huge evidential importance as the prosecution is required to prove beyond a reasonable doubt that the specific mental element necessary for murder, will increase the killing to murder.</w:t>
      </w:r>
      <w:r>
        <w:rPr>
          <w:rFonts w:ascii="Times New Roman" w:cs="Times New Roman" w:eastAsia="Times New Roman" w:hAnsi="Times New Roman"/>
          <w:bCs/>
          <w:sz w:val="24"/>
          <w:szCs w:val="24"/>
          <w:vertAlign w:val="superscript"/>
        </w:rPr>
        <w:footnoteReference w:id="64"/>
      </w:r>
    </w:p>
    <w:p>
      <w:pPr>
        <w:pStyle w:val="style0"/>
        <w:spacing w:before="300" w:after="16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The thing which is more important to murder than what was actually done is what the accused intended to do. It's not only what the accused did. That makes it the tough and the most serious offence to prove, that is why miscarriages of justice are so dramatic. They result not only in devastation of lives and loss of public confidence.</w:t>
      </w:r>
      <w:r>
        <w:rPr>
          <w:rFonts w:ascii="Times New Roman" w:cs="Times New Roman" w:eastAsia="Times New Roman" w:hAnsi="Times New Roman"/>
          <w:bCs/>
          <w:sz w:val="24"/>
          <w:szCs w:val="24"/>
          <w:vertAlign w:val="superscript"/>
        </w:rPr>
        <w:footnoteReference w:id="65"/>
      </w:r>
    </w:p>
    <w:p>
      <w:pPr>
        <w:pStyle w:val="style0"/>
        <w:spacing w:after="0" w:lineRule="auto" w:line="480"/>
        <w:jc w:val="both"/>
        <w:outlineLvl w:val="4"/>
        <w:rPr>
          <w:rFonts w:ascii="Times New Roman" w:cs="Times New Roman" w:eastAsia="Times New Roman" w:hAnsi="Times New Roman"/>
          <w:b/>
          <w:sz w:val="24"/>
          <w:szCs w:val="24"/>
        </w:rPr>
      </w:pPr>
      <w:r>
        <w:rPr>
          <w:rFonts w:ascii="Times New Roman" w:cs="Times New Roman" w:eastAsia="Times New Roman" w:hAnsi="Times New Roman"/>
          <w:b/>
          <w:sz w:val="24"/>
          <w:szCs w:val="24"/>
        </w:rPr>
        <w:t>2.1.2 Proof in Criminal Law</w:t>
      </w:r>
    </w:p>
    <w:p>
      <w:pPr>
        <w:pStyle w:val="style0"/>
        <w:spacing w:after="0" w:lineRule="auto" w:line="480"/>
        <w:jc w:val="both"/>
        <w:outlineLvl w:val="4"/>
        <w:rPr>
          <w:rFonts w:ascii="Times New Roman" w:cs="Times New Roman" w:eastAsia="Times New Roman" w:hAnsi="Times New Roman"/>
          <w:sz w:val="24"/>
          <w:szCs w:val="24"/>
        </w:rPr>
      </w:pPr>
      <w:r>
        <w:rPr>
          <w:rFonts w:ascii="Times New Roman" w:cs="Times New Roman" w:eastAsia="Times New Roman" w:hAnsi="Times New Roman"/>
          <w:sz w:val="24"/>
          <w:szCs w:val="24"/>
        </w:rPr>
        <w:t>The concept of proof in the context of criminal law requires us to define the extent to which the prosecution must satisfy the court as to the guilt of the defendant for the crime he has been charged with.</w:t>
      </w:r>
      <w:r>
        <w:rPr>
          <w:rFonts w:ascii="Times New Roman" w:cs="Times New Roman" w:eastAsia="Times New Roman" w:hAnsi="Times New Roman"/>
          <w:sz w:val="24"/>
          <w:szCs w:val="24"/>
          <w:vertAlign w:val="superscript"/>
        </w:rPr>
        <w:footnoteReference w:id="66"/>
      </w:r>
      <w:r>
        <w:rPr>
          <w:rFonts w:ascii="Times New Roman" w:cs="Times New Roman" w:eastAsia="Times New Roman" w:hAnsi="Times New Roman"/>
          <w:sz w:val="24"/>
          <w:szCs w:val="24"/>
        </w:rPr>
        <w:t xml:space="preserve"> Proof cannot be understood in terms of establishing certainty; the law appreciates that absolute certainty is an unreasonable requirement in any field of human </w:t>
      </w:r>
      <w:r>
        <w:rPr>
          <w:rFonts w:ascii="Times New Roman" w:cs="Times New Roman" w:eastAsia="Times New Roman" w:hAnsi="Times New Roman"/>
          <w:sz w:val="24"/>
          <w:szCs w:val="24"/>
        </w:rPr>
        <w:t>activity, let alone the law, and the issue here is about making the defendant liable.</w:t>
      </w:r>
      <w:r>
        <w:rPr>
          <w:rFonts w:ascii="Times New Roman" w:cs="Times New Roman" w:eastAsia="Times New Roman" w:hAnsi="Times New Roman"/>
          <w:sz w:val="24"/>
          <w:szCs w:val="24"/>
          <w:vertAlign w:val="superscript"/>
        </w:rPr>
        <w:footnoteReference w:id="67"/>
      </w:r>
      <w:r>
        <w:rPr>
          <w:rFonts w:ascii="Times New Roman" w:cs="Times New Roman" w:eastAsia="Times New Roman" w:hAnsi="Times New Roman"/>
          <w:sz w:val="24"/>
          <w:szCs w:val="24"/>
        </w:rPr>
        <w:t xml:space="preserve"> The punishment resulting from such a conviction will have severe effects on the defendant, thus the required proof must reflect this level of responsibility.</w:t>
      </w:r>
      <w:r>
        <w:rPr>
          <w:rFonts w:ascii="Times New Roman" w:cs="Times New Roman" w:eastAsia="Times New Roman" w:hAnsi="Times New Roman"/>
          <w:sz w:val="24"/>
          <w:szCs w:val="24"/>
          <w:vertAlign w:val="superscript"/>
        </w:rPr>
        <w:footnoteReference w:id="68"/>
      </w:r>
    </w:p>
    <w:p>
      <w:pPr>
        <w:pStyle w:val="style0"/>
        <w:spacing w:after="0" w:lineRule="auto" w:line="480"/>
        <w:jc w:val="both"/>
        <w:outlineLvl w:val="4"/>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The Evidence Act 2011 regulates proof under Nigerian criminal law. Section 135(1)</w:t>
      </w:r>
      <w:r>
        <w:rPr>
          <w:rFonts w:ascii="Times New Roman" w:cs="Times New Roman" w:eastAsia="Times New Roman" w:hAnsi="Times New Roman"/>
          <w:sz w:val="24"/>
          <w:szCs w:val="24"/>
        </w:rPr>
        <w:t>"</w:t>
      </w:r>
      <w:r>
        <w:rPr>
          <w:rFonts w:ascii="Times New Roman" w:cs="Times New Roman" w:eastAsia="Times New Roman" w:hAnsi="Times New Roman"/>
          <w:b/>
          <w:sz w:val="24"/>
          <w:szCs w:val="24"/>
          <w:vertAlign w:val="superscript"/>
        </w:rPr>
        <w:footnoteReference w:id="69"/>
      </w:r>
      <w:r>
        <w:rPr>
          <w:rFonts w:ascii="Times New Roman" w:cs="Times New Roman" w:eastAsia="Times New Roman" w:hAnsi="Times New Roman"/>
          <w:sz w:val="24"/>
          <w:szCs w:val="24"/>
        </w:rPr>
        <w:t xml:space="preserve"> Section 136 of the Act says </w:t>
      </w:r>
      <w:r>
        <w:rPr>
          <w:rFonts w:ascii="Times New Roman" w:cs="Times New Roman" w:eastAsia="Times New Roman" w:hAnsi="Times New Roman"/>
          <w:sz w:val="24"/>
          <w:szCs w:val="24"/>
        </w:rPr>
        <w:t>"</w:t>
      </w:r>
      <w:r>
        <w:rPr>
          <w:rFonts w:ascii="Times New Roman" w:cs="Times New Roman" w:eastAsia="Times New Roman" w:hAnsi="Times New Roman"/>
          <w:sz w:val="24"/>
          <w:szCs w:val="24"/>
        </w:rPr>
        <w:t>where the commission by a party to any proceedings is put in issue, then it shall be proved beyond reasonable doubt.</w:t>
      </w:r>
      <w:r>
        <w:rPr>
          <w:rFonts w:ascii="Times New Roman" w:cs="Times New Roman" w:eastAsia="Times New Roman" w:hAnsi="Times New Roman"/>
          <w:sz w:val="24"/>
          <w:szCs w:val="24"/>
        </w:rPr>
        <w:t>"</w:t>
      </w:r>
      <w:r>
        <w:rPr>
          <w:rFonts w:ascii="Times New Roman" w:cs="Times New Roman" w:eastAsia="Times New Roman" w:hAnsi="Times New Roman"/>
          <w:sz w:val="24"/>
          <w:szCs w:val="24"/>
        </w:rPr>
        <w:t xml:space="preserve"> This is the principle rule of proof in all Nigerian criminal proceedings. It is a higher standard of proof than that of balance of probabilities applicable in civil cases because of the seriousness of punishment which a criminal case is capable of inflicting. It also is because the consequence of getting criminal punishment is quite enormous; wrongful conviction would surely lead to imprisonment or capital punishment. The law thus requires a very high level of proof before permitting the state to so punish its citizens.</w:t>
      </w:r>
      <w:r>
        <w:rPr>
          <w:rFonts w:ascii="Times New Roman" w:cs="Times New Roman" w:eastAsia="Times New Roman" w:hAnsi="Times New Roman"/>
          <w:sz w:val="24"/>
          <w:szCs w:val="24"/>
          <w:vertAlign w:val="superscript"/>
        </w:rPr>
        <w:footnoteReference w:id="70"/>
      </w:r>
    </w:p>
    <w:p>
      <w:pPr>
        <w:pStyle w:val="style0"/>
        <w:spacing w:before="300" w:after="16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The proof beyond reasonable doubt has been explained in several cases in Nigeria, the Supreme Court emphasized in </w:t>
      </w:r>
      <w:r>
        <w:rPr>
          <w:rFonts w:ascii="Times New Roman" w:cs="Times New Roman" w:eastAsia="Times New Roman" w:hAnsi="Times New Roman"/>
          <w:bCs/>
          <w:i/>
          <w:iCs/>
          <w:sz w:val="24"/>
          <w:szCs w:val="24"/>
        </w:rPr>
        <w:t>Bakare v. The State</w:t>
      </w:r>
      <w:r>
        <w:rPr>
          <w:rFonts w:ascii="Times New Roman" w:cs="Times New Roman" w:eastAsia="Times New Roman" w:hAnsi="Times New Roman"/>
          <w:bCs/>
          <w:sz w:val="24"/>
          <w:szCs w:val="24"/>
        </w:rPr>
        <w:t>,</w:t>
      </w:r>
      <w:r>
        <w:rPr>
          <w:rFonts w:ascii="Times New Roman" w:cs="Times New Roman" w:eastAsia="Times New Roman" w:hAnsi="Times New Roman"/>
          <w:bCs/>
          <w:sz w:val="24"/>
          <w:szCs w:val="24"/>
          <w:vertAlign w:val="superscript"/>
        </w:rPr>
        <w:footnoteReference w:id="71"/>
      </w:r>
      <w:r>
        <w:rPr>
          <w:rFonts w:ascii="Times New Roman" w:cs="Times New Roman" w:eastAsia="Times New Roman" w:hAnsi="Times New Roman"/>
          <w:bCs/>
          <w:sz w:val="24"/>
          <w:szCs w:val="24"/>
        </w:rPr>
        <w:t xml:space="preserve"> that “the standard of proof beyond reasonable doubt is rooted in the fundamental presumption of innocence. It requires compelling and conclusive evidence to overcome that presumption, but it does not demand absolute, impossible perfection or a shadow of any doubt”. </w:t>
      </w:r>
    </w:p>
    <w:p>
      <w:pPr>
        <w:pStyle w:val="style0"/>
        <w:spacing w:before="300" w:after="16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It is not also merely a matter of how much evidence is presented to the court in criminal law. The question arises regarding the quality and type of evidence presented.</w:t>
      </w:r>
      <w:r>
        <w:rPr>
          <w:rFonts w:ascii="Times New Roman" w:cs="Times New Roman" w:eastAsia="Times New Roman" w:hAnsi="Times New Roman"/>
          <w:bCs/>
          <w:sz w:val="24"/>
          <w:szCs w:val="24"/>
          <w:vertAlign w:val="superscript"/>
        </w:rPr>
        <w:footnoteReference w:id="72"/>
      </w:r>
      <w:r>
        <w:rPr>
          <w:rFonts w:ascii="Times New Roman" w:cs="Times New Roman" w:eastAsia="Times New Roman" w:hAnsi="Times New Roman"/>
          <w:bCs/>
          <w:sz w:val="24"/>
          <w:szCs w:val="24"/>
        </w:rPr>
        <w:t xml:space="preserve"> A court has to </w:t>
      </w:r>
      <w:r>
        <w:rPr>
          <w:rFonts w:ascii="Times New Roman" w:cs="Times New Roman" w:eastAsia="Times New Roman" w:hAnsi="Times New Roman"/>
          <w:bCs/>
          <w:sz w:val="24"/>
          <w:szCs w:val="24"/>
        </w:rPr>
        <w:t>assess the believability of witnesses, the strength of circumstantial evidence, whether any confession was voluntary and if any other type of evidence (such as medical, scientific, or any other type of evidence) is reliable. Evidence in total should point only to the guilt of the accused, ruling out any reasonable inference or suggestion of not guilty, in the mind of the court.</w:t>
      </w:r>
      <w:r>
        <w:rPr>
          <w:rFonts w:ascii="Times New Roman" w:cs="Times New Roman" w:eastAsia="Times New Roman" w:hAnsi="Times New Roman"/>
          <w:bCs/>
          <w:sz w:val="24"/>
          <w:szCs w:val="24"/>
          <w:vertAlign w:val="superscript"/>
        </w:rPr>
        <w:footnoteReference w:id="73"/>
      </w:r>
    </w:p>
    <w:p>
      <w:pPr>
        <w:pStyle w:val="style0"/>
        <w:spacing w:before="300" w:after="16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Another relevant aspect to mention is that there are two different legal concepts of proof: that of the burden of proof (the duty to prove a fact) and that of the standard of proof (the amount of certainty with which a fact has to be proved). </w:t>
      </w:r>
      <w:r>
        <w:rPr>
          <w:rFonts w:ascii="Times New Roman" w:cs="Times New Roman" w:eastAsia="Times New Roman" w:hAnsi="Times New Roman"/>
          <w:bCs/>
          <w:sz w:val="24"/>
          <w:szCs w:val="24"/>
        </w:rPr>
        <w:t>"</w:t>
      </w:r>
      <w:r>
        <w:rPr>
          <w:rFonts w:ascii="Times New Roman" w:cs="Times New Roman" w:eastAsia="Times New Roman" w:hAnsi="Times New Roman"/>
          <w:bCs/>
          <w:sz w:val="24"/>
          <w:szCs w:val="24"/>
        </w:rPr>
        <w:t>In criminal law the burden of proof throughout the proceedings remains with the prosecution and does not pass to the accused except under the exceptions prescribed by statute.</w:t>
      </w:r>
      <w:r>
        <w:rPr>
          <w:rFonts w:ascii="Times New Roman" w:cs="Times New Roman" w:eastAsia="Times New Roman" w:hAnsi="Times New Roman"/>
          <w:bCs/>
          <w:sz w:val="24"/>
          <w:szCs w:val="24"/>
        </w:rPr>
        <w:t>"</w:t>
      </w:r>
      <w:r>
        <w:rPr>
          <w:rFonts w:ascii="Times New Roman" w:cs="Times New Roman" w:eastAsia="Times New Roman" w:hAnsi="Times New Roman"/>
          <w:bCs/>
          <w:sz w:val="24"/>
          <w:szCs w:val="24"/>
        </w:rPr>
        <w:t xml:space="preserve"> This is supported by Section 36(5) of the Constitution of the Federal Republic of Nigeria</w:t>
      </w:r>
      <w:r>
        <w:rPr>
          <w:rFonts w:ascii="Times New Roman" w:cs="Times New Roman" w:eastAsia="Times New Roman" w:hAnsi="Times New Roman"/>
          <w:bCs/>
          <w:sz w:val="24"/>
          <w:szCs w:val="24"/>
          <w:vertAlign w:val="superscript"/>
        </w:rPr>
        <w:footnoteReference w:id="74"/>
      </w:r>
      <w:r>
        <w:rPr>
          <w:rFonts w:ascii="Times New Roman" w:cs="Times New Roman" w:eastAsia="Times New Roman" w:hAnsi="Times New Roman"/>
          <w:bCs/>
          <w:sz w:val="24"/>
          <w:szCs w:val="24"/>
        </w:rPr>
        <w:t xml:space="preserve"> which provides that “every person accused of a criminal offence shall be presumed innocent until he is proved guilty”. The prosecution has to establish their case.</w:t>
      </w:r>
    </w:p>
    <w:p>
      <w:pPr>
        <w:pStyle w:val="style0"/>
        <w:spacing w:before="300" w:after="16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
          <w:bCs/>
          <w:sz w:val="24"/>
          <w:szCs w:val="24"/>
        </w:rPr>
        <w:t>2.1.3 Elements of Murder under Nigerian Law</w:t>
      </w:r>
    </w:p>
    <w:p>
      <w:pPr>
        <w:pStyle w:val="style0"/>
        <w:spacing w:after="0" w:lineRule="auto" w:line="480"/>
        <w:jc w:val="both"/>
        <w:outlineLvl w:val="4"/>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The constituent parts of murder for which the prosecution must prove are now a firmly established principle of Nigerian law. It has been judicially pronounced that a conviction for murder (under the Criminal Code) or for culpable homicide punishable with death (under the Penal Code) requires proof by the prosecution of the following three simultaneous conditions, In </w:t>
      </w:r>
      <w:r>
        <w:rPr>
          <w:rFonts w:ascii="Times New Roman" w:cs="Times New Roman" w:eastAsia="Times New Roman" w:hAnsi="Times New Roman"/>
          <w:i/>
          <w:iCs/>
          <w:sz w:val="24"/>
          <w:szCs w:val="24"/>
        </w:rPr>
        <w:t>Ogba v. The State</w:t>
      </w:r>
      <w:r>
        <w:rPr>
          <w:rFonts w:ascii="Times New Roman" w:cs="Times New Roman" w:eastAsia="Times New Roman" w:hAnsi="Times New Roman"/>
          <w:sz w:val="24"/>
          <w:szCs w:val="24"/>
        </w:rPr>
        <w:t>,</w:t>
      </w:r>
      <w:r>
        <w:rPr>
          <w:rFonts w:ascii="Times New Roman" w:cs="Times New Roman" w:eastAsia="Times New Roman" w:hAnsi="Times New Roman"/>
          <w:sz w:val="24"/>
          <w:szCs w:val="24"/>
          <w:vertAlign w:val="superscript"/>
        </w:rPr>
        <w:footnoteReference w:id="75"/>
      </w:r>
      <w:r>
        <w:rPr>
          <w:rFonts w:ascii="Times New Roman" w:cs="Times New Roman" w:eastAsia="Times New Roman" w:hAnsi="Times New Roman"/>
          <w:sz w:val="24"/>
          <w:szCs w:val="24"/>
        </w:rPr>
        <w:t xml:space="preserve"> The conditions were listed in the words of the court as follows: “that the deceased was dead; that the death was caused by the act of the accused; </w:t>
      </w:r>
      <w:r>
        <w:rPr>
          <w:rFonts w:ascii="Times New Roman" w:cs="Times New Roman" w:eastAsia="Times New Roman" w:hAnsi="Times New Roman"/>
          <w:sz w:val="24"/>
          <w:szCs w:val="24"/>
        </w:rPr>
        <w:t>that the act or omission of the accused which caused the death was intended or was done with knowledge that it was its probable consequence that death or grievous hurt would ensue”. One of these conditions being lacking, or being accompanied with doubt the crime will not be proven to the required degree of certainty.</w:t>
      </w:r>
      <w:r>
        <w:rPr>
          <w:rFonts w:ascii="Times New Roman" w:cs="Times New Roman" w:eastAsia="Times New Roman" w:hAnsi="Times New Roman"/>
          <w:sz w:val="24"/>
          <w:szCs w:val="24"/>
          <w:vertAlign w:val="superscript"/>
        </w:rPr>
        <w:footnoteReference w:id="76"/>
      </w:r>
    </w:p>
    <w:p>
      <w:pPr>
        <w:pStyle w:val="style0"/>
        <w:spacing w:after="0" w:lineRule="auto" w:line="480"/>
        <w:jc w:val="both"/>
        <w:outlineLvl w:val="4"/>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Proving death which is the first condition, presents the least problem when a corpse is found. When the body is recovered and properly identified death can readily be proved, but when a corpse cannot be recovered Nigerian courts have had to determine whether it is possible to prove death on circumstantial evidence.</w:t>
      </w:r>
      <w:r>
        <w:rPr>
          <w:rFonts w:ascii="Times New Roman" w:cs="Times New Roman" w:eastAsia="Times New Roman" w:hAnsi="Times New Roman"/>
          <w:sz w:val="24"/>
          <w:szCs w:val="24"/>
          <w:vertAlign w:val="superscript"/>
        </w:rPr>
        <w:footnoteReference w:id="77"/>
      </w:r>
      <w:r>
        <w:rPr>
          <w:rFonts w:ascii="Times New Roman" w:cs="Times New Roman" w:eastAsia="Times New Roman" w:hAnsi="Times New Roman"/>
          <w:sz w:val="24"/>
          <w:szCs w:val="24"/>
        </w:rPr>
        <w:t xml:space="preserve"> Nigerian courts hold that </w:t>
      </w:r>
      <w:r>
        <w:rPr>
          <w:rFonts w:ascii="Times New Roman" w:cs="Times New Roman" w:eastAsia="Times New Roman" w:hAnsi="Times New Roman"/>
          <w:sz w:val="24"/>
          <w:szCs w:val="24"/>
        </w:rPr>
        <w:t>"</w:t>
      </w:r>
      <w:r>
        <w:rPr>
          <w:rFonts w:ascii="Times New Roman" w:cs="Times New Roman" w:eastAsia="Times New Roman" w:hAnsi="Times New Roman"/>
          <w:sz w:val="24"/>
          <w:szCs w:val="24"/>
        </w:rPr>
        <w:t>death can be proved without producing the corpse so long as the evidence presented is strong enough to lead to no other conclusion.</w:t>
      </w:r>
      <w:r>
        <w:rPr>
          <w:rFonts w:ascii="Times New Roman" w:cs="Times New Roman" w:eastAsia="Times New Roman" w:hAnsi="Times New Roman"/>
          <w:sz w:val="24"/>
          <w:szCs w:val="24"/>
        </w:rPr>
        <w:t>"</w:t>
      </w:r>
      <w:r>
        <w:rPr>
          <w:rFonts w:ascii="Times New Roman" w:cs="Times New Roman" w:eastAsia="Times New Roman" w:hAnsi="Times New Roman"/>
          <w:sz w:val="24"/>
          <w:szCs w:val="24"/>
          <w:vertAlign w:val="superscript"/>
        </w:rPr>
        <w:footnoteReference w:id="78"/>
      </w:r>
    </w:p>
    <w:p>
      <w:pPr>
        <w:pStyle w:val="style0"/>
        <w:spacing w:after="0" w:lineRule="auto" w:line="480"/>
        <w:jc w:val="both"/>
        <w:outlineLvl w:val="4"/>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The second aspect relates to cause and effect. </w:t>
      </w:r>
      <w:r>
        <w:rPr>
          <w:rFonts w:ascii="Times New Roman" w:cs="Times New Roman" w:eastAsia="Times New Roman" w:hAnsi="Times New Roman"/>
          <w:sz w:val="24"/>
          <w:szCs w:val="24"/>
        </w:rPr>
        <w:t>"</w:t>
      </w:r>
      <w:r>
        <w:rPr>
          <w:rFonts w:ascii="Times New Roman" w:cs="Times New Roman" w:eastAsia="Times New Roman" w:hAnsi="Times New Roman"/>
          <w:sz w:val="24"/>
          <w:szCs w:val="24"/>
        </w:rPr>
        <w:t>It is insufficient for the prosecution to prove the act of violence and that death of the victim occurred. It must prove beyond all reasonable doubt that act or omission of the accused is the proximate cause of death. If there was an intervening cause of death which operates to break the chain of causation, and it results in the death from another causes or gross negligence, medical treatment not as a result of the original injuries could then</w:t>
      </w:r>
      <w:r>
        <w:rPr>
          <w:rFonts w:ascii="Times New Roman" w:cs="Times New Roman" w:eastAsia="Times New Roman" w:hAnsi="Times New Roman"/>
          <w:sz w:val="24"/>
          <w:szCs w:val="24"/>
        </w:rPr>
        <w:t xml:space="preserve"> affect the prosecution's claim."</w:t>
      </w:r>
      <w:r>
        <w:rPr>
          <w:rFonts w:ascii="Times New Roman" w:cs="Times New Roman" w:eastAsia="Times New Roman" w:hAnsi="Times New Roman"/>
          <w:sz w:val="24"/>
          <w:szCs w:val="24"/>
          <w:vertAlign w:val="superscript"/>
        </w:rPr>
        <w:footnoteReference w:id="79"/>
      </w:r>
      <w:r>
        <w:rPr>
          <w:rFonts w:ascii="Times New Roman" w:cs="Times New Roman" w:eastAsia="Times New Roman" w:hAnsi="Times New Roman"/>
          <w:sz w:val="24"/>
          <w:szCs w:val="24"/>
        </w:rPr>
        <w:t xml:space="preserve"> Nevertheless Nigerian courts have adopted the principle of the accused taking the victim in the condition they found her and that a frail or old victim does not relieve the accused of his duty if his act was a material contributor to the death.</w:t>
      </w:r>
      <w:r>
        <w:rPr>
          <w:rFonts w:ascii="Times New Roman" w:cs="Times New Roman" w:eastAsia="Times New Roman" w:hAnsi="Times New Roman"/>
          <w:sz w:val="24"/>
          <w:szCs w:val="24"/>
          <w:vertAlign w:val="superscript"/>
        </w:rPr>
        <w:footnoteReference w:id="80"/>
      </w:r>
    </w:p>
    <w:p>
      <w:pPr>
        <w:pStyle w:val="style0"/>
        <w:spacing w:after="0" w:lineRule="auto" w:line="480"/>
        <w:jc w:val="both"/>
        <w:outlineLvl w:val="4"/>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Thirdly there is the mental aspect, the mens rea. In section 316 of the Criminal Code,</w:t>
      </w:r>
      <w:r>
        <w:rPr>
          <w:rFonts w:ascii="Times New Roman" w:cs="Times New Roman" w:eastAsia="Times New Roman" w:hAnsi="Times New Roman"/>
          <w:sz w:val="24"/>
          <w:szCs w:val="24"/>
          <w:vertAlign w:val="superscript"/>
        </w:rPr>
        <w:footnoteReference w:id="81"/>
      </w:r>
      <w:r>
        <w:rPr>
          <w:rFonts w:ascii="Times New Roman" w:cs="Times New Roman" w:eastAsia="Times New Roman" w:hAnsi="Times New Roman"/>
          <w:sz w:val="24"/>
          <w:szCs w:val="24"/>
        </w:rPr>
        <w:t xml:space="preserve"> this limb is fulfilled if the accused intended to kill the deceased or cause grievous harm or death was the result of the commission of an unlawful act likely to endanger life, or it was committed reckless to human life.</w:t>
      </w:r>
      <w:r>
        <w:rPr>
          <w:rFonts w:ascii="Times New Roman" w:cs="Times New Roman" w:eastAsia="Times New Roman" w:hAnsi="Times New Roman"/>
          <w:sz w:val="24"/>
          <w:szCs w:val="24"/>
          <w:vertAlign w:val="superscript"/>
        </w:rPr>
        <w:footnoteReference w:id="82"/>
      </w:r>
      <w:r>
        <w:rPr>
          <w:rFonts w:ascii="Times New Roman" w:cs="Times New Roman" w:eastAsia="Times New Roman" w:hAnsi="Times New Roman"/>
          <w:sz w:val="24"/>
          <w:szCs w:val="24"/>
        </w:rPr>
        <w:t xml:space="preserve"> Under section 221 of the penal code, the mental element is fulfilled if </w:t>
      </w:r>
      <w:r>
        <w:rPr>
          <w:rFonts w:ascii="Times New Roman" w:cs="Times New Roman" w:eastAsia="Times New Roman" w:hAnsi="Times New Roman"/>
          <w:sz w:val="24"/>
          <w:szCs w:val="24"/>
        </w:rPr>
        <w:t xml:space="preserve">"the </w:t>
      </w:r>
      <w:r>
        <w:rPr>
          <w:rFonts w:ascii="Times New Roman" w:cs="Times New Roman" w:eastAsia="Times New Roman" w:hAnsi="Times New Roman"/>
          <w:sz w:val="24"/>
          <w:szCs w:val="24"/>
        </w:rPr>
        <w:t xml:space="preserve">accused possessed intention to kill the deceased, or knowledge that death is </w:t>
      </w:r>
      <w:r>
        <w:rPr>
          <w:rFonts w:ascii="Times New Roman" w:cs="Times New Roman" w:eastAsia="Times New Roman" w:hAnsi="Times New Roman"/>
          <w:sz w:val="24"/>
          <w:szCs w:val="24"/>
        </w:rPr>
        <w:t>likely to result from his act."</w:t>
      </w:r>
      <w:r>
        <w:rPr>
          <w:rFonts w:ascii="Times New Roman" w:cs="Times New Roman" w:eastAsia="Times New Roman" w:hAnsi="Times New Roman"/>
          <w:sz w:val="24"/>
          <w:szCs w:val="24"/>
        </w:rPr>
        <w:t xml:space="preserve"> Though, in wording, they may vary in language, yet both prove some guilty mind, and this makes a murder differ from killing by chance or manslaughter.</w:t>
      </w:r>
      <w:r>
        <w:rPr>
          <w:rFonts w:ascii="Times New Roman" w:cs="Times New Roman" w:eastAsia="Times New Roman" w:hAnsi="Times New Roman"/>
          <w:sz w:val="24"/>
          <w:szCs w:val="24"/>
          <w:vertAlign w:val="superscript"/>
        </w:rPr>
        <w:footnoteReference w:id="83"/>
      </w:r>
    </w:p>
    <w:p>
      <w:pPr>
        <w:pStyle w:val="style0"/>
        <w:spacing w:after="0" w:lineRule="auto" w:line="480"/>
        <w:jc w:val="both"/>
        <w:outlineLvl w:val="4"/>
        <w:rPr>
          <w:rFonts w:ascii="Times New Roman" w:cs="Times New Roman" w:eastAsia="Times New Roman" w:hAnsi="Times New Roman"/>
          <w:sz w:val="24"/>
          <w:szCs w:val="24"/>
        </w:rPr>
      </w:pPr>
      <w:r>
        <w:rPr>
          <w:rFonts w:ascii="Times New Roman" w:cs="Times New Roman" w:eastAsia="Times New Roman" w:hAnsi="Times New Roman"/>
          <w:sz w:val="24"/>
          <w:szCs w:val="24"/>
        </w:rPr>
        <w:t>The mind is the most elusive to prove, being of its very nature inward looking. The mind is usually inferred from the surrounding evidence. This may include the weapon, where on the body the injury is inflicted, number of times the victim is attacked, relationship between the accused and victim. It is this region that a lot of controversy and challenges is raised to a murder charge where evidence is often deficient in Nigerian Criminal Justice system.</w:t>
      </w:r>
      <w:r>
        <w:rPr>
          <w:rFonts w:ascii="Times New Roman" w:cs="Times New Roman" w:eastAsia="Times New Roman" w:hAnsi="Times New Roman"/>
          <w:sz w:val="24"/>
          <w:szCs w:val="24"/>
          <w:vertAlign w:val="superscript"/>
        </w:rPr>
        <w:footnoteReference w:id="84"/>
      </w:r>
    </w:p>
    <w:p>
      <w:pPr>
        <w:pStyle w:val="style0"/>
        <w:spacing w:after="0" w:lineRule="auto" w:line="480"/>
        <w:jc w:val="both"/>
        <w:rPr>
          <w:rFonts w:ascii="Times New Roman" w:cs="Times New Roman" w:hAnsi="Times New Roman"/>
          <w:b/>
          <w:sz w:val="24"/>
          <w:szCs w:val="24"/>
        </w:rPr>
      </w:pPr>
      <w:r>
        <w:rPr>
          <w:rFonts w:ascii="Times New Roman" w:cs="Times New Roman" w:hAnsi="Times New Roman"/>
          <w:b/>
          <w:sz w:val="24"/>
          <w:szCs w:val="24"/>
        </w:rPr>
        <w:t>2.1.4 Historical Development of Murder Provisions in Nigeria</w:t>
      </w:r>
    </w:p>
    <w:p>
      <w:pPr>
        <w:pStyle w:val="style0"/>
        <w:spacing w:after="0" w:lineRule="auto" w:line="480"/>
        <w:jc w:val="both"/>
        <w:rPr>
          <w:rFonts w:ascii="Times New Roman" w:cs="Times New Roman" w:hAnsi="Times New Roman"/>
          <w:sz w:val="24"/>
          <w:szCs w:val="24"/>
        </w:rPr>
      </w:pPr>
      <w:r>
        <w:rPr>
          <w:rFonts w:ascii="Times New Roman" w:cs="Times New Roman" w:hAnsi="Times New Roman"/>
          <w:sz w:val="24"/>
          <w:szCs w:val="24"/>
        </w:rPr>
        <w:t>Close Up of murder in Nigeria is, to a significant extent, tracing the history of the law and legal system in Nigeria as a whole-a history of imposition by colonial power, of adaptation in the post-independence era, and the constant conflict between the imported law and the realities on the ground.</w:t>
      </w:r>
      <w:r>
        <w:rPr>
          <w:rFonts w:ascii="Times New Roman" w:cs="Times New Roman" w:hAnsi="Times New Roman"/>
          <w:sz w:val="24"/>
          <w:szCs w:val="24"/>
          <w:vertAlign w:val="superscript"/>
        </w:rPr>
        <w:footnoteReference w:id="85"/>
      </w:r>
    </w:p>
    <w:p>
      <w:pPr>
        <w:pStyle w:val="style0"/>
        <w:spacing w:after="0" w:lineRule="auto" w:line="480"/>
        <w:jc w:val="both"/>
        <w:rPr>
          <w:rFonts w:ascii="Times New Roman" w:cs="Times New Roman" w:hAnsi="Times New Roman"/>
          <w:b/>
          <w:sz w:val="24"/>
          <w:szCs w:val="24"/>
        </w:rPr>
      </w:pPr>
      <w:r>
        <w:rPr>
          <w:rFonts w:ascii="Times New Roman" w:cs="Times New Roman" w:hAnsi="Times New Roman"/>
          <w:sz w:val="24"/>
          <w:szCs w:val="24"/>
        </w:rPr>
        <w:t xml:space="preserve">The Yoruba of southwest Nigeria considered death to be a social disequilibrium to be remedied rather than the punishment of the accused; these customs prevailed before the </w:t>
      </w:r>
      <w:r>
        <w:rPr>
          <w:rFonts w:ascii="Times New Roman" w:cs="Times New Roman" w:hAnsi="Times New Roman"/>
          <w:sz w:val="24"/>
          <w:szCs w:val="24"/>
        </w:rPr>
        <w:t>arrival of the British and every community had its own systems. According to the Balogun, “the Yoruba traditional law of punishment is based essentially on the principle of restoration and re-integration rather than retribution”.</w:t>
      </w:r>
      <w:r>
        <w:rPr>
          <w:rFonts w:ascii="Times New Roman" w:cs="Times New Roman" w:hAnsi="Times New Roman"/>
          <w:sz w:val="24"/>
          <w:szCs w:val="24"/>
          <w:vertAlign w:val="superscript"/>
        </w:rPr>
        <w:footnoteReference w:id="86"/>
      </w:r>
      <w:r>
        <w:rPr>
          <w:rFonts w:ascii="Times New Roman" w:cs="Times New Roman" w:hAnsi="Times New Roman"/>
          <w:sz w:val="24"/>
          <w:szCs w:val="24"/>
        </w:rPr>
        <w:t xml:space="preserve"> In the north, the Hausa and Fulani peoples were guided by the Islamic legal system in the use of </w:t>
      </w:r>
      <w:r>
        <w:rPr>
          <w:rFonts w:ascii="Times New Roman" w:cs="Times New Roman" w:hAnsi="Times New Roman"/>
          <w:sz w:val="24"/>
          <w:szCs w:val="24"/>
        </w:rPr>
        <w:t>'</w:t>
      </w:r>
      <w:r>
        <w:rPr>
          <w:rFonts w:ascii="Times New Roman" w:cs="Times New Roman" w:hAnsi="Times New Roman"/>
          <w:i/>
          <w:sz w:val="24"/>
          <w:szCs w:val="24"/>
        </w:rPr>
        <w:t xml:space="preserve">Qisas </w:t>
      </w:r>
      <w:r>
        <w:rPr>
          <w:rFonts w:ascii="Times New Roman" w:cs="Times New Roman" w:hAnsi="Times New Roman"/>
          <w:sz w:val="24"/>
          <w:szCs w:val="24"/>
        </w:rPr>
        <w:t>(retaliation)</w:t>
      </w:r>
      <w:r>
        <w:rPr>
          <w:rFonts w:ascii="Times New Roman" w:cs="Times New Roman" w:hAnsi="Times New Roman"/>
          <w:sz w:val="24"/>
          <w:szCs w:val="24"/>
        </w:rPr>
        <w:t>'</w:t>
      </w:r>
      <w:r>
        <w:rPr>
          <w:rFonts w:ascii="Times New Roman" w:cs="Times New Roman" w:hAnsi="Times New Roman"/>
          <w:sz w:val="24"/>
          <w:szCs w:val="24"/>
        </w:rPr>
        <w:t xml:space="preserve"> and </w:t>
      </w:r>
      <w:r>
        <w:rPr>
          <w:rFonts w:ascii="Times New Roman" w:cs="Times New Roman" w:hAnsi="Times New Roman"/>
          <w:sz w:val="24"/>
          <w:szCs w:val="24"/>
        </w:rPr>
        <w:t>'</w:t>
      </w:r>
      <w:r>
        <w:rPr>
          <w:rFonts w:ascii="Times New Roman" w:cs="Times New Roman" w:hAnsi="Times New Roman"/>
          <w:i/>
          <w:sz w:val="24"/>
          <w:szCs w:val="24"/>
        </w:rPr>
        <w:t xml:space="preserve">Diya </w:t>
      </w:r>
      <w:r>
        <w:rPr>
          <w:rFonts w:ascii="Times New Roman" w:cs="Times New Roman" w:hAnsi="Times New Roman"/>
          <w:sz w:val="24"/>
          <w:szCs w:val="24"/>
        </w:rPr>
        <w:t>(blood money)</w:t>
      </w:r>
      <w:r>
        <w:rPr>
          <w:rFonts w:ascii="Times New Roman" w:cs="Times New Roman" w:hAnsi="Times New Roman"/>
          <w:sz w:val="24"/>
          <w:szCs w:val="24"/>
        </w:rPr>
        <w:t>'</w:t>
      </w:r>
      <w:r>
        <w:rPr>
          <w:rFonts w:ascii="Times New Roman" w:cs="Times New Roman" w:hAnsi="Times New Roman"/>
          <w:sz w:val="24"/>
          <w:szCs w:val="24"/>
        </w:rPr>
        <w:t xml:space="preserve"> where the kin of the victim could either choose punishment by retaliation or compensation through monetary award.</w:t>
      </w:r>
      <w:r>
        <w:rPr>
          <w:rFonts w:ascii="Times New Roman" w:cs="Times New Roman" w:hAnsi="Times New Roman"/>
          <w:sz w:val="24"/>
          <w:szCs w:val="24"/>
          <w:vertAlign w:val="superscript"/>
        </w:rPr>
        <w:footnoteReference w:id="87"/>
      </w:r>
      <w:r>
        <w:rPr>
          <w:rFonts w:ascii="Times New Roman" w:cs="Times New Roman" w:hAnsi="Times New Roman"/>
          <w:sz w:val="24"/>
          <w:szCs w:val="24"/>
        </w:rPr>
        <w:t xml:space="preserve"> Such laws were informal and based on community norms and generally lack formalistic rules of evidence. It was the colonial era that brought about this change.</w:t>
      </w:r>
      <w:r>
        <w:rPr>
          <w:rFonts w:ascii="Times New Roman" w:cs="Times New Roman" w:hAnsi="Times New Roman"/>
          <w:sz w:val="24"/>
          <w:szCs w:val="24"/>
          <w:vertAlign w:val="superscript"/>
        </w:rPr>
        <w:footnoteReference w:id="88"/>
      </w:r>
      <w:r>
        <w:rPr>
          <w:rFonts w:ascii="Times New Roman" w:cs="Times New Roman" w:hAnsi="Times New Roman"/>
          <w:sz w:val="24"/>
          <w:szCs w:val="24"/>
        </w:rPr>
        <w:t xml:space="preserve"> The unification of the Northern and Southern protectorates under Lugard in 1914 witnessed the imposition of British rule of law with formal courts and written law superimposed on customary law.</w:t>
      </w:r>
      <w:r>
        <w:rPr>
          <w:rFonts w:ascii="Times New Roman" w:cs="Times New Roman" w:hAnsi="Times New Roman"/>
          <w:sz w:val="24"/>
          <w:szCs w:val="24"/>
          <w:vertAlign w:val="superscript"/>
        </w:rPr>
        <w:footnoteReference w:id="89"/>
      </w:r>
      <w:r>
        <w:rPr>
          <w:rFonts w:ascii="Times New Roman" w:cs="Times New Roman" w:hAnsi="Times New Roman"/>
          <w:sz w:val="24"/>
          <w:szCs w:val="24"/>
        </w:rPr>
        <w:t xml:space="preserve"> The criminal code, first made in Southern Nigeria in 1916, was inspired by the </w:t>
      </w:r>
      <w:r>
        <w:rPr>
          <w:rFonts w:ascii="Times New Roman" w:cs="Times New Roman" w:hAnsi="Times New Roman"/>
          <w:sz w:val="24"/>
          <w:szCs w:val="24"/>
        </w:rPr>
        <w:t>'</w:t>
      </w:r>
      <w:r>
        <w:rPr>
          <w:rFonts w:ascii="Times New Roman" w:cs="Times New Roman" w:hAnsi="Times New Roman"/>
          <w:sz w:val="24"/>
          <w:szCs w:val="24"/>
        </w:rPr>
        <w:t>Queensland criminal code 1899 of Australia, as reported by H.F. Morris</w:t>
      </w:r>
      <w:r>
        <w:rPr>
          <w:rFonts w:ascii="Times New Roman" w:cs="Times New Roman" w:hAnsi="Times New Roman"/>
          <w:sz w:val="24"/>
          <w:szCs w:val="24"/>
        </w:rPr>
        <w:t>'</w:t>
      </w:r>
      <w:r>
        <w:rPr>
          <w:rFonts w:ascii="Times New Roman" w:cs="Times New Roman" w:hAnsi="Times New Roman"/>
          <w:sz w:val="24"/>
          <w:szCs w:val="24"/>
          <w:vertAlign w:val="superscript"/>
        </w:rPr>
        <w:footnoteReference w:id="90"/>
      </w:r>
      <w:r>
        <w:rPr>
          <w:rFonts w:ascii="Times New Roman" w:cs="Times New Roman" w:hAnsi="Times New Roman"/>
          <w:sz w:val="24"/>
          <w:szCs w:val="24"/>
        </w:rPr>
        <w:t xml:space="preserve"> Penal Code for the north was implemented in 1960 based on the Sudanese Penal Code, inspired by the Indian and Islamic law, in order to satisfy Muslim majority of the population.</w:t>
      </w:r>
      <w:r>
        <w:rPr>
          <w:rFonts w:ascii="Times New Roman" w:cs="Times New Roman" w:hAnsi="Times New Roman"/>
          <w:sz w:val="24"/>
          <w:szCs w:val="24"/>
          <w:vertAlign w:val="superscript"/>
        </w:rPr>
        <w:footnoteReference w:id="91"/>
      </w:r>
      <w:r>
        <w:rPr>
          <w:rFonts w:ascii="Times New Roman" w:cs="Times New Roman" w:hAnsi="Times New Roman"/>
          <w:sz w:val="24"/>
          <w:szCs w:val="24"/>
        </w:rPr>
        <w:t xml:space="preserve"> Upon independence in 1960 both codes were kept and continue to operate to date. Following the 1963 Republican Constitution and later constitutions, criminal law remains regionally based with a two-code structure. This dual legacy continues to present challenges to the consistency of criminal law, for instance the prosecution of murder.</w:t>
      </w:r>
      <w:r>
        <w:rPr>
          <w:rFonts w:ascii="Times New Roman" w:cs="Times New Roman" w:hAnsi="Times New Roman"/>
          <w:sz w:val="24"/>
          <w:szCs w:val="24"/>
          <w:vertAlign w:val="superscript"/>
        </w:rPr>
        <w:footnoteReference w:id="92"/>
      </w:r>
      <w:r>
        <w:rPr>
          <w:rFonts w:ascii="Times New Roman" w:cs="Times New Roman" w:hAnsi="Times New Roman"/>
          <w:sz w:val="24"/>
          <w:szCs w:val="24"/>
        </w:rPr>
        <w:t xml:space="preserve"> The </w:t>
      </w:r>
      <w:r>
        <w:rPr>
          <w:rFonts w:ascii="Times New Roman" w:cs="Times New Roman" w:hAnsi="Times New Roman"/>
          <w:sz w:val="24"/>
          <w:szCs w:val="24"/>
        </w:rPr>
        <w:t>criminal justice system in Nigeria underwent various transformations in response to these problems as seen with the passing of the Evidence Act and later Administration of Criminal Justice Act which also brought substantial reforms in procedure and practices, such as the recording of confessions using electronic means and the introduction of processes such as plea bargain and time limitations in criminal proceedings.</w:t>
      </w:r>
      <w:r>
        <w:rPr>
          <w:rFonts w:ascii="Times New Roman" w:cs="Times New Roman" w:hAnsi="Times New Roman"/>
          <w:sz w:val="24"/>
          <w:szCs w:val="24"/>
          <w:vertAlign w:val="superscript"/>
        </w:rPr>
        <w:footnoteReference w:id="93"/>
      </w:r>
    </w:p>
    <w:p>
      <w:pPr>
        <w:pStyle w:val="style0"/>
        <w:spacing w:before="300" w:after="16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Military rule was in operation in Nigeria from 1966 until 1999 and it brought about a sinister aspect to the evolution of murder law. During the military regime constitutional provisions were often ignored and extra judicial killings performed with no accountability. The ushering in of civilian rule in 1999 and the insertion of robust constitutional rights in 1999 Constitution marked a return to the rule of law although a lot of the problems inherited from the Military regime continue to influence murder trials.</w:t>
      </w:r>
      <w:r>
        <w:rPr>
          <w:rFonts w:ascii="Times New Roman" w:cs="Times New Roman" w:eastAsia="Times New Roman" w:hAnsi="Times New Roman"/>
          <w:bCs/>
          <w:sz w:val="24"/>
          <w:szCs w:val="24"/>
          <w:vertAlign w:val="superscript"/>
        </w:rPr>
        <w:footnoteReference w:id="94"/>
      </w:r>
    </w:p>
    <w:p>
      <w:pPr>
        <w:pStyle w:val="style0"/>
        <w:spacing w:before="360" w:lineRule="auto" w:line="480"/>
        <w:jc w:val="both"/>
        <w:outlineLvl w:val="1"/>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2.2 Theoretical Framework</w:t>
      </w:r>
    </w:p>
    <w:p>
      <w:pPr>
        <w:pStyle w:val="style0"/>
        <w:spacing w:after="0" w:lineRule="auto" w:line="480"/>
        <w:jc w:val="both"/>
        <w:outlineLvl w:val="4"/>
        <w:rPr>
          <w:rFonts w:ascii="Times New Roman" w:cs="Times New Roman" w:eastAsia="Times New Roman" w:hAnsi="Times New Roman"/>
          <w:b/>
          <w:sz w:val="24"/>
          <w:szCs w:val="24"/>
        </w:rPr>
      </w:pPr>
      <w:r>
        <w:rPr>
          <w:rFonts w:ascii="Times New Roman" w:cs="Times New Roman" w:eastAsia="Times New Roman" w:hAnsi="Times New Roman"/>
          <w:b/>
          <w:sz w:val="24"/>
          <w:szCs w:val="24"/>
        </w:rPr>
        <w:t>2.2.1 Presumption of Innocence Theory</w:t>
      </w:r>
    </w:p>
    <w:p>
      <w:pPr>
        <w:pStyle w:val="style0"/>
        <w:spacing w:after="0" w:lineRule="auto" w:line="480"/>
        <w:jc w:val="both"/>
        <w:outlineLvl w:val="4"/>
        <w:rPr>
          <w:rFonts w:ascii="Times New Roman" w:cs="Times New Roman" w:eastAsia="Times New Roman" w:hAnsi="Times New Roman"/>
          <w:sz w:val="24"/>
          <w:szCs w:val="24"/>
        </w:rPr>
      </w:pPr>
      <w:r>
        <w:rPr>
          <w:rFonts w:ascii="Times New Roman" w:cs="Times New Roman" w:eastAsia="Times New Roman" w:hAnsi="Times New Roman"/>
          <w:sz w:val="24"/>
          <w:szCs w:val="24"/>
        </w:rPr>
        <w:t>The bedrock of the criminal procedure in Nigeria, like other common law systems is presumption of innocence. The principle is based on the presumption that a person charged with any offence is innocent until that presumption is rebutted by evidence beyond reasonable doubt. This is a right guaranteed by the Constitution under section 36(5) of the constitution of Federal Republic of Nigeria,</w:t>
      </w:r>
      <w:r>
        <w:rPr>
          <w:rFonts w:ascii="Times New Roman" w:cs="Times New Roman" w:eastAsia="Times New Roman" w:hAnsi="Times New Roman"/>
          <w:sz w:val="24"/>
          <w:szCs w:val="24"/>
          <w:vertAlign w:val="superscript"/>
        </w:rPr>
        <w:footnoteReference w:id="95"/>
      </w:r>
      <w:r>
        <w:rPr>
          <w:rFonts w:ascii="Times New Roman" w:cs="Times New Roman" w:eastAsia="Times New Roman" w:hAnsi="Times New Roman"/>
          <w:sz w:val="24"/>
          <w:szCs w:val="24"/>
        </w:rPr>
        <w:t xml:space="preserve"> The principle is laid down in the following words in </w:t>
      </w:r>
      <w:r>
        <w:rPr>
          <w:rFonts w:ascii="Times New Roman" w:cs="Times New Roman" w:eastAsia="Times New Roman" w:hAnsi="Times New Roman"/>
          <w:sz w:val="24"/>
          <w:szCs w:val="24"/>
        </w:rPr>
        <w:t>'</w:t>
      </w:r>
      <w:r>
        <w:rPr>
          <w:rFonts w:ascii="Times New Roman" w:cs="Times New Roman" w:eastAsia="Times New Roman" w:hAnsi="Times New Roman"/>
          <w:sz w:val="24"/>
          <w:szCs w:val="24"/>
        </w:rPr>
        <w:t>Article 11(1) of the UDHR</w:t>
      </w:r>
      <w:r>
        <w:rPr>
          <w:rFonts w:ascii="Times New Roman" w:cs="Times New Roman" w:eastAsia="Times New Roman" w:hAnsi="Times New Roman"/>
          <w:sz w:val="24"/>
          <w:szCs w:val="24"/>
        </w:rPr>
        <w:t>' and 'A</w:t>
      </w:r>
      <w:r>
        <w:rPr>
          <w:rFonts w:ascii="Times New Roman" w:cs="Times New Roman" w:eastAsia="Times New Roman" w:hAnsi="Times New Roman"/>
          <w:sz w:val="24"/>
          <w:szCs w:val="24"/>
        </w:rPr>
        <w:t>rticle 14(2) of ICCPR</w:t>
      </w:r>
      <w:r>
        <w:rPr>
          <w:rFonts w:ascii="Times New Roman" w:cs="Times New Roman" w:eastAsia="Times New Roman" w:hAnsi="Times New Roman"/>
          <w:sz w:val="24"/>
          <w:szCs w:val="24"/>
        </w:rPr>
        <w:t>'</w:t>
      </w:r>
      <w:r>
        <w:rPr>
          <w:rFonts w:ascii="Times New Roman" w:cs="Times New Roman" w:eastAsia="Times New Roman" w:hAnsi="Times New Roman"/>
          <w:sz w:val="24"/>
          <w:szCs w:val="24"/>
        </w:rPr>
        <w:t xml:space="preserve"> respectively: 'Everyone charged with a criminal offence shall have the right to be presumed innocent until proved </w:t>
      </w:r>
      <w:r>
        <w:rPr>
          <w:rFonts w:ascii="Times New Roman" w:cs="Times New Roman" w:eastAsia="Times New Roman" w:hAnsi="Times New Roman"/>
          <w:sz w:val="24"/>
          <w:szCs w:val="24"/>
        </w:rPr>
        <w:t xml:space="preserve">guilty.' The legal consequences of such presumption is far-reaching. The accused is not obliged to establish his innocence; he is not to produce any evidence. It will be Acquitted as far as prosecution has failed to prove the culpability. The theoretical base of presumption of innocence is an English landmark case of </w:t>
      </w:r>
      <w:r>
        <w:rPr>
          <w:rFonts w:ascii="Times New Roman" w:cs="Times New Roman" w:eastAsia="Times New Roman" w:hAnsi="Times New Roman"/>
          <w:i/>
          <w:iCs/>
          <w:sz w:val="24"/>
          <w:szCs w:val="24"/>
        </w:rPr>
        <w:t>Woolmington v. Director of Public Prosecutions</w:t>
      </w:r>
      <w:r>
        <w:rPr>
          <w:rFonts w:ascii="Times New Roman" w:cs="Times New Roman" w:eastAsia="Times New Roman" w:hAnsi="Times New Roman"/>
          <w:sz w:val="24"/>
          <w:szCs w:val="24"/>
        </w:rPr>
        <w:t>,</w:t>
      </w:r>
      <w:r>
        <w:rPr>
          <w:rFonts w:ascii="Times New Roman" w:cs="Times New Roman" w:eastAsia="Times New Roman" w:hAnsi="Times New Roman"/>
          <w:sz w:val="24"/>
          <w:szCs w:val="24"/>
          <w:vertAlign w:val="superscript"/>
        </w:rPr>
        <w:footnoteReference w:id="96"/>
      </w:r>
      <w:r>
        <w:rPr>
          <w:rFonts w:ascii="Times New Roman" w:cs="Times New Roman" w:eastAsia="Times New Roman" w:hAnsi="Times New Roman"/>
          <w:sz w:val="24"/>
          <w:szCs w:val="24"/>
        </w:rPr>
        <w:t xml:space="preserve"> Judged by the House of Lords where Viscount Sankey LC in that famous case stated that: “throughout the web of the English Criminal Law one 'golden thread' is always to be seen, that it is the duty of the prosecution to prove the prisoner's guilt”. This 'golden thread' that the prosecution always bear the burden of proving the guilt and never the prisoner need to prove her innocence was adopted into Nigerian law and affirmed severally by the Nigerian Supreme Court in several cases of murder.</w:t>
      </w:r>
    </w:p>
    <w:p>
      <w:pPr>
        <w:pStyle w:val="style0"/>
        <w:spacing w:after="0" w:lineRule="auto" w:line="480"/>
        <w:jc w:val="both"/>
        <w:outlineLvl w:val="4"/>
        <w:rPr>
          <w:rFonts w:ascii="Times New Roman" w:cs="Times New Roman" w:eastAsia="Times New Roman" w:hAnsi="Times New Roman"/>
          <w:sz w:val="24"/>
          <w:szCs w:val="24"/>
        </w:rPr>
      </w:pPr>
      <w:r>
        <w:rPr>
          <w:rFonts w:ascii="Times New Roman" w:cs="Times New Roman" w:eastAsia="Times New Roman" w:hAnsi="Times New Roman"/>
          <w:sz w:val="24"/>
          <w:szCs w:val="24"/>
        </w:rPr>
        <w:t>In principle, the presumption of innocence plays a number of functions. Firstly, it acts as a shield against the power of the state and to prevent miscarriages of justice where investigations may not be flawless and witness testimony may be inaccurate and forensic facilities inadequate. However, the practical significance of the presumption in Nigeria is augmented by worries over abuses in the police force and the prevalence of confessions induced under duress. The presumption precludes a court from treating the mere fact of arrest or charge as proof of culpability. Instead, the court requires evidence from the prosecution on which the case can succeed, rather than on the fact that a prosecution exists.</w:t>
      </w:r>
    </w:p>
    <w:p>
      <w:pPr>
        <w:pStyle w:val="style0"/>
        <w:spacing w:after="0" w:lineRule="auto" w:line="480"/>
        <w:jc w:val="both"/>
        <w:outlineLvl w:val="4"/>
        <w:rPr>
          <w:rFonts w:ascii="Times New Roman" w:cs="Times New Roman" w:eastAsia="Times New Roman" w:hAnsi="Times New Roman"/>
          <w:sz w:val="24"/>
          <w:szCs w:val="24"/>
        </w:rPr>
      </w:pPr>
      <w:r>
        <w:rPr>
          <w:rFonts w:ascii="Times New Roman" w:cs="Times New Roman" w:eastAsia="Times New Roman" w:hAnsi="Times New Roman"/>
          <w:sz w:val="24"/>
          <w:szCs w:val="24"/>
        </w:rPr>
        <w:t>The presumption of innocence theory is relevant in relation to how cases of murder is treated. it postulates that where evidence is capable of two explanations-one being consistent with a conviction for murder and the other consistent with acquittal-the court ought to give the explanation favorable to the prisoner.</w:t>
      </w:r>
      <w:r>
        <w:rPr>
          <w:rFonts w:ascii="Times New Roman" w:cs="Times New Roman" w:eastAsia="Times New Roman" w:hAnsi="Times New Roman"/>
          <w:sz w:val="24"/>
          <w:szCs w:val="24"/>
          <w:vertAlign w:val="superscript"/>
        </w:rPr>
        <w:footnoteReference w:id="97"/>
      </w:r>
      <w:r>
        <w:rPr>
          <w:rFonts w:ascii="Times New Roman" w:cs="Times New Roman" w:eastAsia="Times New Roman" w:hAnsi="Times New Roman"/>
          <w:sz w:val="24"/>
          <w:szCs w:val="24"/>
        </w:rPr>
        <w:t xml:space="preserve"> This has indeed been the position of courts over and </w:t>
      </w:r>
      <w:r>
        <w:rPr>
          <w:rFonts w:ascii="Times New Roman" w:cs="Times New Roman" w:eastAsia="Times New Roman" w:hAnsi="Times New Roman"/>
          <w:sz w:val="24"/>
          <w:szCs w:val="24"/>
        </w:rPr>
        <w:t>over again in trials of murder in Nigeria, especially those which depend heavily on circumstantial evidence.</w:t>
      </w:r>
      <w:r>
        <w:rPr>
          <w:rFonts w:ascii="Times New Roman" w:cs="Times New Roman" w:eastAsia="Times New Roman" w:hAnsi="Times New Roman"/>
          <w:sz w:val="24"/>
          <w:szCs w:val="24"/>
          <w:vertAlign w:val="superscript"/>
        </w:rPr>
        <w:footnoteReference w:id="98"/>
      </w:r>
    </w:p>
    <w:p>
      <w:pPr>
        <w:pStyle w:val="style0"/>
        <w:spacing w:before="300" w:after="160" w:lineRule="auto" w:line="480"/>
        <w:jc w:val="both"/>
        <w:outlineLvl w:val="2"/>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2.2.2 Rational Fact-Finding Theory</w:t>
      </w:r>
    </w:p>
    <w:p>
      <w:pPr>
        <w:pStyle w:val="style0"/>
        <w:spacing w:before="300" w:after="16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According to William Twining, Rational fact-finding theory is to the effect that “a finding of guilty or innocent on the part of a judge must be a reasoned determination through a systematic analysis of all available evidence”.</w:t>
      </w:r>
      <w:r>
        <w:rPr>
          <w:rFonts w:ascii="Times New Roman" w:cs="Times New Roman" w:eastAsia="Times New Roman" w:hAnsi="Times New Roman"/>
          <w:bCs/>
          <w:sz w:val="24"/>
          <w:szCs w:val="24"/>
          <w:vertAlign w:val="superscript"/>
        </w:rPr>
        <w:footnoteReference w:id="99"/>
      </w:r>
      <w:r>
        <w:rPr>
          <w:rFonts w:ascii="Times New Roman" w:cs="Times New Roman" w:eastAsia="Times New Roman" w:hAnsi="Times New Roman"/>
          <w:bCs/>
          <w:sz w:val="24"/>
          <w:szCs w:val="24"/>
        </w:rPr>
        <w:t xml:space="preserve"> In this approach, it is crucial that a judgment be guided by the standards of reasoning, experience, and probability; a conclusion should not be arrived at on the basis of the judge's instinct, feelings or public opinion.</w:t>
      </w:r>
      <w:r>
        <w:rPr>
          <w:rFonts w:ascii="Times New Roman" w:cs="Times New Roman" w:eastAsia="Times New Roman" w:hAnsi="Times New Roman"/>
          <w:bCs/>
          <w:sz w:val="24"/>
          <w:szCs w:val="24"/>
          <w:vertAlign w:val="superscript"/>
        </w:rPr>
        <w:footnoteReference w:id="100"/>
      </w:r>
      <w:r>
        <w:rPr>
          <w:rFonts w:ascii="Times New Roman" w:cs="Times New Roman" w:eastAsia="Times New Roman" w:hAnsi="Times New Roman"/>
          <w:bCs/>
          <w:sz w:val="24"/>
          <w:szCs w:val="24"/>
        </w:rPr>
        <w:t xml:space="preserve"> The court has to justify the conclusion it makes through principled reasoning based on the established fact. In the context of Nigerian murder trials, this theory has several important implications. The court must judge each item of evidence individually and collectively, making only the inferences the evidence would reasonably suggest.</w:t>
      </w:r>
      <w:r>
        <w:rPr>
          <w:rFonts w:ascii="Times New Roman" w:cs="Times New Roman" w:eastAsia="Times New Roman" w:hAnsi="Times New Roman"/>
          <w:bCs/>
          <w:sz w:val="24"/>
          <w:szCs w:val="24"/>
          <w:vertAlign w:val="superscript"/>
        </w:rPr>
        <w:footnoteReference w:id="101"/>
      </w:r>
      <w:r>
        <w:rPr>
          <w:rFonts w:ascii="Times New Roman" w:cs="Times New Roman" w:eastAsia="Times New Roman" w:hAnsi="Times New Roman"/>
          <w:bCs/>
          <w:sz w:val="24"/>
          <w:szCs w:val="24"/>
        </w:rPr>
        <w:t xml:space="preserve"> The warning of the theory against both over-emphasizing one item of evidence such as an uncorroborated confession or against undervaluing technical evidence that it might not like such as one unreliable witness's account.</w:t>
      </w:r>
      <w:r>
        <w:rPr>
          <w:rFonts w:ascii="Times New Roman" w:cs="Times New Roman" w:eastAsia="Times New Roman" w:hAnsi="Times New Roman"/>
          <w:bCs/>
          <w:sz w:val="24"/>
          <w:szCs w:val="24"/>
          <w:vertAlign w:val="superscript"/>
        </w:rPr>
        <w:footnoteReference w:id="102"/>
      </w:r>
    </w:p>
    <w:p>
      <w:pPr>
        <w:pStyle w:val="style0"/>
        <w:spacing w:before="300" w:after="16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In Nigeria courts have been quick to specifically apply rational fact finding to cases involving murder.</w:t>
      </w:r>
      <w:r>
        <w:rPr>
          <w:rFonts w:ascii="Times New Roman" w:cs="Times New Roman" w:eastAsia="Times New Roman" w:hAnsi="Times New Roman"/>
          <w:bCs/>
          <w:sz w:val="24"/>
          <w:szCs w:val="24"/>
          <w:vertAlign w:val="superscript"/>
        </w:rPr>
        <w:footnoteReference w:id="103"/>
      </w:r>
      <w:r>
        <w:rPr>
          <w:rFonts w:ascii="Times New Roman" w:cs="Times New Roman" w:eastAsia="Times New Roman" w:hAnsi="Times New Roman"/>
          <w:bCs/>
          <w:sz w:val="24"/>
          <w:szCs w:val="24"/>
        </w:rPr>
        <w:t xml:space="preserve"> The Nigerian Court of Appeal in </w:t>
      </w:r>
      <w:r>
        <w:rPr>
          <w:rFonts w:ascii="Times New Roman" w:cs="Times New Roman" w:eastAsia="Times New Roman" w:hAnsi="Times New Roman"/>
          <w:bCs/>
          <w:i/>
          <w:iCs/>
          <w:sz w:val="24"/>
          <w:szCs w:val="24"/>
        </w:rPr>
        <w:t>Ogba v. The State</w:t>
      </w:r>
      <w:r>
        <w:rPr>
          <w:rFonts w:ascii="Times New Roman" w:cs="Times New Roman" w:eastAsia="Times New Roman" w:hAnsi="Times New Roman"/>
          <w:bCs/>
          <w:sz w:val="24"/>
          <w:szCs w:val="24"/>
        </w:rPr>
        <w:t>,</w:t>
      </w:r>
      <w:r>
        <w:rPr>
          <w:rFonts w:ascii="Times New Roman" w:cs="Times New Roman" w:eastAsia="Times New Roman" w:hAnsi="Times New Roman"/>
          <w:bCs/>
          <w:sz w:val="24"/>
          <w:szCs w:val="24"/>
          <w:vertAlign w:val="superscript"/>
        </w:rPr>
        <w:footnoteReference w:id="104"/>
      </w:r>
      <w:r>
        <w:rPr>
          <w:rFonts w:ascii="Times New Roman" w:cs="Times New Roman" w:hAnsi="Times New Roman"/>
          <w:color w:val="000000"/>
          <w:sz w:val="24"/>
          <w:szCs w:val="24"/>
        </w:rPr>
        <w:t xml:space="preserve"> </w:t>
      </w:r>
      <w:r>
        <w:rPr>
          <w:rFonts w:ascii="Times New Roman" w:cs="Times New Roman" w:eastAsia="Times New Roman" w:hAnsi="Times New Roman"/>
          <w:bCs/>
          <w:sz w:val="24"/>
          <w:szCs w:val="24"/>
        </w:rPr>
        <w:t xml:space="preserve">held that “each </w:t>
      </w:r>
      <w:r>
        <w:rPr>
          <w:rFonts w:ascii="Times New Roman" w:cs="Times New Roman" w:eastAsia="Times New Roman" w:hAnsi="Times New Roman"/>
          <w:bCs/>
          <w:sz w:val="24"/>
          <w:szCs w:val="24"/>
        </w:rPr>
        <w:t>of the three component parts of murder must be present. That it is illegal to convict for murder, if any one or more of the three components are absent or are tainted by doubt”. The requirement of proof to completeness, and not to part, nor to speculations, are manifestations of rational fact finding.</w:t>
      </w:r>
    </w:p>
    <w:p>
      <w:pPr>
        <w:pStyle w:val="style0"/>
        <w:spacing w:before="300" w:after="16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The theory of rational fact-finding can also shed light on the problems encountered where the evidence is indirect or inferential.</w:t>
      </w:r>
      <w:r>
        <w:rPr>
          <w:rFonts w:ascii="Times New Roman" w:cs="Times New Roman" w:eastAsia="Times New Roman" w:hAnsi="Times New Roman"/>
          <w:bCs/>
          <w:sz w:val="24"/>
          <w:szCs w:val="24"/>
          <w:vertAlign w:val="superscript"/>
        </w:rPr>
        <w:footnoteReference w:id="105"/>
      </w:r>
      <w:r>
        <w:rPr>
          <w:rFonts w:ascii="Times New Roman" w:cs="Times New Roman" w:eastAsia="Times New Roman" w:hAnsi="Times New Roman"/>
          <w:bCs/>
          <w:sz w:val="24"/>
          <w:szCs w:val="24"/>
        </w:rPr>
        <w:t xml:space="preserve"> Circumstantial evidence which typically forms the basis of most Nigerian murder prosecutions is open to rational fact-finding analysis. An inference drawn from circumstantial facts has to be the only one possible given those facts. Where evidence merely points to guilt as a possible explanation, it does not meet this test.</w:t>
      </w:r>
      <w:r>
        <w:rPr>
          <w:rFonts w:ascii="Times New Roman" w:cs="Times New Roman" w:eastAsia="Times New Roman" w:hAnsi="Times New Roman"/>
          <w:bCs/>
          <w:sz w:val="24"/>
          <w:szCs w:val="24"/>
          <w:vertAlign w:val="superscript"/>
        </w:rPr>
        <w:footnoteReference w:id="106"/>
      </w:r>
      <w:r>
        <w:rPr>
          <w:rFonts w:ascii="Times New Roman" w:cs="Times New Roman" w:eastAsia="Times New Roman" w:hAnsi="Times New Roman"/>
          <w:bCs/>
          <w:sz w:val="24"/>
          <w:szCs w:val="24"/>
        </w:rPr>
        <w:t xml:space="preserve"> Although a high bar set for the protection of the defendant, in practice it can be extremely difficult to achieve this particularly where investigation has been cursory, and or the evidence has been lost, contaminated or was never collected at all.</w:t>
      </w:r>
    </w:p>
    <w:p>
      <w:pPr>
        <w:pStyle w:val="style0"/>
        <w:spacing w:before="300" w:after="160" w:lineRule="auto" w:line="480"/>
        <w:jc w:val="both"/>
        <w:outlineLvl w:val="2"/>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2.2.4 Evidential Theory</w:t>
      </w:r>
    </w:p>
    <w:p>
      <w:pPr>
        <w:pStyle w:val="style0"/>
        <w:spacing w:before="300" w:after="16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Evidential theory can be defined as </w:t>
      </w:r>
      <w:r>
        <w:rPr>
          <w:rFonts w:ascii="Times New Roman" w:cs="Times New Roman" w:eastAsia="Times New Roman" w:hAnsi="Times New Roman"/>
          <w:bCs/>
          <w:sz w:val="24"/>
          <w:szCs w:val="24"/>
        </w:rPr>
        <w:t>"</w:t>
      </w:r>
      <w:r>
        <w:rPr>
          <w:rFonts w:ascii="Times New Roman" w:cs="Times New Roman" w:eastAsia="Times New Roman" w:hAnsi="Times New Roman"/>
          <w:bCs/>
          <w:sz w:val="24"/>
          <w:szCs w:val="24"/>
        </w:rPr>
        <w:t>the body of law relating to the admissibility, relevance, weight, and value of evidence used in legal proceedings.</w:t>
      </w:r>
      <w:r>
        <w:rPr>
          <w:rFonts w:ascii="Times New Roman" w:cs="Times New Roman" w:eastAsia="Times New Roman" w:hAnsi="Times New Roman"/>
          <w:bCs/>
          <w:sz w:val="24"/>
          <w:szCs w:val="24"/>
        </w:rPr>
        <w:t>"</w:t>
      </w:r>
      <w:r>
        <w:rPr>
          <w:rFonts w:ascii="Times New Roman" w:cs="Times New Roman" w:eastAsia="Times New Roman" w:hAnsi="Times New Roman"/>
          <w:bCs/>
          <w:sz w:val="24"/>
          <w:szCs w:val="24"/>
        </w:rPr>
        <w:t xml:space="preserve"> These laws are particularly important in a murder trial, as errors in the evidential analysis by either the judges, in admitting evidence, or exclusion of evidence used, could be the difference between the </w:t>
      </w:r>
      <w:r>
        <w:rPr>
          <w:rFonts w:ascii="Times New Roman" w:cs="Times New Roman" w:eastAsia="Times New Roman" w:hAnsi="Times New Roman"/>
          <w:bCs/>
          <w:sz w:val="24"/>
          <w:szCs w:val="24"/>
        </w:rPr>
        <w:t>acquittal or conviction of the offender and also the different between justice being done and miscarriage of justice.</w:t>
      </w:r>
      <w:r>
        <w:rPr>
          <w:rFonts w:ascii="Times New Roman" w:cs="Times New Roman" w:eastAsia="Times New Roman" w:hAnsi="Times New Roman"/>
          <w:bCs/>
          <w:sz w:val="24"/>
          <w:szCs w:val="24"/>
          <w:vertAlign w:val="superscript"/>
        </w:rPr>
        <w:footnoteReference w:id="107"/>
      </w:r>
    </w:p>
    <w:p>
      <w:pPr>
        <w:pStyle w:val="style0"/>
        <w:spacing w:before="300" w:after="16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The law in Nigeria which primarily determines the admissibility of evidence in the courts is the Evidence Act 2023. In the context of a murder trial, the key provisions are those relating to confessions, the standard of proof, the weight of circumstantial evidence and admissibility of dying declarations.</w:t>
      </w:r>
      <w:r>
        <w:rPr>
          <w:rFonts w:ascii="Times New Roman" w:cs="Times New Roman" w:eastAsia="Times New Roman" w:hAnsi="Times New Roman"/>
          <w:bCs/>
          <w:sz w:val="24"/>
          <w:szCs w:val="24"/>
          <w:vertAlign w:val="superscript"/>
        </w:rPr>
        <w:footnoteReference w:id="108"/>
      </w:r>
      <w:r>
        <w:rPr>
          <w:rFonts w:ascii="Times New Roman" w:cs="Times New Roman" w:eastAsia="Times New Roman" w:hAnsi="Times New Roman"/>
          <w:bCs/>
          <w:sz w:val="24"/>
          <w:szCs w:val="24"/>
        </w:rPr>
        <w:t xml:space="preserve"> With each one of these types of evidence comes a different theory and with it a different problem.</w:t>
      </w:r>
      <w:r>
        <w:rPr>
          <w:rFonts w:ascii="Times New Roman" w:cs="Times New Roman" w:eastAsia="Times New Roman" w:hAnsi="Times New Roman"/>
          <w:bCs/>
          <w:sz w:val="24"/>
          <w:szCs w:val="24"/>
          <w:vertAlign w:val="superscript"/>
        </w:rPr>
        <w:footnoteReference w:id="109"/>
      </w:r>
    </w:p>
    <w:p>
      <w:pPr>
        <w:pStyle w:val="style0"/>
        <w:spacing w:before="300" w:after="16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Perhaps the most convincing as well as the most dangerous type of evidence in murder cases is the confessional evidence.</w:t>
      </w:r>
      <w:r>
        <w:rPr>
          <w:rFonts w:ascii="Times New Roman" w:cs="Times New Roman" w:eastAsia="Times New Roman" w:hAnsi="Times New Roman"/>
          <w:bCs/>
          <w:sz w:val="24"/>
          <w:szCs w:val="24"/>
          <w:vertAlign w:val="superscript"/>
        </w:rPr>
        <w:footnoteReference w:id="110"/>
      </w:r>
      <w:r>
        <w:rPr>
          <w:rFonts w:ascii="Times New Roman" w:cs="Times New Roman" w:eastAsia="Times New Roman" w:hAnsi="Times New Roman"/>
          <w:bCs/>
          <w:sz w:val="24"/>
          <w:szCs w:val="24"/>
        </w:rPr>
        <w:t xml:space="preserve"> When voluntarily and adequately corroborated, the confession can be proof positive of culpability. Yet the annals of criminal law are replete with instances of unjust convictions following false confessions made under duress, psychological pressure or even by torture.</w:t>
      </w:r>
      <w:r>
        <w:rPr>
          <w:rFonts w:ascii="Times New Roman" w:cs="Times New Roman" w:eastAsia="Times New Roman" w:hAnsi="Times New Roman"/>
          <w:bCs/>
          <w:sz w:val="24"/>
          <w:szCs w:val="24"/>
          <w:vertAlign w:val="superscript"/>
        </w:rPr>
        <w:footnoteReference w:id="111"/>
      </w:r>
      <w:r>
        <w:rPr>
          <w:rFonts w:ascii="Times New Roman" w:cs="Times New Roman" w:eastAsia="Times New Roman" w:hAnsi="Times New Roman"/>
          <w:bCs/>
          <w:sz w:val="24"/>
          <w:szCs w:val="24"/>
        </w:rPr>
        <w:t xml:space="preserve"> Evidential theory requires the courts to scrutinize confessions judiciously, inquiring whether the accused made the statement and also whether he made it voluntarily and the circumstances under which he did so indicate reliability. This requirement is more so relevant in Nigeria where the reality of police brutality and the use of coercive methods in interrogation have been widely confirmed.</w:t>
      </w:r>
      <w:r>
        <w:rPr>
          <w:rFonts w:ascii="Times New Roman" w:cs="Times New Roman" w:eastAsia="Times New Roman" w:hAnsi="Times New Roman"/>
          <w:bCs/>
          <w:sz w:val="24"/>
          <w:szCs w:val="24"/>
          <w:vertAlign w:val="superscript"/>
        </w:rPr>
        <w:footnoteReference w:id="112"/>
      </w:r>
    </w:p>
    <w:p>
      <w:pPr>
        <w:pStyle w:val="style0"/>
        <w:spacing w:before="300" w:after="16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The doctrine of circumstantial evidence itself has an interesting theoretical significance as a class of evidence.</w:t>
      </w:r>
      <w:r>
        <w:rPr>
          <w:rFonts w:ascii="Times New Roman" w:cs="Times New Roman" w:eastAsia="Times New Roman" w:hAnsi="Times New Roman"/>
          <w:bCs/>
          <w:sz w:val="24"/>
          <w:szCs w:val="24"/>
          <w:vertAlign w:val="superscript"/>
        </w:rPr>
        <w:footnoteReference w:id="113"/>
      </w:r>
      <w:r>
        <w:rPr>
          <w:rFonts w:ascii="Times New Roman" w:cs="Times New Roman" w:eastAsia="Times New Roman" w:hAnsi="Times New Roman"/>
          <w:bCs/>
          <w:sz w:val="24"/>
          <w:szCs w:val="24"/>
        </w:rPr>
        <w:t xml:space="preserve"> An inference can be drawn from circumstantial evidence which has not got the effect of directly proving a fact in issue.</w:t>
      </w:r>
      <w:r>
        <w:rPr>
          <w:rFonts w:ascii="Times New Roman" w:cs="Times New Roman" w:eastAsia="Times New Roman" w:hAnsi="Times New Roman"/>
          <w:bCs/>
          <w:sz w:val="24"/>
          <w:szCs w:val="24"/>
          <w:vertAlign w:val="superscript"/>
        </w:rPr>
        <w:footnoteReference w:id="114"/>
      </w:r>
      <w:r>
        <w:rPr>
          <w:rFonts w:ascii="Times New Roman" w:cs="Times New Roman" w:eastAsia="Times New Roman" w:hAnsi="Times New Roman"/>
          <w:bCs/>
          <w:sz w:val="24"/>
          <w:szCs w:val="24"/>
        </w:rPr>
        <w:t xml:space="preserve"> In accordance to the rule established in </w:t>
      </w:r>
      <w:r>
        <w:rPr>
          <w:rFonts w:ascii="Times New Roman" w:cs="Times New Roman" w:eastAsia="Times New Roman" w:hAnsi="Times New Roman"/>
          <w:bCs/>
          <w:i/>
          <w:sz w:val="24"/>
          <w:szCs w:val="24"/>
        </w:rPr>
        <w:t>Peacock v The</w:t>
      </w:r>
      <w:r>
        <w:rPr>
          <w:rFonts w:ascii="Times New Roman" w:cs="Times New Roman" w:eastAsia="Times New Roman" w:hAnsi="Times New Roman"/>
          <w:bCs/>
          <w:sz w:val="24"/>
          <w:szCs w:val="24"/>
        </w:rPr>
        <w:t xml:space="preserve"> </w:t>
      </w:r>
      <w:r>
        <w:rPr>
          <w:rFonts w:ascii="Times New Roman" w:cs="Times New Roman" w:eastAsia="Times New Roman" w:hAnsi="Times New Roman"/>
          <w:bCs/>
          <w:i/>
          <w:sz w:val="24"/>
          <w:szCs w:val="24"/>
        </w:rPr>
        <w:t>King</w:t>
      </w:r>
      <w:r>
        <w:rPr>
          <w:rFonts w:ascii="Times New Roman" w:cs="Times New Roman" w:eastAsia="Times New Roman" w:hAnsi="Times New Roman"/>
          <w:bCs/>
          <w:sz w:val="24"/>
          <w:szCs w:val="24"/>
        </w:rPr>
        <w:t>,</w:t>
      </w:r>
      <w:r>
        <w:rPr>
          <w:rFonts w:ascii="Times New Roman" w:cs="Times New Roman" w:eastAsia="Times New Roman" w:hAnsi="Times New Roman"/>
          <w:bCs/>
          <w:sz w:val="24"/>
          <w:szCs w:val="24"/>
          <w:vertAlign w:val="superscript"/>
        </w:rPr>
        <w:footnoteReference w:id="115"/>
      </w:r>
      <w:r>
        <w:rPr>
          <w:rFonts w:ascii="Times New Roman" w:cs="Times New Roman" w:eastAsia="Times New Roman" w:hAnsi="Times New Roman"/>
          <w:bCs/>
          <w:sz w:val="24"/>
          <w:szCs w:val="24"/>
        </w:rPr>
        <w:t xml:space="preserve"> The evidential theory of proof requires “the inference to be the only rational one which can be drawn from the facts; any other rational inference must be discarded before conviction upon circumstantial evidence can be justified”.</w:t>
      </w:r>
      <w:r>
        <w:rPr>
          <w:rFonts w:ascii="Times New Roman" w:cs="Times New Roman" w:eastAsia="Times New Roman" w:hAnsi="Times New Roman"/>
          <w:bCs/>
          <w:sz w:val="24"/>
          <w:szCs w:val="24"/>
          <w:vertAlign w:val="superscript"/>
        </w:rPr>
        <w:footnoteReference w:id="116"/>
      </w:r>
      <w:r>
        <w:rPr>
          <w:rFonts w:ascii="Times New Roman" w:cs="Times New Roman" w:eastAsia="Times New Roman" w:hAnsi="Times New Roman"/>
          <w:bCs/>
          <w:sz w:val="24"/>
          <w:szCs w:val="24"/>
        </w:rPr>
        <w:t xml:space="preserve"> This serves as a safeguard against coincidence being attributed as the cause of the facts, and suspicion being assumed to be evidence.</w:t>
      </w:r>
      <w:r>
        <w:rPr>
          <w:rFonts w:ascii="Times New Roman" w:cs="Times New Roman" w:eastAsia="Times New Roman" w:hAnsi="Times New Roman"/>
          <w:bCs/>
          <w:sz w:val="24"/>
          <w:szCs w:val="24"/>
          <w:vertAlign w:val="superscript"/>
        </w:rPr>
        <w:footnoteReference w:id="117"/>
      </w:r>
    </w:p>
    <w:p>
      <w:pPr>
        <w:pStyle w:val="style0"/>
        <w:spacing w:before="300" w:after="16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The theory of evidence also addresses problems concerning the reliability of eyewitness testimony.</w:t>
      </w:r>
      <w:r>
        <w:rPr>
          <w:rFonts w:ascii="Times New Roman" w:cs="Times New Roman" w:eastAsia="Times New Roman" w:hAnsi="Times New Roman"/>
          <w:bCs/>
          <w:sz w:val="24"/>
          <w:szCs w:val="24"/>
          <w:vertAlign w:val="superscript"/>
        </w:rPr>
        <w:footnoteReference w:id="118"/>
      </w:r>
      <w:r>
        <w:rPr>
          <w:rFonts w:ascii="Times New Roman" w:cs="Times New Roman" w:eastAsia="Times New Roman" w:hAnsi="Times New Roman"/>
          <w:bCs/>
          <w:sz w:val="24"/>
          <w:szCs w:val="24"/>
        </w:rPr>
        <w:t xml:space="preserve"> Eyewitness accounts may be influenced by various elements such as stress, poor lighting, problems of cross-racial identification and time. This is very pertinent in Nigeria, since many murder cases are decided solely on the word of the witnesses.</w:t>
      </w:r>
      <w:r>
        <w:rPr>
          <w:rFonts w:ascii="Times New Roman" w:cs="Times New Roman" w:eastAsia="Times New Roman" w:hAnsi="Times New Roman"/>
          <w:bCs/>
          <w:sz w:val="24"/>
          <w:szCs w:val="24"/>
          <w:vertAlign w:val="superscript"/>
        </w:rPr>
        <w:footnoteReference w:id="119"/>
      </w:r>
      <w:r>
        <w:rPr>
          <w:rFonts w:ascii="Times New Roman" w:cs="Times New Roman" w:eastAsia="Times New Roman" w:hAnsi="Times New Roman"/>
          <w:bCs/>
          <w:sz w:val="24"/>
          <w:szCs w:val="24"/>
        </w:rPr>
        <w:t xml:space="preserve"> Evidential theory does not allow the witness statement to be taken at face value, but expects a judge to make a finding regarding the circumstances of the identification, and to assess the consistency of the statement throughout the proceedings.</w:t>
      </w:r>
      <w:r>
        <w:rPr>
          <w:rFonts w:ascii="Times New Roman" w:cs="Times New Roman" w:eastAsia="Times New Roman" w:hAnsi="Times New Roman"/>
          <w:bCs/>
          <w:sz w:val="24"/>
          <w:szCs w:val="24"/>
          <w:vertAlign w:val="superscript"/>
        </w:rPr>
        <w:footnoteReference w:id="120"/>
      </w:r>
    </w:p>
    <w:p>
      <w:pPr>
        <w:pStyle w:val="style0"/>
        <w:jc w:val="both"/>
        <w:rPr>
          <w:rFonts w:ascii="Times New Roman" w:cs="Times New Roman" w:hAnsi="Times New Roman"/>
          <w:sz w:val="24"/>
          <w:szCs w:val="24"/>
        </w:rPr>
      </w:pPr>
    </w:p>
    <w:p>
      <w:pPr>
        <w:pStyle w:val="style0"/>
        <w:rPr/>
      </w:pPr>
    </w:p>
    <w:p>
      <w:pPr>
        <w:pStyle w:val="style0"/>
        <w:rPr/>
      </w:pPr>
    </w:p>
    <w:p>
      <w:pPr>
        <w:pStyle w:val="style0"/>
        <w:spacing w:before="480" w:after="240" w:lineRule="auto" w:line="480"/>
        <w:jc w:val="both"/>
        <w:outlineLvl w:val="0"/>
        <w:rPr>
          <w:rFonts w:ascii="Times New Roman" w:cs="Times New Roman" w:eastAsia="Times New Roman" w:hAnsi="Times New Roman"/>
          <w:b/>
          <w:bCs/>
          <w:sz w:val="24"/>
          <w:szCs w:val="24"/>
        </w:rPr>
      </w:pPr>
      <w:r>
        <w:rPr>
          <w:rFonts w:ascii="Times New Roman" w:cs="Times New Roman" w:eastAsia="Times New Roman" w:hAnsi="Times New Roman"/>
          <w:b/>
          <w:bCs/>
          <w:sz w:val="28"/>
          <w:szCs w:val="28"/>
        </w:rPr>
        <w:tab/>
      </w:r>
      <w:r>
        <w:rPr>
          <w:rFonts w:ascii="Times New Roman" w:cs="Times New Roman" w:eastAsia="Times New Roman" w:hAnsi="Times New Roman"/>
          <w:b/>
          <w:bCs/>
          <w:sz w:val="28"/>
          <w:szCs w:val="28"/>
        </w:rPr>
        <w:tab/>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 xml:space="preserve">     CHAPTER THREE</w:t>
      </w:r>
    </w:p>
    <w:p>
      <w:pPr>
        <w:pStyle w:val="style0"/>
        <w:spacing w:before="480" w:after="240" w:lineRule="auto" w:line="480"/>
        <w:jc w:val="both"/>
        <w:outlineLvl w:val="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LEGAL AND INSTITUTIONAL FRAMEWORK FOR PROOF OF MURDER CHARGE IN NIGERIA</w:t>
      </w:r>
    </w:p>
    <w:p>
      <w:pPr>
        <w:pStyle w:val="style0"/>
        <w:spacing w:before="360" w:after="160" w:lineRule="auto" w:line="480"/>
        <w:jc w:val="both"/>
        <w:outlineLvl w:val="1"/>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3.1 Legal Framework</w:t>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3.1.1 Statutory Provisions on Murder and Proof </w:t>
      </w:r>
    </w:p>
    <w:p>
      <w:pPr>
        <w:pStyle w:val="style0"/>
        <w:spacing w:after="0" w:lineRule="auto" w:line="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The Criminal Code Act</w:t>
      </w:r>
      <w:r>
        <w:rPr>
          <w:rFonts w:ascii="Times New Roman" w:cs="Times New Roman" w:eastAsia="Times New Roman" w:hAnsi="Times New Roman"/>
          <w:sz w:val="24"/>
          <w:szCs w:val="24"/>
          <w:vertAlign w:val="superscript"/>
        </w:rPr>
        <w:footnoteReference w:id="121"/>
      </w:r>
      <w:r>
        <w:rPr>
          <w:rFonts w:ascii="Times New Roman" w:cs="Times New Roman" w:eastAsia="Times New Roman" w:hAnsi="Times New Roman"/>
          <w:sz w:val="24"/>
          <w:szCs w:val="24"/>
        </w:rPr>
        <w:t xml:space="preserve"> is the primary statute governing the definition and prosecution of murder in the southern states of Nigeria. It provides the substantive legal framework within which all murder charges are constructed, prosecuted and adjudicated in that part of the country.</w:t>
      </w:r>
      <w:r>
        <w:rPr>
          <w:rFonts w:ascii="Times New Roman" w:cs="Times New Roman" w:eastAsia="Times New Roman" w:hAnsi="Times New Roman"/>
          <w:sz w:val="24"/>
          <w:szCs w:val="24"/>
          <w:vertAlign w:val="superscript"/>
        </w:rPr>
        <w:footnoteReference w:id="122"/>
      </w:r>
      <w:r>
        <w:rPr>
          <w:rFonts w:ascii="Times New Roman" w:cs="Times New Roman" w:eastAsia="Times New Roman" w:hAnsi="Times New Roman"/>
          <w:sz w:val="24"/>
          <w:szCs w:val="24"/>
        </w:rPr>
        <w:t xml:space="preserve"> Under the Criminal Code Act, the offence of murder is defined by section 316 thereof, which provides that “a person who unlawfully kills another is guilty of murder if the act causes death and one or more of the following circumstances exists: the offender intends to cause the death of the person killed or that of some other person; the offender intends to do grievous harm to the person killed or some other person; death is caused by means of an act done in the prosecution of an unlawful purpose which is of such a nature as to be likely to endanger human life; the offender intends to do grievous harm to some person for the purpose of facilitating the commission of an offence for which the offender may be arrested without warrant; or death is caused by administering any stupefying or overpowering thing for any such purpose”.</w:t>
      </w:r>
      <w:r>
        <w:rPr>
          <w:rFonts w:ascii="Times New Roman" w:cs="Times New Roman" w:eastAsia="Times New Roman" w:hAnsi="Times New Roman"/>
          <w:sz w:val="24"/>
          <w:szCs w:val="24"/>
          <w:vertAlign w:val="superscript"/>
        </w:rPr>
        <w:footnoteReference w:id="123"/>
      </w:r>
    </w:p>
    <w:p>
      <w:pPr>
        <w:pStyle w:val="style0"/>
        <w:spacing w:after="0" w:lineRule="auto" w:line="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The statutory definition of murder under section 316 of the Criminal Code Act is deliberately broad and multifaceted. It extends the scope of criminal liability for murder beyond a simple </w:t>
      </w:r>
      <w:r>
        <w:rPr>
          <w:rFonts w:ascii="Times New Roman" w:cs="Times New Roman" w:eastAsia="Times New Roman" w:hAnsi="Times New Roman"/>
          <w:sz w:val="24"/>
          <w:szCs w:val="24"/>
        </w:rPr>
        <w:t>deliberate killing to encompass a variety of peripheral situations in which death is the consequence of reckless or purposive dangerous conduct coupled with some element of blameworthy intent.</w:t>
      </w:r>
      <w:r>
        <w:rPr>
          <w:rFonts w:ascii="Times New Roman" w:cs="Times New Roman" w:eastAsia="Times New Roman" w:hAnsi="Times New Roman"/>
          <w:sz w:val="24"/>
          <w:szCs w:val="24"/>
          <w:vertAlign w:val="superscript"/>
        </w:rPr>
        <w:footnoteReference w:id="124"/>
      </w:r>
      <w:r>
        <w:rPr>
          <w:rFonts w:ascii="Times New Roman" w:cs="Times New Roman" w:eastAsia="Times New Roman" w:hAnsi="Times New Roman"/>
          <w:sz w:val="24"/>
          <w:szCs w:val="24"/>
        </w:rPr>
        <w:t xml:space="preserve"> In this way, the common law concept of malice aforethought is translated under the Criminal Code into a range of prescribed mental states, each of which, if established by the prosecution, is sufficient to ground a conviction for murder. The prosecution is therefore not confined to proving a specific intention to kill; it suffices to establish any one of the alternative mental states prescribed by section 316 of the Criminal Code Act.</w:t>
      </w:r>
      <w:r>
        <w:rPr>
          <w:rFonts w:ascii="Times New Roman" w:cs="Times New Roman" w:eastAsia="Times New Roman" w:hAnsi="Times New Roman"/>
          <w:sz w:val="24"/>
          <w:szCs w:val="24"/>
          <w:vertAlign w:val="superscript"/>
        </w:rPr>
        <w:footnoteReference w:id="125"/>
      </w:r>
    </w:p>
    <w:p>
      <w:pPr>
        <w:pStyle w:val="style0"/>
        <w:spacing w:after="0" w:lineRule="auto" w:line="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The offence of manslaughter is created by section 317 of the Criminal Code Act, which provides for unlawful killing without any of the circumstances specified in section 316 of the Criminal Code Act.</w:t>
      </w:r>
      <w:r>
        <w:rPr>
          <w:rFonts w:ascii="Times New Roman" w:cs="Times New Roman" w:eastAsia="Times New Roman" w:hAnsi="Times New Roman"/>
          <w:sz w:val="24"/>
          <w:szCs w:val="24"/>
          <w:vertAlign w:val="superscript"/>
        </w:rPr>
        <w:footnoteReference w:id="126"/>
      </w:r>
      <w:r>
        <w:rPr>
          <w:rFonts w:ascii="Times New Roman" w:cs="Times New Roman" w:eastAsia="Times New Roman" w:hAnsi="Times New Roman"/>
          <w:sz w:val="24"/>
          <w:szCs w:val="24"/>
        </w:rPr>
        <w:t xml:space="preserve"> Section 318 of the Criminal Code Act further provides for the partial defense of provocation.</w:t>
      </w:r>
      <w:r>
        <w:rPr>
          <w:rFonts w:ascii="Times New Roman" w:cs="Times New Roman" w:eastAsia="Times New Roman" w:hAnsi="Times New Roman"/>
          <w:sz w:val="24"/>
          <w:szCs w:val="24"/>
          <w:vertAlign w:val="superscript"/>
        </w:rPr>
        <w:footnoteReference w:id="127"/>
      </w:r>
      <w:r>
        <w:rPr>
          <w:rFonts w:ascii="Times New Roman" w:cs="Times New Roman" w:eastAsia="Times New Roman" w:hAnsi="Times New Roman"/>
          <w:sz w:val="24"/>
          <w:szCs w:val="24"/>
        </w:rPr>
        <w:t xml:space="preserve"> By virtue of Section 318 of the Criminal Code Act, where an accused person kills in the heat of passion caused by sudden provocation and before there is time for the passion to cool, the offence is reduced from murder to manslaughter under section 317 of the Criminal Code ACT.</w:t>
      </w:r>
      <w:r>
        <w:rPr>
          <w:rFonts w:ascii="Times New Roman" w:cs="Times New Roman" w:eastAsia="Times New Roman" w:hAnsi="Times New Roman"/>
          <w:sz w:val="24"/>
          <w:szCs w:val="24"/>
          <w:vertAlign w:val="superscript"/>
        </w:rPr>
        <w:footnoteReference w:id="128"/>
      </w:r>
      <w:r>
        <w:rPr>
          <w:rFonts w:ascii="Times New Roman" w:cs="Times New Roman" w:eastAsia="Times New Roman" w:hAnsi="Times New Roman"/>
          <w:sz w:val="24"/>
          <w:szCs w:val="24"/>
        </w:rPr>
        <w:t xml:space="preserve"> The relevance of this partial defense stems from the impact it can have on the mental element necessary to prove murder: if there is evidence on the facts of a case to suggest provocation, then the prosecution must disprove that the defendant was provoked beyond reasonable doubt for them to obtain a murder conviction.</w:t>
      </w:r>
      <w:r>
        <w:rPr>
          <w:rFonts w:ascii="Times New Roman" w:cs="Times New Roman" w:eastAsia="Times New Roman" w:hAnsi="Times New Roman"/>
          <w:sz w:val="24"/>
          <w:szCs w:val="24"/>
          <w:vertAlign w:val="superscript"/>
        </w:rPr>
        <w:footnoteReference w:id="129"/>
      </w:r>
    </w:p>
    <w:p>
      <w:pPr>
        <w:pStyle w:val="style0"/>
        <w:spacing w:after="0" w:lineRule="auto" w:line="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As regards punishment, section 319(1) of the Criminal Code Act prescribes that “any person who commits murder shall be sentenced to death”.</w:t>
      </w:r>
      <w:r>
        <w:rPr>
          <w:rFonts w:ascii="Times New Roman" w:cs="Times New Roman" w:eastAsia="Times New Roman" w:hAnsi="Times New Roman"/>
          <w:sz w:val="24"/>
          <w:szCs w:val="24"/>
          <w:vertAlign w:val="superscript"/>
        </w:rPr>
        <w:footnoteReference w:id="130"/>
      </w:r>
      <w:r>
        <w:rPr>
          <w:rFonts w:ascii="Times New Roman" w:cs="Times New Roman" w:eastAsia="Times New Roman" w:hAnsi="Times New Roman"/>
          <w:sz w:val="24"/>
          <w:szCs w:val="24"/>
        </w:rPr>
        <w:t xml:space="preserve"> The Act provides limited exceptions: where the offender has not attained the age of seventeen years, the sentence is to be detention during the Governor's pleasure rather than death;</w:t>
      </w:r>
      <w:r>
        <w:rPr>
          <w:rFonts w:ascii="Times New Roman" w:cs="Times New Roman" w:eastAsia="Times New Roman" w:hAnsi="Times New Roman"/>
          <w:sz w:val="24"/>
          <w:szCs w:val="24"/>
          <w:vertAlign w:val="superscript"/>
        </w:rPr>
        <w:footnoteReference w:id="131"/>
      </w:r>
      <w:r>
        <w:rPr>
          <w:rFonts w:ascii="Times New Roman" w:cs="Times New Roman" w:eastAsia="Times New Roman" w:hAnsi="Times New Roman"/>
          <w:sz w:val="24"/>
          <w:szCs w:val="24"/>
        </w:rPr>
        <w:t xml:space="preserve"> and where the offender is a pregnant woman, the sentence of death shall not be carried out while she remains pregnant.</w:t>
      </w:r>
      <w:r>
        <w:rPr>
          <w:rFonts w:ascii="Times New Roman" w:cs="Times New Roman" w:eastAsia="Times New Roman" w:hAnsi="Times New Roman"/>
          <w:sz w:val="24"/>
          <w:szCs w:val="24"/>
          <w:vertAlign w:val="superscript"/>
        </w:rPr>
        <w:footnoteReference w:id="132"/>
      </w:r>
      <w:r>
        <w:rPr>
          <w:rFonts w:ascii="Times New Roman" w:cs="Times New Roman" w:eastAsia="Times New Roman" w:hAnsi="Times New Roman"/>
          <w:sz w:val="24"/>
          <w:szCs w:val="24"/>
        </w:rPr>
        <w:t xml:space="preserve"> Beyond these limited exceptions, the mandatory capital sentence for murder reflects the extreme gravity with which Nigerian law regards the taking of human life and accounts for the high standard of proof that the courts consistently demand before any conviction for the offence is affirmed.</w:t>
      </w:r>
      <w:r>
        <w:rPr>
          <w:rFonts w:ascii="Times New Roman" w:cs="Times New Roman" w:eastAsia="Times New Roman" w:hAnsi="Times New Roman"/>
          <w:sz w:val="24"/>
          <w:szCs w:val="24"/>
          <w:vertAlign w:val="superscript"/>
        </w:rPr>
        <w:footnoteReference w:id="133"/>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3.1.2 Criminal Liability Under the Penal Code </w:t>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sz w:val="24"/>
          <w:szCs w:val="24"/>
        </w:rPr>
        <w:t>The Penal Code</w:t>
      </w:r>
      <w:r>
        <w:rPr>
          <w:rFonts w:ascii="Times New Roman" w:cs="Times New Roman" w:eastAsia="Times New Roman" w:hAnsi="Times New Roman"/>
          <w:sz w:val="24"/>
          <w:szCs w:val="24"/>
          <w:vertAlign w:val="superscript"/>
        </w:rPr>
        <w:footnoteReference w:id="134"/>
      </w:r>
      <w:r>
        <w:rPr>
          <w:rFonts w:ascii="Times New Roman" w:cs="Times New Roman" w:eastAsia="Times New Roman" w:hAnsi="Times New Roman"/>
          <w:sz w:val="24"/>
          <w:szCs w:val="24"/>
        </w:rPr>
        <w:t xml:space="preserve"> regulates criminal liability in the northern states of Nigeria and contains a cognate but formally distinct regime for the prosecution of fatal offences. Under the Penal Code, the offence that corresponds to murder under the Criminal Code is described as culpable homicide punishable with death. Section 221 of the Penal Code provides that “culpable homicide shall be punishable with death if it is committed with the intention of causing death; or if it is committed with the intention of causing such bodily injury as the offender knows to be likely to cause the death of the person to whom the harm is caused; or if the actor knows that by his act he is likely to cause death and commits the act with the knowledge that death would be the probable and not merely a likely consequence of the act”.</w:t>
      </w:r>
      <w:r>
        <w:rPr>
          <w:rFonts w:ascii="Times New Roman" w:cs="Times New Roman" w:eastAsia="Times New Roman" w:hAnsi="Times New Roman"/>
          <w:sz w:val="24"/>
          <w:szCs w:val="24"/>
          <w:vertAlign w:val="superscript"/>
        </w:rPr>
        <w:footnoteReference w:id="135"/>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sz w:val="24"/>
          <w:szCs w:val="24"/>
        </w:rPr>
        <w:t>The elements of the offence of culpable homicide punishable with death under section 221 of the Penal Code</w:t>
      </w:r>
      <w:r>
        <w:rPr>
          <w:rFonts w:ascii="Times New Roman" w:cs="Times New Roman" w:eastAsia="Times New Roman" w:hAnsi="Times New Roman"/>
          <w:sz w:val="24"/>
          <w:szCs w:val="24"/>
          <w:vertAlign w:val="superscript"/>
        </w:rPr>
        <w:footnoteReference w:id="136"/>
      </w:r>
      <w:r>
        <w:rPr>
          <w:rFonts w:ascii="Times New Roman" w:cs="Times New Roman" w:eastAsia="Times New Roman" w:hAnsi="Times New Roman"/>
          <w:sz w:val="24"/>
          <w:szCs w:val="24"/>
        </w:rPr>
        <w:t xml:space="preserve"> have been distilled by the Nigerian courts into a three-part test: first, that the deceased is dead; second, that the act of the accused caused the death of the deceased; and third, that the act or omission of the accused was done with the intention of causing death or with the knowledge that bodily injury likely to cause death would be the probable consequence of the act. In </w:t>
      </w:r>
      <w:r>
        <w:rPr>
          <w:rFonts w:ascii="Times New Roman" w:cs="Times New Roman" w:eastAsia="Times New Roman" w:hAnsi="Times New Roman"/>
          <w:i/>
          <w:iCs/>
          <w:sz w:val="24"/>
          <w:szCs w:val="24"/>
        </w:rPr>
        <w:t>Emmanuel Ochiba v The State,</w:t>
      </w:r>
      <w:r>
        <w:rPr>
          <w:rFonts w:ascii="Times New Roman" w:cs="Times New Roman" w:eastAsia="Times New Roman" w:hAnsi="Times New Roman"/>
          <w:sz w:val="24"/>
          <w:szCs w:val="24"/>
          <w:vertAlign w:val="superscript"/>
        </w:rPr>
        <w:footnoteReference w:id="137"/>
      </w:r>
      <w:r>
        <w:rPr>
          <w:rFonts w:ascii="Times New Roman" w:cs="Times New Roman" w:eastAsia="Times New Roman" w:hAnsi="Times New Roman"/>
          <w:sz w:val="24"/>
          <w:szCs w:val="24"/>
        </w:rPr>
        <w:t xml:space="preserve"> the Supreme Court of Nigeria affirmed, per I T Muhammad JSC, that “all three elements of this conjunctive test must be proved by the prosecution beyond reasonable doubt, and that the failure to establish any single element is fatal to a conviction for culpable homicide punishable with death”.</w:t>
      </w:r>
      <w:r>
        <w:rPr>
          <w:rFonts w:ascii="Times New Roman" w:cs="Times New Roman" w:eastAsia="Times New Roman" w:hAnsi="Times New Roman"/>
          <w:sz w:val="24"/>
          <w:szCs w:val="24"/>
          <w:vertAlign w:val="superscript"/>
        </w:rPr>
        <w:footnoteReference w:id="138"/>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sz w:val="24"/>
          <w:szCs w:val="24"/>
        </w:rPr>
        <w:t>Section 222 of the Penal Code</w:t>
      </w:r>
      <w:r>
        <w:rPr>
          <w:rFonts w:ascii="Times New Roman" w:cs="Times New Roman" w:eastAsia="Times New Roman" w:hAnsi="Times New Roman"/>
          <w:sz w:val="24"/>
          <w:szCs w:val="24"/>
          <w:vertAlign w:val="superscript"/>
        </w:rPr>
        <w:footnoteReference w:id="139"/>
      </w:r>
      <w:r>
        <w:rPr>
          <w:rFonts w:ascii="Times New Roman" w:cs="Times New Roman" w:eastAsia="Times New Roman" w:hAnsi="Times New Roman"/>
          <w:sz w:val="24"/>
          <w:szCs w:val="24"/>
        </w:rPr>
        <w:t xml:space="preserve"> sets out the circumstances in which culpable homicide shall not amount to murder, thereby reducing the offence from the capital charge under section 221 of the Penal Code</w:t>
      </w:r>
      <w:r>
        <w:rPr>
          <w:rFonts w:ascii="Times New Roman" w:cs="Times New Roman" w:eastAsia="Times New Roman" w:hAnsi="Times New Roman"/>
          <w:sz w:val="24"/>
          <w:szCs w:val="24"/>
          <w:vertAlign w:val="superscript"/>
        </w:rPr>
        <w:footnoteReference w:id="140"/>
      </w:r>
      <w:r>
        <w:rPr>
          <w:rFonts w:ascii="Times New Roman" w:cs="Times New Roman" w:eastAsia="Times New Roman" w:hAnsi="Times New Roman"/>
          <w:sz w:val="24"/>
          <w:szCs w:val="24"/>
        </w:rPr>
        <w:t xml:space="preserve"> to the lesser charge of culpable homicide not punishable with death under section 224.</w:t>
      </w:r>
      <w:r>
        <w:rPr>
          <w:rFonts w:ascii="Times New Roman" w:cs="Times New Roman" w:eastAsia="Times New Roman" w:hAnsi="Times New Roman"/>
          <w:sz w:val="24"/>
          <w:szCs w:val="24"/>
          <w:vertAlign w:val="superscript"/>
        </w:rPr>
        <w:footnoteReference w:id="141"/>
      </w:r>
      <w:r>
        <w:rPr>
          <w:rFonts w:ascii="Times New Roman" w:cs="Times New Roman" w:eastAsia="Times New Roman" w:hAnsi="Times New Roman"/>
          <w:sz w:val="24"/>
          <w:szCs w:val="24"/>
        </w:rPr>
        <w:t xml:space="preserve"> Most significantly among these is the situation where the accused has been deprived of self-control by grave and sudden provocation, or where the act is done through mistake or accident. These provisions operate in a manner analogous to the partial defense of provocation under section 318 of the Criminal Code Act,</w:t>
      </w:r>
      <w:r>
        <w:rPr>
          <w:rFonts w:ascii="Times New Roman" w:cs="Times New Roman" w:eastAsia="Times New Roman" w:hAnsi="Times New Roman"/>
          <w:sz w:val="24"/>
          <w:szCs w:val="24"/>
          <w:vertAlign w:val="superscript"/>
        </w:rPr>
        <w:footnoteReference w:id="142"/>
      </w:r>
      <w:r>
        <w:rPr>
          <w:rFonts w:ascii="Times New Roman" w:cs="Times New Roman" w:eastAsia="Times New Roman" w:hAnsi="Times New Roman"/>
          <w:sz w:val="24"/>
          <w:szCs w:val="24"/>
        </w:rPr>
        <w:t xml:space="preserve"> and their availability or otherwise must be assessed as part of the proof process in every murder trial conducted under the Penal Code.</w:t>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sz w:val="24"/>
          <w:szCs w:val="24"/>
        </w:rPr>
        <w:t>The coexistence of two separate codes governing murder in Nigeria has been a well-documented source of inconsistency.</w:t>
      </w:r>
      <w:r>
        <w:rPr>
          <w:rFonts w:ascii="Times New Roman" w:cs="Times New Roman" w:eastAsia="Times New Roman" w:hAnsi="Times New Roman"/>
          <w:sz w:val="24"/>
          <w:szCs w:val="24"/>
          <w:vertAlign w:val="superscript"/>
        </w:rPr>
        <w:footnoteReference w:id="143"/>
      </w:r>
      <w:r>
        <w:rPr>
          <w:rFonts w:ascii="Times New Roman" w:cs="Times New Roman" w:eastAsia="Times New Roman" w:hAnsi="Times New Roman"/>
          <w:sz w:val="24"/>
          <w:szCs w:val="24"/>
        </w:rPr>
        <w:t xml:space="preserve"> The variation in terminology between murder under the Criminal Code Act and culpable homicide punishable with death under the Penal Code, the differences in the formulation of the mental element, and the distinct procedural codes associated with each regime mean that a killing in Lagos and a precisely similar killing in Kano may be tried under materially different laws.</w:t>
      </w:r>
      <w:r>
        <w:rPr>
          <w:rFonts w:ascii="Times New Roman" w:cs="Times New Roman" w:eastAsia="Times New Roman" w:hAnsi="Times New Roman"/>
          <w:sz w:val="24"/>
          <w:szCs w:val="24"/>
          <w:vertAlign w:val="superscript"/>
        </w:rPr>
        <w:footnoteReference w:id="144"/>
      </w:r>
      <w:r>
        <w:rPr>
          <w:rFonts w:ascii="Times New Roman" w:cs="Times New Roman" w:eastAsia="Times New Roman" w:hAnsi="Times New Roman"/>
          <w:sz w:val="24"/>
          <w:szCs w:val="24"/>
        </w:rPr>
        <w:t xml:space="preserve"> This duality has for many decades attracted calls for legislative unification, but no step toward such unification has to date been taken.</w:t>
      </w:r>
      <w:r>
        <w:rPr>
          <w:rFonts w:ascii="Times New Roman" w:cs="Times New Roman" w:eastAsia="Times New Roman" w:hAnsi="Times New Roman"/>
          <w:sz w:val="24"/>
          <w:szCs w:val="24"/>
          <w:vertAlign w:val="superscript"/>
        </w:rPr>
        <w:footnoteReference w:id="145"/>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3.1.3 Evidence Act 2023 on Admissibility and Proof (Sections 27–29 and Section 167)</w:t>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sz w:val="24"/>
          <w:szCs w:val="24"/>
        </w:rPr>
        <w:t>The Evidence Act 2023 is the primary legislative instrument governing the admissibility and evaluation of evidence in Nigerian courts and applies to all criminal proceedings regardless of which substantive code the offence has been charged under. Several provisions of the Evidence Act 2023 are of particular significance to the proof of murder.</w:t>
      </w:r>
      <w:r>
        <w:rPr>
          <w:rFonts w:ascii="Times New Roman" w:cs="Times New Roman" w:eastAsia="Times New Roman" w:hAnsi="Times New Roman"/>
          <w:sz w:val="24"/>
          <w:szCs w:val="24"/>
          <w:vertAlign w:val="superscript"/>
        </w:rPr>
        <w:footnoteReference w:id="146"/>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sz w:val="24"/>
          <w:szCs w:val="24"/>
        </w:rPr>
        <w:t>Section 27 of the Evidence Act 2023 defines an admission as “a statement, oral or documentary or contained in electronic form, which suggests any inference as to any fact in issue or relevant fact and which is made by a party to the proceedings under the circumstances specified in that Part”.</w:t>
      </w:r>
      <w:r>
        <w:rPr>
          <w:rFonts w:ascii="Times New Roman" w:cs="Times New Roman" w:eastAsia="Times New Roman" w:hAnsi="Times New Roman"/>
          <w:sz w:val="24"/>
          <w:szCs w:val="24"/>
          <w:vertAlign w:val="superscript"/>
        </w:rPr>
        <w:footnoteReference w:id="147"/>
      </w:r>
      <w:r>
        <w:rPr>
          <w:rFonts w:ascii="Times New Roman" w:cs="Times New Roman" w:eastAsia="Times New Roman" w:hAnsi="Times New Roman"/>
          <w:sz w:val="24"/>
          <w:szCs w:val="24"/>
        </w:rPr>
        <w:t xml:space="preserve"> While admissions are primarily relevant in civil proceedings, the provision lays the general framework for understanding the nature of statements made by accused persons in criminal trials.</w:t>
      </w:r>
      <w:r>
        <w:rPr>
          <w:rFonts w:ascii="Times New Roman" w:cs="Times New Roman" w:eastAsia="Times New Roman" w:hAnsi="Times New Roman"/>
          <w:sz w:val="24"/>
          <w:szCs w:val="24"/>
          <w:vertAlign w:val="superscript"/>
        </w:rPr>
        <w:footnoteReference w:id="148"/>
      </w:r>
    </w:p>
    <w:p>
      <w:pPr>
        <w:pStyle w:val="style0"/>
        <w:spacing w:after="0" w:lineRule="auto" w:line="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Sections 28 and 29 of the Evidence Act 2023 deal with the admissibility of confessions, which constitute the most direct and powerful category of evidence available to the prosecution in many murder trials. Section 28 defines a confession as “an admission made by a person charged with a crime which states or suggests the inference that he committed the crime”.</w:t>
      </w:r>
      <w:r>
        <w:rPr>
          <w:rFonts w:ascii="Times New Roman" w:cs="Times New Roman" w:eastAsia="Times New Roman" w:hAnsi="Times New Roman"/>
          <w:sz w:val="24"/>
          <w:szCs w:val="24"/>
          <w:vertAlign w:val="superscript"/>
        </w:rPr>
        <w:footnoteReference w:id="149"/>
      </w:r>
      <w:r>
        <w:rPr>
          <w:rFonts w:ascii="Times New Roman" w:cs="Times New Roman" w:eastAsia="Times New Roman" w:hAnsi="Times New Roman"/>
          <w:sz w:val="24"/>
          <w:szCs w:val="24"/>
        </w:rPr>
        <w:t xml:space="preserve"> Section 29 lays down the conditions governing the admissibility of confessions and provides that “a confession is not admissible where it was obtained by oppression or as the result of anything said or done which was likely to render any confession that might be made unreliable”.</w:t>
      </w:r>
      <w:r>
        <w:rPr>
          <w:rFonts w:ascii="Times New Roman" w:cs="Times New Roman" w:eastAsia="Times New Roman" w:hAnsi="Times New Roman"/>
          <w:sz w:val="24"/>
          <w:szCs w:val="24"/>
          <w:vertAlign w:val="superscript"/>
        </w:rPr>
        <w:footnoteReference w:id="150"/>
      </w:r>
      <w:r>
        <w:rPr>
          <w:rFonts w:ascii="Times New Roman" w:cs="Times New Roman" w:eastAsia="Times New Roman" w:hAnsi="Times New Roman"/>
          <w:sz w:val="24"/>
          <w:szCs w:val="24"/>
        </w:rPr>
        <w:t xml:space="preserve"> Section 29(2) further provides that </w:t>
      </w:r>
      <w:r>
        <w:rPr>
          <w:rFonts w:ascii="Times New Roman" w:cs="Times New Roman" w:eastAsia="Times New Roman" w:hAnsi="Times New Roman"/>
          <w:sz w:val="24"/>
          <w:szCs w:val="24"/>
        </w:rPr>
        <w:t>"</w:t>
      </w:r>
      <w:r>
        <w:rPr>
          <w:rFonts w:ascii="Times New Roman" w:cs="Times New Roman" w:eastAsia="Times New Roman" w:hAnsi="Times New Roman"/>
          <w:sz w:val="24"/>
          <w:szCs w:val="24"/>
        </w:rPr>
        <w:t>where the facts deposed to in a confession are subsequently discovered to be true, the confession may be admitted notwithstanding any formal defect, provided that its voluntariness has been established.</w:t>
      </w:r>
      <w:r>
        <w:rPr>
          <w:rFonts w:ascii="Times New Roman" w:cs="Times New Roman" w:eastAsia="Times New Roman" w:hAnsi="Times New Roman"/>
          <w:sz w:val="24"/>
          <w:szCs w:val="24"/>
        </w:rPr>
        <w:t>"</w:t>
      </w:r>
      <w:r>
        <w:rPr>
          <w:rFonts w:ascii="Times New Roman" w:cs="Times New Roman" w:eastAsia="Times New Roman" w:hAnsi="Times New Roman"/>
          <w:sz w:val="24"/>
          <w:szCs w:val="24"/>
          <w:vertAlign w:val="superscript"/>
        </w:rPr>
        <w:footnoteReference w:id="151"/>
      </w:r>
      <w:r>
        <w:rPr>
          <w:rFonts w:ascii="Times New Roman" w:cs="Times New Roman" w:eastAsia="Times New Roman" w:hAnsi="Times New Roman"/>
          <w:sz w:val="24"/>
          <w:szCs w:val="24"/>
        </w:rPr>
        <w:t xml:space="preserve"> These provisions were designed to prevent the admission of confessions obtained through coercion or inducement, and their practical importance in Nigeria is considerable given the documented prevalence of allegations of torture and oppression during police interrogation. Where an accused person challenges the voluntariness of a confessional statement, the court is required to conduct a trial within a trial to determine the admissibility of the statement before it may be tendered in the substantive proceedings.</w:t>
      </w:r>
      <w:r>
        <w:rPr>
          <w:rFonts w:ascii="Times New Roman" w:cs="Times New Roman" w:eastAsia="Times New Roman" w:hAnsi="Times New Roman"/>
          <w:sz w:val="24"/>
          <w:szCs w:val="24"/>
          <w:vertAlign w:val="superscript"/>
        </w:rPr>
        <w:footnoteReference w:id="152"/>
      </w:r>
      <w:r>
        <w:rPr>
          <w:rFonts w:ascii="Times New Roman" w:cs="Times New Roman" w:eastAsia="Times New Roman" w:hAnsi="Times New Roman"/>
          <w:sz w:val="24"/>
          <w:szCs w:val="24"/>
        </w:rPr>
        <w:t xml:space="preserve"> The Supreme Court confirmed this practice in </w:t>
      </w:r>
      <w:r>
        <w:rPr>
          <w:rFonts w:ascii="Times New Roman" w:cs="Times New Roman" w:eastAsia="Times New Roman" w:hAnsi="Times New Roman"/>
          <w:i/>
          <w:iCs/>
          <w:sz w:val="24"/>
          <w:szCs w:val="24"/>
        </w:rPr>
        <w:t>Nwaeze v The State,</w:t>
      </w:r>
      <w:r>
        <w:rPr>
          <w:rFonts w:ascii="Times New Roman" w:cs="Times New Roman" w:eastAsia="Times New Roman" w:hAnsi="Times New Roman"/>
          <w:sz w:val="24"/>
          <w:szCs w:val="24"/>
          <w:vertAlign w:val="superscript"/>
        </w:rPr>
        <w:footnoteReference w:id="153"/>
      </w:r>
      <w:r>
        <w:rPr>
          <w:rFonts w:ascii="Times New Roman" w:cs="Times New Roman" w:eastAsia="Times New Roman" w:hAnsi="Times New Roman"/>
          <w:sz w:val="24"/>
          <w:szCs w:val="24"/>
        </w:rPr>
        <w:t xml:space="preserve"> holding that “even where a confession is retracted at trial, the court may still act upon it provided it is satisfied of the voluntariness and truth of the statement after careful scrutiny of the circumstances in which it was made”.</w:t>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sz w:val="24"/>
          <w:szCs w:val="24"/>
        </w:rPr>
        <w:t>Section 167 of the Evidence Act 2023 empowers the court to draw adverse inferences from the non-production of evidence that could have been produced by a party.</w:t>
      </w:r>
      <w:r>
        <w:rPr>
          <w:rFonts w:ascii="Times New Roman" w:cs="Times New Roman" w:eastAsia="Times New Roman" w:hAnsi="Times New Roman"/>
          <w:sz w:val="24"/>
          <w:szCs w:val="24"/>
          <w:vertAlign w:val="superscript"/>
        </w:rPr>
        <w:footnoteReference w:id="154"/>
      </w:r>
      <w:r>
        <w:rPr>
          <w:rFonts w:ascii="Times New Roman" w:cs="Times New Roman" w:eastAsia="Times New Roman" w:hAnsi="Times New Roman"/>
          <w:sz w:val="24"/>
          <w:szCs w:val="24"/>
        </w:rPr>
        <w:t xml:space="preserve"> In murder trials, this provision has been applied to permit adverse inferences from the failure of an accused person to call witnesses or produce documentary evidence that it would be reasonable to expect him to produce. Equally, the provision operates against the prosecution where exculpatory evidence within the control of the prosecution has not been tendered in evidence, thereby preserving the symmetry of the evidential framework and maintaining the fair balance of the criminal process.</w:t>
      </w:r>
      <w:r>
        <w:rPr>
          <w:rFonts w:ascii="Times New Roman" w:cs="Times New Roman" w:eastAsia="Times New Roman" w:hAnsi="Times New Roman"/>
          <w:sz w:val="24"/>
          <w:szCs w:val="24"/>
          <w:vertAlign w:val="superscript"/>
        </w:rPr>
        <w:footnoteReference w:id="155"/>
      </w:r>
      <w:r>
        <w:rPr>
          <w:rFonts w:ascii="Times New Roman" w:cs="Times New Roman" w:eastAsia="Times New Roman" w:hAnsi="Times New Roman"/>
          <w:sz w:val="24"/>
          <w:szCs w:val="24"/>
        </w:rPr>
        <w:t xml:space="preserve"> The Supreme Court applied this principle in </w:t>
      </w:r>
      <w:r>
        <w:rPr>
          <w:rFonts w:ascii="Times New Roman" w:cs="Times New Roman" w:eastAsia="Times New Roman" w:hAnsi="Times New Roman"/>
          <w:i/>
          <w:iCs/>
          <w:sz w:val="24"/>
          <w:szCs w:val="24"/>
        </w:rPr>
        <w:t>Babuga v The State,</w:t>
      </w:r>
      <w:r>
        <w:rPr>
          <w:rFonts w:ascii="Times New Roman" w:cs="Times New Roman" w:eastAsia="Times New Roman" w:hAnsi="Times New Roman"/>
          <w:sz w:val="24"/>
          <w:szCs w:val="24"/>
          <w:vertAlign w:val="superscript"/>
        </w:rPr>
        <w:footnoteReference w:id="156"/>
      </w:r>
      <w:r>
        <w:rPr>
          <w:rFonts w:ascii="Times New Roman" w:cs="Times New Roman" w:eastAsia="Times New Roman" w:hAnsi="Times New Roman"/>
          <w:sz w:val="24"/>
          <w:szCs w:val="24"/>
        </w:rPr>
        <w:t xml:space="preserve"> where “the failure to produce certain material evidence was held to give rise to an adverse inference against the party in a position to have produced it”.</w:t>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sz w:val="24"/>
          <w:szCs w:val="24"/>
        </w:rPr>
        <w:t>Section 40 of the Evidence Act 2023 makes a dying declaration admissible as an exception to the hearsay rule.</w:t>
      </w:r>
      <w:r>
        <w:rPr>
          <w:rFonts w:ascii="Times New Roman" w:cs="Times New Roman" w:eastAsia="Times New Roman" w:hAnsi="Times New Roman"/>
          <w:sz w:val="24"/>
          <w:szCs w:val="24"/>
          <w:vertAlign w:val="superscript"/>
        </w:rPr>
        <w:footnoteReference w:id="157"/>
      </w:r>
      <w:r>
        <w:rPr>
          <w:rFonts w:ascii="Times New Roman" w:cs="Times New Roman" w:eastAsia="Times New Roman" w:hAnsi="Times New Roman"/>
          <w:sz w:val="24"/>
          <w:szCs w:val="24"/>
        </w:rPr>
        <w:t xml:space="preserve"> The section provides that “a statement made by a person as to the cause of his death, made in circumstances where the declarant had, at the time of making the statement, a settled expectation of death, is admissible as evidence of the cause of that death”. Such evidence is frequently of considerable probative weight in murder trials, since the circumstances of the killing are communicated directly by the victim. However, the courts have imposed stringent conditions on the admissibility of dying declarations. In </w:t>
      </w:r>
      <w:r>
        <w:rPr>
          <w:rFonts w:ascii="Times New Roman" w:cs="Times New Roman" w:eastAsia="Times New Roman" w:hAnsi="Times New Roman"/>
          <w:i/>
          <w:iCs/>
          <w:sz w:val="24"/>
          <w:szCs w:val="24"/>
        </w:rPr>
        <w:t>Osiekwe v The State,</w:t>
      </w:r>
      <w:r>
        <w:rPr>
          <w:rFonts w:ascii="Times New Roman" w:cs="Times New Roman" w:eastAsia="Times New Roman" w:hAnsi="Times New Roman"/>
          <w:sz w:val="24"/>
          <w:szCs w:val="24"/>
          <w:vertAlign w:val="superscript"/>
        </w:rPr>
        <w:footnoteReference w:id="158"/>
      </w:r>
      <w:r>
        <w:rPr>
          <w:rFonts w:ascii="Times New Roman" w:cs="Times New Roman" w:eastAsia="Times New Roman" w:hAnsi="Times New Roman"/>
          <w:sz w:val="24"/>
          <w:szCs w:val="24"/>
        </w:rPr>
        <w:t xml:space="preserve"> the Supreme Court held that “before a dying declaration can be admitted into evidence, the court must be satisfied that the deceased, at the time of making </w:t>
      </w:r>
      <w:r>
        <w:rPr>
          <w:rFonts w:ascii="Times New Roman" w:cs="Times New Roman" w:eastAsia="Times New Roman" w:hAnsi="Times New Roman"/>
          <w:sz w:val="24"/>
          <w:szCs w:val="24"/>
        </w:rPr>
        <w:t>the statement, reasonably believed that his death was imminent, and that the statement was made under that settled expectation”.</w:t>
      </w:r>
    </w:p>
    <w:p>
      <w:pPr>
        <w:pStyle w:val="style0"/>
        <w:spacing w:after="0" w:lineRule="auto" w:line="480"/>
        <w:rPr>
          <w:rFonts w:ascii="Times New Roman" w:cs="Times New Roman" w:eastAsia="Times New Roman" w:hAnsi="Times New Roman"/>
          <w:b/>
          <w:sz w:val="24"/>
          <w:szCs w:val="24"/>
        </w:rPr>
      </w:pPr>
      <w:r>
        <w:rPr>
          <w:rFonts w:ascii="Times New Roman" w:cs="Times New Roman" w:eastAsia="Times New Roman" w:hAnsi="Times New Roman"/>
          <w:b/>
          <w:sz w:val="24"/>
          <w:szCs w:val="24"/>
        </w:rPr>
        <w:t>3.1.4 Constitutional Safeguards in Murder Trials</w:t>
      </w:r>
    </w:p>
    <w:p>
      <w:pPr>
        <w:pStyle w:val="style0"/>
        <w:spacing w:after="0" w:lineRule="auto" w:line="480"/>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3.1.4.1 Right to Fair Hearing under Section 36 of the Constitution of the Federal </w:t>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Republic of Nigeria 1999</w:t>
      </w:r>
    </w:p>
    <w:p>
      <w:pPr>
        <w:pStyle w:val="style0"/>
        <w:spacing w:before="280" w:after="12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Section 36 of the Constitution of the Federal Republic of Nigeria 1999 (as amended) establishes the right to a fair hearing and constitutes one of the most fundamental provisions in the entire architecture of Nigerian law, particularly in the context of criminal proceedings.</w:t>
      </w:r>
      <w:r>
        <w:rPr>
          <w:rFonts w:ascii="Times New Roman" w:cs="Times New Roman" w:eastAsia="Times New Roman" w:hAnsi="Times New Roman"/>
          <w:bCs/>
          <w:sz w:val="24"/>
          <w:szCs w:val="24"/>
          <w:vertAlign w:val="superscript"/>
        </w:rPr>
        <w:footnoteReference w:id="159"/>
      </w:r>
      <w:r>
        <w:rPr>
          <w:rFonts w:ascii="Times New Roman" w:cs="Times New Roman" w:eastAsia="Times New Roman" w:hAnsi="Times New Roman"/>
          <w:bCs/>
          <w:sz w:val="24"/>
          <w:szCs w:val="24"/>
        </w:rPr>
        <w:t xml:space="preserve"> Section 36(1) of the Constitution of the Federal Republic of Nigeria provides that “in the determination of his civil rights and obligations, a person shall be entitled to a fair hearing within a reasonable time by a court or other authority established by law and constituted in such manner as to secure its independence and impartiality”.</w:t>
      </w:r>
      <w:r>
        <w:rPr>
          <w:rFonts w:ascii="Times New Roman" w:cs="Times New Roman" w:eastAsia="Times New Roman" w:hAnsi="Times New Roman"/>
          <w:bCs/>
          <w:sz w:val="24"/>
          <w:szCs w:val="24"/>
          <w:vertAlign w:val="superscript"/>
        </w:rPr>
        <w:footnoteReference w:id="160"/>
      </w:r>
      <w:r>
        <w:rPr>
          <w:rFonts w:ascii="Times New Roman" w:cs="Times New Roman" w:eastAsia="Times New Roman" w:hAnsi="Times New Roman"/>
          <w:bCs/>
          <w:sz w:val="24"/>
          <w:szCs w:val="24"/>
        </w:rPr>
        <w:t xml:space="preserve"> Section 36(4) of the Constitution of the Federal Republic of Nigeria extends these guarantees to criminal proceedings by providing that “every person charged with a criminal offence shall be entitled to a fair hearing within a reasonable time by a court or tribunal”.</w:t>
      </w:r>
      <w:r>
        <w:rPr>
          <w:rFonts w:ascii="Times New Roman" w:cs="Times New Roman" w:eastAsia="Times New Roman" w:hAnsi="Times New Roman"/>
          <w:bCs/>
          <w:sz w:val="24"/>
          <w:szCs w:val="24"/>
          <w:vertAlign w:val="superscript"/>
        </w:rPr>
        <w:footnoteReference w:id="161"/>
      </w:r>
    </w:p>
    <w:p>
      <w:pPr>
        <w:pStyle w:val="style0"/>
        <w:spacing w:before="280" w:after="12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The right to a fair hearing as enshrined in section 36 of the Constitution encompasses a cluster of specific procedural entitlements of particular significance in murder trials. Under section 36(6) of the Constitution of the Federal Republic of Nigeria, every person charged with a criminal offence is entitled to be informed promptly and in detail, in a language that he understands, of the nature of the offence charged; to be given adequate time and facilities for the preparation of his defense; to defend himself in person or by legal practitioners of his </w:t>
      </w:r>
      <w:r>
        <w:rPr>
          <w:rFonts w:ascii="Times New Roman" w:cs="Times New Roman" w:eastAsia="Times New Roman" w:hAnsi="Times New Roman"/>
          <w:bCs/>
          <w:sz w:val="24"/>
          <w:szCs w:val="24"/>
        </w:rPr>
        <w:t>own choice; to examine, in person or by his legal practitioners, the witnesses called by the prosecution; and to obtain the attendance and carry out the examination of</w:t>
      </w:r>
      <w:r>
        <w:rPr>
          <w:rFonts w:ascii="Times New Roman" w:cs="Times New Roman" w:eastAsia="Times New Roman" w:hAnsi="Times New Roman"/>
          <w:b/>
          <w:bCs/>
          <w:sz w:val="24"/>
          <w:szCs w:val="24"/>
        </w:rPr>
        <w:t xml:space="preserve"> </w:t>
      </w:r>
      <w:r>
        <w:rPr>
          <w:rFonts w:ascii="Times New Roman" w:cs="Times New Roman" w:eastAsia="Times New Roman" w:hAnsi="Times New Roman"/>
          <w:bCs/>
          <w:sz w:val="24"/>
          <w:szCs w:val="24"/>
        </w:rPr>
        <w:t>witnesses to testify on his behalf on the same conditions as those applying to witnesses called by the prosecution.</w:t>
      </w:r>
      <w:r>
        <w:rPr>
          <w:rFonts w:ascii="Times New Roman" w:cs="Times New Roman" w:eastAsia="Times New Roman" w:hAnsi="Times New Roman"/>
          <w:bCs/>
          <w:sz w:val="24"/>
          <w:szCs w:val="24"/>
          <w:vertAlign w:val="superscript"/>
        </w:rPr>
        <w:footnoteReference w:id="162"/>
      </w:r>
    </w:p>
    <w:p>
      <w:pPr>
        <w:pStyle w:val="style0"/>
        <w:spacing w:before="280" w:after="12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The Supreme Court has consistently held that any infringement of the right to a fair hearing vitiates the trial and may result in the quashing of a conviction regardless of the factual guilt of the accused. In </w:t>
      </w:r>
      <w:r>
        <w:rPr>
          <w:rFonts w:ascii="Times New Roman" w:cs="Times New Roman" w:eastAsia="Times New Roman" w:hAnsi="Times New Roman"/>
          <w:bCs/>
          <w:i/>
          <w:iCs/>
          <w:sz w:val="24"/>
          <w:szCs w:val="24"/>
        </w:rPr>
        <w:t>Ariori v Elemo,</w:t>
      </w:r>
      <w:r>
        <w:rPr>
          <w:rFonts w:ascii="Times New Roman" w:cs="Times New Roman" w:eastAsia="Times New Roman" w:hAnsi="Times New Roman"/>
          <w:bCs/>
          <w:sz w:val="24"/>
          <w:szCs w:val="24"/>
          <w:vertAlign w:val="superscript"/>
        </w:rPr>
        <w:footnoteReference w:id="163"/>
      </w:r>
      <w:r>
        <w:rPr>
          <w:rFonts w:ascii="Times New Roman" w:cs="Times New Roman" w:eastAsia="Times New Roman" w:hAnsi="Times New Roman"/>
          <w:bCs/>
          <w:sz w:val="24"/>
          <w:szCs w:val="24"/>
        </w:rPr>
        <w:t xml:space="preserve"> the Supreme Court affirmed that “the right to fair hearing is so fundamental that no conviction can be allowed to stand where that right has been materially breached in the course of the proceedings”. Similarly, in </w:t>
      </w:r>
      <w:r>
        <w:rPr>
          <w:rFonts w:ascii="Times New Roman" w:cs="Times New Roman" w:eastAsia="Times New Roman" w:hAnsi="Times New Roman"/>
          <w:bCs/>
          <w:i/>
          <w:iCs/>
          <w:sz w:val="24"/>
          <w:szCs w:val="24"/>
        </w:rPr>
        <w:t>Adigun v Attorney-General of Oyo State,</w:t>
      </w:r>
      <w:r>
        <w:rPr>
          <w:rFonts w:ascii="Times New Roman" w:cs="Times New Roman" w:eastAsia="Times New Roman" w:hAnsi="Times New Roman"/>
          <w:bCs/>
          <w:sz w:val="24"/>
          <w:szCs w:val="24"/>
          <w:vertAlign w:val="superscript"/>
        </w:rPr>
        <w:footnoteReference w:id="164"/>
      </w:r>
      <w:r>
        <w:rPr>
          <w:rFonts w:ascii="Times New Roman" w:cs="Times New Roman" w:eastAsia="Times New Roman" w:hAnsi="Times New Roman"/>
          <w:bCs/>
          <w:sz w:val="24"/>
          <w:szCs w:val="24"/>
        </w:rPr>
        <w:t xml:space="preserve"> the court held that “any proceedings conducted in violation of section 36 are a nullity and cannot ground a valid conviction, since the constitutional obligation is one that goes to the integrity of the entire process and not merely to its outward procedural form”. The practical consequence is that a murder trial which is procedurally perfect in appearance but substantively unfair, as where a trial court applies materially different standards to the evaluation of prosecution and defense evidence may still constitute a violation of the constitutional guarantee.</w:t>
      </w:r>
      <w:r>
        <w:rPr>
          <w:rFonts w:ascii="Times New Roman" w:cs="Times New Roman" w:eastAsia="Times New Roman" w:hAnsi="Times New Roman"/>
          <w:bCs/>
          <w:sz w:val="24"/>
          <w:szCs w:val="24"/>
          <w:vertAlign w:val="superscript"/>
        </w:rPr>
        <w:footnoteReference w:id="165"/>
      </w:r>
    </w:p>
    <w:p>
      <w:pPr>
        <w:pStyle w:val="style0"/>
        <w:spacing w:before="280" w:after="120" w:lineRule="auto" w:line="480"/>
        <w:jc w:val="both"/>
        <w:outlineLvl w:val="2"/>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Section 36(6)(c) of the Constitution of the Federal Republic of Nigeria specifically guarantees the accused </w:t>
      </w:r>
      <w:r>
        <w:rPr>
          <w:rFonts w:ascii="Times New Roman" w:cs="Times New Roman" w:eastAsia="Times New Roman" w:hAnsi="Times New Roman"/>
          <w:bCs/>
          <w:sz w:val="24"/>
          <w:szCs w:val="24"/>
        </w:rPr>
        <w:t>"</w:t>
      </w:r>
      <w:r>
        <w:rPr>
          <w:rFonts w:ascii="Times New Roman" w:cs="Times New Roman" w:eastAsia="Times New Roman" w:hAnsi="Times New Roman"/>
          <w:bCs/>
          <w:sz w:val="24"/>
          <w:szCs w:val="24"/>
        </w:rPr>
        <w:t>the right to free legal representation where he cannot afford to engage legal counsel and where the interests of justice so require.</w:t>
      </w:r>
      <w:r>
        <w:rPr>
          <w:rFonts w:ascii="Times New Roman" w:cs="Times New Roman" w:eastAsia="Times New Roman" w:hAnsi="Times New Roman"/>
          <w:bCs/>
          <w:sz w:val="24"/>
          <w:szCs w:val="24"/>
        </w:rPr>
        <w:t>"</w:t>
      </w:r>
      <w:r>
        <w:rPr>
          <w:rFonts w:ascii="Times New Roman" w:cs="Times New Roman" w:eastAsia="Times New Roman" w:hAnsi="Times New Roman"/>
          <w:bCs/>
          <w:sz w:val="24"/>
          <w:szCs w:val="24"/>
          <w:vertAlign w:val="superscript"/>
        </w:rPr>
        <w:footnoteReference w:id="166"/>
      </w:r>
      <w:r>
        <w:rPr>
          <w:rFonts w:ascii="Times New Roman" w:cs="Times New Roman" w:eastAsia="Times New Roman" w:hAnsi="Times New Roman"/>
          <w:bCs/>
          <w:sz w:val="24"/>
          <w:szCs w:val="24"/>
        </w:rPr>
        <w:t xml:space="preserve"> In murder trials, where </w:t>
      </w:r>
      <w:r>
        <w:rPr>
          <w:rFonts w:ascii="Times New Roman" w:cs="Times New Roman" w:eastAsia="Times New Roman" w:hAnsi="Times New Roman"/>
          <w:bCs/>
          <w:sz w:val="24"/>
          <w:szCs w:val="24"/>
        </w:rPr>
        <w:t>the mandatory punishment upon conviction is death, the interests of justice almost invariably require legal representation.</w:t>
      </w:r>
      <w:r>
        <w:rPr>
          <w:rFonts w:ascii="Times New Roman" w:cs="Times New Roman" w:eastAsia="Times New Roman" w:hAnsi="Times New Roman"/>
          <w:bCs/>
          <w:sz w:val="24"/>
          <w:szCs w:val="24"/>
          <w:vertAlign w:val="superscript"/>
        </w:rPr>
        <w:footnoteReference w:id="167"/>
      </w:r>
      <w:r>
        <w:rPr>
          <w:rFonts w:ascii="Times New Roman" w:cs="Times New Roman" w:eastAsia="Times New Roman" w:hAnsi="Times New Roman"/>
          <w:bCs/>
          <w:sz w:val="24"/>
          <w:szCs w:val="24"/>
        </w:rPr>
        <w:t xml:space="preserve"> The failure to provide counsel in such circumstances has been held to constitute a denial of the right to fair hearing that renders the trial constitutionally invalid.</w:t>
      </w:r>
      <w:r>
        <w:rPr>
          <w:rFonts w:ascii="Times New Roman" w:cs="Times New Roman" w:eastAsia="Times New Roman" w:hAnsi="Times New Roman"/>
          <w:bCs/>
          <w:sz w:val="24"/>
          <w:szCs w:val="24"/>
          <w:vertAlign w:val="superscript"/>
        </w:rPr>
        <w:footnoteReference w:id="168"/>
      </w:r>
      <w:r>
        <w:rPr>
          <w:rFonts w:ascii="Times New Roman" w:cs="Times New Roman" w:eastAsia="Times New Roman" w:hAnsi="Times New Roman"/>
          <w:bCs/>
          <w:sz w:val="24"/>
          <w:szCs w:val="24"/>
        </w:rPr>
        <w:t xml:space="preserve"> In </w:t>
      </w:r>
      <w:r>
        <w:rPr>
          <w:rFonts w:ascii="Times New Roman" w:cs="Times New Roman" w:eastAsia="Times New Roman" w:hAnsi="Times New Roman"/>
          <w:bCs/>
          <w:i/>
          <w:iCs/>
          <w:sz w:val="24"/>
          <w:szCs w:val="24"/>
        </w:rPr>
        <w:t>Okafor v Attorney-General of Anambra State,</w:t>
      </w:r>
      <w:r>
        <w:rPr>
          <w:rFonts w:ascii="Times New Roman" w:cs="Times New Roman" w:eastAsia="Times New Roman" w:hAnsi="Times New Roman"/>
          <w:bCs/>
          <w:sz w:val="24"/>
          <w:szCs w:val="24"/>
          <w:vertAlign w:val="superscript"/>
        </w:rPr>
        <w:footnoteReference w:id="169"/>
      </w:r>
      <w:r>
        <w:rPr>
          <w:rFonts w:ascii="Times New Roman" w:cs="Times New Roman" w:eastAsia="Times New Roman" w:hAnsi="Times New Roman"/>
          <w:bCs/>
          <w:sz w:val="24"/>
          <w:szCs w:val="24"/>
        </w:rPr>
        <w:t xml:space="preserve"> the Supreme Court emphasized that “the right to legal representation in capital trials is not a mere procedural nicety but an indispensable safeguard for the integrity of the proceedings and the life of the accused, and that any proceeding in which this right is infringed cannot be said to have met the constitutional standard of a fair hearing”.</w:t>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3.1.4.2 Presumption of Innocence under Section 36(5) of the Constitution</w:t>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sz w:val="24"/>
          <w:szCs w:val="24"/>
        </w:rPr>
        <w:t>The presumption of innocence is enshrined in section 36(5) of the Constitution of the Federal Republic of Nigeria, which provides that “every person charged with a criminal offence shall be presumed innocent until he is proved guilty”.</w:t>
      </w:r>
      <w:r>
        <w:rPr>
          <w:rFonts w:ascii="Times New Roman" w:cs="Times New Roman" w:eastAsia="Times New Roman" w:hAnsi="Times New Roman"/>
          <w:sz w:val="24"/>
          <w:szCs w:val="24"/>
          <w:vertAlign w:val="superscript"/>
        </w:rPr>
        <w:footnoteReference w:id="170"/>
      </w:r>
      <w:r>
        <w:rPr>
          <w:rFonts w:ascii="Times New Roman" w:cs="Times New Roman" w:eastAsia="Times New Roman" w:hAnsi="Times New Roman"/>
          <w:sz w:val="24"/>
          <w:szCs w:val="24"/>
        </w:rPr>
        <w:t xml:space="preserve"> This constitutional provision elevates to the status of supreme law a principle that was already well-established at common law and renders it immune to legislative abrogation or judicial dilution.</w:t>
      </w:r>
      <w:r>
        <w:rPr>
          <w:rFonts w:ascii="Times New Roman" w:cs="Times New Roman" w:eastAsia="Times New Roman" w:hAnsi="Times New Roman"/>
          <w:sz w:val="24"/>
          <w:szCs w:val="24"/>
          <w:vertAlign w:val="superscript"/>
        </w:rPr>
        <w:footnoteReference w:id="171"/>
      </w:r>
      <w:r>
        <w:rPr>
          <w:rFonts w:ascii="Times New Roman" w:cs="Times New Roman" w:eastAsia="Times New Roman" w:hAnsi="Times New Roman"/>
          <w:sz w:val="24"/>
          <w:szCs w:val="24"/>
        </w:rPr>
        <w:t xml:space="preserve"> The practical effect of the presumption of innocence is that the burden of proving every element of the offence of murder rests squarely and throughout upon the prosecution; that burden never shifts to the accused. </w:t>
      </w:r>
      <w:r>
        <w:rPr>
          <w:rFonts w:ascii="Times New Roman" w:cs="Times New Roman" w:eastAsia="Times New Roman" w:hAnsi="Times New Roman"/>
          <w:sz w:val="24"/>
          <w:szCs w:val="24"/>
        </w:rPr>
        <w:t>"</w:t>
      </w:r>
      <w:r>
        <w:rPr>
          <w:rFonts w:ascii="Times New Roman" w:cs="Times New Roman" w:eastAsia="Times New Roman" w:hAnsi="Times New Roman"/>
          <w:sz w:val="24"/>
          <w:szCs w:val="24"/>
        </w:rPr>
        <w:t>The accused person is under no obligation to adduce evidence in his defense, to call witnesses, or to explain any aspect of the prosecution's case, and no adverse inference is to be drawn from his silence.</w:t>
      </w:r>
      <w:r>
        <w:rPr>
          <w:rFonts w:ascii="Times New Roman" w:cs="Times New Roman" w:eastAsia="Times New Roman" w:hAnsi="Times New Roman"/>
          <w:sz w:val="24"/>
          <w:szCs w:val="24"/>
        </w:rPr>
        <w:t>"</w:t>
      </w:r>
      <w:r>
        <w:rPr>
          <w:rFonts w:ascii="Times New Roman" w:cs="Times New Roman" w:eastAsia="Times New Roman" w:hAnsi="Times New Roman"/>
          <w:sz w:val="24"/>
          <w:szCs w:val="24"/>
          <w:vertAlign w:val="superscript"/>
        </w:rPr>
        <w:footnoteReference w:id="172"/>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The Supreme Court has been consistent in affirming the constitutional foundation and practical operation of the presumption of innocence in murder cases. In </w:t>
      </w:r>
      <w:r>
        <w:rPr>
          <w:rFonts w:ascii="Times New Roman" w:cs="Times New Roman" w:eastAsia="Times New Roman" w:hAnsi="Times New Roman"/>
          <w:i/>
          <w:iCs/>
          <w:sz w:val="24"/>
          <w:szCs w:val="24"/>
        </w:rPr>
        <w:t>Hassan v The State,</w:t>
      </w:r>
      <w:r>
        <w:rPr>
          <w:rFonts w:ascii="Times New Roman" w:cs="Times New Roman" w:eastAsia="Times New Roman" w:hAnsi="Times New Roman"/>
          <w:sz w:val="24"/>
          <w:szCs w:val="24"/>
          <w:vertAlign w:val="superscript"/>
        </w:rPr>
        <w:footnoteReference w:id="173"/>
      </w:r>
      <w:r>
        <w:rPr>
          <w:rFonts w:ascii="Times New Roman" w:cs="Times New Roman" w:eastAsia="Times New Roman" w:hAnsi="Times New Roman"/>
          <w:sz w:val="24"/>
          <w:szCs w:val="24"/>
        </w:rPr>
        <w:t xml:space="preserve"> the Supreme Court reiterated that “the burden of establishing every element of the offence of murder, the fact of death, the causal connection between the act of the accused and the death, and the requisite mental element rests exclusively and entirely upon the prosecution” by virtue of section 36(5) of the Constitution of the Federal Republic of Nigeria and section 135 of the Evidence Act 2023.</w:t>
      </w:r>
      <w:r>
        <w:rPr>
          <w:rFonts w:ascii="Times New Roman" w:cs="Times New Roman" w:eastAsia="Times New Roman" w:hAnsi="Times New Roman"/>
          <w:sz w:val="24"/>
          <w:szCs w:val="24"/>
          <w:vertAlign w:val="superscript"/>
        </w:rPr>
        <w:footnoteReference w:id="174"/>
      </w:r>
      <w:r>
        <w:rPr>
          <w:rFonts w:ascii="Times New Roman" w:cs="Times New Roman" w:eastAsia="Times New Roman" w:hAnsi="Times New Roman"/>
          <w:sz w:val="24"/>
          <w:szCs w:val="24"/>
        </w:rPr>
        <w:t xml:space="preserve"> This principle is consistent with the position established by the House of Lords in </w:t>
      </w:r>
      <w:r>
        <w:rPr>
          <w:rFonts w:ascii="Times New Roman" w:cs="Times New Roman" w:eastAsia="Times New Roman" w:hAnsi="Times New Roman"/>
          <w:i/>
          <w:iCs/>
          <w:sz w:val="24"/>
          <w:szCs w:val="24"/>
        </w:rPr>
        <w:t>Woolmington v Director of Public Prosecutions</w:t>
      </w:r>
      <w:r>
        <w:rPr>
          <w:rFonts w:ascii="Times New Roman" w:cs="Times New Roman" w:eastAsia="Times New Roman" w:hAnsi="Times New Roman"/>
          <w:sz w:val="24"/>
          <w:szCs w:val="24"/>
          <w:vertAlign w:val="superscript"/>
        </w:rPr>
        <w:footnoteReference w:id="175"/>
      </w:r>
      <w:r>
        <w:rPr>
          <w:rFonts w:ascii="Times New Roman" w:cs="Times New Roman" w:eastAsia="Times New Roman" w:hAnsi="Times New Roman"/>
          <w:sz w:val="24"/>
          <w:szCs w:val="24"/>
        </w:rPr>
        <w:t xml:space="preserve"> and adopted by Nigerian courts as the foundational rule of criminal proof.</w:t>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The standard of proof imposed by the presumption of innocence is proof beyond reasonable doubt. In </w:t>
      </w:r>
      <w:r>
        <w:rPr>
          <w:rFonts w:ascii="Times New Roman" w:cs="Times New Roman" w:eastAsia="Times New Roman" w:hAnsi="Times New Roman"/>
          <w:i/>
          <w:iCs/>
          <w:sz w:val="24"/>
          <w:szCs w:val="24"/>
        </w:rPr>
        <w:t>Mufutau Bakare v The State,</w:t>
      </w:r>
      <w:r>
        <w:rPr>
          <w:rFonts w:ascii="Times New Roman" w:cs="Times New Roman" w:eastAsia="Times New Roman" w:hAnsi="Times New Roman"/>
          <w:sz w:val="24"/>
          <w:szCs w:val="24"/>
        </w:rPr>
        <w:t xml:space="preserve"> Oputa JSC provided the most frequently cited judicial elaboration of this standard in Nigerian jurisprudence, explaining that “proof beyond reasonable doubt requires a high degree of probability and is clearly distinguishable from proof beyond all possible doubt, which is not required”.</w:t>
      </w:r>
      <w:r>
        <w:rPr>
          <w:rFonts w:ascii="Times New Roman" w:cs="Times New Roman" w:eastAsia="Times New Roman" w:hAnsi="Times New Roman"/>
          <w:sz w:val="24"/>
          <w:szCs w:val="24"/>
          <w:vertAlign w:val="superscript"/>
        </w:rPr>
        <w:footnoteReference w:id="176"/>
      </w:r>
      <w:r>
        <w:rPr>
          <w:rFonts w:ascii="Times New Roman" w:cs="Times New Roman" w:eastAsia="Times New Roman" w:hAnsi="Times New Roman"/>
          <w:sz w:val="24"/>
          <w:szCs w:val="24"/>
        </w:rPr>
        <w:t xml:space="preserve"> The prosecution must therefore establish each element of the offence to a degree of certainty that leaves no room for reasonable doubt in the mind of a rational and unprejudiced tribunal; a mere balance of probability, however strongly tipped in favour of guilt, is insufficient.</w:t>
      </w:r>
      <w:r>
        <w:rPr>
          <w:rFonts w:ascii="Times New Roman" w:cs="Times New Roman" w:eastAsia="Times New Roman" w:hAnsi="Times New Roman"/>
          <w:sz w:val="24"/>
          <w:szCs w:val="24"/>
          <w:vertAlign w:val="superscript"/>
        </w:rPr>
        <w:footnoteReference w:id="177"/>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sz w:val="24"/>
          <w:szCs w:val="24"/>
        </w:rPr>
        <w:t xml:space="preserve">The proviso to section 36(5) of the Constitution preserves </w:t>
      </w:r>
      <w:r>
        <w:rPr>
          <w:rFonts w:ascii="Times New Roman" w:cs="Times New Roman" w:eastAsia="Times New Roman" w:hAnsi="Times New Roman"/>
          <w:sz w:val="24"/>
          <w:szCs w:val="24"/>
        </w:rPr>
        <w:t>"</w:t>
      </w:r>
      <w:r>
        <w:rPr>
          <w:rFonts w:ascii="Times New Roman" w:cs="Times New Roman" w:eastAsia="Times New Roman" w:hAnsi="Times New Roman"/>
          <w:sz w:val="24"/>
          <w:szCs w:val="24"/>
        </w:rPr>
        <w:t>the competence of the legislature to enact provisions under which the burden of proving certain facts may, in particular circumstances, be cast upon the accused</w:t>
      </w:r>
      <w:r>
        <w:rPr>
          <w:rFonts w:ascii="Times New Roman" w:cs="Times New Roman" w:eastAsia="Times New Roman" w:hAnsi="Times New Roman"/>
          <w:sz w:val="24"/>
          <w:szCs w:val="24"/>
        </w:rPr>
        <w:t>."</w:t>
      </w:r>
      <w:r>
        <w:rPr>
          <w:rFonts w:ascii="Times New Roman" w:cs="Times New Roman" w:eastAsia="Times New Roman" w:hAnsi="Times New Roman"/>
          <w:sz w:val="24"/>
          <w:szCs w:val="24"/>
          <w:vertAlign w:val="superscript"/>
        </w:rPr>
        <w:footnoteReference w:id="178"/>
      </w:r>
      <w:r>
        <w:rPr>
          <w:rFonts w:ascii="Times New Roman" w:cs="Times New Roman" w:eastAsia="Times New Roman" w:hAnsi="Times New Roman"/>
          <w:sz w:val="24"/>
          <w:szCs w:val="24"/>
        </w:rPr>
        <w:t xml:space="preserve"> This residual legislative power has been </w:t>
      </w:r>
      <w:r>
        <w:rPr>
          <w:rFonts w:ascii="Times New Roman" w:cs="Times New Roman" w:eastAsia="Times New Roman" w:hAnsi="Times New Roman"/>
          <w:sz w:val="24"/>
          <w:szCs w:val="24"/>
        </w:rPr>
        <w:t xml:space="preserve">exercised, for example, in respect of statutory defenses such as the defense of insanity in murder trials, where the burden of establishing the facts constituting the defense rests upon the accused. In </w:t>
      </w:r>
      <w:r>
        <w:rPr>
          <w:rFonts w:ascii="Times New Roman" w:cs="Times New Roman" w:eastAsia="Times New Roman" w:hAnsi="Times New Roman"/>
          <w:i/>
          <w:iCs/>
          <w:sz w:val="24"/>
          <w:szCs w:val="24"/>
        </w:rPr>
        <w:t>R v Oye,</w:t>
      </w:r>
      <w:r>
        <w:rPr>
          <w:rFonts w:ascii="Times New Roman" w:cs="Times New Roman" w:eastAsia="Times New Roman" w:hAnsi="Times New Roman"/>
          <w:sz w:val="24"/>
          <w:szCs w:val="24"/>
          <w:vertAlign w:val="superscript"/>
        </w:rPr>
        <w:footnoteReference w:id="179"/>
      </w:r>
      <w:r>
        <w:rPr>
          <w:rFonts w:ascii="Times New Roman" w:cs="Times New Roman" w:eastAsia="Times New Roman" w:hAnsi="Times New Roman"/>
          <w:sz w:val="24"/>
          <w:szCs w:val="24"/>
        </w:rPr>
        <w:t xml:space="preserve"> the Federal Supreme Court confirmed that “where an accused person raises the defense of insanity in a murder trial, the burden of proof on that issue lies upon the accused on the balance of probabilities, while the prosecution retains the overall burden of proving the unlawfulness and intentionality of the killing beyond reasonable doubt”.</w:t>
      </w:r>
    </w:p>
    <w:p>
      <w:pPr>
        <w:pStyle w:val="style0"/>
        <w:spacing w:before="280" w:after="120" w:lineRule="auto" w:line="480"/>
        <w:rPr>
          <w:rFonts w:ascii="Times New Roman" w:cs="Times New Roman" w:eastAsia="MS Mincho" w:hAnsi="Times New Roman"/>
          <w:b/>
          <w:sz w:val="24"/>
          <w:szCs w:val="24"/>
        </w:rPr>
      </w:pPr>
      <w:r>
        <w:rPr>
          <w:rFonts w:ascii="Times New Roman" w:cs="Times New Roman" w:eastAsia="MS Mincho" w:hAnsi="Times New Roman"/>
          <w:b/>
          <w:sz w:val="24"/>
          <w:szCs w:val="24"/>
        </w:rPr>
        <w:t>3.2 Institutional Framework</w:t>
      </w:r>
    </w:p>
    <w:p>
      <w:pPr>
        <w:pStyle w:val="style0"/>
        <w:spacing w:before="160" w:after="80" w:lineRule="auto" w:line="480"/>
        <w:rPr>
          <w:rFonts w:ascii="Times New Roman" w:cs="Times New Roman" w:eastAsia="MS Mincho" w:hAnsi="Times New Roman"/>
          <w:sz w:val="24"/>
          <w:szCs w:val="24"/>
        </w:rPr>
      </w:pPr>
      <w:r>
        <w:rPr>
          <w:rFonts w:ascii="Times New Roman" w:cs="Times New Roman" w:eastAsia="MS Mincho" w:hAnsi="Times New Roman"/>
          <w:b/>
          <w:sz w:val="24"/>
          <w:szCs w:val="24"/>
        </w:rPr>
        <w:t>3.2.1 The Police</w:t>
      </w:r>
    </w:p>
    <w:p>
      <w:pPr>
        <w:pStyle w:val="style0"/>
        <w:spacing w:after="120" w:lineRule="auto" w:line="480"/>
        <w:jc w:val="both"/>
        <w:rPr>
          <w:rFonts w:ascii="Times New Roman" w:cs="Times New Roman" w:eastAsia="MS Mincho" w:hAnsi="Times New Roman"/>
          <w:sz w:val="24"/>
          <w:szCs w:val="24"/>
        </w:rPr>
      </w:pPr>
      <w:r>
        <w:rPr>
          <w:rFonts w:ascii="Times New Roman" w:cs="Times New Roman" w:eastAsia="MS Mincho" w:hAnsi="Times New Roman"/>
          <w:sz w:val="24"/>
          <w:szCs w:val="24"/>
        </w:rPr>
        <w:t>The Nigeria Police Force serves as the primary law enforcement institution responsible for the prevention and detection of crime, apprehension of offenders, and the preservation of law and order under Section 4 of the Police Act.</w:t>
      </w:r>
      <w:r>
        <w:rPr>
          <w:rFonts w:ascii="Times New Roman" w:cs="Times New Roman" w:eastAsia="MS Mincho" w:hAnsi="Times New Roman"/>
          <w:sz w:val="24"/>
          <w:szCs w:val="24"/>
          <w:vertAlign w:val="superscript"/>
        </w:rPr>
        <w:footnoteReference w:id="180"/>
      </w:r>
      <w:r>
        <w:rPr>
          <w:rFonts w:ascii="Times New Roman" w:cs="Times New Roman" w:eastAsia="MS Mincho" w:hAnsi="Times New Roman"/>
          <w:sz w:val="24"/>
          <w:szCs w:val="24"/>
        </w:rPr>
        <w:t xml:space="preserve"> In murder cases, which constitute capital offenses, the police initiate criminal proceedings by making arrests, which must strictly conform with Section 35 of the Constitution of the Federal Republic of Nigeria 1999 (as amended) and the Administration of Criminal Justice Act (ACJA) 2015.</w:t>
      </w:r>
      <w:r>
        <w:rPr>
          <w:rFonts w:ascii="Times New Roman" w:cs="Times New Roman" w:eastAsia="MS Mincho" w:hAnsi="Times New Roman"/>
          <w:sz w:val="24"/>
          <w:szCs w:val="24"/>
          <w:vertAlign w:val="superscript"/>
        </w:rPr>
        <w:footnoteReference w:id="181"/>
      </w:r>
      <w:r>
        <w:rPr>
          <w:rFonts w:ascii="Times New Roman" w:cs="Times New Roman" w:eastAsia="MS Mincho" w:hAnsi="Times New Roman"/>
          <w:sz w:val="24"/>
          <w:szCs w:val="24"/>
        </w:rPr>
        <w:t xml:space="preserve"> Arrests in murder cases are usually carried out by officers attached to the State Criminal Investigation and Intelligence Department (SCIID) or the Force Criminal Investigation Department (FCID) following a formal petition or emergency report.</w:t>
      </w:r>
      <w:r>
        <w:rPr>
          <w:rFonts w:ascii="Times New Roman" w:cs="Times New Roman" w:eastAsia="MS Mincho" w:hAnsi="Times New Roman"/>
          <w:sz w:val="24"/>
          <w:szCs w:val="24"/>
          <w:vertAlign w:val="superscript"/>
        </w:rPr>
        <w:footnoteReference w:id="182"/>
      </w:r>
      <w:r>
        <w:rPr>
          <w:rFonts w:ascii="Times New Roman" w:cs="Times New Roman" w:eastAsia="MS Mincho" w:hAnsi="Times New Roman"/>
          <w:sz w:val="24"/>
          <w:szCs w:val="24"/>
        </w:rPr>
        <w:t xml:space="preserve"> Upon arrest, the police are statutorily required to inform the suspect immediately of the reason for the arrest and their right to </w:t>
      </w:r>
      <w:r>
        <w:rPr>
          <w:rFonts w:ascii="Times New Roman" w:cs="Times New Roman" w:eastAsia="MS Mincho" w:hAnsi="Times New Roman"/>
          <w:sz w:val="24"/>
          <w:szCs w:val="24"/>
        </w:rPr>
        <w:t>remain silent or avoid answering any question until after consultation with a legal practitioner or any other person of their choice.</w:t>
      </w:r>
      <w:r>
        <w:rPr>
          <w:rFonts w:ascii="Times New Roman" w:cs="Times New Roman" w:eastAsia="MS Mincho" w:hAnsi="Times New Roman"/>
          <w:sz w:val="24"/>
          <w:szCs w:val="24"/>
          <w:vertAlign w:val="superscript"/>
        </w:rPr>
        <w:footnoteReference w:id="183"/>
      </w:r>
    </w:p>
    <w:p>
      <w:pPr>
        <w:pStyle w:val="style0"/>
        <w:spacing w:after="120" w:lineRule="auto" w:line="480"/>
        <w:jc w:val="both"/>
        <w:rPr>
          <w:rFonts w:ascii="Times New Roman" w:cs="Times New Roman" w:eastAsia="MS Mincho" w:hAnsi="Times New Roman"/>
          <w:sz w:val="24"/>
          <w:szCs w:val="24"/>
        </w:rPr>
      </w:pPr>
      <w:r>
        <w:rPr>
          <w:rFonts w:ascii="Times New Roman" w:cs="Times New Roman" w:eastAsia="MS Mincho" w:hAnsi="Times New Roman"/>
          <w:sz w:val="24"/>
          <w:szCs w:val="24"/>
        </w:rPr>
        <w:t xml:space="preserve">The documentation of evidence and confessions in murder investigations is governed by rigid statutory standards. Under Section 15 and 17 of the ACJA 2015, and Section 29 of the Evidence Act 2023, </w:t>
      </w:r>
      <w:r>
        <w:rPr>
          <w:rFonts w:ascii="Times New Roman" w:cs="Times New Roman" w:eastAsia="MS Mincho" w:hAnsi="Times New Roman"/>
          <w:sz w:val="24"/>
          <w:szCs w:val="24"/>
        </w:rPr>
        <w:t>"</w:t>
      </w:r>
      <w:r>
        <w:rPr>
          <w:rFonts w:ascii="Times New Roman" w:cs="Times New Roman" w:eastAsia="MS Mincho" w:hAnsi="Times New Roman"/>
          <w:sz w:val="24"/>
          <w:szCs w:val="24"/>
        </w:rPr>
        <w:t>any confessional statement made by a suspect must be recorded in writing and, where feasible, electronically captured via video recording.</w:t>
      </w:r>
      <w:r>
        <w:rPr>
          <w:rFonts w:ascii="Times New Roman" w:cs="Times New Roman" w:eastAsia="MS Mincho" w:hAnsi="Times New Roman"/>
          <w:sz w:val="24"/>
          <w:szCs w:val="24"/>
        </w:rPr>
        <w:t>"</w:t>
      </w:r>
      <w:r>
        <w:rPr>
          <w:rFonts w:ascii="Times New Roman" w:cs="Times New Roman" w:eastAsia="MS Mincho" w:hAnsi="Times New Roman"/>
          <w:sz w:val="24"/>
          <w:szCs w:val="24"/>
          <w:vertAlign w:val="superscript"/>
        </w:rPr>
        <w:footnoteReference w:id="184"/>
      </w:r>
      <w:r>
        <w:rPr>
          <w:rFonts w:ascii="Times New Roman" w:cs="Times New Roman" w:eastAsia="MS Mincho" w:hAnsi="Times New Roman"/>
          <w:sz w:val="24"/>
          <w:szCs w:val="24"/>
        </w:rPr>
        <w:t xml:space="preserve"> The writing of the statement must be done voluntarily, and the presence of a legal practitioner or a member of the Legal Aid Council or a civil society organization is mandatory to ensure the absence of torture, duress, or undue influence.</w:t>
      </w:r>
      <w:r>
        <w:rPr>
          <w:rFonts w:ascii="Times New Roman" w:cs="Times New Roman" w:eastAsia="MS Mincho" w:hAnsi="Times New Roman"/>
          <w:sz w:val="24"/>
          <w:szCs w:val="24"/>
          <w:vertAlign w:val="superscript"/>
        </w:rPr>
        <w:footnoteReference w:id="185"/>
      </w:r>
      <w:r>
        <w:rPr>
          <w:rFonts w:ascii="Times New Roman" w:cs="Times New Roman" w:eastAsia="MS Mincho" w:hAnsi="Times New Roman"/>
          <w:sz w:val="24"/>
          <w:szCs w:val="24"/>
        </w:rPr>
        <w:t xml:space="preserve"> Physical evidence, including the weapon used (corpus delicti), forensic samples, and autopsy reports from medical practitioners, are meticulously documented in the police case file, which forms the bedrock of the prosecution's brief.</w:t>
      </w:r>
      <w:r>
        <w:rPr>
          <w:rFonts w:ascii="Times New Roman" w:cs="Times New Roman" w:eastAsia="MS Mincho" w:hAnsi="Times New Roman"/>
          <w:sz w:val="24"/>
          <w:szCs w:val="24"/>
          <w:vertAlign w:val="superscript"/>
        </w:rPr>
        <w:footnoteReference w:id="186"/>
      </w:r>
      <w:r>
        <w:rPr>
          <w:rFonts w:ascii="Times New Roman" w:cs="Times New Roman" w:eastAsia="MS Mincho" w:hAnsi="Times New Roman"/>
          <w:sz w:val="24"/>
          <w:szCs w:val="24"/>
        </w:rPr>
        <w:t xml:space="preserve"> Where customary elements surface, such as allegations of witchcraft or traditional ritual killings, the police treat these strictly under statutory criminal frameworks, as customary criminal law is explicitly abolished by Section 36(12) of the Constitution.</w:t>
      </w:r>
      <w:r>
        <w:rPr>
          <w:rFonts w:ascii="Times New Roman" w:cs="Times New Roman" w:eastAsia="MS Mincho" w:hAnsi="Times New Roman"/>
          <w:sz w:val="24"/>
          <w:szCs w:val="24"/>
          <w:vertAlign w:val="superscript"/>
        </w:rPr>
        <w:footnoteReference w:id="187"/>
      </w:r>
    </w:p>
    <w:p>
      <w:pPr>
        <w:pStyle w:val="style0"/>
        <w:spacing w:before="160" w:after="80" w:lineRule="auto" w:line="480"/>
        <w:rPr>
          <w:rFonts w:ascii="Times New Roman" w:cs="Times New Roman" w:eastAsia="MS Mincho" w:hAnsi="Times New Roman"/>
          <w:sz w:val="24"/>
          <w:szCs w:val="24"/>
        </w:rPr>
      </w:pPr>
      <w:r>
        <w:rPr>
          <w:rFonts w:ascii="Times New Roman" w:cs="Times New Roman" w:eastAsia="MS Mincho" w:hAnsi="Times New Roman"/>
          <w:b/>
          <w:sz w:val="24"/>
          <w:szCs w:val="24"/>
        </w:rPr>
        <w:t>3.2.2 The Judiciary</w:t>
      </w:r>
    </w:p>
    <w:p>
      <w:pPr>
        <w:pStyle w:val="style0"/>
        <w:spacing w:after="120" w:lineRule="auto" w:line="480"/>
        <w:jc w:val="both"/>
        <w:rPr>
          <w:rFonts w:ascii="Times New Roman" w:cs="Times New Roman" w:eastAsia="MS Mincho" w:hAnsi="Times New Roman"/>
          <w:sz w:val="24"/>
          <w:szCs w:val="24"/>
        </w:rPr>
      </w:pPr>
      <w:r>
        <w:rPr>
          <w:rFonts w:ascii="Times New Roman" w:cs="Times New Roman" w:eastAsia="MS Mincho" w:hAnsi="Times New Roman"/>
          <w:sz w:val="24"/>
          <w:szCs w:val="24"/>
        </w:rPr>
        <w:t>The Judiciary occupies a central position as the independent arbiter responsible for evaluating evidence, safeguarding constitutional rights, and applying the validity tests to any customary practices that intersect with modern criminal law or civil status.</w:t>
      </w:r>
      <w:r>
        <w:rPr>
          <w:rFonts w:ascii="Times New Roman" w:cs="Times New Roman" w:eastAsia="MS Mincho" w:hAnsi="Times New Roman"/>
          <w:sz w:val="24"/>
          <w:szCs w:val="24"/>
          <w:vertAlign w:val="superscript"/>
        </w:rPr>
        <w:footnoteReference w:id="188"/>
      </w:r>
      <w:r>
        <w:rPr>
          <w:rFonts w:ascii="Times New Roman" w:cs="Times New Roman" w:eastAsia="MS Mincho" w:hAnsi="Times New Roman"/>
          <w:sz w:val="24"/>
          <w:szCs w:val="24"/>
        </w:rPr>
        <w:t xml:space="preserve"> In murder trials, the role of judges of the State High Court is to “ensure that the prosecution proves its </w:t>
      </w:r>
      <w:r>
        <w:rPr>
          <w:rFonts w:ascii="Times New Roman" w:cs="Times New Roman" w:eastAsia="MS Mincho" w:hAnsi="Times New Roman"/>
          <w:sz w:val="24"/>
          <w:szCs w:val="24"/>
        </w:rPr>
        <w:t>case beyond reasonable doubt as mandated by Section 135 of the Evidence Act 2023”.</w:t>
      </w:r>
      <w:r>
        <w:rPr>
          <w:rFonts w:ascii="Times New Roman" w:cs="Times New Roman" w:eastAsia="MS Mincho" w:hAnsi="Times New Roman"/>
          <w:sz w:val="24"/>
          <w:szCs w:val="24"/>
          <w:vertAlign w:val="superscript"/>
        </w:rPr>
        <w:footnoteReference w:id="189"/>
      </w:r>
      <w:r>
        <w:rPr>
          <w:rFonts w:ascii="Times New Roman" w:cs="Times New Roman" w:eastAsia="MS Mincho" w:hAnsi="Times New Roman"/>
          <w:sz w:val="24"/>
          <w:szCs w:val="24"/>
        </w:rPr>
        <w:t xml:space="preserve"> The trial judge sits as both the judge of law and the judge of fact, scrutinizing the admissibility of confessions through trials-within-trials where voluntariness is contested, and weighing oral and documentary evidence.</w:t>
      </w:r>
      <w:r>
        <w:rPr>
          <w:rFonts w:ascii="Times New Roman" w:cs="Times New Roman" w:eastAsia="MS Mincho" w:hAnsi="Times New Roman"/>
          <w:sz w:val="24"/>
          <w:szCs w:val="24"/>
          <w:vertAlign w:val="superscript"/>
        </w:rPr>
        <w:footnoteReference w:id="190"/>
      </w:r>
    </w:p>
    <w:p>
      <w:pPr>
        <w:pStyle w:val="style0"/>
        <w:spacing w:after="120" w:lineRule="auto" w:line="480"/>
        <w:jc w:val="both"/>
        <w:rPr>
          <w:rFonts w:ascii="Times New Roman" w:cs="Times New Roman" w:eastAsia="MS Mincho" w:hAnsi="Times New Roman"/>
          <w:bCs/>
          <w:sz w:val="24"/>
          <w:szCs w:val="24"/>
        </w:rPr>
      </w:pPr>
      <w:r>
        <w:rPr>
          <w:rFonts w:ascii="Times New Roman" w:cs="Times New Roman" w:eastAsia="MS Mincho" w:hAnsi="Times New Roman"/>
          <w:bCs/>
          <w:sz w:val="24"/>
          <w:szCs w:val="24"/>
        </w:rPr>
        <w:t>Nigerian courts have produced a substantial body of landmark decisions over many decades that collectively define and refine the practical law governing the proof of murder. These decisions have crystallized into an authoritative jurisprudence that governs the burden and standard of proof, the evaluation of circumstantial evidence, the admissibility and weight of confessional evidence, the reception of dying declarations, and the application of the constitutional safeguards that overlay all criminal proceedings.</w:t>
      </w:r>
    </w:p>
    <w:p>
      <w:pPr>
        <w:pStyle w:val="style0"/>
        <w:spacing w:after="120" w:lineRule="auto" w:line="480"/>
        <w:jc w:val="both"/>
        <w:rPr>
          <w:rFonts w:ascii="Times New Roman" w:cs="Times New Roman" w:eastAsia="MS Mincho" w:hAnsi="Times New Roman"/>
          <w:bCs/>
          <w:sz w:val="24"/>
          <w:szCs w:val="24"/>
        </w:rPr>
      </w:pPr>
      <w:r>
        <w:rPr>
          <w:rFonts w:ascii="Times New Roman" w:cs="Times New Roman" w:eastAsia="MS Mincho" w:hAnsi="Times New Roman"/>
          <w:bCs/>
          <w:sz w:val="24"/>
          <w:szCs w:val="24"/>
        </w:rPr>
        <w:t xml:space="preserve">The decision of the Supreme Court in </w:t>
      </w:r>
      <w:r>
        <w:rPr>
          <w:rFonts w:ascii="Times New Roman" w:cs="Times New Roman" w:eastAsia="MS Mincho" w:hAnsi="Times New Roman"/>
          <w:bCs/>
          <w:i/>
          <w:iCs/>
          <w:sz w:val="24"/>
          <w:szCs w:val="24"/>
        </w:rPr>
        <w:t>Ogba v The State</w:t>
      </w:r>
      <w:r>
        <w:rPr>
          <w:rFonts w:ascii="Times New Roman" w:cs="Times New Roman" w:eastAsia="MS Mincho" w:hAnsi="Times New Roman"/>
          <w:bCs/>
          <w:sz w:val="24"/>
          <w:szCs w:val="24"/>
          <w:vertAlign w:val="superscript"/>
        </w:rPr>
        <w:footnoteReference w:id="191"/>
      </w:r>
      <w:r>
        <w:rPr>
          <w:rFonts w:ascii="Times New Roman" w:cs="Times New Roman" w:eastAsia="MS Mincho" w:hAnsi="Times New Roman"/>
          <w:bCs/>
          <w:sz w:val="24"/>
          <w:szCs w:val="24"/>
        </w:rPr>
        <w:t xml:space="preserve"> has for many years been regarded as the most authoritative single statement of the elements required to establish murder and of the allocation of the burden of proof. In that case the court identified three conjunctive elements of the offence; “the fact of the death of the deceased, the causal connection between the act of the accused and that death, and the requisite mental element of intention or knowledge” and firmly restated that “the burden of proving each of those elements beyond reasonable doubt rests throughout upon the prosecution and never shifts to the accused”. This decision has since been cited as the foundational authority on the proof of murder in virtually every subsequent case.</w:t>
      </w:r>
    </w:p>
    <w:p>
      <w:pPr>
        <w:pStyle w:val="style0"/>
        <w:spacing w:after="120" w:lineRule="auto" w:line="480"/>
        <w:jc w:val="both"/>
        <w:rPr>
          <w:rFonts w:ascii="Times New Roman" w:cs="Times New Roman" w:eastAsia="MS Mincho" w:hAnsi="Times New Roman"/>
          <w:bCs/>
          <w:sz w:val="24"/>
          <w:szCs w:val="24"/>
        </w:rPr>
      </w:pPr>
      <w:r>
        <w:rPr>
          <w:rFonts w:ascii="Times New Roman" w:cs="Times New Roman" w:eastAsia="MS Mincho" w:hAnsi="Times New Roman"/>
          <w:bCs/>
          <w:sz w:val="24"/>
          <w:szCs w:val="24"/>
        </w:rPr>
        <w:t xml:space="preserve">The standard of proof beyond reasonable doubt received its most influential judicial elaboration in </w:t>
      </w:r>
      <w:r>
        <w:rPr>
          <w:rFonts w:ascii="Times New Roman" w:cs="Times New Roman" w:eastAsia="MS Mincho" w:hAnsi="Times New Roman"/>
          <w:bCs/>
          <w:i/>
          <w:iCs/>
          <w:sz w:val="24"/>
          <w:szCs w:val="24"/>
        </w:rPr>
        <w:t>Mufutau Bakare v The State,</w:t>
      </w:r>
      <w:r>
        <w:rPr>
          <w:rFonts w:ascii="Times New Roman" w:cs="Times New Roman" w:eastAsia="MS Mincho" w:hAnsi="Times New Roman"/>
          <w:bCs/>
          <w:sz w:val="24"/>
          <w:szCs w:val="24"/>
          <w:vertAlign w:val="superscript"/>
        </w:rPr>
        <w:footnoteReference w:id="192"/>
      </w:r>
      <w:r>
        <w:rPr>
          <w:rFonts w:ascii="Times New Roman" w:cs="Times New Roman" w:eastAsia="MS Mincho" w:hAnsi="Times New Roman"/>
          <w:bCs/>
          <w:sz w:val="24"/>
          <w:szCs w:val="24"/>
        </w:rPr>
        <w:t xml:space="preserve"> where Oputa JSC carefully distinguished between proof beyond reasonable doubt and proof beyond all possible doubt, holding that “the standard requires a high degree of probability, that it goes beyond the balance of probabilities required in civil cases, but that it does not require the elimination of every conceivable doubt”. This judgment has been cited with approval in subsequent decisions and provides the practical benchmark against which courts assess the totality of the evidence in murder trials.</w:t>
      </w:r>
    </w:p>
    <w:p>
      <w:pPr>
        <w:pStyle w:val="style0"/>
        <w:spacing w:after="120" w:lineRule="auto" w:line="480"/>
        <w:jc w:val="both"/>
        <w:rPr>
          <w:rFonts w:ascii="Times New Roman" w:cs="Times New Roman" w:eastAsia="MS Mincho" w:hAnsi="Times New Roman"/>
          <w:bCs/>
          <w:sz w:val="24"/>
          <w:szCs w:val="24"/>
        </w:rPr>
      </w:pPr>
      <w:r>
        <w:rPr>
          <w:rFonts w:ascii="Times New Roman" w:cs="Times New Roman" w:eastAsia="MS Mincho" w:hAnsi="Times New Roman"/>
          <w:bCs/>
          <w:sz w:val="24"/>
          <w:szCs w:val="24"/>
        </w:rPr>
        <w:t xml:space="preserve">On the subject of circumstantial evidence, the Supreme Court in </w:t>
      </w:r>
      <w:r>
        <w:rPr>
          <w:rFonts w:ascii="Times New Roman" w:cs="Times New Roman" w:eastAsia="MS Mincho" w:hAnsi="Times New Roman"/>
          <w:bCs/>
          <w:i/>
          <w:iCs/>
          <w:sz w:val="24"/>
          <w:szCs w:val="24"/>
        </w:rPr>
        <w:t>Yongo v Commissioner of Police</w:t>
      </w:r>
      <w:r>
        <w:rPr>
          <w:rFonts w:ascii="Times New Roman" w:cs="Times New Roman" w:eastAsia="MS Mincho" w:hAnsi="Times New Roman"/>
          <w:bCs/>
          <w:sz w:val="24"/>
          <w:szCs w:val="24"/>
          <w:vertAlign w:val="superscript"/>
        </w:rPr>
        <w:footnoteReference w:id="193"/>
      </w:r>
      <w:r>
        <w:rPr>
          <w:rFonts w:ascii="Times New Roman" w:cs="Times New Roman" w:eastAsia="MS Mincho" w:hAnsi="Times New Roman"/>
          <w:bCs/>
          <w:sz w:val="24"/>
          <w:szCs w:val="24"/>
        </w:rPr>
        <w:t xml:space="preserve"> and subsequently in </w:t>
      </w:r>
      <w:r>
        <w:rPr>
          <w:rFonts w:ascii="Times New Roman" w:cs="Times New Roman" w:eastAsia="MS Mincho" w:hAnsi="Times New Roman"/>
          <w:bCs/>
          <w:i/>
          <w:iCs/>
          <w:sz w:val="24"/>
          <w:szCs w:val="24"/>
        </w:rPr>
        <w:t>Chief Vincent Duru (alias Otokoto) v The State</w:t>
      </w:r>
      <w:r>
        <w:rPr>
          <w:rFonts w:ascii="Times New Roman" w:cs="Times New Roman" w:eastAsia="MS Mincho" w:hAnsi="Times New Roman"/>
          <w:bCs/>
          <w:sz w:val="24"/>
          <w:szCs w:val="24"/>
          <w:vertAlign w:val="superscript"/>
        </w:rPr>
        <w:footnoteReference w:id="194"/>
      </w:r>
      <w:r>
        <w:rPr>
          <w:rFonts w:ascii="Times New Roman" w:cs="Times New Roman" w:eastAsia="MS Mincho" w:hAnsi="Times New Roman"/>
          <w:bCs/>
          <w:sz w:val="24"/>
          <w:szCs w:val="24"/>
        </w:rPr>
        <w:t xml:space="preserve"> settled the position that “circumstantial evidence, to sustain a conviction for murder, must be compelling rather than merely cogent: it must be complete and unequivocal, it must leave no room for any reasonable doubt, and it must point inexorably and undeniably to the conclusion that no other person but the accused is guilty of the murder of the deceased”. In the </w:t>
      </w:r>
      <w:r>
        <w:rPr>
          <w:rFonts w:ascii="Times New Roman" w:cs="Times New Roman" w:eastAsia="MS Mincho" w:hAnsi="Times New Roman"/>
          <w:bCs/>
          <w:i/>
          <w:iCs/>
          <w:sz w:val="24"/>
          <w:szCs w:val="24"/>
        </w:rPr>
        <w:t>Otokoto</w:t>
      </w:r>
      <w:r>
        <w:rPr>
          <w:rFonts w:ascii="Times New Roman" w:cs="Times New Roman" w:eastAsia="MS Mincho" w:hAnsi="Times New Roman"/>
          <w:bCs/>
          <w:sz w:val="24"/>
          <w:szCs w:val="24"/>
        </w:rPr>
        <w:t xml:space="preserve"> case the Supreme Court upheld a conviction for murder based entirely on circumstantial evidence that met this exacting standard, thereby confirming that a well-constructed circumstantial case can be as cogent as any direct evidence.</w:t>
      </w:r>
    </w:p>
    <w:p>
      <w:pPr>
        <w:pStyle w:val="style0"/>
        <w:spacing w:after="120" w:lineRule="auto" w:line="480"/>
        <w:jc w:val="both"/>
        <w:rPr>
          <w:rFonts w:ascii="Times New Roman" w:cs="Times New Roman" w:eastAsia="MS Mincho" w:hAnsi="Times New Roman"/>
          <w:bCs/>
          <w:sz w:val="24"/>
          <w:szCs w:val="24"/>
        </w:rPr>
      </w:pPr>
      <w:r>
        <w:rPr>
          <w:rFonts w:ascii="Times New Roman" w:cs="Times New Roman" w:eastAsia="MS Mincho" w:hAnsi="Times New Roman"/>
          <w:bCs/>
          <w:sz w:val="24"/>
          <w:szCs w:val="24"/>
        </w:rPr>
        <w:t xml:space="preserve">The admissibility and treatment of dying declarations was examined by the Supreme Court in </w:t>
      </w:r>
      <w:r>
        <w:rPr>
          <w:rFonts w:ascii="Times New Roman" w:cs="Times New Roman" w:eastAsia="MS Mincho" w:hAnsi="Times New Roman"/>
          <w:bCs/>
          <w:i/>
          <w:iCs/>
          <w:sz w:val="24"/>
          <w:szCs w:val="24"/>
        </w:rPr>
        <w:t>Okoro v The State,</w:t>
      </w:r>
      <w:r>
        <w:rPr>
          <w:rFonts w:ascii="Times New Roman" w:cs="Times New Roman" w:eastAsia="MS Mincho" w:hAnsi="Times New Roman"/>
          <w:bCs/>
          <w:sz w:val="24"/>
          <w:szCs w:val="24"/>
          <w:vertAlign w:val="superscript"/>
        </w:rPr>
        <w:footnoteReference w:id="195"/>
      </w:r>
      <w:r>
        <w:rPr>
          <w:rFonts w:ascii="Times New Roman" w:cs="Times New Roman" w:eastAsia="MS Mincho" w:hAnsi="Times New Roman"/>
          <w:bCs/>
          <w:sz w:val="24"/>
          <w:szCs w:val="24"/>
        </w:rPr>
        <w:t xml:space="preserve"> where Karibi-Whyte JSC affirmed that “dying declarations are admissible as an exception to the hearsay rule under section 40 of the Evidence Act 2023,</w:t>
      </w:r>
      <w:r>
        <w:rPr>
          <w:rFonts w:ascii="Times New Roman" w:cs="Times New Roman" w:eastAsia="MS Mincho" w:hAnsi="Times New Roman"/>
          <w:bCs/>
          <w:sz w:val="24"/>
          <w:szCs w:val="24"/>
          <w:vertAlign w:val="superscript"/>
        </w:rPr>
        <w:footnoteReference w:id="196"/>
      </w:r>
      <w:r>
        <w:rPr>
          <w:rFonts w:ascii="Times New Roman" w:cs="Times New Roman" w:eastAsia="MS Mincho" w:hAnsi="Times New Roman"/>
          <w:bCs/>
          <w:sz w:val="24"/>
          <w:szCs w:val="24"/>
        </w:rPr>
        <w:t xml:space="preserve"> </w:t>
      </w:r>
      <w:r>
        <w:rPr>
          <w:rFonts w:ascii="Times New Roman" w:cs="Times New Roman" w:eastAsia="MS Mincho" w:hAnsi="Times New Roman"/>
          <w:bCs/>
          <w:sz w:val="24"/>
          <w:szCs w:val="24"/>
        </w:rPr>
        <w:t>but must be received with caution and corroborated wherever possible”. The court held that “before a dying declaration can be acted upon, the court must be satisfied that the deceased at the time of making the statement believed that his death was imminent and made the statement under that settled expectation”. Where those conditions are fulfilled, the dying declaration of the deceased as to the identity of his killer and the circumstances of the attack constitutes cogent evidence of the cause of death and may be relied upon as part of the prosecution's case.</w:t>
      </w:r>
    </w:p>
    <w:p>
      <w:pPr>
        <w:pStyle w:val="style0"/>
        <w:spacing w:after="120" w:lineRule="auto" w:line="480"/>
        <w:jc w:val="both"/>
        <w:rPr>
          <w:rFonts w:ascii="Times New Roman" w:cs="Times New Roman" w:eastAsia="MS Mincho" w:hAnsi="Times New Roman"/>
          <w:bCs/>
          <w:sz w:val="24"/>
          <w:szCs w:val="24"/>
        </w:rPr>
      </w:pPr>
      <w:r>
        <w:rPr>
          <w:rFonts w:ascii="Times New Roman" w:cs="Times New Roman" w:eastAsia="MS Mincho" w:hAnsi="Times New Roman"/>
          <w:bCs/>
          <w:sz w:val="24"/>
          <w:szCs w:val="24"/>
        </w:rPr>
        <w:t xml:space="preserve">The treatment of confessional evidence in murder trials was comprehensively addressed by the Supreme Court in </w:t>
      </w:r>
      <w:r>
        <w:rPr>
          <w:rFonts w:ascii="Times New Roman" w:cs="Times New Roman" w:eastAsia="MS Mincho" w:hAnsi="Times New Roman"/>
          <w:bCs/>
          <w:i/>
          <w:iCs/>
          <w:sz w:val="24"/>
          <w:szCs w:val="24"/>
        </w:rPr>
        <w:t>Nwaeze v The State,</w:t>
      </w:r>
      <w:r>
        <w:rPr>
          <w:rFonts w:ascii="Times New Roman" w:cs="Times New Roman" w:eastAsia="MS Mincho" w:hAnsi="Times New Roman"/>
          <w:bCs/>
          <w:sz w:val="24"/>
          <w:szCs w:val="24"/>
          <w:vertAlign w:val="superscript"/>
        </w:rPr>
        <w:footnoteReference w:id="197"/>
      </w:r>
      <w:r>
        <w:rPr>
          <w:rFonts w:ascii="Times New Roman" w:cs="Times New Roman" w:eastAsia="MS Mincho" w:hAnsi="Times New Roman"/>
          <w:bCs/>
          <w:sz w:val="24"/>
          <w:szCs w:val="24"/>
        </w:rPr>
        <w:t xml:space="preserve"> where the court held that “a retracted confession does not automatically become inadmissible or worthless; the court retains the power to convict on the basis of a retracted confession provided it is satisfied, after careful examination of the circumstances in which the confession was made and the reasons offered for the retraction, that the confession was made voluntarily and that it is true”. The court further stated that “in such circumstances the judge should look for independent corroborating evidence before acting upon the confession, particularly where the retraction is based on allegations of torture or oppression”. This decision illustrates the tension inherent in confessional evidence between its probative value as the most direct form of acknowledgment of guilt and the constitutional imperative of protecting the accused from coerced self-incrimination.</w:t>
      </w:r>
    </w:p>
    <w:p>
      <w:pPr>
        <w:pStyle w:val="style0"/>
        <w:spacing w:after="120" w:lineRule="auto" w:line="480"/>
        <w:jc w:val="both"/>
        <w:rPr>
          <w:rFonts w:ascii="Times New Roman" w:cs="Times New Roman" w:eastAsia="MS Mincho" w:hAnsi="Times New Roman"/>
          <w:bCs/>
          <w:sz w:val="24"/>
          <w:szCs w:val="24"/>
        </w:rPr>
      </w:pPr>
      <w:r>
        <w:rPr>
          <w:rFonts w:ascii="Times New Roman" w:cs="Times New Roman" w:eastAsia="MS Mincho" w:hAnsi="Times New Roman"/>
          <w:bCs/>
          <w:sz w:val="24"/>
          <w:szCs w:val="24"/>
        </w:rPr>
        <w:t xml:space="preserve">The more recent decisions of the Supreme Court in </w:t>
      </w:r>
      <w:r>
        <w:rPr>
          <w:rFonts w:ascii="Times New Roman" w:cs="Times New Roman" w:eastAsia="MS Mincho" w:hAnsi="Times New Roman"/>
          <w:bCs/>
          <w:i/>
          <w:iCs/>
          <w:sz w:val="24"/>
          <w:szCs w:val="24"/>
        </w:rPr>
        <w:t>Hassan v The State</w:t>
      </w:r>
      <w:r>
        <w:rPr>
          <w:rFonts w:ascii="Times New Roman" w:cs="Times New Roman" w:eastAsia="MS Mincho" w:hAnsi="Times New Roman"/>
          <w:bCs/>
          <w:sz w:val="24"/>
          <w:szCs w:val="24"/>
          <w:vertAlign w:val="superscript"/>
        </w:rPr>
        <w:footnoteReference w:id="198"/>
      </w:r>
      <w:r>
        <w:rPr>
          <w:rFonts w:ascii="Times New Roman" w:cs="Times New Roman" w:eastAsia="MS Mincho" w:hAnsi="Times New Roman"/>
          <w:bCs/>
          <w:sz w:val="24"/>
          <w:szCs w:val="24"/>
        </w:rPr>
        <w:t xml:space="preserve"> and </w:t>
      </w:r>
      <w:r>
        <w:rPr>
          <w:rFonts w:ascii="Times New Roman" w:cs="Times New Roman" w:eastAsia="MS Mincho" w:hAnsi="Times New Roman"/>
          <w:bCs/>
          <w:i/>
          <w:iCs/>
          <w:sz w:val="24"/>
          <w:szCs w:val="24"/>
        </w:rPr>
        <w:t>Effiom v The State</w:t>
      </w:r>
      <w:r>
        <w:rPr>
          <w:rFonts w:ascii="Times New Roman" w:cs="Times New Roman" w:eastAsia="MS Mincho" w:hAnsi="Times New Roman"/>
          <w:bCs/>
          <w:sz w:val="24"/>
          <w:szCs w:val="24"/>
          <w:vertAlign w:val="superscript"/>
        </w:rPr>
        <w:footnoteReference w:id="199"/>
      </w:r>
      <w:r>
        <w:rPr>
          <w:rFonts w:ascii="Times New Roman" w:cs="Times New Roman" w:eastAsia="MS Mincho" w:hAnsi="Times New Roman"/>
          <w:bCs/>
          <w:sz w:val="24"/>
          <w:szCs w:val="24"/>
        </w:rPr>
        <w:t xml:space="preserve"> have continued to consolidate the jurisprudence on circumstantial evidence and </w:t>
      </w:r>
      <w:r>
        <w:rPr>
          <w:rFonts w:ascii="Times New Roman" w:cs="Times New Roman" w:eastAsia="MS Mincho" w:hAnsi="Times New Roman"/>
          <w:bCs/>
          <w:sz w:val="24"/>
          <w:szCs w:val="24"/>
        </w:rPr>
        <w:t>burden of proof. These decisions confirm that the law governing the proof of murder in Nigeria, while remaining constant in its foundational requirements, continues to respond to the evolving challenges of criminal proceedings, including the difficulties of investigation in complex factual settings and the demand for the highest standards of evidential integrity in proceedings where the life of the accused hangs in the balance.</w:t>
      </w:r>
    </w:p>
    <w:p>
      <w:pPr>
        <w:pStyle w:val="style0"/>
        <w:spacing w:after="120" w:lineRule="auto" w:line="480"/>
        <w:jc w:val="both"/>
        <w:rPr>
          <w:rFonts w:ascii="Times New Roman" w:cs="Times New Roman" w:eastAsia="MS Mincho" w:hAnsi="Times New Roman"/>
          <w:bCs/>
          <w:sz w:val="24"/>
          <w:szCs w:val="24"/>
        </w:rPr>
      </w:pPr>
      <w:r>
        <w:rPr>
          <w:rFonts w:ascii="Times New Roman" w:cs="Times New Roman" w:eastAsia="MS Mincho" w:hAnsi="Times New Roman"/>
          <w:bCs/>
          <w:sz w:val="24"/>
          <w:szCs w:val="24"/>
        </w:rPr>
        <w:t>The cumulative effect of these landmark decisions is to establish a framework for the proof of murder in Nigeria that is demanding, coherent and principled. The courts have consistently maintained a high standard of proof, have firmly allocated the burden to the prosecution, have required that circumstantial evidence exclude all reasonable hypotheses of innocence, and have approached confessional evidence with the scrutiny that its evidential character and constitutional implications demand. Together with the statutory provisions of the Criminal Code Act, the Penal Code, and the Evidence Act 2023, and with the constitutional safeguards of section 36 of the Constitution of the Federal Republic of Nigeria, these judicial decisions define the legal framework within which the prosecution of murder in Nigeria is conducted and assessed.</w:t>
      </w:r>
    </w:p>
    <w:p>
      <w:pPr>
        <w:pStyle w:val="style0"/>
        <w:spacing w:before="160" w:after="80" w:lineRule="auto" w:line="480"/>
        <w:rPr>
          <w:rFonts w:ascii="Times New Roman" w:cs="Times New Roman" w:eastAsia="MS Mincho" w:hAnsi="Times New Roman"/>
          <w:sz w:val="24"/>
          <w:szCs w:val="24"/>
        </w:rPr>
      </w:pPr>
      <w:r>
        <w:rPr>
          <w:rFonts w:ascii="Times New Roman" w:cs="Times New Roman" w:eastAsia="MS Mincho" w:hAnsi="Times New Roman"/>
          <w:b/>
          <w:sz w:val="24"/>
          <w:szCs w:val="24"/>
        </w:rPr>
        <w:t>3.2.3 The Ministry of Justice</w:t>
      </w:r>
    </w:p>
    <w:p>
      <w:pPr>
        <w:pStyle w:val="style0"/>
        <w:spacing w:after="120" w:lineRule="auto" w:line="480"/>
        <w:jc w:val="both"/>
        <w:rPr>
          <w:rFonts w:ascii="Times New Roman" w:cs="Times New Roman" w:eastAsia="MS Mincho" w:hAnsi="Times New Roman"/>
          <w:sz w:val="24"/>
          <w:szCs w:val="24"/>
        </w:rPr>
      </w:pPr>
      <w:r>
        <w:rPr>
          <w:rFonts w:ascii="Times New Roman" w:cs="Times New Roman" w:eastAsia="MS Mincho" w:hAnsi="Times New Roman"/>
          <w:sz w:val="24"/>
          <w:szCs w:val="24"/>
        </w:rPr>
        <w:t>The Ministry of Justice in each state, “headed by the Attorney-General as the Chief Law Officer under Section 211 of the Constitution”, plays a determinative role in the prosecution of murder cases.</w:t>
      </w:r>
      <w:r>
        <w:rPr>
          <w:rFonts w:ascii="Times New Roman" w:cs="Times New Roman" w:eastAsia="MS Mincho" w:hAnsi="Times New Roman"/>
          <w:sz w:val="24"/>
          <w:szCs w:val="24"/>
          <w:vertAlign w:val="superscript"/>
        </w:rPr>
        <w:footnoteReference w:id="200"/>
      </w:r>
      <w:r>
        <w:rPr>
          <w:rFonts w:ascii="Times New Roman" w:cs="Times New Roman" w:eastAsia="MS Mincho" w:hAnsi="Times New Roman"/>
          <w:sz w:val="24"/>
          <w:szCs w:val="24"/>
        </w:rPr>
        <w:t xml:space="preserve"> Once the police conclude their investigation into a homicide, the case file is forwarded to the Directorate of Public Prosecutions (DPP) within the Ministry of Justice for legal advice.</w:t>
      </w:r>
      <w:r>
        <w:rPr>
          <w:rFonts w:ascii="Times New Roman" w:cs="Times New Roman" w:eastAsia="MS Mincho" w:hAnsi="Times New Roman"/>
          <w:sz w:val="24"/>
          <w:szCs w:val="24"/>
          <w:vertAlign w:val="superscript"/>
        </w:rPr>
        <w:footnoteReference w:id="201"/>
      </w:r>
      <w:r>
        <w:rPr>
          <w:rFonts w:ascii="Times New Roman" w:cs="Times New Roman" w:eastAsia="MS Mincho" w:hAnsi="Times New Roman"/>
          <w:sz w:val="24"/>
          <w:szCs w:val="24"/>
          <w:vertAlign w:val="superscript"/>
        </w:rPr>
        <w:t xml:space="preserve"> </w:t>
      </w:r>
      <w:r>
        <w:rPr>
          <w:rFonts w:ascii="Times New Roman" w:cs="Times New Roman" w:eastAsia="MS Mincho" w:hAnsi="Times New Roman"/>
          <w:sz w:val="24"/>
          <w:szCs w:val="24"/>
        </w:rPr>
        <w:t xml:space="preserve">The legal advice issued by the DPP determines whether a prima facie case </w:t>
      </w:r>
      <w:r>
        <w:rPr>
          <w:rFonts w:ascii="Times New Roman" w:cs="Times New Roman" w:eastAsia="MS Mincho" w:hAnsi="Times New Roman"/>
          <w:sz w:val="24"/>
          <w:szCs w:val="24"/>
        </w:rPr>
        <w:t>has been established against the suspect to warrant the filing of a formal information sheet and charge before the High Court.</w:t>
      </w:r>
      <w:r>
        <w:rPr>
          <w:rFonts w:ascii="Times New Roman" w:cs="Times New Roman" w:eastAsia="MS Mincho" w:hAnsi="Times New Roman"/>
          <w:sz w:val="24"/>
          <w:szCs w:val="24"/>
          <w:vertAlign w:val="superscript"/>
        </w:rPr>
        <w:footnoteReference w:id="202"/>
      </w:r>
    </w:p>
    <w:p>
      <w:pPr>
        <w:pStyle w:val="style0"/>
        <w:spacing w:after="120" w:lineRule="auto" w:line="480"/>
        <w:jc w:val="both"/>
        <w:rPr>
          <w:rFonts w:ascii="Times New Roman" w:cs="Times New Roman" w:eastAsia="MS Mincho" w:hAnsi="Times New Roman"/>
          <w:sz w:val="24"/>
          <w:szCs w:val="24"/>
        </w:rPr>
      </w:pPr>
      <w:r>
        <w:rPr>
          <w:rFonts w:ascii="Times New Roman" w:cs="Times New Roman" w:eastAsia="MS Mincho" w:hAnsi="Times New Roman"/>
          <w:sz w:val="24"/>
          <w:szCs w:val="24"/>
        </w:rPr>
        <w:t>State counsel (prosecutors) from the Ministry of Justice take full control of the prosecution at the High Court, presenting witnesses, establishing the elements of the offense (actus reus and mens rea), and tendering documented evidence.</w:t>
      </w:r>
      <w:r>
        <w:rPr>
          <w:rFonts w:ascii="Times New Roman" w:cs="Times New Roman" w:eastAsia="MS Mincho" w:hAnsi="Times New Roman"/>
          <w:sz w:val="24"/>
          <w:szCs w:val="24"/>
          <w:vertAlign w:val="superscript"/>
        </w:rPr>
        <w:footnoteReference w:id="203"/>
      </w:r>
      <w:r>
        <w:rPr>
          <w:rFonts w:ascii="Times New Roman" w:cs="Times New Roman" w:eastAsia="MS Mincho" w:hAnsi="Times New Roman"/>
          <w:sz w:val="24"/>
          <w:szCs w:val="24"/>
        </w:rPr>
        <w:t xml:space="preserve"> In proving murder cases, prosecutors must call vital witnesses, including the investigating police officer, eyewitnesses, and medical experts who conducted the post-mortem examination.</w:t>
      </w:r>
      <w:r>
        <w:rPr>
          <w:rFonts w:ascii="Times New Roman" w:cs="Times New Roman" w:eastAsia="MS Mincho" w:hAnsi="Times New Roman"/>
          <w:sz w:val="24"/>
          <w:szCs w:val="24"/>
          <w:vertAlign w:val="superscript"/>
        </w:rPr>
        <w:footnoteReference w:id="204"/>
      </w:r>
      <w:r>
        <w:rPr>
          <w:rFonts w:ascii="Times New Roman" w:cs="Times New Roman" w:eastAsia="MS Mincho" w:hAnsi="Times New Roman"/>
          <w:sz w:val="24"/>
          <w:szCs w:val="24"/>
        </w:rPr>
        <w:t xml:space="preserve"> The prosecutors ensure that any attempt by the defense to introduce customary settlement mechanisms or traditional oaths to absolve a suspect of a homicide charge is vigorously opposed, emphasizing that state criminal laws are supreme and exclusive.</w:t>
      </w:r>
      <w:r>
        <w:rPr>
          <w:rFonts w:ascii="Times New Roman" w:cs="Times New Roman" w:eastAsia="MS Mincho" w:hAnsi="Times New Roman"/>
          <w:sz w:val="24"/>
          <w:szCs w:val="24"/>
          <w:vertAlign w:val="superscript"/>
        </w:rPr>
        <w:footnoteReference w:id="205"/>
      </w:r>
    </w:p>
    <w:p>
      <w:pPr>
        <w:pStyle w:val="style0"/>
        <w:spacing w:before="160" w:after="80" w:lineRule="auto" w:line="480"/>
        <w:rPr>
          <w:rFonts w:ascii="Times New Roman" w:cs="Times New Roman" w:eastAsia="MS Mincho" w:hAnsi="Times New Roman"/>
          <w:sz w:val="24"/>
          <w:szCs w:val="24"/>
        </w:rPr>
      </w:pPr>
      <w:r>
        <w:rPr>
          <w:rFonts w:ascii="Times New Roman" w:cs="Times New Roman" w:eastAsia="MS Mincho" w:hAnsi="Times New Roman"/>
          <w:b/>
          <w:sz w:val="24"/>
          <w:szCs w:val="24"/>
        </w:rPr>
        <w:t>3.2.4 The Nigerian Bar Association</w:t>
      </w:r>
    </w:p>
    <w:p>
      <w:pPr>
        <w:pStyle w:val="style0"/>
        <w:spacing w:after="120" w:lineRule="auto" w:line="480"/>
        <w:jc w:val="both"/>
        <w:rPr>
          <w:rFonts w:ascii="Times New Roman" w:cs="Times New Roman" w:eastAsia="MS Mincho" w:hAnsi="Times New Roman"/>
          <w:sz w:val="24"/>
          <w:szCs w:val="24"/>
        </w:rPr>
      </w:pPr>
      <w:r>
        <w:rPr>
          <w:rFonts w:ascii="Times New Roman" w:cs="Times New Roman" w:eastAsia="MS Mincho" w:hAnsi="Times New Roman"/>
          <w:sz w:val="24"/>
          <w:szCs w:val="24"/>
        </w:rPr>
        <w:t>The Nigerian Bar Association (NBA) is the umbrella professional body for all legal practitioners called to the Nigerian Bar, acting as custodians of the rule of law and human rights.</w:t>
      </w:r>
      <w:r>
        <w:rPr>
          <w:rFonts w:ascii="Times New Roman" w:cs="Times New Roman" w:eastAsia="MS Mincho" w:hAnsi="Times New Roman"/>
          <w:sz w:val="24"/>
          <w:szCs w:val="24"/>
          <w:vertAlign w:val="superscript"/>
        </w:rPr>
        <w:footnoteReference w:id="206"/>
      </w:r>
      <w:r>
        <w:rPr>
          <w:rFonts w:ascii="Times New Roman" w:cs="Times New Roman" w:eastAsia="MS Mincho" w:hAnsi="Times New Roman"/>
          <w:sz w:val="24"/>
          <w:szCs w:val="24"/>
        </w:rPr>
        <w:t xml:space="preserve"> In the context of murder trials, members of the NBA participate actively either as private legal practitioners retained for the defense, or as pro bono counsel under the auspices of the NBA Human Rights Committees and the Legal Aid Council. Defense counsel owe a professional duty under the Rules of Professional Conduct for Legal Practitioners to raise all legitimate defenses available to the accused person, ensuring a fair trial within the meaning of Section 36 of the Constitution.</w:t>
      </w:r>
      <w:r>
        <w:rPr>
          <w:rFonts w:ascii="Times New Roman" w:cs="Times New Roman" w:eastAsia="MS Mincho" w:hAnsi="Times New Roman"/>
          <w:sz w:val="24"/>
          <w:szCs w:val="24"/>
          <w:vertAlign w:val="superscript"/>
        </w:rPr>
        <w:footnoteReference w:id="207"/>
      </w:r>
    </w:p>
    <w:p>
      <w:pPr>
        <w:pStyle w:val="style0"/>
        <w:spacing w:after="120" w:lineRule="auto" w:line="480"/>
        <w:jc w:val="both"/>
        <w:rPr>
          <w:rFonts w:ascii="Times New Roman" w:cs="Times New Roman" w:eastAsia="MS Mincho" w:hAnsi="Times New Roman"/>
          <w:sz w:val="24"/>
          <w:szCs w:val="24"/>
        </w:rPr>
      </w:pPr>
      <w:r>
        <w:rPr>
          <w:rFonts w:ascii="Times New Roman" w:cs="Times New Roman" w:eastAsia="MS Mincho" w:hAnsi="Times New Roman"/>
          <w:sz w:val="24"/>
          <w:szCs w:val="24"/>
        </w:rPr>
        <w:t>Legal practitioners perform the critical role of testing the prosecution’s case through rigorous cross-examination of police officers and medical experts.</w:t>
      </w:r>
      <w:r>
        <w:rPr>
          <w:rFonts w:ascii="Times New Roman" w:cs="Times New Roman" w:eastAsia="MS Mincho" w:hAnsi="Times New Roman"/>
          <w:sz w:val="24"/>
          <w:szCs w:val="24"/>
          <w:vertAlign w:val="superscript"/>
        </w:rPr>
        <w:footnoteReference w:id="208"/>
      </w:r>
      <w:r>
        <w:rPr>
          <w:rFonts w:ascii="Times New Roman" w:cs="Times New Roman" w:eastAsia="MS Mincho" w:hAnsi="Times New Roman"/>
          <w:sz w:val="24"/>
          <w:szCs w:val="24"/>
        </w:rPr>
        <w:t xml:space="preserve"> They challenge the admissibility of improperly documented confessions and ensure that police infractions of the ACJA 2015 are brought to the attention of the court.</w:t>
      </w:r>
      <w:r>
        <w:rPr>
          <w:rFonts w:ascii="Times New Roman" w:cs="Times New Roman" w:eastAsia="MS Mincho" w:hAnsi="Times New Roman"/>
          <w:sz w:val="24"/>
          <w:szCs w:val="24"/>
          <w:vertAlign w:val="superscript"/>
        </w:rPr>
        <w:footnoteReference w:id="209"/>
      </w:r>
      <w:r>
        <w:rPr>
          <w:rFonts w:ascii="Times New Roman" w:cs="Times New Roman" w:eastAsia="MS Mincho" w:hAnsi="Times New Roman"/>
          <w:sz w:val="24"/>
          <w:szCs w:val="24"/>
        </w:rPr>
        <w:t xml:space="preserve"> Through active advocacy, members of the NBA help shape criminal jurisprudence, ensuring that traditional notions of retributive justice are kept separate from the statutory and constitutional demands of the contemporary Nigerian legal system.</w:t>
      </w:r>
      <w:r>
        <w:rPr>
          <w:rFonts w:ascii="Times New Roman" w:cs="Times New Roman" w:eastAsia="MS Mincho" w:hAnsi="Times New Roman"/>
          <w:sz w:val="24"/>
          <w:szCs w:val="24"/>
          <w:vertAlign w:val="superscript"/>
        </w:rPr>
        <w:footnoteReference w:id="210"/>
      </w:r>
    </w:p>
    <w:p>
      <w:pPr>
        <w:pStyle w:val="style0"/>
        <w:spacing w:after="60" w:lineRule="auto" w:line="480"/>
        <w:ind w:left="360"/>
        <w:rPr>
          <w:rFonts w:ascii="Times New Roman" w:cs="Times New Roman" w:eastAsia="MS Mincho" w:hAnsi="Times New Roman"/>
          <w:sz w:val="24"/>
          <w:szCs w:val="24"/>
        </w:rPr>
      </w:pPr>
    </w:p>
    <w:p>
      <w:pPr>
        <w:pStyle w:val="style0"/>
        <w:spacing w:after="0" w:lineRule="auto" w:line="480"/>
        <w:jc w:val="both"/>
        <w:rPr>
          <w:rFonts w:ascii="Times New Roman" w:cs="Times New Roman" w:eastAsia="Times New Roman" w:hAnsi="Times New Roman"/>
          <w:b/>
          <w:sz w:val="24"/>
          <w:szCs w:val="24"/>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spacing w:before="280" w:after="120" w:lineRule="auto" w:line="480"/>
        <w:jc w:val="both"/>
        <w:outlineLvl w:val="1"/>
        <w:rPr>
          <w:rFonts w:ascii="Times New Roman" w:cs="Times New Roman" w:eastAsia="Times New Roman" w:hAnsi="Times New Roman"/>
          <w:b/>
          <w:bCs/>
          <w:sz w:val="24"/>
          <w:szCs w:val="24"/>
        </w:rPr>
      </w:pPr>
      <w:r>
        <w:rPr>
          <w:rFonts w:ascii="Times New Roman" w:cs="Times New Roman" w:eastAsia="Times New Roman" w:hAnsi="Times New Roman"/>
          <w:bCs/>
          <w:sz w:val="24"/>
          <w:szCs w:val="24"/>
        </w:rPr>
        <w:t xml:space="preserve">  </w:t>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 xml:space="preserve">   </w:t>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 xml:space="preserve">  </w:t>
      </w:r>
      <w:r>
        <w:rPr>
          <w:rFonts w:ascii="Times New Roman" w:cs="Times New Roman" w:eastAsia="Times New Roman" w:hAnsi="Times New Roman"/>
          <w:b/>
          <w:bCs/>
          <w:sz w:val="24"/>
          <w:szCs w:val="24"/>
        </w:rPr>
        <w:t>CHAPTER FOUR</w:t>
      </w:r>
    </w:p>
    <w:p>
      <w:pPr>
        <w:pStyle w:val="style0"/>
        <w:spacing w:after="0" w:lineRule="auto" w:line="48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Pr>
        <w:t>ISSUES AND CHALLENGES IN PROOF OF MURDER CHARGE UNDER NIGERIAN CRIMINAL JUSTICE SYSTEM</w:t>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4.1 Evidential Challenges</w:t>
      </w:r>
    </w:p>
    <w:p>
      <w:pPr>
        <w:pStyle w:val="style0"/>
        <w:spacing w:after="0" w:lineRule="auto" w:line="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Proving someone is guilty of murder in court is very difficult. Murder is often done secretly, without witnesses, making it hard to gather strong evidence. Because of this, prosecutors face many challenges in finding and presenting enough trustworthy evidence to prove the case beyond a reasonable doubt. The law sets rules for how evidence should be handled, but it doesn’t solve all the practical problems that police, lawyers, and judges fac</w:t>
      </w:r>
      <w:r>
        <w:rPr>
          <w:rFonts w:ascii="Times New Roman" w:cs="Times New Roman" w:eastAsia="Times New Roman" w:hAnsi="Times New Roman"/>
          <w:sz w:val="24"/>
          <w:szCs w:val="24"/>
        </w:rPr>
        <w:t>e when trying to prove a murder</w:t>
      </w:r>
      <w:r>
        <w:rPr>
          <w:rFonts w:ascii="Times New Roman" w:cs="Times New Roman" w:eastAsia="Times New Roman" w:hAnsi="Times New Roman"/>
          <w:sz w:val="24"/>
          <w:szCs w:val="24"/>
        </w:rPr>
        <w:t>.</w:t>
      </w:r>
      <w:r>
        <w:rPr>
          <w:rFonts w:ascii="Times New Roman" w:cs="Times New Roman" w:eastAsia="Times New Roman" w:hAnsi="Times New Roman"/>
          <w:sz w:val="24"/>
          <w:szCs w:val="24"/>
          <w:vertAlign w:val="superscript"/>
        </w:rPr>
        <w:footnoteReference w:id="211"/>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Proving someone guilty of murder faces two main types of challenges. The first is about the evidence itself—it's hard to find and prove the right facts needed to show all parts of the crime. The second is about the system—issues like limited resources, slow court processes, and lack of proper forensic tools make it even harder to get justice. The next parts will explain each of these challenges more, looking at the law and court decisions in Nigeria.</w:t>
      </w:r>
      <w:r>
        <w:rPr>
          <w:rFonts w:ascii="Times New Roman" w:cs="Times New Roman" w:eastAsia="Times New Roman" w:hAnsi="Times New Roman"/>
          <w:bCs/>
          <w:sz w:val="24"/>
          <w:vertAlign w:val="superscript"/>
        </w:rPr>
        <w:footnoteReference w:id="212"/>
      </w:r>
    </w:p>
    <w:p>
      <w:pPr>
        <w:pStyle w:val="style0"/>
        <w:spacing w:before="280" w:after="120" w:lineRule="auto" w:line="480"/>
        <w:jc w:val="both"/>
        <w:outlineLvl w:val="1"/>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4.1.1 Absence of Corpse and Proof of Death</w:t>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The first element that </w:t>
      </w:r>
      <w:r>
        <w:rPr>
          <w:rFonts w:ascii="Times New Roman" w:cs="Times New Roman" w:eastAsia="Times New Roman" w:hAnsi="Times New Roman"/>
          <w:bCs/>
          <w:sz w:val="24"/>
          <w:szCs w:val="24"/>
        </w:rPr>
        <w:t>"</w:t>
      </w:r>
      <w:r>
        <w:rPr>
          <w:rFonts w:ascii="Times New Roman" w:cs="Times New Roman" w:eastAsia="Times New Roman" w:hAnsi="Times New Roman"/>
          <w:bCs/>
          <w:sz w:val="24"/>
          <w:szCs w:val="24"/>
        </w:rPr>
        <w:t xml:space="preserve">the prosecution must invariably establish is the fact that the alleged victim is dead. In the ordinary course of events, this element is proved through the production of the body of the deceased together with a post-mortem report prepared by a qualified pathologist. Where, however, the body of the deceased cannot be found, the </w:t>
      </w:r>
      <w:r>
        <w:rPr>
          <w:rFonts w:ascii="Times New Roman" w:cs="Times New Roman" w:eastAsia="Times New Roman" w:hAnsi="Times New Roman"/>
          <w:bCs/>
          <w:sz w:val="24"/>
          <w:szCs w:val="24"/>
        </w:rPr>
        <w:t>prosecution confronts a formidable obstacle, because the traditional approach of the courts demanded physical evidence of the corpus delicti as a precondition to any conviction.</w:t>
      </w:r>
      <w:r>
        <w:rPr>
          <w:rFonts w:ascii="Times New Roman" w:cs="Times New Roman" w:eastAsia="Times New Roman" w:hAnsi="Times New Roman"/>
          <w:bCs/>
          <w:sz w:val="24"/>
          <w:szCs w:val="24"/>
        </w:rPr>
        <w:t>"</w:t>
      </w:r>
      <w:r>
        <w:rPr>
          <w:rFonts w:ascii="Times New Roman" w:cs="Times New Roman" w:eastAsia="Times New Roman" w:hAnsi="Times New Roman"/>
          <w:bCs/>
          <w:sz w:val="24"/>
          <w:szCs w:val="24"/>
        </w:rPr>
        <w:t xml:space="preserve"> The persistence of this approach created situations in which a murderer could escape conviction simply by ensuring the effective concealment or destruction of the body.</w:t>
      </w:r>
      <w:r>
        <w:rPr>
          <w:rFonts w:ascii="Times New Roman" w:cs="Times New Roman" w:eastAsia="Times New Roman" w:hAnsi="Times New Roman"/>
          <w:bCs/>
          <w:sz w:val="24"/>
          <w:szCs w:val="24"/>
          <w:vertAlign w:val="superscript"/>
        </w:rPr>
        <w:footnoteReference w:id="213"/>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The Supreme Court addressed this difficulty directly in </w:t>
      </w:r>
      <w:r>
        <w:rPr>
          <w:rFonts w:ascii="Times New Roman" w:cs="Times New Roman" w:eastAsia="Times New Roman" w:hAnsi="Times New Roman"/>
          <w:bCs/>
          <w:i/>
          <w:iCs/>
          <w:sz w:val="24"/>
          <w:szCs w:val="24"/>
        </w:rPr>
        <w:t>Ogba v The State</w:t>
      </w:r>
      <w:r>
        <w:rPr>
          <w:rFonts w:ascii="Times New Roman" w:cs="Times New Roman" w:eastAsia="Times New Roman" w:hAnsi="Times New Roman"/>
          <w:bCs/>
          <w:iCs/>
          <w:sz w:val="24"/>
          <w:szCs w:val="24"/>
        </w:rPr>
        <w:t>,</w:t>
      </w:r>
      <w:r>
        <w:rPr>
          <w:rFonts w:ascii="Times New Roman" w:cs="Times New Roman" w:eastAsia="Times New Roman" w:hAnsi="Times New Roman"/>
          <w:bCs/>
          <w:iCs/>
          <w:sz w:val="24"/>
          <w:szCs w:val="24"/>
          <w:vertAlign w:val="superscript"/>
        </w:rPr>
        <w:footnoteReference w:id="214"/>
      </w:r>
      <w:r>
        <w:rPr>
          <w:rFonts w:ascii="Times New Roman" w:cs="Times New Roman" w:eastAsia="Times New Roman" w:hAnsi="Times New Roman"/>
          <w:bCs/>
          <w:iCs/>
          <w:sz w:val="24"/>
          <w:szCs w:val="24"/>
        </w:rPr>
        <w:t xml:space="preserve"> </w:t>
      </w:r>
      <w:r>
        <w:rPr>
          <w:rFonts w:ascii="Times New Roman" w:cs="Times New Roman" w:eastAsia="Times New Roman" w:hAnsi="Times New Roman"/>
          <w:bCs/>
          <w:sz w:val="24"/>
          <w:szCs w:val="24"/>
        </w:rPr>
        <w:t>affirming that “the prosecution is not in all circumstances required to produce the body of the deceased in order to establish the fact of death”. The court held that “where the sum of the circumstantial evidence points irresistibly and unequivocally to the death of the alleged victim, a conviction may follow notwithstanding the absence of a recovered body, provided that evidence excludes every other rational explanation”.</w:t>
      </w:r>
      <w:r>
        <w:rPr>
          <w:rFonts w:ascii="Times New Roman" w:cs="Times New Roman" w:eastAsia="Times New Roman" w:hAnsi="Times New Roman"/>
          <w:bCs/>
          <w:sz w:val="24"/>
          <w:szCs w:val="24"/>
          <w:vertAlign w:val="superscript"/>
        </w:rPr>
        <w:footnoteReference w:id="215"/>
      </w:r>
      <w:r>
        <w:rPr>
          <w:rFonts w:ascii="Times New Roman" w:cs="Times New Roman" w:eastAsia="Times New Roman" w:hAnsi="Times New Roman"/>
          <w:bCs/>
          <w:sz w:val="24"/>
          <w:szCs w:val="24"/>
        </w:rPr>
        <w:t xml:space="preserve"> That position was subsequently reaffirmed in </w:t>
      </w:r>
      <w:r>
        <w:rPr>
          <w:rFonts w:ascii="Times New Roman" w:cs="Times New Roman" w:eastAsia="Times New Roman" w:hAnsi="Times New Roman"/>
          <w:bCs/>
          <w:i/>
          <w:iCs/>
          <w:sz w:val="24"/>
          <w:szCs w:val="24"/>
        </w:rPr>
        <w:t xml:space="preserve">Babuga v The State, </w:t>
      </w:r>
      <w:r>
        <w:rPr>
          <w:rFonts w:ascii="Times New Roman" w:cs="Times New Roman" w:eastAsia="Times New Roman" w:hAnsi="Times New Roman"/>
          <w:bCs/>
          <w:sz w:val="24"/>
          <w:szCs w:val="24"/>
        </w:rPr>
        <w:t>where the Supreme Court confirmed that “the non-discovery of a body did not bar a conviction for murder where the available evidence of death was otherwise positive and incontrovertible”.</w:t>
      </w:r>
      <w:r>
        <w:rPr>
          <w:rFonts w:ascii="Times New Roman" w:cs="Times New Roman" w:eastAsia="Times New Roman" w:hAnsi="Times New Roman"/>
          <w:bCs/>
          <w:sz w:val="24"/>
          <w:szCs w:val="24"/>
          <w:vertAlign w:val="superscript"/>
        </w:rPr>
        <w:footnoteReference w:id="216"/>
      </w:r>
    </w:p>
    <w:p>
      <w:pPr>
        <w:pStyle w:val="style0"/>
        <w:spacing w:before="280" w:after="120" w:lineRule="auto" w:line="480"/>
        <w:jc w:val="both"/>
        <w:outlineLvl w:val="1"/>
        <w:rPr>
          <w:rFonts w:ascii="Times New Roman" w:cs="Times New Roman" w:eastAsia="Times New Roman" w:hAnsi="Times New Roman"/>
          <w:bCs/>
          <w:vanish/>
          <w:sz w:val="24"/>
          <w:szCs w:val="24"/>
        </w:rPr>
      </w:pPr>
      <w:r>
        <w:rPr>
          <w:rFonts w:ascii="Times New Roman" w:cs="Times New Roman" w:eastAsia="Times New Roman" w:hAnsi="Times New Roman"/>
          <w:bCs/>
          <w:vanish/>
          <w:sz w:val="24"/>
          <w:szCs w:val="24"/>
        </w:rPr>
        <w:t>Top of Form</w:t>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The basic legal rule for this approach is based on the general laws about using indirect evidence (or clues) under the Evidence Act 2023. This law says you can prove a fact using different kinds of evidence, not just one specific type. Section 135 of the law says that th</w:t>
      </w:r>
      <w:r>
        <w:rPr>
          <w:rFonts w:ascii="Times New Roman" w:cs="Times New Roman" w:eastAsia="Times New Roman" w:hAnsi="Times New Roman"/>
          <w:bCs/>
          <w:sz w:val="24"/>
          <w:szCs w:val="24"/>
        </w:rPr>
        <w:t xml:space="preserve">e proof must be very convincing beyond a reasonable doubt, </w:t>
      </w:r>
      <w:r>
        <w:rPr>
          <w:rFonts w:ascii="Times New Roman" w:cs="Times New Roman" w:eastAsia="Times New Roman" w:hAnsi="Times New Roman"/>
          <w:bCs/>
          <w:sz w:val="24"/>
          <w:szCs w:val="24"/>
        </w:rPr>
        <w:t>but it doesn’t say exactly how much or what kind of evidence is needed to reach that level</w:t>
      </w:r>
      <w:r>
        <w:rPr>
          <w:rFonts w:ascii="Times New Roman" w:cs="Times New Roman" w:eastAsia="Times New Roman" w:hAnsi="Times New Roman"/>
          <w:bCs/>
          <w:sz w:val="24"/>
          <w:szCs w:val="24"/>
        </w:rPr>
        <w:t>.</w:t>
      </w:r>
      <w:r>
        <w:rPr>
          <w:rFonts w:ascii="Times New Roman" w:cs="Times New Roman" w:eastAsia="Times New Roman" w:hAnsi="Times New Roman"/>
          <w:bCs/>
          <w:vanish/>
          <w:sz w:val="24"/>
          <w:szCs w:val="24"/>
        </w:rPr>
        <w:t>Bottom of Form</w:t>
      </w:r>
      <w:r>
        <w:rPr>
          <w:rFonts w:ascii="Times New Roman" w:cs="Times New Roman" w:eastAsia="Times New Roman" w:hAnsi="Times New Roman"/>
          <w:bCs/>
          <w:sz w:val="24"/>
          <w:szCs w:val="24"/>
          <w:vertAlign w:val="superscript"/>
        </w:rPr>
        <w:footnoteReference w:id="217"/>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In practice, however, the absence of a corpse creates substantial evidential difficulties. Okafor has argued that “no-body cases present the most demanding test of circumstantial reasoning, and that courts operating without a body are required to construct the entire architecture of proof from inference without the benefit of the most foundational physical fact”.</w:t>
      </w:r>
      <w:r>
        <w:rPr>
          <w:rFonts w:ascii="Times New Roman" w:cs="Times New Roman" w:eastAsia="Times New Roman" w:hAnsi="Times New Roman"/>
          <w:bCs/>
          <w:sz w:val="24"/>
          <w:szCs w:val="24"/>
          <w:vertAlign w:val="superscript"/>
        </w:rPr>
        <w:footnoteReference w:id="218"/>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The practical consequence is that no-body cases demand exacting investigative work and creative prosecutorial strategy. In </w:t>
      </w:r>
      <w:r>
        <w:rPr>
          <w:rFonts w:ascii="Times New Roman" w:cs="Times New Roman" w:eastAsia="Times New Roman" w:hAnsi="Times New Roman"/>
          <w:bCs/>
          <w:i/>
          <w:iCs/>
          <w:sz w:val="24"/>
          <w:szCs w:val="24"/>
        </w:rPr>
        <w:t>Nwosu v The State,</w:t>
      </w:r>
      <w:r>
        <w:rPr>
          <w:rFonts w:ascii="Times New Roman" w:cs="Times New Roman" w:eastAsia="Times New Roman" w:hAnsi="Times New Roman"/>
          <w:bCs/>
          <w:sz w:val="24"/>
          <w:szCs w:val="24"/>
          <w:vertAlign w:val="superscript"/>
        </w:rPr>
        <w:footnoteReference w:id="219"/>
      </w:r>
      <w:r>
        <w:rPr>
          <w:rFonts w:ascii="Times New Roman" w:cs="Times New Roman" w:eastAsia="Times New Roman" w:hAnsi="Times New Roman"/>
          <w:bCs/>
          <w:sz w:val="24"/>
          <w:szCs w:val="24"/>
        </w:rPr>
        <w:t xml:space="preserve"> the Supreme Court held </w:t>
      </w:r>
      <w:r>
        <w:rPr>
          <w:rFonts w:ascii="Times New Roman" w:cs="Times New Roman" w:eastAsia="Times New Roman" w:hAnsi="Times New Roman"/>
          <w:bCs/>
          <w:sz w:val="24"/>
          <w:szCs w:val="24"/>
        </w:rPr>
        <w:t>"</w:t>
      </w:r>
      <w:r>
        <w:rPr>
          <w:rFonts w:ascii="Times New Roman" w:cs="Times New Roman" w:eastAsia="Times New Roman" w:hAnsi="Times New Roman"/>
          <w:bCs/>
          <w:sz w:val="24"/>
          <w:szCs w:val="24"/>
        </w:rPr>
        <w:t>that where the body of the</w:t>
      </w:r>
      <w:r>
        <w:rPr>
          <w:rFonts w:ascii="Times New Roman" w:cs="Times New Roman" w:eastAsia="Times New Roman" w:hAnsi="Times New Roman"/>
          <w:bCs/>
          <w:sz w:val="24"/>
          <w:szCs w:val="24"/>
        </w:rPr>
        <w:t xml:space="preserve"> deceased cannot be recovered, </w:t>
      </w:r>
      <w:r>
        <w:rPr>
          <w:rFonts w:ascii="Times New Roman" w:cs="Times New Roman" w:eastAsia="Times New Roman" w:hAnsi="Times New Roman"/>
          <w:bCs/>
          <w:sz w:val="24"/>
          <w:szCs w:val="24"/>
        </w:rPr>
        <w:t>the prosecution must adduce such extensive and cogent circumstantial evidence of death including evidence of the victim's movements prior to disappearance, the accused's conduct thereafter, the presence of blood or signs of struggle at relevant locations, and evidence from persons who last saw the deceased as to leave the court with no reasonable alternative to the conclusion that the victim is dead”.</w:t>
      </w:r>
      <w:r>
        <w:rPr>
          <w:rFonts w:ascii="Times New Roman" w:cs="Times New Roman" w:eastAsia="Times New Roman" w:hAnsi="Times New Roman"/>
          <w:bCs/>
          <w:sz w:val="24"/>
          <w:szCs w:val="24"/>
          <w:vertAlign w:val="superscript"/>
        </w:rPr>
        <w:footnoteReference w:id="220"/>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The problem gets harder because the prosecution also has to prove that the accused’s action caused the death. If there is no body and no direct forensic proof of how the person died, then they can only guess or make an educated guess to show that the accused’s action was the cause.</w:t>
      </w:r>
      <w:r>
        <w:rPr>
          <w:rFonts w:ascii="Times New Roman" w:cs="Times New Roman" w:eastAsia="Times New Roman" w:hAnsi="Times New Roman"/>
          <w:bCs/>
          <w:sz w:val="24"/>
          <w:szCs w:val="24"/>
        </w:rPr>
        <w:t xml:space="preserve"> </w:t>
      </w:r>
      <w:r>
        <w:rPr>
          <w:rFonts w:ascii="Times New Roman" w:cs="Times New Roman" w:eastAsia="Times New Roman" w:hAnsi="Times New Roman"/>
          <w:bCs/>
          <w:sz w:val="24"/>
          <w:szCs w:val="24"/>
        </w:rPr>
        <w:t>Ibrahim has observed that “this dual inferential burden, proving death and causation simultaneously from circumstantial material, represents one of the most intellectually demanding tasks in Nigerian criminal litigation”.</w:t>
      </w:r>
      <w:r>
        <w:rPr>
          <w:rFonts w:ascii="Times New Roman" w:cs="Times New Roman" w:eastAsia="Times New Roman" w:hAnsi="Times New Roman"/>
          <w:bCs/>
          <w:sz w:val="24"/>
          <w:szCs w:val="24"/>
          <w:vertAlign w:val="superscript"/>
        </w:rPr>
        <w:footnoteReference w:id="221"/>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The difficulty of proving death without a body is not unique to Nigeria. Comparable challenges have arisen in other common law jurisdictions, and the approach of Nigerian courts broadly mirrors the position established by the English courts in cases such as </w:t>
      </w:r>
      <w:r>
        <w:rPr>
          <w:rFonts w:ascii="Times New Roman" w:cs="Times New Roman" w:eastAsia="Times New Roman" w:hAnsi="Times New Roman"/>
          <w:bCs/>
          <w:i/>
          <w:iCs/>
          <w:sz w:val="24"/>
          <w:szCs w:val="24"/>
        </w:rPr>
        <w:t>Onah v The State,</w:t>
      </w:r>
      <w:r>
        <w:rPr>
          <w:rFonts w:ascii="Times New Roman" w:cs="Times New Roman" w:eastAsia="Times New Roman" w:hAnsi="Times New Roman"/>
          <w:bCs/>
          <w:sz w:val="24"/>
          <w:szCs w:val="24"/>
          <w:vertAlign w:val="superscript"/>
        </w:rPr>
        <w:footnoteReference w:id="222"/>
      </w:r>
      <w:r>
        <w:rPr>
          <w:rFonts w:ascii="Times New Roman" w:cs="Times New Roman" w:eastAsia="Times New Roman" w:hAnsi="Times New Roman"/>
          <w:bCs/>
          <w:sz w:val="24"/>
          <w:szCs w:val="24"/>
        </w:rPr>
        <w:t xml:space="preserve"> where the principle that death may be inferred from a sufficiently compelling body of circumstantial evidence was confirmed.</w:t>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An associated evidential challenge concerns the cause of death. Even where a body is recovered, the prosecution must demonstrate that the cause of death was not accidental, natural, or self-inflicted, and that it was the direct and proximate consequence of the accused's act.</w:t>
      </w:r>
      <w:r>
        <w:rPr>
          <w:rFonts w:ascii="Times New Roman" w:cs="Times New Roman" w:eastAsia="Times New Roman" w:hAnsi="Times New Roman"/>
          <w:bCs/>
          <w:sz w:val="24"/>
          <w:szCs w:val="24"/>
          <w:vertAlign w:val="superscript"/>
        </w:rPr>
        <w:footnoteReference w:id="223"/>
      </w:r>
      <w:r>
        <w:rPr>
          <w:rFonts w:ascii="Times New Roman" w:cs="Times New Roman" w:eastAsia="Times New Roman" w:hAnsi="Times New Roman"/>
          <w:bCs/>
          <w:sz w:val="24"/>
          <w:szCs w:val="24"/>
        </w:rPr>
        <w:t xml:space="preserve"> Post-mortem reports provide the primary vehicle for establishing cause of death, and the courts have expressed a consistent preference for pathological evidence in satisfying this limb of the prosecution's burden. In </w:t>
      </w:r>
      <w:r>
        <w:rPr>
          <w:rFonts w:ascii="Times New Roman" w:cs="Times New Roman" w:eastAsia="Times New Roman" w:hAnsi="Times New Roman"/>
          <w:bCs/>
          <w:i/>
          <w:iCs/>
          <w:sz w:val="24"/>
          <w:szCs w:val="24"/>
        </w:rPr>
        <w:t>Osiekwe v The State,</w:t>
      </w:r>
      <w:r>
        <w:rPr>
          <w:rFonts w:ascii="Times New Roman" w:cs="Times New Roman" w:eastAsia="Times New Roman" w:hAnsi="Times New Roman"/>
          <w:bCs/>
          <w:sz w:val="24"/>
          <w:szCs w:val="24"/>
          <w:vertAlign w:val="superscript"/>
        </w:rPr>
        <w:footnoteReference w:id="224"/>
      </w:r>
      <w:r>
        <w:rPr>
          <w:rFonts w:ascii="Times New Roman" w:cs="Times New Roman" w:eastAsia="Times New Roman" w:hAnsi="Times New Roman"/>
          <w:bCs/>
          <w:sz w:val="24"/>
          <w:szCs w:val="24"/>
        </w:rPr>
        <w:t xml:space="preserve"> the Supreme Court held that “the cause of death must be established by positive evidence and cannot be left to conjecture”.</w:t>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Where pathological evidence is inconclusive or where the post-mortem examination was conducted under adverse conditions, the prosecution's ability to establish cause of death with the certainty that proof beyond reasonable doubt demands is materially compromised. Asein has noted that “the quality of pathological services across many states in Nigeria is uneven, and that post-mortem reports are frequently prepared under conditions that limit their scientific reliability, thereby undermining the foundation on which the prosecution's case as to cause of death rests”.</w:t>
      </w:r>
      <w:r>
        <w:rPr>
          <w:rFonts w:ascii="Times New Roman" w:cs="Times New Roman" w:eastAsia="Times New Roman" w:hAnsi="Times New Roman"/>
          <w:bCs/>
          <w:sz w:val="24"/>
          <w:szCs w:val="24"/>
          <w:vertAlign w:val="superscript"/>
        </w:rPr>
        <w:footnoteReference w:id="225"/>
      </w:r>
    </w:p>
    <w:p>
      <w:pPr>
        <w:pStyle w:val="style0"/>
        <w:spacing w:before="280" w:after="120" w:lineRule="auto" w:line="480"/>
        <w:jc w:val="both"/>
        <w:outlineLvl w:val="1"/>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4.1.2 Confessional Statements</w:t>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A confessional statement is defined by section 28 of the Evidence Act  as “an admission made by a person charged with a criminal offence which states or suggests the inference that he committed the offence”. Confessional evidence occupies a position of considerable practical importance in the proof of murder in Nigeria, partly because direct eyewitness evidence is frequently unavailable and partly because investigators have historically relied upon the interrogation process as the principal means of assembling evidence.</w:t>
      </w:r>
      <w:r>
        <w:rPr>
          <w:rFonts w:ascii="Times New Roman" w:cs="Times New Roman" w:eastAsia="Times New Roman" w:hAnsi="Times New Roman"/>
          <w:bCs/>
          <w:sz w:val="24"/>
          <w:szCs w:val="24"/>
          <w:vertAlign w:val="superscript"/>
        </w:rPr>
        <w:footnoteReference w:id="226"/>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Section 29 of the Evidence Act</w:t>
      </w:r>
      <w:r>
        <w:rPr>
          <w:rFonts w:ascii="Times New Roman" w:cs="Times New Roman" w:eastAsia="Times New Roman" w:hAnsi="Times New Roman"/>
          <w:bCs/>
          <w:sz w:val="24"/>
          <w:szCs w:val="24"/>
          <w:vertAlign w:val="superscript"/>
        </w:rPr>
        <w:footnoteReference w:id="227"/>
      </w:r>
      <w:r>
        <w:rPr>
          <w:rFonts w:ascii="Times New Roman" w:cs="Times New Roman" w:eastAsia="Times New Roman" w:hAnsi="Times New Roman"/>
          <w:bCs/>
          <w:sz w:val="24"/>
          <w:szCs w:val="24"/>
        </w:rPr>
        <w:t xml:space="preserve"> provides that “a confession shall not be admissible in evidence against its maker if it was obtained by oppression or as a result of anything said or done which was likely to render any resulting confession unreliable”. The admissibility of a confession that has been made voluntarily is confirmed by section 29(2), which further provides that where the facts deposed to in a confession are later verified to be true, the confession retains its admissibility notwithstanding any technical or procedural irregularity in the manner in which it was recorded.</w:t>
      </w:r>
      <w:r>
        <w:rPr>
          <w:rFonts w:ascii="Times New Roman" w:cs="Times New Roman" w:eastAsia="Times New Roman" w:hAnsi="Times New Roman"/>
          <w:bCs/>
          <w:sz w:val="24"/>
          <w:szCs w:val="24"/>
          <w:vertAlign w:val="superscript"/>
        </w:rPr>
        <w:footnoteReference w:id="228"/>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The Supreme Court in </w:t>
      </w:r>
      <w:r>
        <w:rPr>
          <w:rFonts w:ascii="Times New Roman" w:cs="Times New Roman" w:eastAsia="Times New Roman" w:hAnsi="Times New Roman"/>
          <w:bCs/>
          <w:i/>
          <w:iCs/>
          <w:sz w:val="24"/>
          <w:szCs w:val="24"/>
        </w:rPr>
        <w:t>Mufutau Bakare v The State</w:t>
      </w:r>
      <w:r>
        <w:rPr>
          <w:rFonts w:ascii="Times New Roman" w:cs="Times New Roman" w:eastAsia="Times New Roman" w:hAnsi="Times New Roman"/>
          <w:bCs/>
          <w:sz w:val="24"/>
          <w:szCs w:val="24"/>
          <w:vertAlign w:val="superscript"/>
        </w:rPr>
        <w:footnoteReference w:id="229"/>
      </w:r>
      <w:r>
        <w:rPr>
          <w:rFonts w:ascii="Times New Roman" w:cs="Times New Roman" w:eastAsia="Times New Roman" w:hAnsi="Times New Roman"/>
          <w:bCs/>
          <w:sz w:val="24"/>
          <w:szCs w:val="24"/>
        </w:rPr>
        <w:t xml:space="preserve"> provided the foundational statement of the conditions under which a retracted confession may found a conviction, holding that “a court is entitled to rely upon a confessional statement that has been retracted at trial provided that it is satisfied, after careful scrutiny, that the statement was made voluntarily and is true in its material particulars”.</w:t>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The challenge that confessional evidence poses to the integrity of the murder trial in Nigeria is rooted in the widespread practice of obtaining confessions through coercive interrogation. Allegations of torture, physical compulsion, sleep deprivation, and prolonged unlawful detention are routinely advanced in support of applications to exclude confessional statements, and the courts are frequently required to conduct a trial within a trial to determine the question of voluntariness before the statement can be tendered in evidence. This procedure is well established in Nigerian law and serves as the primary judicial mechanism for policing the boundary between voluntary and involuntary self-incrimination.</w:t>
      </w:r>
      <w:r>
        <w:rPr>
          <w:rFonts w:ascii="Times New Roman" w:cs="Times New Roman" w:eastAsia="Times New Roman" w:hAnsi="Times New Roman"/>
          <w:bCs/>
          <w:sz w:val="24"/>
          <w:szCs w:val="24"/>
          <w:vertAlign w:val="superscript"/>
        </w:rPr>
        <w:footnoteReference w:id="230"/>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Adebowale has argued that “the trial within a trial procedure, while an essential safeguard, imposes significant practical burdens on the court and lengthens the proceedings considerably in an environment already marked by chronic delay”. The procedure may also be exploited by accused persons who wish to exclude true and voluntary confessions by fabricating allegations of mistreatment.</w:t>
      </w:r>
      <w:r>
        <w:rPr>
          <w:rFonts w:ascii="Times New Roman" w:cs="Times New Roman" w:eastAsia="Times New Roman" w:hAnsi="Times New Roman"/>
          <w:bCs/>
          <w:sz w:val="24"/>
          <w:szCs w:val="24"/>
          <w:vertAlign w:val="superscript"/>
        </w:rPr>
        <w:footnoteReference w:id="231"/>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The Administration of Criminal Justice Act 2015 introduced additional procedural requirements designed to address the problem of coerced confessions, including the mandatory electronic recording of confessional statements and the requirement that an accused person be brought before a judge before any confessional statement is tendered.</w:t>
      </w:r>
      <w:r>
        <w:rPr>
          <w:rFonts w:ascii="Times New Roman" w:cs="Times New Roman" w:eastAsia="Times New Roman" w:hAnsi="Times New Roman"/>
          <w:bCs/>
          <w:sz w:val="24"/>
          <w:szCs w:val="24"/>
          <w:vertAlign w:val="superscript"/>
        </w:rPr>
        <w:footnoteReference w:id="232"/>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Even where a confessional statement is admitted without challenge, its weight in evidence may be diminished by subsequent retraction. Aguda has observed that “retracted confessions </w:t>
      </w:r>
      <w:r>
        <w:rPr>
          <w:rFonts w:ascii="Times New Roman" w:cs="Times New Roman" w:eastAsia="Times New Roman" w:hAnsi="Times New Roman"/>
          <w:bCs/>
          <w:sz w:val="24"/>
          <w:szCs w:val="24"/>
        </w:rPr>
        <w:t>present particular difficulty for the trial court, because the court must simultaneously assess the credibility of the earlier admission and the credibility of the repudiation, and must thereafter determine whether the residual probative value of the statement, in the light of all the circumstances, is sufficient to sustain a conviction”.</w:t>
      </w:r>
      <w:r>
        <w:rPr>
          <w:rFonts w:ascii="Times New Roman" w:cs="Times New Roman" w:eastAsia="Times New Roman" w:hAnsi="Times New Roman"/>
          <w:bCs/>
          <w:sz w:val="24"/>
          <w:szCs w:val="24"/>
          <w:vertAlign w:val="superscript"/>
        </w:rPr>
        <w:footnoteReference w:id="233"/>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The Supreme Court in </w:t>
      </w:r>
      <w:r>
        <w:rPr>
          <w:rFonts w:ascii="Times New Roman" w:cs="Times New Roman" w:eastAsia="Times New Roman" w:hAnsi="Times New Roman"/>
          <w:bCs/>
          <w:i/>
          <w:iCs/>
          <w:sz w:val="24"/>
          <w:szCs w:val="24"/>
        </w:rPr>
        <w:t>Sule v The State</w:t>
      </w:r>
      <w:r>
        <w:rPr>
          <w:rFonts w:ascii="Times New Roman" w:cs="Times New Roman" w:eastAsia="Times New Roman" w:hAnsi="Times New Roman"/>
          <w:bCs/>
          <w:sz w:val="24"/>
          <w:szCs w:val="24"/>
          <w:vertAlign w:val="superscript"/>
        </w:rPr>
        <w:footnoteReference w:id="234"/>
      </w:r>
      <w:r>
        <w:rPr>
          <w:rFonts w:ascii="Times New Roman" w:cs="Times New Roman" w:eastAsia="Times New Roman" w:hAnsi="Times New Roman"/>
          <w:bCs/>
          <w:sz w:val="24"/>
          <w:szCs w:val="24"/>
        </w:rPr>
        <w:t xml:space="preserve"> confirmed that “a conviction grounded solely on a retracted confession carries inherent risk”, and advised that courts should ordinarily seek independent corroboration before acting on such evidence, particularly in capital cases where the consequences of an erroneous conviction are irreversible.</w:t>
      </w:r>
      <w:r>
        <w:rPr>
          <w:rFonts w:ascii="Times New Roman" w:cs="Times New Roman" w:eastAsia="Times New Roman" w:hAnsi="Times New Roman"/>
          <w:bCs/>
          <w:sz w:val="24"/>
          <w:szCs w:val="24"/>
          <w:vertAlign w:val="superscript"/>
        </w:rPr>
        <w:footnoteReference w:id="235"/>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Okonkwo has further identified “the evidential problem arising from confessions that are internally inconsistent or that conflict with established physical facts”. Where a confessional statement purports to describe the circumstances of the killing in a manner that is demonstrably irreconcilable with the forensic evidence, the court faces the task of determining which account reflects the truth. In such cases the confession may be rendered worthless as evidence rather than being merely discounted in weight.</w:t>
      </w:r>
      <w:r>
        <w:rPr>
          <w:rFonts w:ascii="Times New Roman" w:cs="Times New Roman" w:eastAsia="Times New Roman" w:hAnsi="Times New Roman"/>
          <w:bCs/>
          <w:sz w:val="24"/>
          <w:szCs w:val="24"/>
          <w:vertAlign w:val="superscript"/>
        </w:rPr>
        <w:footnoteReference w:id="236"/>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The interplay between a confessional statement and the accused's right to silence under section 36(11) of the Constitution of the Federal Republic of Nigeria 1999 presents a further dimension of this challenge. Section 232 of the Evidence Act 2023 preserves the accused's right to refuse to be a witness in his own defence, but that right does not extend to preventing the prosecution from tendering a voluntary pre-trial confession.</w:t>
      </w:r>
      <w:r>
        <w:rPr>
          <w:rFonts w:ascii="Times New Roman" w:cs="Times New Roman" w:eastAsia="Times New Roman" w:hAnsi="Times New Roman"/>
          <w:bCs/>
          <w:sz w:val="24"/>
          <w:szCs w:val="24"/>
          <w:vertAlign w:val="superscript"/>
        </w:rPr>
        <w:footnoteReference w:id="237"/>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4.1.3 Hostile Witnesses</w:t>
      </w:r>
    </w:p>
    <w:p>
      <w:pPr>
        <w:pStyle w:val="style0"/>
        <w:spacing w:after="0" w:lineRule="auto" w:line="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A further evidential challenge that frequently arises in murder prosecutions is the phenomenon of hostile witnesses: those called by the prosecution who, once under oath, give evidence materially inconsistent with their earlier statements to the police or other investigative authorities. The problem is both practically disruptive and legally complex, because it directly undermines the edifice of proof upon which the prosecution's case is constructed.</w:t>
      </w:r>
      <w:r>
        <w:rPr>
          <w:rFonts w:ascii="Times New Roman" w:cs="Times New Roman" w:eastAsia="Times New Roman" w:hAnsi="Times New Roman"/>
          <w:sz w:val="24"/>
          <w:szCs w:val="24"/>
          <w:vertAlign w:val="superscript"/>
        </w:rPr>
        <w:footnoteReference w:id="238"/>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In </w:t>
      </w:r>
      <w:r>
        <w:rPr>
          <w:rFonts w:ascii="Times New Roman" w:cs="Times New Roman" w:eastAsia="Times New Roman" w:hAnsi="Times New Roman"/>
          <w:bCs/>
          <w:i/>
          <w:iCs/>
          <w:sz w:val="24"/>
          <w:szCs w:val="24"/>
        </w:rPr>
        <w:t>Emmanuel Ochiba v The State,</w:t>
      </w:r>
      <w:r>
        <w:rPr>
          <w:rFonts w:ascii="Times New Roman" w:cs="Times New Roman" w:eastAsia="Times New Roman" w:hAnsi="Times New Roman"/>
          <w:bCs/>
          <w:sz w:val="24"/>
          <w:szCs w:val="24"/>
          <w:vertAlign w:val="superscript"/>
        </w:rPr>
        <w:footnoteReference w:id="239"/>
      </w:r>
      <w:r>
        <w:rPr>
          <w:rFonts w:ascii="Times New Roman" w:cs="Times New Roman" w:eastAsia="Times New Roman" w:hAnsi="Times New Roman"/>
          <w:bCs/>
          <w:sz w:val="24"/>
          <w:szCs w:val="24"/>
        </w:rPr>
        <w:t xml:space="preserve"> the Supreme Court restated the foundational principle that “the prosecution is not permitted to impeach the credibility of its own witness without the leave of the court, and that such leave may be granted only where the witness manifests a disposition adverse to the party calling him”.</w:t>
      </w:r>
      <w:r>
        <w:rPr>
          <w:rFonts w:ascii="Times New Roman" w:cs="Times New Roman" w:eastAsia="Times New Roman" w:hAnsi="Times New Roman"/>
          <w:bCs/>
          <w:sz w:val="24"/>
          <w:szCs w:val="24"/>
          <w:vertAlign w:val="superscript"/>
        </w:rPr>
        <w:t xml:space="preserve"> </w:t>
      </w:r>
      <w:r>
        <w:rPr>
          <w:rFonts w:ascii="Times New Roman" w:cs="Times New Roman" w:eastAsia="Times New Roman" w:hAnsi="Times New Roman"/>
          <w:bCs/>
          <w:sz w:val="24"/>
          <w:szCs w:val="24"/>
          <w:vertAlign w:val="superscript"/>
        </w:rPr>
        <w:footnoteReference w:id="240"/>
      </w:r>
      <w:r>
        <w:rPr>
          <w:rFonts w:ascii="Times New Roman" w:cs="Times New Roman" w:eastAsia="Times New Roman" w:hAnsi="Times New Roman"/>
          <w:bCs/>
          <w:sz w:val="24"/>
          <w:szCs w:val="24"/>
        </w:rPr>
        <w:t xml:space="preserve"> Once a witness is declared hostile, the party who called him is permitted, by virtue of section 232 of the Evidence Act, to cross-examine the witness on the inconsistencies between his testimony and his prior statement.</w:t>
      </w:r>
      <w:r>
        <w:rPr>
          <w:rFonts w:ascii="Times New Roman" w:cs="Times New Roman" w:eastAsia="Times New Roman" w:hAnsi="Times New Roman"/>
          <w:bCs/>
          <w:sz w:val="24"/>
          <w:szCs w:val="24"/>
          <w:vertAlign w:val="superscript"/>
        </w:rPr>
        <w:footnoteReference w:id="241"/>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Section 233 of the Evidence Act  provides that prior inconsistent statements made by a witness may be put to him in cross-examination for the purpose of contradicting his testimony, but that such statements do not, by reason only of their inconsistency with the testimony, become evidence of the facts asserted therein. The consequence is that a prior statement cannot be used as substantive evidence of guilt merely because it is inconsistent with what the same witness subsequently asserts in court.</w:t>
      </w:r>
      <w:r>
        <w:rPr>
          <w:rFonts w:ascii="Times New Roman" w:cs="Times New Roman" w:eastAsia="Times New Roman" w:hAnsi="Times New Roman"/>
          <w:bCs/>
          <w:sz w:val="24"/>
          <w:szCs w:val="24"/>
          <w:vertAlign w:val="superscript"/>
        </w:rPr>
        <w:footnoteReference w:id="242"/>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The Supreme Court in </w:t>
      </w:r>
      <w:r>
        <w:rPr>
          <w:rFonts w:ascii="Times New Roman" w:cs="Times New Roman" w:eastAsia="Times New Roman" w:hAnsi="Times New Roman"/>
          <w:bCs/>
          <w:i/>
          <w:iCs/>
          <w:sz w:val="24"/>
          <w:szCs w:val="24"/>
        </w:rPr>
        <w:t>Agboola v UBA Plc</w:t>
      </w:r>
      <w:r>
        <w:rPr>
          <w:rFonts w:ascii="Times New Roman" w:cs="Times New Roman" w:eastAsia="Times New Roman" w:hAnsi="Times New Roman"/>
          <w:bCs/>
          <w:sz w:val="24"/>
          <w:szCs w:val="24"/>
        </w:rPr>
        <w:t>,</w:t>
      </w:r>
      <w:r>
        <w:rPr>
          <w:rFonts w:ascii="Times New Roman" w:cs="Times New Roman" w:eastAsia="Times New Roman" w:hAnsi="Times New Roman"/>
          <w:bCs/>
          <w:sz w:val="24"/>
          <w:szCs w:val="24"/>
          <w:vertAlign w:val="superscript"/>
        </w:rPr>
        <w:footnoteReference w:id="243"/>
      </w:r>
      <w:r>
        <w:rPr>
          <w:rFonts w:ascii="Times New Roman" w:cs="Times New Roman" w:eastAsia="Times New Roman" w:hAnsi="Times New Roman"/>
          <w:bCs/>
          <w:sz w:val="24"/>
          <w:szCs w:val="24"/>
        </w:rPr>
        <w:t xml:space="preserve"> a decision whose reasoning the courts have applied analogically to criminal proceedings affirmed that “the mere retraction of a prior statement by a witness who was consistent at the time of investigation does not entitle the court to discount entirely all evidence given by that witness, and that the court must instead carefully assess the totality of the witness's evidence, giving appropriate weight to those portions which remain consistent and credible”.</w:t>
      </w:r>
      <w:r>
        <w:rPr>
          <w:rFonts w:ascii="Times New Roman" w:cs="Times New Roman" w:eastAsia="Times New Roman" w:hAnsi="Times New Roman"/>
          <w:bCs/>
          <w:sz w:val="24"/>
          <w:szCs w:val="24"/>
          <w:vertAlign w:val="superscript"/>
        </w:rPr>
        <w:footnoteReference w:id="244"/>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The effect of hostile witnesses on murder prosecutions can be devastating. Where the principal eyewitness recants, or where identification evidence previously given to the police is withdrawn in court, the prosecution may be left without any competent direct evidence and may be compelled to rely exclusively on circumstantial inference. Ogbu has argued that “the absence of effective witness protection mechanisms in Nigeria is a primary cause of the hostile witness phenomenon” and has called for the immediate enactment of comprehensive witness protection legislation that provides for the anonymity, relocation, and physical protection of witnesses in serious criminal cases.</w:t>
      </w:r>
      <w:r>
        <w:rPr>
          <w:rFonts w:ascii="Times New Roman" w:cs="Times New Roman" w:eastAsia="Times New Roman" w:hAnsi="Times New Roman"/>
          <w:bCs/>
          <w:sz w:val="24"/>
          <w:szCs w:val="24"/>
          <w:vertAlign w:val="superscript"/>
        </w:rPr>
        <w:footnoteReference w:id="245"/>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There is also the question of how the court should evaluate the testimony of a witness who has been declared hostile. The constitutional guarantee of the right to a fair hearing under section 36(6) of the Constitution requires that the defense be afforded a full opportunity to cross-examine all prosecution witnesses, including those whose evidence has been undermined by their own retraction or inconsistency. The practical effect of this safeguard is </w:t>
      </w:r>
      <w:r>
        <w:rPr>
          <w:rFonts w:ascii="Times New Roman" w:cs="Times New Roman" w:eastAsia="Times New Roman" w:hAnsi="Times New Roman"/>
          <w:bCs/>
          <w:sz w:val="24"/>
          <w:szCs w:val="24"/>
        </w:rPr>
        <w:t>that the court must receive and assess all evidence given by a hostile witness, even where that evidence is manifestly unreliable, before determining what weight, if any, to assign to it.</w:t>
      </w:r>
      <w:r>
        <w:rPr>
          <w:rFonts w:ascii="Times New Roman" w:cs="Times New Roman" w:eastAsia="Times New Roman" w:hAnsi="Times New Roman"/>
          <w:bCs/>
          <w:sz w:val="24"/>
          <w:szCs w:val="24"/>
          <w:vertAlign w:val="superscript"/>
        </w:rPr>
        <w:footnoteReference w:id="246"/>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4.2 Institutional and Systemic Challenges</w:t>
      </w:r>
    </w:p>
    <w:p>
      <w:pPr>
        <w:pStyle w:val="style0"/>
        <w:spacing w:after="0" w:lineRule="auto" w:line="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Beyond the evidential difficulties inherent in the character of the proof required to establish murder, the Nigerian criminal justice system confronts a set of institutional and systemic challenges that constrain the capacity of the prosecution to assemble and present an adequate evidential case. These challenges are structural in character and cannot be resolved by legislative amendment alone; they demand sustained investment in institutional capacity, professional training, and procedural reform.</w:t>
      </w:r>
      <w:r>
        <w:rPr>
          <w:rFonts w:ascii="Times New Roman" w:cs="Times New Roman" w:eastAsia="Times New Roman" w:hAnsi="Times New Roman"/>
          <w:sz w:val="24"/>
          <w:szCs w:val="24"/>
          <w:vertAlign w:val="superscript"/>
        </w:rPr>
        <w:footnoteReference w:id="247"/>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4.2.1 Police Investigation Deficiencies</w:t>
      </w:r>
    </w:p>
    <w:p>
      <w:pPr>
        <w:pStyle w:val="style0"/>
        <w:spacing w:after="0" w:lineRule="auto" w:line="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The Nigerian Police Force is the primary institution charged with investigating allegations of murder and assembling the body of evidence on which the prosecution at trial depends. The quality of police investigation is accordingly the single most important institutional variable in determining whether a murder charge can be proved to the standard required by the Evidence Act . Where the investigative process is deficient whether through inadequate preservation of the crime scene, failure to collect and properly store physical exhibits, or incomplete recording of witness statements  the structural foundation of the prosecution's case is compromised before the trial has even begun.</w:t>
      </w:r>
      <w:r>
        <w:rPr>
          <w:rFonts w:ascii="Times New Roman" w:cs="Times New Roman" w:eastAsia="Times New Roman" w:hAnsi="Times New Roman"/>
          <w:sz w:val="24"/>
          <w:szCs w:val="24"/>
          <w:vertAlign w:val="superscript"/>
        </w:rPr>
        <w:footnoteReference w:id="248"/>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The Administration of Criminal Justice Act imposes specific statutory duties on investigating officers in relation to the preservation of crime scenes, the collection and cataloguing of exhibits, and the timely preparation of investigation diaries. Section 6 of the Act requires that </w:t>
      </w:r>
      <w:r>
        <w:rPr>
          <w:rFonts w:ascii="Times New Roman" w:cs="Times New Roman" w:eastAsia="Times New Roman" w:hAnsi="Times New Roman"/>
          <w:bCs/>
          <w:sz w:val="24"/>
          <w:szCs w:val="24"/>
        </w:rPr>
        <w:t>investigating officers take all reasonable steps to ensure that evidence is gathered and preserved in a manner that will render it admissible and probative at trial. However, the practical implementation of these duties across the many police formations nationwide has been uneven.</w:t>
      </w:r>
      <w:r>
        <w:rPr>
          <w:rFonts w:ascii="Times New Roman" w:cs="Times New Roman" w:eastAsia="Times New Roman" w:hAnsi="Times New Roman"/>
          <w:bCs/>
          <w:sz w:val="24"/>
          <w:szCs w:val="24"/>
          <w:vertAlign w:val="superscript"/>
        </w:rPr>
        <w:footnoteReference w:id="249"/>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In </w:t>
      </w:r>
      <w:r>
        <w:rPr>
          <w:rFonts w:ascii="Times New Roman" w:cs="Times New Roman" w:eastAsia="Times New Roman" w:hAnsi="Times New Roman"/>
          <w:bCs/>
          <w:i/>
          <w:iCs/>
          <w:sz w:val="24"/>
          <w:szCs w:val="24"/>
        </w:rPr>
        <w:t>Babuga v The State,</w:t>
      </w:r>
      <w:r>
        <w:rPr>
          <w:rFonts w:ascii="Times New Roman" w:cs="Times New Roman" w:eastAsia="Times New Roman" w:hAnsi="Times New Roman"/>
          <w:bCs/>
          <w:sz w:val="24"/>
          <w:szCs w:val="24"/>
          <w:vertAlign w:val="superscript"/>
        </w:rPr>
        <w:footnoteReference w:id="250"/>
      </w:r>
      <w:r>
        <w:rPr>
          <w:rFonts w:ascii="Times New Roman" w:cs="Times New Roman" w:eastAsia="Times New Roman" w:hAnsi="Times New Roman"/>
          <w:bCs/>
          <w:sz w:val="24"/>
          <w:szCs w:val="24"/>
        </w:rPr>
        <w:t xml:space="preserve"> the Supreme Court commented adversely on “the failure of investigating officers to recover and preserve physical evidence that would have assisted in establishing the cause of death”. The court noted that “where the police investigation is manifestly inadequate, the resulting lacuna in the prosecution's evidence may be irremediable, and that the court cannot fill evidential gaps by speculation or conjecture in favour of the prosecution”.</w:t>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The Supreme Court in </w:t>
      </w:r>
      <w:r>
        <w:rPr>
          <w:rFonts w:ascii="Times New Roman" w:cs="Times New Roman" w:eastAsia="Times New Roman" w:hAnsi="Times New Roman"/>
          <w:bCs/>
          <w:i/>
          <w:iCs/>
          <w:sz w:val="24"/>
          <w:szCs w:val="24"/>
        </w:rPr>
        <w:t>Hassan v The State</w:t>
      </w:r>
      <w:r>
        <w:rPr>
          <w:rFonts w:ascii="Times New Roman" w:cs="Times New Roman" w:eastAsia="Times New Roman" w:hAnsi="Times New Roman"/>
          <w:bCs/>
          <w:sz w:val="24"/>
          <w:szCs w:val="24"/>
        </w:rPr>
        <w:t xml:space="preserve"> </w:t>
      </w:r>
      <w:r>
        <w:rPr>
          <w:rFonts w:ascii="Times New Roman" w:cs="Times New Roman" w:eastAsia="Times New Roman" w:hAnsi="Times New Roman"/>
          <w:bCs/>
          <w:sz w:val="24"/>
          <w:szCs w:val="24"/>
          <w:vertAlign w:val="superscript"/>
        </w:rPr>
        <w:footnoteReference w:id="251"/>
      </w:r>
      <w:r>
        <w:rPr>
          <w:rFonts w:ascii="Times New Roman" w:cs="Times New Roman" w:eastAsia="Times New Roman" w:hAnsi="Times New Roman"/>
          <w:bCs/>
          <w:sz w:val="24"/>
          <w:szCs w:val="24"/>
        </w:rPr>
        <w:t xml:space="preserve"> expressed concern that “the quality of police investigations in murder cases is frequently inadequate to support the exacting standard of proof that the law demands, and that the courts cannot compensate for investigative failures by relaxing the standard of proof that the prosecution is required to discharge”.</w:t>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Fadipe has argued that “the institutional culture of the Nigerian Police Force continues to place excessive reliance on confessional evidence as a substitute for thorough physical and forensic investigation”. This reliance creates a systemic vulnerability: where the confessional statement is challenged or excluded, the prosecution is left without the scientific and physical evidence that a competent investigation would have gathered, and the case may collapse.</w:t>
      </w:r>
      <w:r>
        <w:rPr>
          <w:rFonts w:ascii="Times New Roman" w:cs="Times New Roman" w:eastAsia="Times New Roman" w:hAnsi="Times New Roman"/>
          <w:bCs/>
          <w:sz w:val="24"/>
          <w:szCs w:val="24"/>
          <w:vertAlign w:val="superscript"/>
        </w:rPr>
        <w:footnoteReference w:id="252"/>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The Police Act 2020 envisages a modernized and professional police service, and section 4 thereof restates the general duty of the police to detect and prevent crime and to bring offenders to justice. However, the transformation of legislative vision into operational practice requires resources and sustained institutional commitment that have not been consistently forthcoming.</w:t>
      </w:r>
      <w:r>
        <w:rPr>
          <w:rFonts w:ascii="Times New Roman" w:cs="Times New Roman" w:eastAsia="Times New Roman" w:hAnsi="Times New Roman"/>
          <w:bCs/>
          <w:sz w:val="24"/>
          <w:szCs w:val="24"/>
          <w:vertAlign w:val="superscript"/>
        </w:rPr>
        <w:footnoteReference w:id="253"/>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Forensic evidence collection at the scene of a murder is a particular area of deficiency. The proper identification, collection, preservation, and chain-of-custody documentation of physical exhibits are prerequisites to their admissibility and probative value at trial. Where these procedural steps are not followed, exhibit evidence may be excluded or discounted. The Administration of Criminal Justice Act 2015 addresses this issue in section 14, which specifies the procedures for the handling and production of exhibits, but the practical adherence to these procedures by investigating officers varies widely.</w:t>
      </w:r>
      <w:r>
        <w:rPr>
          <w:rFonts w:ascii="Times New Roman" w:cs="Times New Roman" w:eastAsia="Times New Roman" w:hAnsi="Times New Roman"/>
          <w:bCs/>
          <w:sz w:val="24"/>
          <w:szCs w:val="24"/>
          <w:vertAlign w:val="superscript"/>
        </w:rPr>
        <w:footnoteReference w:id="254"/>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In </w:t>
      </w:r>
      <w:r>
        <w:rPr>
          <w:rFonts w:ascii="Times New Roman" w:cs="Times New Roman" w:eastAsia="Times New Roman" w:hAnsi="Times New Roman"/>
          <w:bCs/>
          <w:i/>
          <w:iCs/>
          <w:sz w:val="24"/>
          <w:szCs w:val="24"/>
        </w:rPr>
        <w:t>Salihu v The State,</w:t>
      </w:r>
      <w:r>
        <w:rPr>
          <w:rFonts w:ascii="Times New Roman" w:cs="Times New Roman" w:eastAsia="Times New Roman" w:hAnsi="Times New Roman"/>
          <w:bCs/>
          <w:sz w:val="24"/>
          <w:szCs w:val="24"/>
          <w:vertAlign w:val="superscript"/>
        </w:rPr>
        <w:footnoteReference w:id="255"/>
      </w:r>
      <w:r>
        <w:rPr>
          <w:rFonts w:ascii="Times New Roman" w:cs="Times New Roman" w:eastAsia="Times New Roman" w:hAnsi="Times New Roman"/>
          <w:bCs/>
          <w:sz w:val="24"/>
          <w:szCs w:val="24"/>
        </w:rPr>
        <w:t xml:space="preserve"> the Supreme Court held that “the failure to establish an unbroken chain of custody for a key piece of physical evidence fatally undermined its probative value and contributed to the court's inability to sustain the conviction”. The decision underscores the relationship between investigative quality and the ultimate capacity of the prosecution to discharge its burden of proof.</w:t>
      </w:r>
    </w:p>
    <w:p>
      <w:pPr>
        <w:pStyle w:val="style0"/>
        <w:spacing w:after="0" w:lineRule="auto" w:line="48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4.2.2 Delay in Prosecution and Trial</w:t>
      </w:r>
    </w:p>
    <w:p>
      <w:pPr>
        <w:pStyle w:val="style0"/>
        <w:spacing w:after="0" w:lineRule="auto" w:line="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The phenomenon of protracted delay in the investigation, prosecution, and trial of murder cases represents one of the most entrenched systemic challenges in the Nigerian criminal </w:t>
      </w:r>
      <w:r>
        <w:rPr>
          <w:rFonts w:ascii="Times New Roman" w:cs="Times New Roman" w:eastAsia="Times New Roman" w:hAnsi="Times New Roman"/>
          <w:sz w:val="24"/>
          <w:szCs w:val="24"/>
        </w:rPr>
        <w:t>justice system. The consequences of delay are multiple and mutually reinforcing: witnesses become unavailable, their recollections fade or are contaminated, physical exhibits are lost or deteriorate, and the accused person  frequently held in pre-trial detention  suffers a deprivation of liberty that may extend for many years before any judicial determination is made.</w:t>
      </w:r>
      <w:r>
        <w:rPr>
          <w:rFonts w:ascii="Times New Roman" w:cs="Times New Roman" w:eastAsia="Times New Roman" w:hAnsi="Times New Roman"/>
          <w:sz w:val="24"/>
          <w:szCs w:val="24"/>
          <w:vertAlign w:val="superscript"/>
        </w:rPr>
        <w:footnoteReference w:id="256"/>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The constitutional guarantee of trial within a reasonable time, enshrined in section 36(1) and (4) of the Constitution of the Federal Republic of Nigeria,</w:t>
      </w:r>
      <w:r>
        <w:rPr>
          <w:rFonts w:ascii="Times New Roman" w:cs="Times New Roman" w:eastAsia="Times New Roman" w:hAnsi="Times New Roman"/>
          <w:bCs/>
          <w:sz w:val="24"/>
          <w:szCs w:val="24"/>
          <w:vertAlign w:val="superscript"/>
        </w:rPr>
        <w:footnoteReference w:id="257"/>
      </w:r>
      <w:r>
        <w:rPr>
          <w:rFonts w:ascii="Times New Roman" w:cs="Times New Roman" w:eastAsia="Times New Roman" w:hAnsi="Times New Roman"/>
          <w:bCs/>
          <w:sz w:val="24"/>
          <w:szCs w:val="24"/>
        </w:rPr>
        <w:t xml:space="preserve"> is the primary normative safeguard against unconscionable delay. The Supreme Court in </w:t>
      </w:r>
      <w:r>
        <w:rPr>
          <w:rFonts w:ascii="Times New Roman" w:cs="Times New Roman" w:eastAsia="Times New Roman" w:hAnsi="Times New Roman"/>
          <w:bCs/>
          <w:i/>
          <w:iCs/>
          <w:sz w:val="24"/>
          <w:szCs w:val="24"/>
        </w:rPr>
        <w:t>Adigun v Attorney-General of Oyo State</w:t>
      </w:r>
      <w:r>
        <w:rPr>
          <w:rFonts w:ascii="Times New Roman" w:cs="Times New Roman" w:eastAsia="Times New Roman" w:hAnsi="Times New Roman"/>
          <w:bCs/>
          <w:sz w:val="24"/>
          <w:szCs w:val="24"/>
          <w:vertAlign w:val="superscript"/>
        </w:rPr>
        <w:footnoteReference w:id="258"/>
      </w:r>
      <w:r>
        <w:rPr>
          <w:rFonts w:ascii="Times New Roman" w:cs="Times New Roman" w:eastAsia="Times New Roman" w:hAnsi="Times New Roman"/>
          <w:bCs/>
          <w:sz w:val="24"/>
          <w:szCs w:val="24"/>
        </w:rPr>
        <w:t xml:space="preserve"> affirmed that “the constitutional guarantee is enforceable and that proceedings vitiated by inordinate delay may be stayed”. However, the mere existence of a constitutional right to expedition does not resolve the practical obstacles that generate delay.</w:t>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Ezike has identified several institutional drivers of delay in murder prosecutions. The first is “the backlog of cases in the Nigerian High Court system, where the docket in many states is so congested that a murder trial may not commence for several years after the accused has been charged”. The second is the shortage of judges and courtrooms relative to the volume of criminal cases requiring trial. The third is the multiplicity of pre-trial applications including applications for bail, no-case submissions, and interlocutory objections that skilled defense counsel routinely deploy to protract proceedings.</w:t>
      </w:r>
      <w:r>
        <w:rPr>
          <w:rFonts w:ascii="Times New Roman" w:cs="Times New Roman" w:eastAsia="Times New Roman" w:hAnsi="Times New Roman"/>
          <w:bCs/>
          <w:sz w:val="24"/>
          <w:szCs w:val="24"/>
          <w:vertAlign w:val="superscript"/>
        </w:rPr>
        <w:footnoteReference w:id="259"/>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The Administration of Criminal Justice Act introduced provisions designed to expedite criminal trials, including a mandatory day-to-day hearing rule in sections 396 to 400, which requires that once a criminal trial has commenced, it shall proceed from day to day until it is concluded. The Act further provides that adjournments shall not be granted as a matter of course and that applications for adjournment shall be assessed by reference to the interest of justice and the rights of the accused to trial within a reasonable time.</w:t>
      </w:r>
      <w:r>
        <w:rPr>
          <w:rFonts w:ascii="Times New Roman" w:cs="Times New Roman" w:eastAsia="Times New Roman" w:hAnsi="Times New Roman"/>
          <w:bCs/>
          <w:sz w:val="24"/>
          <w:szCs w:val="24"/>
          <w:vertAlign w:val="superscript"/>
        </w:rPr>
        <w:footnoteReference w:id="260"/>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The Supreme Court in </w:t>
      </w:r>
      <w:r>
        <w:rPr>
          <w:rFonts w:ascii="Times New Roman" w:cs="Times New Roman" w:eastAsia="Times New Roman" w:hAnsi="Times New Roman"/>
          <w:bCs/>
          <w:i/>
          <w:iCs/>
          <w:sz w:val="24"/>
          <w:szCs w:val="24"/>
        </w:rPr>
        <w:t>Ariori v Elemo</w:t>
      </w:r>
      <w:r>
        <w:rPr>
          <w:rFonts w:ascii="Times New Roman" w:cs="Times New Roman" w:eastAsia="Times New Roman" w:hAnsi="Times New Roman"/>
          <w:bCs/>
          <w:sz w:val="24"/>
          <w:szCs w:val="24"/>
        </w:rPr>
        <w:t xml:space="preserve"> restated the foundational principle that “every criminal defendant is entitled to a fair trial conducted within a reasonable time, and that the courts have both the power and the duty to prevent the criminal process from being used as an instrument of oppression through the deliberate engineering of delay”. The court further observed that the cumulative effect of delay on the quality of evidence presented at trial may itself constitute a ground for questioning the fairness of the resulting verdict.</w:t>
      </w:r>
      <w:r>
        <w:rPr>
          <w:rFonts w:ascii="Times New Roman" w:cs="Times New Roman" w:eastAsia="Times New Roman" w:hAnsi="Times New Roman"/>
          <w:bCs/>
          <w:sz w:val="24"/>
          <w:szCs w:val="24"/>
          <w:vertAlign w:val="superscript"/>
        </w:rPr>
        <w:footnoteReference w:id="261"/>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Okafor has argued that “the problem of delay is especially acute in capital cases, where the accused is ordinarily denied bail pending trial and the length of pre-trial detention may itself constitute a form of punishment that anticipates and may exceed the sentence ultimately imposed”.</w:t>
      </w:r>
      <w:r>
        <w:rPr>
          <w:rFonts w:ascii="Times New Roman" w:cs="Times New Roman" w:eastAsia="Times New Roman" w:hAnsi="Times New Roman"/>
          <w:bCs/>
          <w:sz w:val="24"/>
          <w:szCs w:val="24"/>
          <w:vertAlign w:val="superscript"/>
        </w:rPr>
        <w:footnoteReference w:id="262"/>
      </w:r>
      <w:r>
        <w:rPr>
          <w:rFonts w:ascii="Times New Roman" w:cs="Times New Roman" w:eastAsia="Times New Roman" w:hAnsi="Times New Roman"/>
          <w:bCs/>
          <w:sz w:val="24"/>
          <w:szCs w:val="24"/>
        </w:rPr>
        <w:t xml:space="preserve"> This situation conflicts not only with the constitutional presumption of innocence enshrined in section 36(5) of the Constitution of the Federal Republic of Nigeria but also with the fundamental requirement of dignity and humane treatment that underlies the entire criminal justice system.</w:t>
      </w:r>
      <w:r>
        <w:rPr>
          <w:rFonts w:ascii="Times New Roman" w:cs="Times New Roman" w:eastAsia="Times New Roman" w:hAnsi="Times New Roman"/>
          <w:bCs/>
          <w:sz w:val="24"/>
          <w:szCs w:val="24"/>
          <w:vertAlign w:val="superscript"/>
        </w:rPr>
        <w:footnoteReference w:id="263"/>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Delay also affects the quality of evidence available at trial. Witnesses whose recollections were fresh at the time of investigation may, after several years, be unable to recall details that are material to the issues in dispute. Medical and forensic reports prepared long before trial may be contested on the basis that conditions have changed or that the methods used at the time of examination did not meet current standards. Physical exhibits may have deteriorated or been lost in storage. Adeyemi has observed that “the Nigerian criminal justice system has yet to develop systematic mechanisms for preserving the quality of evidence over the long periods that typically elapse between the commission of a murder and its trial”.</w:t>
      </w:r>
      <w:r>
        <w:rPr>
          <w:rFonts w:ascii="Times New Roman" w:cs="Times New Roman" w:eastAsia="Times New Roman" w:hAnsi="Times New Roman"/>
          <w:bCs/>
          <w:sz w:val="24"/>
          <w:szCs w:val="24"/>
          <w:vertAlign w:val="superscript"/>
        </w:rPr>
        <w:footnoteReference w:id="264"/>
      </w:r>
    </w:p>
    <w:p>
      <w:pPr>
        <w:pStyle w:val="style0"/>
        <w:spacing w:after="0" w:lineRule="auto" w:line="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4.2.3 Forensic Evidence Limitations</w:t>
      </w:r>
    </w:p>
    <w:p>
      <w:pPr>
        <w:pStyle w:val="style0"/>
        <w:spacing w:after="0" w:lineRule="auto" w:line="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The capacity to deploy modern forensic science in the proof of murder is severely constrained in Nigeria by the absence of adequate laboratory infrastructure, the scarcity of trained forensic scientists, and the limited admissibility framework for novel categories of scientific evidence.</w:t>
      </w:r>
      <w:r>
        <w:rPr>
          <w:rFonts w:ascii="Times New Roman" w:cs="Times New Roman" w:eastAsia="Times New Roman" w:hAnsi="Times New Roman"/>
          <w:sz w:val="24"/>
          <w:szCs w:val="24"/>
          <w:vertAlign w:val="superscript"/>
        </w:rPr>
        <w:t xml:space="preserve"> </w:t>
      </w:r>
      <w:r>
        <w:rPr>
          <w:rFonts w:ascii="Times New Roman" w:cs="Times New Roman" w:eastAsia="Times New Roman" w:hAnsi="Times New Roman"/>
          <w:sz w:val="24"/>
          <w:szCs w:val="24"/>
          <w:vertAlign w:val="superscript"/>
        </w:rPr>
        <w:footnoteReference w:id="265"/>
      </w:r>
      <w:r>
        <w:rPr>
          <w:rFonts w:ascii="Times New Roman" w:cs="Times New Roman" w:eastAsia="Times New Roman" w:hAnsi="Times New Roman"/>
          <w:sz w:val="24"/>
          <w:szCs w:val="24"/>
        </w:rPr>
        <w:t xml:space="preserve"> These limitations have a direct bearing on the prosecution's ability to discharge its burden of proof by reference to objective scientific findings rather than the more fallible and contestable forms of testimonial evidence.</w:t>
      </w:r>
      <w:r>
        <w:rPr>
          <w:rFonts w:ascii="Times New Roman" w:cs="Times New Roman" w:eastAsia="Times New Roman" w:hAnsi="Times New Roman"/>
          <w:sz w:val="24"/>
          <w:szCs w:val="24"/>
          <w:vertAlign w:val="superscript"/>
        </w:rPr>
        <w:footnoteReference w:id="266"/>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Section 84 of the Evidence Act provides for the admissibility of electronically stored information and computer-generated evidence, subject to the certification requirements therein. This provision represents a legislative recognition that the categories of evidence available to the prosecution in the modern age extend beyond the traditional categories of </w:t>
      </w:r>
      <w:r>
        <w:rPr>
          <w:rFonts w:ascii="Times New Roman" w:cs="Times New Roman" w:eastAsia="Times New Roman" w:hAnsi="Times New Roman"/>
          <w:bCs/>
          <w:sz w:val="24"/>
          <w:szCs w:val="24"/>
        </w:rPr>
        <w:t>documentary and testimonial evidence, and that digital and electronic material may constitute cogent proof of material facts in a murder trial.</w:t>
      </w:r>
      <w:r>
        <w:rPr>
          <w:rFonts w:ascii="Times New Roman" w:cs="Times New Roman" w:eastAsia="Times New Roman" w:hAnsi="Times New Roman"/>
          <w:bCs/>
          <w:sz w:val="24"/>
          <w:szCs w:val="24"/>
          <w:vertAlign w:val="superscript"/>
        </w:rPr>
        <w:footnoteReference w:id="267"/>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Agaba has noted, however, that “the broader forensic landscape in Nigeria lags significantly behind the evidentiary framework that the Act envisions”. DNA analysis, digital forensics, ballistics examination, trace evidence analysis, and toxicological testing are routinely deployed in murder investigations in developed jurisdictions but remain the exception rather than the rule in Nigerian practice. The principal reason is not legislative inadequacy but the chronic underfunding of forensic science institutions.</w:t>
      </w:r>
      <w:r>
        <w:rPr>
          <w:rFonts w:ascii="Times New Roman" w:cs="Times New Roman" w:eastAsia="Times New Roman" w:hAnsi="Times New Roman"/>
          <w:bCs/>
          <w:sz w:val="24"/>
          <w:szCs w:val="24"/>
          <w:vertAlign w:val="superscript"/>
        </w:rPr>
        <w:footnoteReference w:id="268"/>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Fasan has documented the operational challenges confronting the few forensic laboratories that exist in Nigeria, including “the absence of calibrated equipment for conducting many categories of analysis, the lack of accreditation against international standards, the high turnover of qualified scientists who seek opportunities in better-resourced environments, and the inadequate supply of reagents and consumables necessary for sustained laboratory operations”. These operational constraints mean that post-mortem examinations are frequently limited to gross anatomical findings without the benefit of histological, toxicological, or DNA analysis that might conclusively establish or exclude particular causes of death.</w:t>
      </w:r>
      <w:r>
        <w:rPr>
          <w:rFonts w:ascii="Times New Roman" w:cs="Times New Roman" w:eastAsia="Times New Roman" w:hAnsi="Times New Roman"/>
          <w:bCs/>
          <w:sz w:val="24"/>
          <w:szCs w:val="24"/>
          <w:vertAlign w:val="superscript"/>
        </w:rPr>
        <w:footnoteReference w:id="269"/>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In </w:t>
      </w:r>
      <w:r>
        <w:rPr>
          <w:rFonts w:ascii="Times New Roman" w:cs="Times New Roman" w:eastAsia="Times New Roman" w:hAnsi="Times New Roman"/>
          <w:bCs/>
          <w:i/>
          <w:iCs/>
          <w:sz w:val="24"/>
          <w:szCs w:val="24"/>
        </w:rPr>
        <w:t>Iweka v The State,</w:t>
      </w:r>
      <w:r>
        <w:rPr>
          <w:rFonts w:ascii="Times New Roman" w:cs="Times New Roman" w:eastAsia="Times New Roman" w:hAnsi="Times New Roman"/>
          <w:bCs/>
          <w:sz w:val="24"/>
          <w:szCs w:val="24"/>
        </w:rPr>
        <w:t xml:space="preserve"> the Supreme Court was confronted with the absence of any scientific evidence linking the accused to the killing despite the availability of physical material at the crime scene that, in the assessment of the court, could have been subjected to forensic </w:t>
      </w:r>
      <w:r>
        <w:rPr>
          <w:rFonts w:ascii="Times New Roman" w:cs="Times New Roman" w:eastAsia="Times New Roman" w:hAnsi="Times New Roman"/>
          <w:bCs/>
          <w:sz w:val="24"/>
          <w:szCs w:val="24"/>
        </w:rPr>
        <w:t>analysis. The court expressed evident concern at the missed opportunity but acknowledged that the trial court could only assess the evidence actually before it, and that the prosecution's failure to procure available scientific evidence could not be cured at the appellate stage.</w:t>
      </w:r>
      <w:r>
        <w:rPr>
          <w:rFonts w:ascii="Times New Roman" w:cs="Times New Roman" w:eastAsia="Times New Roman" w:hAnsi="Times New Roman"/>
          <w:bCs/>
          <w:sz w:val="24"/>
          <w:szCs w:val="24"/>
          <w:vertAlign w:val="superscript"/>
        </w:rPr>
        <w:footnoteReference w:id="270"/>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Ijalaye has argued that “the courts are increasingly reluctant to sustain murder convictions resting exclusively on testimonial evidence where the physical circumstances of the case would ordinarily have generated forensic material susceptible to scientific analysis”. This judicial disposition, while grounded in a concern for the reliability of convictions, has the practical effect of raising the threshold for conviction in cases where the investigative authorities lack the resources to deploy forensic science.</w:t>
      </w:r>
      <w:r>
        <w:rPr>
          <w:rFonts w:ascii="Times New Roman" w:cs="Times New Roman" w:eastAsia="Times New Roman" w:hAnsi="Times New Roman"/>
          <w:bCs/>
          <w:sz w:val="24"/>
          <w:szCs w:val="24"/>
          <w:vertAlign w:val="superscript"/>
        </w:rPr>
        <w:footnoteReference w:id="271"/>
      </w:r>
    </w:p>
    <w:p>
      <w:pPr>
        <w:pStyle w:val="style0"/>
        <w:spacing w:after="0" w:lineRule="auto" w:line="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4.4 Comparative Insights: Challenges in Other Jurisdictions</w:t>
      </w:r>
    </w:p>
    <w:p>
      <w:pPr>
        <w:pStyle w:val="style0"/>
        <w:spacing w:after="0" w:lineRule="auto" w:line="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An examination of the challenges attending the proof of murder in other jurisdictions reveals that many of the difficulties confronting the Nigerian criminal justice system are not unique, but that the severity with which they manifest in the Nigerian context is substantially more pronounced than in jurisdictions with more developed institutional infrastructures. A comparative perspective illuminates both the universality of certain evidential challenges and the specific structural deficiencies that distinguish the Nigerian experience.</w:t>
      </w:r>
      <w:r>
        <w:rPr>
          <w:rFonts w:ascii="Times New Roman" w:cs="Times New Roman" w:eastAsia="Times New Roman" w:hAnsi="Times New Roman"/>
          <w:sz w:val="24"/>
          <w:szCs w:val="24"/>
          <w:vertAlign w:val="superscript"/>
        </w:rPr>
        <w:footnoteReference w:id="272"/>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In England and Wales, the proof of murder is governed by a sophisticated framework of primary and secondary legislation, judicial decisions, and procedural rules that collectively ensure a high standard of investigation, disclosure, and trial management. </w:t>
      </w:r>
      <w:r>
        <w:rPr>
          <w:rFonts w:ascii="Times New Roman" w:cs="Times New Roman" w:eastAsia="Times New Roman" w:hAnsi="Times New Roman"/>
          <w:bCs/>
          <w:sz w:val="24"/>
          <w:vertAlign w:val="superscript"/>
        </w:rPr>
        <w:footnoteReference w:id="273"/>
      </w:r>
      <w:r>
        <w:rPr>
          <w:rFonts w:ascii="Times New Roman" w:cs="Times New Roman" w:eastAsia="Times New Roman" w:hAnsi="Times New Roman"/>
          <w:bCs/>
          <w:sz w:val="24"/>
          <w:szCs w:val="24"/>
        </w:rPr>
        <w:t xml:space="preserve"> The Police and Criminal Evidence Act 1984 and its associated Codes of Practice regulate the gathering and </w:t>
      </w:r>
      <w:r>
        <w:rPr>
          <w:rFonts w:ascii="Times New Roman" w:cs="Times New Roman" w:eastAsia="Times New Roman" w:hAnsi="Times New Roman"/>
          <w:bCs/>
          <w:sz w:val="24"/>
          <w:szCs w:val="24"/>
        </w:rPr>
        <w:t>preservation of evidence, the recording of suspect interviews, and the conditions under which confessional evidence may be obtained. The Crown Prosecution Service exercises an independent function in reviewing the evidence assembled by the police and determines whether the evidential sufficiency threshold and the public interest test are met before authorizing a prosecution. This institutional separation between investigation and prosecution reduces the risk of confirmatory bias and ensures that the evidence is assessed objectively before a charge is laid.</w:t>
      </w:r>
      <w:r>
        <w:rPr>
          <w:rFonts w:ascii="Times New Roman" w:cs="Times New Roman" w:eastAsia="Times New Roman" w:hAnsi="Times New Roman"/>
          <w:bCs/>
          <w:sz w:val="24"/>
          <w:vertAlign w:val="superscript"/>
        </w:rPr>
        <w:footnoteReference w:id="274"/>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The challenge of confessional evidence has been addressed in England through the mandatory audio and video recording of all custodial interviews, a requirement whose introduction dramatically reduced the incidence of disputed confession cases and the consequent burden on the courts from trials within a trial. Fischer has noted that “the availability of an unimpeachable audiovisual record of the interrogation process transformed the landscape of confession evidence in English practice by rendering the question of voluntariness a factual matter that the court could resolve by reference to a contemporaneous objective record rather than competing testimonial accounts”.</w:t>
      </w:r>
      <w:r>
        <w:rPr>
          <w:rFonts w:ascii="Times New Roman" w:cs="Times New Roman" w:eastAsia="Times New Roman" w:hAnsi="Times New Roman"/>
          <w:bCs/>
          <w:sz w:val="24"/>
          <w:vertAlign w:val="superscript"/>
        </w:rPr>
        <w:footnoteReference w:id="275"/>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The German legal system provides a contrasting model of criminal procedure, operating on inquisitorial rather than adversarial principles. Under the German Strafprozessordnung, (the German Code of Criminal Procedure). the investigating magistrate and the public prosecutor are both under a duty to investigate exculpatory as well as inculpatory evidence, and the court retains an active role in directing the production of forensic and scientific evidence. </w:t>
      </w:r>
      <w:r>
        <w:rPr>
          <w:rFonts w:ascii="Times New Roman" w:cs="Times New Roman" w:eastAsia="Times New Roman" w:hAnsi="Times New Roman"/>
          <w:bCs/>
          <w:sz w:val="24"/>
          <w:szCs w:val="24"/>
        </w:rPr>
        <w:t>The court is not confined to the evidence adduced by the parties but may of its own motion require the production of expert reports and scientific analyses that it considers material to the determination of the charge.</w:t>
      </w:r>
      <w:r>
        <w:rPr>
          <w:rFonts w:ascii="Times New Roman" w:cs="Times New Roman" w:eastAsia="Times New Roman" w:hAnsi="Times New Roman"/>
          <w:bCs/>
          <w:sz w:val="24"/>
          <w:vertAlign w:val="superscript"/>
        </w:rPr>
        <w:footnoteReference w:id="276"/>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Spencer has observed that “the inquisitorial system's approach to proof in homicide cases tends to produce a more comprehensive evidential record than the adversarial system, because the court's active role in directing investigation and the prosecutor's duty to gather exculpatory evidence together ensure that the totality of relevant material is placed before the tribunal”.</w:t>
      </w:r>
      <w:r>
        <w:rPr>
          <w:rFonts w:ascii="Times New Roman" w:cs="Times New Roman" w:eastAsia="Times New Roman" w:hAnsi="Times New Roman"/>
          <w:bCs/>
          <w:sz w:val="24"/>
          <w:vertAlign w:val="superscript"/>
        </w:rPr>
        <w:footnoteReference w:id="277"/>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In the United States, the challenge of police investigation deficiencies and the reliability of confessional evidence has been addressed through the constitutional safeguards established by the Fourth, Fifth and Sixth Amendments, as interpreted by the Supreme Court in decisions such as </w:t>
      </w:r>
      <w:r>
        <w:rPr>
          <w:rFonts w:ascii="Times New Roman" w:cs="Times New Roman" w:eastAsia="Times New Roman" w:hAnsi="Times New Roman"/>
          <w:bCs/>
          <w:i/>
          <w:iCs/>
          <w:sz w:val="24"/>
          <w:szCs w:val="24"/>
        </w:rPr>
        <w:t>Miranda v Arizona.</w:t>
      </w:r>
      <w:r>
        <w:rPr>
          <w:rFonts w:ascii="Times New Roman" w:cs="Times New Roman" w:eastAsia="Times New Roman" w:hAnsi="Times New Roman"/>
          <w:bCs/>
          <w:sz w:val="24"/>
          <w:szCs w:val="24"/>
        </w:rPr>
        <w:t xml:space="preserve"> </w:t>
      </w:r>
      <w:r>
        <w:rPr>
          <w:rFonts w:ascii="Times New Roman" w:cs="Times New Roman" w:eastAsia="Times New Roman" w:hAnsi="Times New Roman"/>
          <w:bCs/>
          <w:sz w:val="24"/>
          <w:vertAlign w:val="superscript"/>
        </w:rPr>
        <w:footnoteReference w:id="278"/>
      </w:r>
      <w:r>
        <w:rPr>
          <w:rFonts w:ascii="Times New Roman" w:cs="Times New Roman" w:eastAsia="Times New Roman" w:hAnsi="Times New Roman"/>
          <w:bCs/>
          <w:sz w:val="24"/>
          <w:szCs w:val="24"/>
        </w:rPr>
        <w:t>These safeguards provide procedural protections that broadly correspond to those found in the Evidence Act, but the American system backs these protections with an exclusionary rule of considerable rigour that mandates the automatic exclusion of evidence obtained in violation of constitutional guarantees.</w:t>
      </w:r>
      <w:r>
        <w:rPr>
          <w:rFonts w:ascii="Times New Roman" w:cs="Times New Roman" w:eastAsia="Times New Roman" w:hAnsi="Times New Roman"/>
          <w:bCs/>
          <w:sz w:val="24"/>
          <w:vertAlign w:val="superscript"/>
        </w:rPr>
        <w:footnoteReference w:id="279"/>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The Criminal Procedure Rules (England and Wales) 2020 also provide a detailed framework for the regulation of expert evidence, requiring advance disclosure of expert reports, the identification of the issues to which expert evidence is to be directed, and, in appropriate cases, the appointment of a court expert to assist the court with technical matters. The </w:t>
      </w:r>
      <w:r>
        <w:rPr>
          <w:rFonts w:ascii="Times New Roman" w:cs="Times New Roman" w:eastAsia="Times New Roman" w:hAnsi="Times New Roman"/>
          <w:bCs/>
          <w:sz w:val="24"/>
          <w:szCs w:val="24"/>
        </w:rPr>
        <w:t>Nigerian Evidence Act 2023 makes provision for expert opinion evidence under sections 67 to 70 but does not establish the comprehensive procedural framework for the regulation of expert evidence that the English rules provide.</w:t>
      </w:r>
      <w:r>
        <w:rPr>
          <w:rFonts w:ascii="Times New Roman" w:cs="Times New Roman" w:eastAsia="Times New Roman" w:hAnsi="Times New Roman"/>
          <w:bCs/>
          <w:sz w:val="24"/>
          <w:vertAlign w:val="superscript"/>
        </w:rPr>
        <w:footnoteReference w:id="280"/>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In South Africa, the Law of Evidence Amendment Act 1988 and the subsequent decision of the Constitutional Court in cases such as </w:t>
      </w:r>
      <w:r>
        <w:rPr>
          <w:rFonts w:ascii="Times New Roman" w:cs="Times New Roman" w:eastAsia="Times New Roman" w:hAnsi="Times New Roman"/>
          <w:bCs/>
          <w:i/>
          <w:iCs/>
          <w:sz w:val="24"/>
          <w:szCs w:val="24"/>
        </w:rPr>
        <w:t>S v Coetzee</w:t>
      </w:r>
      <w:r>
        <w:rPr>
          <w:rFonts w:ascii="Times New Roman" w:cs="Times New Roman" w:eastAsia="Times New Roman" w:hAnsi="Times New Roman"/>
          <w:bCs/>
          <w:sz w:val="24"/>
          <w:szCs w:val="24"/>
        </w:rPr>
        <w:t xml:space="preserve"> </w:t>
      </w:r>
      <w:r>
        <w:rPr>
          <w:rFonts w:ascii="Times New Roman" w:cs="Times New Roman" w:eastAsia="Times New Roman" w:hAnsi="Times New Roman"/>
          <w:bCs/>
          <w:sz w:val="24"/>
          <w:vertAlign w:val="superscript"/>
        </w:rPr>
        <w:footnoteReference w:id="281"/>
      </w:r>
      <w:r>
        <w:rPr>
          <w:rFonts w:ascii="Times New Roman" w:cs="Times New Roman" w:eastAsia="Times New Roman" w:hAnsi="Times New Roman"/>
          <w:bCs/>
          <w:sz w:val="24"/>
          <w:szCs w:val="24"/>
        </w:rPr>
        <w:t xml:space="preserve"> have produced a sophisticated framework for balancing the right of the accused to a fair trial against the legitimate interest of the state in effective prosecution. The South African courts have been particularly innovative in addressing the challenges of evidence gathering in cases involving murder in domestic and community contexts, developing evidential doctrines that accommodate the difficulties of proof without relaxing the standard of proof beyond reasonable doubt.</w:t>
      </w:r>
      <w:r>
        <w:rPr>
          <w:rFonts w:ascii="Times New Roman" w:cs="Times New Roman" w:eastAsia="Times New Roman" w:hAnsi="Times New Roman"/>
          <w:bCs/>
          <w:sz w:val="24"/>
          <w:vertAlign w:val="superscript"/>
        </w:rPr>
        <w:footnoteReference w:id="282"/>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What the comparative analysis demonstrates is that the challenges of proving murder are substantially ameliorated in jurisdictions that have invested in forensic infrastructure, developed rigorous procedural safeguards for interrogation and confession evidence, separated the investigative and prosecutorial functions, and established active mechanisms for the management of criminal cases from investigation through trial. The challenges confronting the Nigerian system are not the product of inadequate legislation alone  the Evidence Act and the Administration of Criminal Justice Act together provide a reasonably sound normative framework but of institutional capacity deficits that require coordinated investment and sustained reform.</w:t>
      </w:r>
      <w:r>
        <w:rPr>
          <w:rFonts w:ascii="Times New Roman" w:cs="Times New Roman" w:eastAsia="Times New Roman" w:hAnsi="Times New Roman"/>
          <w:bCs/>
          <w:sz w:val="24"/>
          <w:vertAlign w:val="superscript"/>
        </w:rPr>
        <w:footnoteReference w:id="283"/>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Seidman has argued, in the broader literature on law and development, that “legislative reform without institutional investment produces a disjunction between the law on the books and the law in operation, and that this disjunction is particularly damaging in the criminal justice context, where the deprivation of liberty and life hangs upon the capacity of the system to live up to its own normative commitments”.</w:t>
      </w:r>
      <w:r>
        <w:rPr>
          <w:rFonts w:ascii="Times New Roman" w:cs="Times New Roman" w:eastAsia="Times New Roman" w:hAnsi="Times New Roman"/>
          <w:bCs/>
          <w:sz w:val="24"/>
          <w:vertAlign w:val="superscript"/>
        </w:rPr>
        <w:footnoteReference w:id="284"/>
      </w:r>
      <w:r>
        <w:rPr>
          <w:rFonts w:ascii="Times New Roman" w:cs="Times New Roman" w:eastAsia="Times New Roman" w:hAnsi="Times New Roman"/>
          <w:bCs/>
          <w:sz w:val="24"/>
          <w:szCs w:val="24"/>
        </w:rPr>
        <w:t xml:space="preserve"> The Nigerian experience with the proof of murder is a striking illustration of this disjunction, and the reform agenda that it demands must address institutional capacity and forensic infrastructure as urgently as it attends to legislative text.</w:t>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The totality of evidential, institutional, and systemic challenges examined in this chapter confirms that the proof of murder in Nigeria, while governed by a principled and comprehensive legal framework in the Evidence and the relevant substantive codes, is beset by structural difficulties that materially impair the capacity of the prosecution to discharge its burden and of the courts to determine guilt or innocence with the assurance that a capital charge demands. The resolution of these challenges requires not only continued judicial vigilance in maintaining the rigour of the applicable standards of proof, but sustained institutional reform and investment in the entire apparatus through which evidence is gathered, preserved, presented, and evaluated.</w:t>
      </w:r>
    </w:p>
    <w:p>
      <w:pPr>
        <w:pStyle w:val="style0"/>
        <w:spacing w:before="280" w:after="120" w:lineRule="auto" w:line="480"/>
        <w:jc w:val="both"/>
        <w:outlineLvl w:val="1"/>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r>
        <w:rPr>
          <w:rFonts w:ascii="Times New Roman" w:cs="Times New Roman" w:eastAsia="Times New Roman" w:hAnsi="Times New Roman"/>
          <w:bCs/>
          <w:sz w:val="24"/>
          <w:szCs w:val="24"/>
        </w:rPr>
        <w:tab/>
      </w:r>
    </w:p>
    <w:p>
      <w:pPr>
        <w:pStyle w:val="style0"/>
        <w:spacing w:before="280" w:after="120" w:lineRule="auto" w:line="480"/>
        <w:jc w:val="both"/>
        <w:outlineLvl w:val="1"/>
        <w:rPr>
          <w:rFonts w:ascii="Times New Roman" w:cs="Times New Roman" w:eastAsia="Times New Roman" w:hAnsi="Times New Roman"/>
          <w:bCs/>
          <w:sz w:val="24"/>
          <w:szCs w:val="24"/>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keepNext/>
        <w:keepLines/>
        <w:spacing w:before="200" w:after="0" w:lineRule="auto" w:line="480"/>
        <w:jc w:val="both"/>
        <w:outlineLvl w:val="1"/>
        <w:rPr>
          <w:rFonts w:ascii="Times New Roman" w:cs="Times New Roman" w:eastAsia="Times New Roman" w:hAnsi="Times New Roman"/>
          <w:b/>
          <w:color w:val="0d0d0d"/>
          <w:sz w:val="24"/>
          <w:szCs w:val="24"/>
        </w:rPr>
      </w:pPr>
      <w:r>
        <w:rPr>
          <w:rFonts w:ascii="Times New Roman" w:cs="Times New Roman" w:eastAsia="Times New Roman" w:hAnsi="Times New Roman"/>
          <w:b/>
          <w:bCs/>
          <w:color w:val="4f81bd"/>
          <w:sz w:val="24"/>
          <w:szCs w:val="24"/>
        </w:rPr>
        <w:t xml:space="preserve">                                                      </w:t>
      </w:r>
      <w:r>
        <w:rPr>
          <w:rFonts w:ascii="Times New Roman" w:cs="Times New Roman" w:eastAsia="Times New Roman" w:hAnsi="Times New Roman"/>
          <w:b/>
          <w:color w:val="0d0d0d"/>
          <w:sz w:val="24"/>
          <w:szCs w:val="24"/>
        </w:rPr>
        <w:t xml:space="preserve"> CHAPTER FIVE</w:t>
      </w:r>
    </w:p>
    <w:p>
      <w:pPr>
        <w:pStyle w:val="style0"/>
        <w:spacing w:after="0" w:lineRule="auto" w:line="480"/>
        <w:jc w:val="both"/>
        <w:outlineLvl w:val="1"/>
        <w:rPr>
          <w:rFonts w:ascii="Times New Roman" w:cs="Times New Roman" w:eastAsia="Times New Roman" w:hAnsi="Times New Roman"/>
          <w:b/>
          <w:color w:val="0d0d0d"/>
          <w:sz w:val="24"/>
          <w:szCs w:val="24"/>
        </w:rPr>
      </w:pPr>
      <w:r>
        <w:rPr>
          <w:rFonts w:ascii="Times New Roman" w:cs="Times New Roman" w:eastAsia="Times New Roman" w:hAnsi="Times New Roman"/>
          <w:b/>
          <w:color w:val="0d0d0d"/>
          <w:sz w:val="24"/>
          <w:szCs w:val="24"/>
        </w:rPr>
        <w:t>SUMMARY OF FINDINGS, RECOMMENDATIONS AND CONCLUSION</w:t>
      </w:r>
    </w:p>
    <w:p>
      <w:pPr>
        <w:pStyle w:val="style0"/>
        <w:spacing w:after="0" w:lineRule="auto" w:line="480"/>
        <w:jc w:val="both"/>
        <w:outlineLvl w:val="1"/>
        <w:rPr>
          <w:rFonts w:ascii="Times New Roman" w:cs="Times New Roman" w:eastAsia="Times New Roman" w:hAnsi="Times New Roman"/>
          <w:b/>
          <w:color w:val="0d0d0d"/>
          <w:sz w:val="24"/>
          <w:szCs w:val="24"/>
        </w:rPr>
      </w:pPr>
    </w:p>
    <w:p>
      <w:pPr>
        <w:pStyle w:val="style0"/>
        <w:spacing w:after="0" w:lineRule="auto" w:line="480"/>
        <w:jc w:val="both"/>
        <w:outlineLvl w:val="1"/>
        <w:rPr>
          <w:rFonts w:ascii="Times New Roman" w:cs="Times New Roman" w:eastAsia="Times New Roman" w:hAnsi="Times New Roman"/>
          <w:b/>
          <w:color w:val="0d0d0d"/>
          <w:sz w:val="24"/>
          <w:szCs w:val="24"/>
        </w:rPr>
      </w:pPr>
      <w:r>
        <w:rPr>
          <w:rFonts w:ascii="Times New Roman" w:cs="Times New Roman" w:eastAsia="Times New Roman" w:hAnsi="Times New Roman"/>
          <w:b/>
          <w:color w:val="0d0d0d"/>
          <w:sz w:val="24"/>
          <w:szCs w:val="24"/>
        </w:rPr>
        <w:t>5.1 Summary of Findings</w:t>
      </w:r>
    </w:p>
    <w:p>
      <w:pPr>
        <w:pStyle w:val="style0"/>
        <w:spacing w:after="0" w:lineRule="auto" w:line="480"/>
        <w:jc w:val="both"/>
        <w:outlineLvl w:val="1"/>
        <w:rPr>
          <w:rFonts w:ascii="Times New Roman" w:cs="Times New Roman" w:eastAsia="Times New Roman" w:hAnsi="Times New Roman"/>
          <w:color w:val="0d0d0d"/>
          <w:sz w:val="24"/>
          <w:szCs w:val="24"/>
        </w:rPr>
      </w:pPr>
      <w:r>
        <w:rPr>
          <w:rFonts w:ascii="Times New Roman" w:cs="Times New Roman" w:eastAsia="Times New Roman" w:hAnsi="Times New Roman"/>
          <w:color w:val="0d0d0d"/>
          <w:sz w:val="24"/>
          <w:szCs w:val="24"/>
        </w:rPr>
        <w:t>This investigation sought to analyze the evidentiary challenges and procedural obstacles characterizing murder prosecutions within Nigeria's criminal justice apparatus. Following comprehensive examination of statutory provisions, constitutional protections, judicial precedents, and administrative practices, several critical findings emerged.</w:t>
      </w:r>
    </w:p>
    <w:p>
      <w:pPr>
        <w:pStyle w:val="style0"/>
        <w:spacing w:after="0" w:lineRule="auto" w:line="480"/>
        <w:jc w:val="both"/>
        <w:outlineLvl w:val="1"/>
        <w:rPr>
          <w:rFonts w:ascii="Times New Roman" w:cs="Times New Roman" w:eastAsia="Times New Roman" w:hAnsi="Times New Roman"/>
          <w:color w:val="0d0d0d"/>
          <w:sz w:val="24"/>
          <w:szCs w:val="24"/>
        </w:rPr>
      </w:pPr>
      <w:r>
        <w:rPr>
          <w:rFonts w:ascii="Times New Roman" w:cs="Times New Roman" w:eastAsia="Times New Roman" w:hAnsi="Times New Roman"/>
          <w:color w:val="0d0d0d"/>
          <w:sz w:val="24"/>
          <w:szCs w:val="24"/>
        </w:rPr>
        <w:t>A deeply entrenched reliance on oral testimony and confessional evidence pervades Nigerian Police Force investigative methodology in homicide cases</w:t>
      </w:r>
      <w:r>
        <w:rPr>
          <w:rFonts w:ascii="Times New Roman" w:cs="Times New Roman" w:eastAsia="Times New Roman" w:hAnsi="Times New Roman"/>
          <w:color w:val="0d0d0d"/>
          <w:sz w:val="24"/>
          <w:szCs w:val="24"/>
        </w:rPr>
        <w:t>.</w:t>
      </w:r>
      <w:r>
        <w:rPr>
          <w:rFonts w:ascii="Times New Roman" w:cs="Times New Roman" w:eastAsia="Times New Roman" w:hAnsi="Times New Roman"/>
          <w:color w:val="0d0d0d"/>
          <w:sz w:val="24"/>
          <w:szCs w:val="24"/>
          <w:vertAlign w:val="superscript"/>
        </w:rPr>
        <w:footnoteReference w:id="285"/>
      </w:r>
      <w:r>
        <w:rPr>
          <w:rFonts w:ascii="Times New Roman" w:cs="Times New Roman" w:eastAsia="Times New Roman" w:hAnsi="Times New Roman"/>
          <w:color w:val="0d0d0d"/>
          <w:sz w:val="24"/>
          <w:szCs w:val="24"/>
        </w:rPr>
        <w:t xml:space="preserve"> </w:t>
      </w:r>
      <w:r>
        <w:rPr>
          <w:rFonts w:ascii="Times New Roman" w:cs="Times New Roman" w:eastAsia="Times New Roman" w:hAnsi="Times New Roman"/>
          <w:color w:val="0d0d0d"/>
          <w:sz w:val="24"/>
          <w:szCs w:val="24"/>
        </w:rPr>
        <w:t xml:space="preserve">This approach generates frequent trials-within-trials pursuant to Section 29 of the Evidence Act 2023, as allegations of coercive interrogation practices necessitate admissibility determinations that prolong </w:t>
      </w:r>
      <w:r>
        <w:rPr>
          <w:rFonts w:ascii="Times New Roman" w:cs="Times New Roman" w:eastAsia="Times New Roman" w:hAnsi="Times New Roman"/>
          <w:color w:val="0d0d0d"/>
          <w:sz w:val="24"/>
          <w:szCs w:val="24"/>
        </w:rPr>
        <w:t>proceedings and create substantial miscarriage of justice risks.</w:t>
      </w:r>
      <w:r>
        <w:rPr>
          <w:rFonts w:ascii="Times New Roman" w:cs="Times New Roman" w:eastAsia="Times New Roman" w:hAnsi="Times New Roman"/>
          <w:color w:val="0d0d0d"/>
          <w:sz w:val="24"/>
          <w:szCs w:val="24"/>
          <w:vertAlign w:val="superscript"/>
        </w:rPr>
        <w:footnoteReference w:id="286"/>
      </w:r>
      <w:r>
        <w:rPr>
          <w:rFonts w:ascii="Times New Roman" w:cs="Times New Roman" w:eastAsia="Times New Roman" w:hAnsi="Times New Roman"/>
          <w:color w:val="0d0d0d"/>
          <w:sz w:val="24"/>
          <w:szCs w:val="24"/>
        </w:rPr>
        <w:t xml:space="preserve"> </w:t>
      </w:r>
      <w:r>
        <w:rPr>
          <w:rFonts w:ascii="Times New Roman" w:cs="Times New Roman" w:eastAsia="Times New Roman" w:hAnsi="Times New Roman"/>
          <w:color w:val="0d0d0d"/>
          <w:sz w:val="24"/>
          <w:szCs w:val="24"/>
        </w:rPr>
        <w:t>The capacity to establish prosecution cases through objective scientific evidence remains severely constrained by chronic forensic infrastructure deficiencies. Essential capabilities including DNA profiling, ballistic analysis, fingerprint databases, and toxicological testing are either entirely absent or accessible only in major urban centers.</w:t>
      </w:r>
      <w:r>
        <w:rPr>
          <w:rFonts w:ascii="Times New Roman" w:cs="Times New Roman" w:eastAsia="Times New Roman" w:hAnsi="Times New Roman"/>
          <w:color w:val="0d0d0d"/>
          <w:sz w:val="24"/>
          <w:szCs w:val="24"/>
          <w:vertAlign w:val="superscript"/>
        </w:rPr>
        <w:footnoteReference w:id="287"/>
      </w:r>
      <w:r>
        <w:rPr>
          <w:rFonts w:ascii="Times New Roman" w:cs="Times New Roman" w:eastAsia="Times New Roman" w:hAnsi="Times New Roman"/>
          <w:color w:val="0d0d0d"/>
          <w:sz w:val="24"/>
          <w:szCs w:val="24"/>
        </w:rPr>
        <w:t xml:space="preserve"> </w:t>
      </w:r>
      <w:r>
        <w:rPr>
          <w:rFonts w:ascii="Times New Roman" w:cs="Times New Roman" w:eastAsia="Times New Roman" w:hAnsi="Times New Roman"/>
          <w:color w:val="0d0d0d"/>
          <w:sz w:val="24"/>
          <w:szCs w:val="24"/>
        </w:rPr>
        <w:t>Consequently, post-mortem examinations frequently provide only gross anatomical observations, leaving causation determinations vulnerable to defense challenges.</w:t>
      </w:r>
      <w:r>
        <w:rPr>
          <w:rFonts w:ascii="Times New Roman" w:cs="Times New Roman" w:eastAsia="Times New Roman" w:hAnsi="Times New Roman"/>
          <w:color w:val="0d0d0d"/>
          <w:sz w:val="24"/>
          <w:szCs w:val="24"/>
          <w:vertAlign w:val="superscript"/>
        </w:rPr>
        <w:footnoteReference w:id="288"/>
      </w:r>
    </w:p>
    <w:p>
      <w:pPr>
        <w:pStyle w:val="style0"/>
        <w:spacing w:after="0" w:lineRule="auto" w:line="480"/>
        <w:jc w:val="both"/>
        <w:outlineLvl w:val="1"/>
        <w:rPr>
          <w:rFonts w:ascii="Times New Roman" w:cs="Times New Roman" w:eastAsia="Times New Roman" w:hAnsi="Times New Roman"/>
          <w:color w:val="0d0d0d"/>
          <w:sz w:val="24"/>
          <w:szCs w:val="24"/>
        </w:rPr>
      </w:pPr>
      <w:r>
        <w:rPr>
          <w:rFonts w:ascii="Times New Roman" w:cs="Times New Roman" w:eastAsia="Times New Roman" w:hAnsi="Times New Roman"/>
          <w:color w:val="0d0d0d"/>
          <w:sz w:val="24"/>
          <w:szCs w:val="24"/>
        </w:rPr>
        <w:t>Systemic delays undermine the constitutional guarantee of timely adjudication enshrined in Section 36(1) and (4) of the 1999 Constitution</w:t>
      </w:r>
      <w:r>
        <w:rPr>
          <w:rFonts w:ascii="Times New Roman" w:cs="Times New Roman" w:eastAsia="Times New Roman" w:hAnsi="Times New Roman"/>
          <w:color w:val="0d0d0d"/>
          <w:sz w:val="24"/>
          <w:szCs w:val="24"/>
          <w:vertAlign w:val="superscript"/>
        </w:rPr>
        <w:footnoteReference w:id="289"/>
      </w:r>
      <w:r>
        <w:rPr>
          <w:rFonts w:ascii="Times New Roman" w:cs="Times New Roman" w:eastAsia="Times New Roman" w:hAnsi="Times New Roman"/>
          <w:color w:val="0d0d0d"/>
          <w:sz w:val="24"/>
          <w:szCs w:val="24"/>
        </w:rPr>
        <w:t xml:space="preserve"> since, with cases for murder being often adjourned over the years, prosecution evidence is often time-bound to depreciate; while witnesses disappear or memory fades; exhibits lose their evidentiary value to poor storage facilities and evidence management; and essential chains of custody get snapped. Although the court long ago settled the issue of whether corpus delicti could form an insurmountable barrier to a murder conviction, demonstrating death and the cause of death in the absence of a body by circumstantial evidence poses an enormous circumstantial inferential hurdle for the trial courts,  and without a careful, and inspired piece of police investigation, no-body cases more often than not founder on the shores of proof beyond a reasonable doubt. The historical and the geographical division of the substantive aspects of criminal law into the Criminal Code Act (for the Southern States) and the Penal Code Act (for the Northern States) results in unnecessary terminological inconsistencies as to how the mental element of offences are conceptualized (viz., malice aforethought in the former versus culpable homicide punishable </w:t>
      </w:r>
      <w:r>
        <w:rPr>
          <w:rFonts w:ascii="Times New Roman" w:cs="Times New Roman" w:eastAsia="Times New Roman" w:hAnsi="Times New Roman"/>
          <w:color w:val="0d0d0d"/>
          <w:sz w:val="24"/>
          <w:szCs w:val="24"/>
        </w:rPr>
        <w:t>with death in the latter), making cases of equivalent homicide to be measured under disparate statutory phraseology, just because they take place on either side of the (invisible) political and geographic dividing lines.</w:t>
      </w:r>
    </w:p>
    <w:p>
      <w:pPr>
        <w:pStyle w:val="style0"/>
        <w:spacing w:after="0" w:lineRule="auto" w:line="480"/>
        <w:jc w:val="both"/>
        <w:outlineLvl w:val="1"/>
        <w:rPr>
          <w:rFonts w:ascii="Times New Roman" w:cs="Times New Roman" w:eastAsia="Times New Roman" w:hAnsi="Times New Roman"/>
          <w:b/>
          <w:color w:val="0d0d0d"/>
          <w:sz w:val="24"/>
          <w:szCs w:val="24"/>
        </w:rPr>
      </w:pPr>
      <w:r>
        <w:rPr>
          <w:rFonts w:ascii="Times New Roman" w:cs="Times New Roman" w:eastAsia="Times New Roman" w:hAnsi="Times New Roman"/>
          <w:b/>
          <w:color w:val="0d0d0d"/>
          <w:sz w:val="24"/>
          <w:szCs w:val="24"/>
        </w:rPr>
        <w:t>5.2 Recommendations</w:t>
      </w:r>
    </w:p>
    <w:p>
      <w:pPr>
        <w:pStyle w:val="style0"/>
        <w:spacing w:after="0" w:lineRule="auto" w:line="480"/>
        <w:jc w:val="both"/>
        <w:outlineLvl w:val="1"/>
        <w:rPr>
          <w:rFonts w:ascii="Times New Roman" w:cs="Times New Roman" w:eastAsia="Times New Roman" w:hAnsi="Times New Roman"/>
          <w:color w:val="0d0d0d"/>
          <w:sz w:val="24"/>
          <w:szCs w:val="24"/>
        </w:rPr>
      </w:pPr>
      <w:r>
        <w:rPr>
          <w:rFonts w:ascii="Times New Roman" w:cs="Times New Roman" w:eastAsia="Times New Roman" w:hAnsi="Times New Roman"/>
          <w:color w:val="0d0d0d"/>
          <w:sz w:val="24"/>
          <w:szCs w:val="24"/>
        </w:rPr>
        <w:t>The widening gap between technical legal textualization and effective functional practice within Nigeria’s administration of the criminal justice sector, is the reason why the study suggests the following specific recommendations: Confessional statements made during police detention which is electronically recorded shall be held as prima- facie suspected of undue coercions under the Administration of Criminal Justice Act 2015</w:t>
      </w:r>
      <w:r>
        <w:rPr>
          <w:rFonts w:ascii="Times New Roman" w:cs="Times New Roman" w:eastAsia="Times New Roman" w:hAnsi="Times New Roman"/>
          <w:color w:val="0d0d0d"/>
          <w:sz w:val="24"/>
          <w:szCs w:val="24"/>
          <w:vertAlign w:val="superscript"/>
        </w:rPr>
        <w:footnoteReference w:id="290"/>
      </w:r>
      <w:r>
        <w:rPr>
          <w:rFonts w:ascii="Times New Roman" w:cs="Times New Roman" w:eastAsia="Times New Roman" w:hAnsi="Times New Roman"/>
          <w:color w:val="0d0d0d"/>
          <w:sz w:val="24"/>
          <w:szCs w:val="24"/>
        </w:rPr>
        <w:t xml:space="preserve"> and shall be enforced by the Police in every station, and further; as far as trial courts are concerned, any oral confession that falls foul of the electronic recording as is set out under the Administration of criminal Justice Act,2015 may have the consequence of cutting down on trials within trial and this should ultimately give an answer to reducing delays in the Nigerian criminal trials.</w:t>
      </w:r>
    </w:p>
    <w:p>
      <w:pPr>
        <w:pStyle w:val="style0"/>
        <w:spacing w:after="0" w:lineRule="auto" w:line="480"/>
        <w:jc w:val="both"/>
        <w:outlineLvl w:val="1"/>
        <w:rPr>
          <w:rFonts w:ascii="Times New Roman" w:cs="Times New Roman" w:eastAsia="Times New Roman" w:hAnsi="Times New Roman"/>
          <w:color w:val="0d0d0d"/>
          <w:sz w:val="24"/>
          <w:szCs w:val="24"/>
        </w:rPr>
      </w:pPr>
      <w:r>
        <w:rPr>
          <w:rFonts w:ascii="Times New Roman" w:cs="Times New Roman" w:eastAsia="Times New Roman" w:hAnsi="Times New Roman"/>
          <w:color w:val="0d0d0d"/>
          <w:sz w:val="24"/>
          <w:szCs w:val="24"/>
        </w:rPr>
        <w:t>There must be immediate co-investment by Federal and State Governments in the creation of internationally certified and adequately equipped zonal Forensic Science Laboratories. This must be combined with ongoing training for police investigators on effective and accurate use of forensic tools, in particular, on proper Crime Scene Management and Chain of Custody procedures.</w:t>
      </w:r>
    </w:p>
    <w:p>
      <w:pPr>
        <w:pStyle w:val="style0"/>
        <w:spacing w:after="0" w:lineRule="auto" w:line="480"/>
        <w:jc w:val="both"/>
        <w:outlineLvl w:val="1"/>
        <w:rPr>
          <w:rFonts w:ascii="Times New Roman" w:cs="Times New Roman" w:eastAsia="Times New Roman" w:hAnsi="Times New Roman"/>
          <w:color w:val="0d0d0d"/>
          <w:sz w:val="24"/>
          <w:szCs w:val="24"/>
        </w:rPr>
      </w:pPr>
      <w:r>
        <w:rPr>
          <w:rFonts w:ascii="Times New Roman" w:cs="Times New Roman" w:eastAsia="Times New Roman" w:hAnsi="Times New Roman"/>
          <w:color w:val="0d0d0d"/>
          <w:sz w:val="24"/>
          <w:szCs w:val="24"/>
        </w:rPr>
        <w:t xml:space="preserve">To combat the detrimental disruption that hostile or recanting witnesses are bringing on judicial operations,  the National Assembly should immediately pass a strong Witness Protection Bill that would serve as a shield for witnesses who have testified in terrible </w:t>
      </w:r>
      <w:r>
        <w:rPr>
          <w:rFonts w:ascii="Times New Roman" w:cs="Times New Roman" w:eastAsia="Times New Roman" w:hAnsi="Times New Roman"/>
          <w:color w:val="0d0d0d"/>
          <w:sz w:val="24"/>
          <w:szCs w:val="24"/>
        </w:rPr>
        <w:t xml:space="preserve">crimes, a shield that would cater for bodily protection, his or her identity anonymization, relocation arrangement, and funds to make him/her comfortable. Each Attorney-General and Ministry of Justice of the 36 States should establish dedicated Homicide Prosecution Units that must be integrated with police investigators right from when a crime is reported so that pre-charge assessment of the files is performed to filter out cases with poor evidence base or fundamental design flaws from ever getting to the High Court. </w:t>
      </w:r>
    </w:p>
    <w:p>
      <w:pPr>
        <w:pStyle w:val="style0"/>
        <w:spacing w:after="0" w:lineRule="auto" w:line="480"/>
        <w:jc w:val="both"/>
        <w:outlineLvl w:val="1"/>
        <w:rPr>
          <w:rFonts w:ascii="Times New Roman" w:cs="Times New Roman" w:eastAsia="Times New Roman" w:hAnsi="Times New Roman"/>
          <w:color w:val="0d0d0d"/>
          <w:sz w:val="24"/>
          <w:szCs w:val="24"/>
        </w:rPr>
      </w:pPr>
      <w:r>
        <w:rPr>
          <w:rFonts w:ascii="Times New Roman" w:cs="Times New Roman" w:eastAsia="Times New Roman" w:hAnsi="Times New Roman"/>
          <w:color w:val="0d0d0d"/>
          <w:sz w:val="24"/>
          <w:szCs w:val="24"/>
        </w:rPr>
        <w:t>For there to be a jurisprudential unity within the legal systems of all the states of the Federation, the National Assembly in collaboration with the Nigerian Law Reform Commission must take a serious approach towards rationalizing and harmonizing existing criminal and Penal Codes on Homicide into a uniform, modem National Penal Code..</w:t>
      </w:r>
    </w:p>
    <w:p>
      <w:pPr>
        <w:pStyle w:val="style0"/>
        <w:spacing w:after="0" w:lineRule="auto" w:line="480"/>
        <w:jc w:val="both"/>
        <w:outlineLvl w:val="1"/>
        <w:rPr>
          <w:rFonts w:ascii="Times New Roman" w:cs="Times New Roman" w:eastAsia="Times New Roman" w:hAnsi="Times New Roman"/>
          <w:b/>
          <w:color w:val="0d0d0d"/>
          <w:sz w:val="24"/>
          <w:szCs w:val="24"/>
        </w:rPr>
      </w:pPr>
    </w:p>
    <w:p>
      <w:pPr>
        <w:pStyle w:val="style0"/>
        <w:spacing w:after="0" w:lineRule="auto" w:line="480"/>
        <w:jc w:val="both"/>
        <w:outlineLvl w:val="1"/>
        <w:rPr>
          <w:rFonts w:ascii="Times New Roman" w:cs="Times New Roman" w:eastAsia="Times New Roman" w:hAnsi="Times New Roman"/>
          <w:b/>
          <w:color w:val="0d0d0d"/>
          <w:sz w:val="24"/>
          <w:szCs w:val="24"/>
        </w:rPr>
      </w:pPr>
      <w:r>
        <w:rPr>
          <w:rFonts w:ascii="Times New Roman" w:cs="Times New Roman" w:eastAsia="Times New Roman" w:hAnsi="Times New Roman"/>
          <w:b/>
          <w:color w:val="0d0d0d"/>
          <w:sz w:val="24"/>
          <w:szCs w:val="24"/>
        </w:rPr>
        <w:t>5.3 Conclusion</w:t>
      </w:r>
    </w:p>
    <w:p>
      <w:pPr>
        <w:pStyle w:val="style0"/>
        <w:spacing w:after="0" w:lineRule="auto" w:line="480"/>
        <w:jc w:val="both"/>
        <w:outlineLvl w:val="1"/>
        <w:rPr>
          <w:rFonts w:ascii="Times New Roman" w:cs="Times New Roman" w:eastAsia="Times New Roman" w:hAnsi="Times New Roman"/>
          <w:color w:val="0d0d0d"/>
          <w:sz w:val="24"/>
          <w:szCs w:val="24"/>
        </w:rPr>
      </w:pPr>
      <w:r>
        <w:rPr>
          <w:rFonts w:ascii="Times New Roman" w:cs="Times New Roman" w:eastAsia="Times New Roman" w:hAnsi="Times New Roman"/>
          <w:color w:val="0d0d0d"/>
          <w:sz w:val="24"/>
          <w:szCs w:val="24"/>
        </w:rPr>
        <w:t>The administration of justice in capital offences represents the ultimate test of any legal system's integrity, as it directly balances the sovereign obligation to protect human life against the constitutional right of an accused person to a fair trial under section 36 of the Constitution of the Federal Republic of Nigeria 1999.</w:t>
      </w:r>
      <w:r>
        <w:rPr>
          <w:rFonts w:ascii="Times New Roman" w:cs="Times New Roman" w:eastAsia="Times New Roman" w:hAnsi="Times New Roman"/>
          <w:color w:val="0d0d0d"/>
          <w:sz w:val="24"/>
          <w:szCs w:val="24"/>
          <w:vertAlign w:val="superscript"/>
        </w:rPr>
        <w:footnoteReference w:id="291"/>
      </w:r>
      <w:r>
        <w:rPr>
          <w:rFonts w:ascii="Times New Roman" w:cs="Times New Roman" w:eastAsia="Times New Roman" w:hAnsi="Times New Roman"/>
          <w:color w:val="0d0d0d"/>
          <w:sz w:val="24"/>
          <w:szCs w:val="24"/>
        </w:rPr>
        <w:t xml:space="preserve"> This study has demonstrated that while Nigeria possesses a reasonably sound and principled normative legal framework — principally anchored on the 1999 Constitution, the Evidence Act 2023,</w:t>
      </w:r>
      <w:r>
        <w:rPr>
          <w:rFonts w:ascii="Times New Roman" w:cs="Times New Roman" w:eastAsia="Times New Roman" w:hAnsi="Times New Roman"/>
          <w:color w:val="0d0d0d"/>
          <w:sz w:val="24"/>
          <w:szCs w:val="24"/>
          <w:vertAlign w:val="superscript"/>
        </w:rPr>
        <w:footnoteReference w:id="292"/>
      </w:r>
      <w:r>
        <w:rPr>
          <w:rFonts w:ascii="Times New Roman" w:cs="Times New Roman" w:eastAsia="Times New Roman" w:hAnsi="Times New Roman"/>
          <w:color w:val="0d0d0d"/>
          <w:sz w:val="24"/>
          <w:szCs w:val="24"/>
        </w:rPr>
        <w:t xml:space="preserve"> and authoritative Supreme Court jurisprudence, the system is heavily weighed down by acute institutional capacity deficits.</w:t>
      </w:r>
    </w:p>
    <w:p>
      <w:pPr>
        <w:pStyle w:val="style0"/>
        <w:spacing w:after="0" w:lineRule="auto" w:line="480"/>
        <w:jc w:val="both"/>
        <w:outlineLvl w:val="1"/>
        <w:rPr>
          <w:rFonts w:ascii="Times New Roman" w:cs="Times New Roman" w:eastAsia="Times New Roman" w:hAnsi="Times New Roman"/>
          <w:color w:val="0d0d0d"/>
          <w:sz w:val="24"/>
          <w:szCs w:val="24"/>
        </w:rPr>
      </w:pPr>
      <w:r>
        <w:rPr>
          <w:rFonts w:ascii="Times New Roman" w:cs="Times New Roman" w:eastAsia="Times New Roman" w:hAnsi="Times New Roman"/>
          <w:color w:val="0d0d0d"/>
          <w:sz w:val="24"/>
          <w:szCs w:val="24"/>
        </w:rPr>
        <w:t>The repeated demise of seemingly sound murder prosecutions seldom result from the shortcomings of the statute; they instead stem from under-resourced forensic agencies, ill-</w:t>
      </w:r>
      <w:r>
        <w:rPr>
          <w:rFonts w:ascii="Times New Roman" w:cs="Times New Roman" w:eastAsia="Times New Roman" w:hAnsi="Times New Roman"/>
          <w:color w:val="0d0d0d"/>
          <w:sz w:val="24"/>
          <w:szCs w:val="24"/>
        </w:rPr>
        <w:t>researched police work, and the fractured criminal case management system that permits precious evidence to rot as case drags into years. So long as these structural vulnerabilities persist, the system will remain exposed to the twin perils of wrongful convictions and the unmerited acquittal of the guilty.</w:t>
      </w:r>
    </w:p>
    <w:p>
      <w:pPr>
        <w:pStyle w:val="style0"/>
        <w:spacing w:after="0" w:lineRule="auto" w:line="480"/>
        <w:jc w:val="both"/>
        <w:outlineLvl w:val="1"/>
        <w:rPr>
          <w:rFonts w:ascii="Times New Roman" w:cs="Times New Roman" w:eastAsia="Times New Roman" w:hAnsi="Times New Roman"/>
          <w:color w:val="0d0d0d"/>
          <w:sz w:val="24"/>
          <w:szCs w:val="24"/>
        </w:rPr>
      </w:pPr>
      <w:r>
        <w:rPr>
          <w:rFonts w:ascii="Times New Roman" w:cs="Times New Roman" w:eastAsia="Times New Roman" w:hAnsi="Times New Roman"/>
          <w:color w:val="0d0d0d"/>
          <w:sz w:val="24"/>
          <w:szCs w:val="24"/>
        </w:rPr>
        <w:t>Ultimately, resolving the crisis of proof in Nigerian murder trials requires an urgent shift away from primitive, confession-based prosecutions toward an empirical, scientifically driven adversarial model. Only through a deliberate, sustained investment in institutional infrastructure, paired with unwavering judicial vigilance in upholding the presumption of innocence enshrined in section 36(5) of the Constitution and section 135 of the Evidence Act 2023,</w:t>
      </w:r>
      <w:r>
        <w:rPr>
          <w:rFonts w:ascii="Times New Roman" w:cs="Times New Roman" w:eastAsia="Times New Roman" w:hAnsi="Times New Roman"/>
          <w:color w:val="0d0d0d"/>
          <w:sz w:val="24"/>
          <w:szCs w:val="24"/>
          <w:vertAlign w:val="superscript"/>
        </w:rPr>
        <w:footnoteReference w:id="293"/>
      </w:r>
      <w:r>
        <w:rPr>
          <w:rFonts w:ascii="Times New Roman" w:cs="Times New Roman" w:eastAsia="Times New Roman" w:hAnsi="Times New Roman"/>
          <w:color w:val="0d0d0d"/>
          <w:sz w:val="24"/>
          <w:szCs w:val="24"/>
        </w:rPr>
        <w:t xml:space="preserve"> can public confidence in the Nigerian criminal justice system be fully restored.</w:t>
      </w:r>
    </w:p>
    <w:p>
      <w:pPr>
        <w:pStyle w:val="style0"/>
        <w:spacing w:after="0" w:lineRule="auto" w:line="480"/>
        <w:jc w:val="both"/>
        <w:outlineLvl w:val="1"/>
        <w:rPr>
          <w:rFonts w:ascii="Times New Roman" w:cs="Times New Roman" w:eastAsia="Times New Roman" w:hAnsi="Times New Roman"/>
          <w:color w:val="0d0d0d"/>
          <w:sz w:val="24"/>
          <w:szCs w:val="24"/>
        </w:rPr>
      </w:pPr>
    </w:p>
    <w:p>
      <w:pPr>
        <w:pStyle w:val="style0"/>
        <w:spacing w:before="240" w:after="240" w:lineRule="auto" w:line="480"/>
        <w:jc w:val="both"/>
        <w:rPr>
          <w:sz w:val="24"/>
          <w:szCs w:val="24"/>
        </w:rPr>
      </w:pPr>
    </w:p>
    <w:p>
      <w:pPr>
        <w:pStyle w:val="style0"/>
        <w:spacing w:before="320" w:after="160" w:lineRule="auto" w:line="240"/>
        <w:rPr>
          <w:rFonts w:ascii="Times New Roman" w:cs="Times New Roman" w:eastAsia="Times New Roman" w:hAnsi="Times New Roman"/>
          <w:b/>
          <w:bCs/>
          <w:sz w:val="24"/>
          <w:szCs w:val="24"/>
        </w:rPr>
      </w:pPr>
      <w:r>
        <w:rPr>
          <w:rFonts w:ascii="Times New Roman" w:cs="Times New Roman" w:eastAsia="Calibri" w:hAnsi="Times New Roman"/>
          <w:sz w:val="24"/>
          <w:szCs w:val="24"/>
        </w:rPr>
        <w:t xml:space="preserve">           </w:t>
      </w:r>
      <w:r>
        <w:rPr>
          <w:rFonts w:ascii="Times New Roman" w:cs="Times New Roman" w:eastAsia="Calibri" w:hAnsi="Times New Roman"/>
          <w:sz w:val="24"/>
          <w:szCs w:val="24"/>
        </w:rPr>
        <w:t xml:space="preserve">         </w:t>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 xml:space="preserve"> </w:t>
      </w:r>
    </w:p>
    <w:p>
      <w:pPr>
        <w:pStyle w:val="style0"/>
        <w:spacing w:before="320" w:after="160" w:lineRule="auto" w:line="240"/>
        <w:rPr>
          <w:rFonts w:ascii="Times New Roman" w:cs="Times New Roman" w:eastAsia="Times New Roman" w:hAnsi="Times New Roman"/>
          <w:b/>
          <w:bCs/>
          <w:sz w:val="24"/>
          <w:szCs w:val="24"/>
        </w:rPr>
      </w:pPr>
    </w:p>
    <w:p>
      <w:pPr>
        <w:pStyle w:val="style0"/>
        <w:spacing w:before="320" w:after="160" w:lineRule="auto" w:line="240"/>
        <w:rPr>
          <w:rFonts w:ascii="Times New Roman" w:cs="Times New Roman" w:eastAsia="Times New Roman" w:hAnsi="Times New Roman"/>
          <w:b/>
          <w:bCs/>
          <w:sz w:val="24"/>
          <w:szCs w:val="24"/>
        </w:rPr>
      </w:pPr>
    </w:p>
    <w:p>
      <w:pPr>
        <w:pStyle w:val="style0"/>
        <w:spacing w:before="320" w:after="160" w:lineRule="auto" w:line="240"/>
        <w:rPr>
          <w:rFonts w:ascii="Times New Roman" w:cs="Times New Roman" w:eastAsia="Times New Roman" w:hAnsi="Times New Roman"/>
          <w:b/>
          <w:bCs/>
          <w:sz w:val="24"/>
          <w:szCs w:val="24"/>
        </w:rPr>
      </w:pPr>
    </w:p>
    <w:p>
      <w:pPr>
        <w:pStyle w:val="style0"/>
        <w:spacing w:before="320" w:after="160" w:lineRule="auto" w:line="240"/>
        <w:rPr>
          <w:rFonts w:ascii="Times New Roman" w:cs="Times New Roman" w:eastAsia="Times New Roman" w:hAnsi="Times New Roman"/>
          <w:b/>
          <w:bCs/>
          <w:sz w:val="24"/>
          <w:szCs w:val="24"/>
        </w:rPr>
      </w:pPr>
    </w:p>
    <w:p>
      <w:pPr>
        <w:pStyle w:val="style0"/>
        <w:spacing w:before="320" w:after="160" w:lineRule="auto" w:line="240"/>
        <w:rPr>
          <w:rFonts w:ascii="Times New Roman" w:cs="Times New Roman" w:eastAsia="Times New Roman" w:hAnsi="Times New Roman"/>
          <w:b/>
          <w:bCs/>
          <w:sz w:val="24"/>
          <w:szCs w:val="24"/>
        </w:rPr>
      </w:pPr>
    </w:p>
    <w:p>
      <w:pPr>
        <w:pStyle w:val="style0"/>
        <w:spacing w:before="320" w:after="160" w:lineRule="auto" w:line="240"/>
        <w:rPr>
          <w:rFonts w:ascii="Times New Roman" w:cs="Times New Roman" w:eastAsia="Times New Roman" w:hAnsi="Times New Roman"/>
          <w:b/>
          <w:bCs/>
          <w:sz w:val="24"/>
          <w:szCs w:val="24"/>
        </w:rPr>
      </w:pPr>
    </w:p>
    <w:p>
      <w:pPr>
        <w:pStyle w:val="style0"/>
        <w:spacing w:before="320" w:after="160" w:lineRule="auto" w:line="240"/>
        <w:rPr>
          <w:rFonts w:ascii="Times New Roman" w:cs="Times New Roman" w:eastAsia="Times New Roman" w:hAnsi="Times New Roman"/>
          <w:b/>
          <w:bCs/>
          <w:sz w:val="24"/>
          <w:szCs w:val="24"/>
        </w:rPr>
      </w:pPr>
    </w:p>
    <w:p>
      <w:pPr>
        <w:pStyle w:val="style0"/>
        <w:spacing w:before="320" w:after="160" w:lineRule="auto" w:line="240"/>
        <w:rPr>
          <w:rFonts w:ascii="Times New Roman" w:cs="Times New Roman" w:eastAsia="Times New Roman" w:hAnsi="Times New Roman"/>
          <w:b/>
          <w:bCs/>
          <w:sz w:val="24"/>
          <w:szCs w:val="24"/>
        </w:rPr>
      </w:pPr>
    </w:p>
    <w:p>
      <w:pPr>
        <w:pStyle w:val="style0"/>
        <w:spacing w:before="320" w:after="160" w:lineRule="auto" w:line="240"/>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ab/>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sz w:val="24"/>
          <w:szCs w:val="24"/>
        </w:rPr>
        <w:t xml:space="preserve">  Bibliography</w:t>
      </w:r>
    </w:p>
    <w:p>
      <w:pPr>
        <w:pStyle w:val="style0"/>
        <w:tabs>
          <w:tab w:val="center" w:leader="none" w:pos="4513"/>
        </w:tabs>
        <w:spacing w:before="320" w:after="160" w:lineRule="auto" w:line="240"/>
        <w:rPr>
          <w:rFonts w:ascii="Times New Roman" w:cs="Times New Roman" w:eastAsia="Times New Roman" w:hAnsi="Times New Roman"/>
          <w:sz w:val="24"/>
          <w:szCs w:val="24"/>
        </w:rPr>
      </w:pPr>
      <w:r>
        <w:rPr>
          <w:rFonts w:ascii="Times New Roman" w:cs="Times New Roman" w:eastAsia="Times New Roman" w:hAnsi="Times New Roman"/>
          <w:b/>
          <w:bCs/>
          <w:sz w:val="24"/>
          <w:szCs w:val="24"/>
        </w:rPr>
        <w:t>Books</w:t>
      </w:r>
      <w:r>
        <w:rPr>
          <w:rFonts w:ascii="Times New Roman" w:cs="Times New Roman" w:eastAsia="Times New Roman" w:hAnsi="Times New Roman"/>
          <w:b/>
          <w:bCs/>
          <w:sz w:val="24"/>
          <w:szCs w:val="24"/>
        </w:rPr>
        <w:tab/>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Adeyemi A A, </w:t>
      </w:r>
      <w:r>
        <w:rPr>
          <w:rFonts w:ascii="Times New Roman" w:cs="Times New Roman" w:eastAsia="Times New Roman" w:hAnsi="Times New Roman"/>
          <w:i/>
          <w:iCs/>
          <w:sz w:val="24"/>
          <w:szCs w:val="24"/>
        </w:rPr>
        <w:t>Criminology and Criminal Justice</w:t>
      </w:r>
      <w:r>
        <w:rPr>
          <w:rFonts w:ascii="Times New Roman" w:cs="Times New Roman" w:eastAsia="Times New Roman" w:hAnsi="Times New Roman"/>
          <w:sz w:val="24"/>
          <w:szCs w:val="24"/>
        </w:rPr>
        <w:t xml:space="preserve"> (University of Lagos Press 1999)</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Agaba J A, </w:t>
      </w:r>
      <w:r>
        <w:rPr>
          <w:rFonts w:ascii="Times New Roman" w:cs="Times New Roman" w:eastAsia="Times New Roman" w:hAnsi="Times New Roman"/>
          <w:i/>
          <w:iCs/>
          <w:sz w:val="24"/>
          <w:szCs w:val="24"/>
        </w:rPr>
        <w:t>Practical Approach to Criminal Litigation in Nigeria</w:t>
      </w:r>
      <w:r>
        <w:rPr>
          <w:rFonts w:ascii="Times New Roman" w:cs="Times New Roman" w:eastAsia="Times New Roman" w:hAnsi="Times New Roman"/>
          <w:sz w:val="24"/>
          <w:szCs w:val="24"/>
        </w:rPr>
        <w:t xml:space="preserve"> (3rd edn, Princeton Publishing 2015)</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Agaba J A, </w:t>
      </w:r>
      <w:r>
        <w:rPr>
          <w:rFonts w:ascii="Times New Roman" w:cs="Times New Roman" w:eastAsia="Times New Roman" w:hAnsi="Times New Roman"/>
          <w:i/>
          <w:iCs/>
          <w:sz w:val="24"/>
          <w:szCs w:val="24"/>
        </w:rPr>
        <w:t>Practical Approach to Evidence in Nigeria</w:t>
      </w:r>
      <w:r>
        <w:rPr>
          <w:rFonts w:ascii="Times New Roman" w:cs="Times New Roman" w:eastAsia="Times New Roman" w:hAnsi="Times New Roman"/>
          <w:sz w:val="24"/>
          <w:szCs w:val="24"/>
        </w:rPr>
        <w:t xml:space="preserve"> (2nd edn, LawLords Publications 2011)</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Agomo C K, </w:t>
      </w:r>
      <w:r>
        <w:rPr>
          <w:rFonts w:ascii="Times New Roman" w:cs="Times New Roman" w:eastAsia="Times New Roman" w:hAnsi="Times New Roman"/>
          <w:i/>
          <w:iCs/>
          <w:sz w:val="24"/>
          <w:szCs w:val="24"/>
        </w:rPr>
        <w:t>Women and Criminal Justice in Nigeria</w:t>
      </w:r>
      <w:r>
        <w:rPr>
          <w:rFonts w:ascii="Times New Roman" w:cs="Times New Roman" w:eastAsia="Times New Roman" w:hAnsi="Times New Roman"/>
          <w:sz w:val="24"/>
          <w:szCs w:val="24"/>
        </w:rPr>
        <w:t xml:space="preserve"> (University of Lagos Press 2002)</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Aguda T A, </w:t>
      </w:r>
      <w:r>
        <w:rPr>
          <w:rFonts w:ascii="Times New Roman" w:cs="Times New Roman" w:eastAsia="Times New Roman" w:hAnsi="Times New Roman"/>
          <w:i/>
          <w:iCs/>
          <w:sz w:val="24"/>
          <w:szCs w:val="24"/>
        </w:rPr>
        <w:t>Criminal Law and Procedure in the Southern States of Nigeria</w:t>
      </w:r>
      <w:r>
        <w:rPr>
          <w:rFonts w:ascii="Times New Roman" w:cs="Times New Roman" w:eastAsia="Times New Roman" w:hAnsi="Times New Roman"/>
          <w:sz w:val="24"/>
          <w:szCs w:val="24"/>
        </w:rPr>
        <w:t xml:space="preserve"> (3rd edn, Sweet &amp; Maxwell 1982)</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Aguda T A, </w:t>
      </w:r>
      <w:r>
        <w:rPr>
          <w:rFonts w:ascii="Times New Roman" w:cs="Times New Roman" w:eastAsia="Times New Roman" w:hAnsi="Times New Roman"/>
          <w:i/>
          <w:iCs/>
          <w:sz w:val="24"/>
          <w:szCs w:val="24"/>
        </w:rPr>
        <w:t>The Law of Evidence</w:t>
      </w:r>
      <w:r>
        <w:rPr>
          <w:rFonts w:ascii="Times New Roman" w:cs="Times New Roman" w:eastAsia="Times New Roman" w:hAnsi="Times New Roman"/>
          <w:sz w:val="24"/>
          <w:szCs w:val="24"/>
        </w:rPr>
        <w:t xml:space="preserve"> (4th edn, Spectrum Books Ltd 1999)</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Aguda T A, </w:t>
      </w:r>
      <w:r>
        <w:rPr>
          <w:rFonts w:ascii="Times New Roman" w:cs="Times New Roman" w:eastAsia="Times New Roman" w:hAnsi="Times New Roman"/>
          <w:i/>
          <w:iCs/>
          <w:sz w:val="24"/>
          <w:szCs w:val="24"/>
        </w:rPr>
        <w:t>The Law and Practice of Evidence in Nigeria</w:t>
      </w:r>
      <w:r>
        <w:rPr>
          <w:rFonts w:ascii="Times New Roman" w:cs="Times New Roman" w:eastAsia="Times New Roman" w:hAnsi="Times New Roman"/>
          <w:sz w:val="24"/>
          <w:szCs w:val="24"/>
        </w:rPr>
        <w:t xml:space="preserve"> (3rd edn, Spectrum Books 2001)</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Aguda T A, </w:t>
      </w:r>
      <w:r>
        <w:rPr>
          <w:rFonts w:ascii="Times New Roman" w:cs="Times New Roman" w:eastAsia="Times New Roman" w:hAnsi="Times New Roman"/>
          <w:i/>
          <w:iCs/>
          <w:sz w:val="24"/>
          <w:szCs w:val="24"/>
        </w:rPr>
        <w:t>The Law of Evidence in Nigeria: Principles and Practice</w:t>
      </w:r>
      <w:r>
        <w:rPr>
          <w:rFonts w:ascii="Times New Roman" w:cs="Times New Roman" w:eastAsia="Times New Roman" w:hAnsi="Times New Roman"/>
          <w:sz w:val="24"/>
          <w:szCs w:val="24"/>
        </w:rPr>
        <w:t xml:space="preserve"> (2nd edn, Legal Standard Press 2022)</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Aguda T A, </w:t>
      </w:r>
      <w:r>
        <w:rPr>
          <w:rFonts w:ascii="Times New Roman" w:cs="Times New Roman" w:eastAsia="Times New Roman" w:hAnsi="Times New Roman"/>
          <w:i/>
          <w:iCs/>
          <w:sz w:val="24"/>
          <w:szCs w:val="24"/>
        </w:rPr>
        <w:t>The Law of Evidence</w:t>
      </w:r>
      <w:r>
        <w:rPr>
          <w:rFonts w:ascii="Times New Roman" w:cs="Times New Roman" w:eastAsia="Times New Roman" w:hAnsi="Times New Roman"/>
          <w:sz w:val="24"/>
          <w:szCs w:val="24"/>
        </w:rPr>
        <w:t xml:space="preserve"> (Spectrum Law Publishing 2020)</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Asein J O, </w:t>
      </w:r>
      <w:r>
        <w:rPr>
          <w:rFonts w:ascii="Times New Roman" w:cs="Times New Roman" w:eastAsia="Times New Roman" w:hAnsi="Times New Roman"/>
          <w:i/>
          <w:iCs/>
          <w:sz w:val="24"/>
          <w:szCs w:val="24"/>
        </w:rPr>
        <w:t>Introduction to Nigerian Legal System</w:t>
      </w:r>
      <w:r>
        <w:rPr>
          <w:rFonts w:ascii="Times New Roman" w:cs="Times New Roman" w:eastAsia="Times New Roman" w:hAnsi="Times New Roman"/>
          <w:sz w:val="24"/>
          <w:szCs w:val="24"/>
        </w:rPr>
        <w:t xml:space="preserve"> (2nd edn, Ababa Press 2005)</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Blackstone W, </w:t>
      </w:r>
      <w:r>
        <w:rPr>
          <w:rFonts w:ascii="Times New Roman" w:cs="Times New Roman" w:eastAsia="Times New Roman" w:hAnsi="Times New Roman"/>
          <w:i/>
          <w:iCs/>
          <w:sz w:val="24"/>
          <w:szCs w:val="24"/>
        </w:rPr>
        <w:t>Commentaries on the Laws of England</w:t>
      </w:r>
      <w:r>
        <w:rPr>
          <w:rFonts w:ascii="Times New Roman" w:cs="Times New Roman" w:eastAsia="Times New Roman" w:hAnsi="Times New Roman"/>
          <w:sz w:val="24"/>
          <w:szCs w:val="24"/>
        </w:rPr>
        <w:t xml:space="preserve"> (vol 4, Clarendon Press 1769)</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Coke E, </w:t>
      </w:r>
      <w:r>
        <w:rPr>
          <w:rFonts w:ascii="Times New Roman" w:cs="Times New Roman" w:eastAsia="Times New Roman" w:hAnsi="Times New Roman"/>
          <w:i/>
          <w:iCs/>
          <w:sz w:val="24"/>
          <w:szCs w:val="24"/>
        </w:rPr>
        <w:t>The Third Part of the Institutes of the Laws of England: Concerning High Treason, and Other Pleas of the Crown</w:t>
      </w:r>
      <w:r>
        <w:rPr>
          <w:rFonts w:ascii="Times New Roman" w:cs="Times New Roman" w:eastAsia="Times New Roman" w:hAnsi="Times New Roman"/>
          <w:sz w:val="24"/>
          <w:szCs w:val="24"/>
        </w:rPr>
        <w:t xml:space="preserve"> (E &amp; R Brooke, 1847)</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Dressler J, </w:t>
      </w:r>
      <w:r>
        <w:rPr>
          <w:rFonts w:ascii="Times New Roman" w:cs="Times New Roman" w:eastAsia="Times New Roman" w:hAnsi="Times New Roman"/>
          <w:i/>
          <w:iCs/>
          <w:sz w:val="24"/>
          <w:szCs w:val="24"/>
        </w:rPr>
        <w:t>Understanding Criminal Law</w:t>
      </w:r>
      <w:r>
        <w:rPr>
          <w:rFonts w:ascii="Times New Roman" w:cs="Times New Roman" w:eastAsia="Times New Roman" w:hAnsi="Times New Roman"/>
          <w:sz w:val="24"/>
          <w:szCs w:val="24"/>
        </w:rPr>
        <w:t xml:space="preserve"> (8th edn, Carolina Academic Press 2022)</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Fagbohunlu B and Rhodes-Vivour D, </w:t>
      </w:r>
      <w:r>
        <w:rPr>
          <w:rFonts w:ascii="Times New Roman" w:cs="Times New Roman" w:eastAsia="Times New Roman" w:hAnsi="Times New Roman"/>
          <w:i/>
          <w:iCs/>
          <w:sz w:val="24"/>
          <w:szCs w:val="24"/>
        </w:rPr>
        <w:t>The Law of Evidence in Nigeria</w:t>
      </w:r>
      <w:r>
        <w:rPr>
          <w:rFonts w:ascii="Times New Roman" w:cs="Times New Roman" w:eastAsia="Times New Roman" w:hAnsi="Times New Roman"/>
          <w:sz w:val="24"/>
          <w:szCs w:val="24"/>
        </w:rPr>
        <w:t xml:space="preserve"> (4th edn, LexisNexis Butterworths 2023)</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Farotimi D, </w:t>
      </w:r>
      <w:r>
        <w:rPr>
          <w:rFonts w:ascii="Times New Roman" w:cs="Times New Roman" w:eastAsia="Times New Roman" w:hAnsi="Times New Roman"/>
          <w:i/>
          <w:iCs/>
          <w:sz w:val="24"/>
          <w:szCs w:val="24"/>
        </w:rPr>
        <w:t>Nigeria and Its Criminal Justice System</w:t>
      </w:r>
      <w:r>
        <w:rPr>
          <w:rFonts w:ascii="Times New Roman" w:cs="Times New Roman" w:eastAsia="Times New Roman" w:hAnsi="Times New Roman"/>
          <w:sz w:val="24"/>
          <w:szCs w:val="24"/>
        </w:rPr>
        <w:t xml:space="preserve"> (Independently Published, 2024)</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Hall J, </w:t>
      </w:r>
      <w:r>
        <w:rPr>
          <w:rFonts w:ascii="Times New Roman" w:cs="Times New Roman" w:eastAsia="Times New Roman" w:hAnsi="Times New Roman"/>
          <w:i/>
          <w:iCs/>
          <w:sz w:val="24"/>
          <w:szCs w:val="24"/>
        </w:rPr>
        <w:t>General Principles of Criminal Law</w:t>
      </w:r>
      <w:r>
        <w:rPr>
          <w:rFonts w:ascii="Times New Roman" w:cs="Times New Roman" w:eastAsia="Times New Roman" w:hAnsi="Times New Roman"/>
          <w:sz w:val="24"/>
          <w:szCs w:val="24"/>
        </w:rPr>
        <w:t xml:space="preserve"> (2nd edn, Bobbs-Merrill 1960)</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Ibidapo-Obe A A, </w:t>
      </w:r>
      <w:r>
        <w:rPr>
          <w:rFonts w:ascii="Times New Roman" w:cs="Times New Roman" w:eastAsia="Times New Roman" w:hAnsi="Times New Roman"/>
          <w:i/>
          <w:iCs/>
          <w:sz w:val="24"/>
          <w:szCs w:val="24"/>
        </w:rPr>
        <w:t>Crime and Punishment in Nigerian Law</w:t>
      </w:r>
      <w:r>
        <w:rPr>
          <w:rFonts w:ascii="Times New Roman" w:cs="Times New Roman" w:eastAsia="Times New Roman" w:hAnsi="Times New Roman"/>
          <w:sz w:val="24"/>
          <w:szCs w:val="24"/>
        </w:rPr>
        <w:t xml:space="preserve"> (1st edn, University of Lagos Press 2005)</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Ijalaye D A, </w:t>
      </w:r>
      <w:r>
        <w:rPr>
          <w:rFonts w:ascii="Times New Roman" w:cs="Times New Roman" w:eastAsia="Times New Roman" w:hAnsi="Times New Roman"/>
          <w:i/>
          <w:iCs/>
          <w:sz w:val="24"/>
          <w:szCs w:val="24"/>
        </w:rPr>
        <w:t>Criminal Law in Nigeria</w:t>
      </w:r>
      <w:r>
        <w:rPr>
          <w:rFonts w:ascii="Times New Roman" w:cs="Times New Roman" w:eastAsia="Times New Roman" w:hAnsi="Times New Roman"/>
          <w:sz w:val="24"/>
          <w:szCs w:val="24"/>
        </w:rPr>
        <w:t xml:space="preserve"> (3rd edn, University of Ife Press 2007)</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Kassin S M and Gudjonsson G H, ‘The Psychology of Confessions: A Review of the Literature and Issues’ (2004) 5(2) </w:t>
      </w:r>
      <w:r>
        <w:rPr>
          <w:rFonts w:ascii="Times New Roman" w:cs="Times New Roman" w:eastAsia="Times New Roman" w:hAnsi="Times New Roman"/>
          <w:i/>
          <w:iCs/>
          <w:sz w:val="24"/>
          <w:szCs w:val="24"/>
        </w:rPr>
        <w:t>Psychological Science in the Public Interest</w:t>
      </w:r>
      <w:r>
        <w:rPr>
          <w:rFonts w:ascii="Times New Roman" w:cs="Times New Roman" w:eastAsia="Times New Roman" w:hAnsi="Times New Roman"/>
          <w:sz w:val="24"/>
          <w:szCs w:val="24"/>
        </w:rPr>
        <w:t xml:space="preserve"> 33</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Loftus E F, </w:t>
      </w:r>
      <w:r>
        <w:rPr>
          <w:rFonts w:ascii="Times New Roman" w:cs="Times New Roman" w:eastAsia="Times New Roman" w:hAnsi="Times New Roman"/>
          <w:i/>
          <w:iCs/>
          <w:sz w:val="24"/>
          <w:szCs w:val="24"/>
        </w:rPr>
        <w:t>Eyewitness Testimony</w:t>
      </w:r>
      <w:r>
        <w:rPr>
          <w:rFonts w:ascii="Times New Roman" w:cs="Times New Roman" w:eastAsia="Times New Roman" w:hAnsi="Times New Roman"/>
          <w:sz w:val="24"/>
          <w:szCs w:val="24"/>
        </w:rPr>
        <w:t xml:space="preserve"> (Harvard University Press 1996)</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Mamdani M, </w:t>
      </w:r>
      <w:r>
        <w:rPr>
          <w:rFonts w:ascii="Times New Roman" w:cs="Times New Roman" w:eastAsia="Times New Roman" w:hAnsi="Times New Roman"/>
          <w:i/>
          <w:iCs/>
          <w:sz w:val="24"/>
          <w:szCs w:val="24"/>
        </w:rPr>
        <w:t>Citizen and Subject: Contemporary Africa and the Legacy of Late Colonialism</w:t>
      </w:r>
      <w:r>
        <w:rPr>
          <w:rFonts w:ascii="Times New Roman" w:cs="Times New Roman" w:eastAsia="Times New Roman" w:hAnsi="Times New Roman"/>
          <w:sz w:val="24"/>
          <w:szCs w:val="24"/>
        </w:rPr>
        <w:t xml:space="preserve"> (Princeton University Press 1996)</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McConville M and Wilson G (eds), </w:t>
      </w:r>
      <w:r>
        <w:rPr>
          <w:rFonts w:ascii="Times New Roman" w:cs="Times New Roman" w:eastAsia="Times New Roman" w:hAnsi="Times New Roman"/>
          <w:i/>
          <w:iCs/>
          <w:sz w:val="24"/>
          <w:szCs w:val="24"/>
        </w:rPr>
        <w:t>The Handbook of the Criminal Justice Process</w:t>
      </w:r>
      <w:r>
        <w:rPr>
          <w:rFonts w:ascii="Times New Roman" w:cs="Times New Roman" w:eastAsia="Times New Roman" w:hAnsi="Times New Roman"/>
          <w:sz w:val="24"/>
          <w:szCs w:val="24"/>
        </w:rPr>
        <w:t xml:space="preserve"> (Oxford University Press 2002)</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Murphy P, </w:t>
      </w:r>
      <w:r>
        <w:rPr>
          <w:rFonts w:ascii="Times New Roman" w:cs="Times New Roman" w:eastAsia="Times New Roman" w:hAnsi="Times New Roman"/>
          <w:i/>
          <w:iCs/>
          <w:sz w:val="24"/>
          <w:szCs w:val="24"/>
        </w:rPr>
        <w:t>Murphy on Evidence</w:t>
      </w:r>
      <w:r>
        <w:rPr>
          <w:rFonts w:ascii="Times New Roman" w:cs="Times New Roman" w:eastAsia="Times New Roman" w:hAnsi="Times New Roman"/>
          <w:sz w:val="24"/>
          <w:szCs w:val="24"/>
        </w:rPr>
        <w:t xml:space="preserve"> (11th edn, Oxford University Press 2009)</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Nwadialo F C, </w:t>
      </w:r>
      <w:r>
        <w:rPr>
          <w:rFonts w:ascii="Times New Roman" w:cs="Times New Roman" w:eastAsia="Times New Roman" w:hAnsi="Times New Roman"/>
          <w:i/>
          <w:iCs/>
          <w:sz w:val="24"/>
          <w:szCs w:val="24"/>
        </w:rPr>
        <w:t>Modern Nigerian Law of Evidence</w:t>
      </w:r>
      <w:r>
        <w:rPr>
          <w:rFonts w:ascii="Times New Roman" w:cs="Times New Roman" w:eastAsia="Times New Roman" w:hAnsi="Times New Roman"/>
          <w:sz w:val="24"/>
          <w:szCs w:val="24"/>
        </w:rPr>
        <w:t xml:space="preserve"> (3rd edn, University of Lagos Press 2020)</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Odinkalu C A and Ezeilo J N, </w:t>
      </w:r>
      <w:r>
        <w:rPr>
          <w:rFonts w:ascii="Times New Roman" w:cs="Times New Roman" w:eastAsia="Times New Roman" w:hAnsi="Times New Roman"/>
          <w:i/>
          <w:iCs/>
          <w:sz w:val="24"/>
          <w:szCs w:val="24"/>
        </w:rPr>
        <w:t>Dialectics of Rights: The Rights of Suspects and Accused Persons in Nigeria</w:t>
      </w:r>
      <w:r>
        <w:rPr>
          <w:rFonts w:ascii="Times New Roman" w:cs="Times New Roman" w:eastAsia="Times New Roman" w:hAnsi="Times New Roman"/>
          <w:sz w:val="24"/>
          <w:szCs w:val="24"/>
        </w:rPr>
        <w:t xml:space="preserve"> (National Human Rights Commission, Abuja 2011)</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O’Hara C E and O’Hara G L, </w:t>
      </w:r>
      <w:r>
        <w:rPr>
          <w:rFonts w:ascii="Times New Roman" w:cs="Times New Roman" w:eastAsia="Times New Roman" w:hAnsi="Times New Roman"/>
          <w:i/>
          <w:iCs/>
          <w:sz w:val="24"/>
          <w:szCs w:val="24"/>
        </w:rPr>
        <w:t>Fundamentals of Criminal Investigation</w:t>
      </w:r>
      <w:r>
        <w:rPr>
          <w:rFonts w:ascii="Times New Roman" w:cs="Times New Roman" w:eastAsia="Times New Roman" w:hAnsi="Times New Roman"/>
          <w:sz w:val="24"/>
          <w:szCs w:val="24"/>
        </w:rPr>
        <w:t xml:space="preserve"> (8th edn, Cengage Learning 2013)</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Ojukwu J E O, </w:t>
      </w:r>
      <w:r>
        <w:rPr>
          <w:rFonts w:ascii="Times New Roman" w:cs="Times New Roman" w:eastAsia="Times New Roman" w:hAnsi="Times New Roman"/>
          <w:i/>
          <w:iCs/>
          <w:sz w:val="24"/>
          <w:szCs w:val="24"/>
        </w:rPr>
        <w:t>Constitutional Guarantees of Fair Trial in Capital Offences</w:t>
      </w:r>
      <w:r>
        <w:rPr>
          <w:rFonts w:ascii="Times New Roman" w:cs="Times New Roman" w:eastAsia="Times New Roman" w:hAnsi="Times New Roman"/>
          <w:sz w:val="24"/>
          <w:szCs w:val="24"/>
        </w:rPr>
        <w:t xml:space="preserve"> (2nd edn, LexisNexis 2024)</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Okonkwo C O, </w:t>
      </w:r>
      <w:r>
        <w:rPr>
          <w:rFonts w:ascii="Times New Roman" w:cs="Times New Roman" w:eastAsia="Times New Roman" w:hAnsi="Times New Roman"/>
          <w:i/>
          <w:iCs/>
          <w:sz w:val="24"/>
          <w:szCs w:val="24"/>
        </w:rPr>
        <w:t>Criminal Law in Nigeria</w:t>
      </w:r>
      <w:r>
        <w:rPr>
          <w:rFonts w:ascii="Times New Roman" w:cs="Times New Roman" w:eastAsia="Times New Roman" w:hAnsi="Times New Roman"/>
          <w:sz w:val="24"/>
          <w:szCs w:val="24"/>
        </w:rPr>
        <w:t xml:space="preserve"> (2nd edn, Spectrum Books Ltd 1990)</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Okonkwo C O, </w:t>
      </w:r>
      <w:r>
        <w:rPr>
          <w:rFonts w:ascii="Times New Roman" w:cs="Times New Roman" w:eastAsia="Times New Roman" w:hAnsi="Times New Roman"/>
          <w:i/>
          <w:iCs/>
          <w:sz w:val="24"/>
          <w:szCs w:val="24"/>
        </w:rPr>
        <w:t>Okonkwo and Naish on Criminal Law in Nigeria</w:t>
      </w:r>
      <w:r>
        <w:rPr>
          <w:rFonts w:ascii="Times New Roman" w:cs="Times New Roman" w:eastAsia="Times New Roman" w:hAnsi="Times New Roman"/>
          <w:sz w:val="24"/>
          <w:szCs w:val="24"/>
        </w:rPr>
        <w:t xml:space="preserve"> (2nd edn, Spectrum Books 1980)</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Oputa C, ‘Proof of Guilt in Criminal Cases’ (1977/78) 11 </w:t>
      </w:r>
      <w:r>
        <w:rPr>
          <w:rFonts w:ascii="Times New Roman" w:cs="Times New Roman" w:eastAsia="Times New Roman" w:hAnsi="Times New Roman"/>
          <w:i/>
          <w:iCs/>
          <w:sz w:val="24"/>
          <w:szCs w:val="24"/>
        </w:rPr>
        <w:t>Nigerian Law Journal</w:t>
      </w:r>
      <w:r>
        <w:rPr>
          <w:rFonts w:ascii="Times New Roman" w:cs="Times New Roman" w:eastAsia="Times New Roman" w:hAnsi="Times New Roman"/>
          <w:sz w:val="24"/>
          <w:szCs w:val="24"/>
        </w:rPr>
        <w:t xml:space="preserve"> 24</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Owoade M A, </w:t>
      </w:r>
      <w:r>
        <w:rPr>
          <w:rFonts w:ascii="Times New Roman" w:cs="Times New Roman" w:eastAsia="Times New Roman" w:hAnsi="Times New Roman"/>
          <w:i/>
          <w:iCs/>
          <w:sz w:val="24"/>
          <w:szCs w:val="24"/>
        </w:rPr>
        <w:t>Law of Homicide in Nigeria</w:t>
      </w:r>
      <w:r>
        <w:rPr>
          <w:rFonts w:ascii="Times New Roman" w:cs="Times New Roman" w:eastAsia="Times New Roman" w:hAnsi="Times New Roman"/>
          <w:sz w:val="24"/>
          <w:szCs w:val="24"/>
        </w:rPr>
        <w:t xml:space="preserve"> (Obafemi Awolowo University Press 1990)</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Padfield N, </w:t>
      </w:r>
      <w:r>
        <w:rPr>
          <w:rFonts w:ascii="Times New Roman" w:cs="Times New Roman" w:eastAsia="Times New Roman" w:hAnsi="Times New Roman"/>
          <w:i/>
          <w:iCs/>
          <w:sz w:val="24"/>
          <w:szCs w:val="24"/>
        </w:rPr>
        <w:t>Criminal Law</w:t>
      </w:r>
      <w:r>
        <w:rPr>
          <w:rFonts w:ascii="Times New Roman" w:cs="Times New Roman" w:eastAsia="Times New Roman" w:hAnsi="Times New Roman"/>
          <w:sz w:val="24"/>
          <w:szCs w:val="24"/>
        </w:rPr>
        <w:t xml:space="preserve"> (10th edn, Oxford University Press 2022)</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Pennington N and Hastie R, ‘The Story Model for Juror Decision Making’ in R Hastie (ed), </w:t>
      </w:r>
      <w:r>
        <w:rPr>
          <w:rFonts w:ascii="Times New Roman" w:cs="Times New Roman" w:eastAsia="Times New Roman" w:hAnsi="Times New Roman"/>
          <w:i/>
          <w:iCs/>
          <w:sz w:val="24"/>
          <w:szCs w:val="24"/>
        </w:rPr>
        <w:t>Inside the Juror: The Psychology of Juror Decision Making</w:t>
      </w:r>
      <w:r>
        <w:rPr>
          <w:rFonts w:ascii="Times New Roman" w:cs="Times New Roman" w:eastAsia="Times New Roman" w:hAnsi="Times New Roman"/>
          <w:sz w:val="24"/>
          <w:szCs w:val="24"/>
        </w:rPr>
        <w:t xml:space="preserve"> (Cambridge University Press 1993)</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Peters R, </w:t>
      </w:r>
      <w:r>
        <w:rPr>
          <w:rFonts w:ascii="Times New Roman" w:cs="Times New Roman" w:eastAsia="Times New Roman" w:hAnsi="Times New Roman"/>
          <w:i/>
          <w:iCs/>
          <w:sz w:val="24"/>
          <w:szCs w:val="24"/>
        </w:rPr>
        <w:t>Islamic Criminal Law in Northern Nigeria: Politics, Religion, Judicial Practice</w:t>
      </w:r>
      <w:r>
        <w:rPr>
          <w:rFonts w:ascii="Times New Roman" w:cs="Times New Roman" w:eastAsia="Times New Roman" w:hAnsi="Times New Roman"/>
          <w:sz w:val="24"/>
          <w:szCs w:val="24"/>
        </w:rPr>
        <w:t xml:space="preserve"> (Amsterdam University Press/Vossiuspers 2001)</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Sagay I E, </w:t>
      </w:r>
      <w:r>
        <w:rPr>
          <w:rFonts w:ascii="Times New Roman" w:cs="Times New Roman" w:eastAsia="Times New Roman" w:hAnsi="Times New Roman"/>
          <w:i/>
          <w:iCs/>
          <w:sz w:val="24"/>
          <w:szCs w:val="24"/>
        </w:rPr>
        <w:t>Nigerian Criminal Law</w:t>
      </w:r>
      <w:r>
        <w:rPr>
          <w:rFonts w:ascii="Times New Roman" w:cs="Times New Roman" w:eastAsia="Times New Roman" w:hAnsi="Times New Roman"/>
          <w:sz w:val="24"/>
          <w:szCs w:val="24"/>
        </w:rPr>
        <w:t xml:space="preserve"> (2nd edn, Spectrum Books 2004)</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Smith J A O, </w:t>
      </w:r>
      <w:r>
        <w:rPr>
          <w:rFonts w:ascii="Times New Roman" w:cs="Times New Roman" w:eastAsia="Times New Roman" w:hAnsi="Times New Roman"/>
          <w:i/>
          <w:iCs/>
          <w:sz w:val="24"/>
          <w:szCs w:val="24"/>
        </w:rPr>
        <w:t>Nigerian Law of Evidence</w:t>
      </w:r>
      <w:r>
        <w:rPr>
          <w:rFonts w:ascii="Times New Roman" w:cs="Times New Roman" w:eastAsia="Times New Roman" w:hAnsi="Times New Roman"/>
          <w:sz w:val="24"/>
          <w:szCs w:val="24"/>
        </w:rPr>
        <w:t xml:space="preserve"> (4th edn, LexisNexis 2024)</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Snyman C R, </w:t>
      </w:r>
      <w:r>
        <w:rPr>
          <w:rFonts w:ascii="Times New Roman" w:cs="Times New Roman" w:eastAsia="Times New Roman" w:hAnsi="Times New Roman"/>
          <w:i/>
          <w:iCs/>
          <w:sz w:val="24"/>
          <w:szCs w:val="24"/>
        </w:rPr>
        <w:t>Criminal Law</w:t>
      </w:r>
      <w:r>
        <w:rPr>
          <w:rFonts w:ascii="Times New Roman" w:cs="Times New Roman" w:eastAsia="Times New Roman" w:hAnsi="Times New Roman"/>
          <w:sz w:val="24"/>
          <w:szCs w:val="24"/>
        </w:rPr>
        <w:t xml:space="preserve"> (7th edn, LexisNexis 2020)</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Tobi N, </w:t>
      </w:r>
      <w:r>
        <w:rPr>
          <w:rFonts w:ascii="Times New Roman" w:cs="Times New Roman" w:eastAsia="Times New Roman" w:hAnsi="Times New Roman"/>
          <w:i/>
          <w:iCs/>
          <w:sz w:val="24"/>
          <w:szCs w:val="24"/>
        </w:rPr>
        <w:t>A Case Book on the Law of Evidence in Nigeria</w:t>
      </w:r>
      <w:r>
        <w:rPr>
          <w:rFonts w:ascii="Times New Roman" w:cs="Times New Roman" w:eastAsia="Times New Roman" w:hAnsi="Times New Roman"/>
          <w:sz w:val="24"/>
          <w:szCs w:val="24"/>
        </w:rPr>
        <w:t xml:space="preserve"> (1st edn, Fourth Dimension Publishers 1996)</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Tobi N, </w:t>
      </w:r>
      <w:r>
        <w:rPr>
          <w:rFonts w:ascii="Times New Roman" w:cs="Times New Roman" w:eastAsia="Times New Roman" w:hAnsi="Times New Roman"/>
          <w:i/>
          <w:iCs/>
          <w:sz w:val="24"/>
          <w:szCs w:val="24"/>
        </w:rPr>
        <w:t>The Nigerian Law of Evidence</w:t>
      </w:r>
      <w:r>
        <w:rPr>
          <w:rFonts w:ascii="Times New Roman" w:cs="Times New Roman" w:eastAsia="Times New Roman" w:hAnsi="Times New Roman"/>
          <w:sz w:val="24"/>
          <w:szCs w:val="24"/>
        </w:rPr>
        <w:t xml:space="preserve"> (Malt House Press Ltd 1991)</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Twining W, </w:t>
      </w:r>
      <w:r>
        <w:rPr>
          <w:rFonts w:ascii="Times New Roman" w:cs="Times New Roman" w:eastAsia="Times New Roman" w:hAnsi="Times New Roman"/>
          <w:i/>
          <w:iCs/>
          <w:sz w:val="24"/>
          <w:szCs w:val="24"/>
        </w:rPr>
        <w:t>Rethinking Evidence: Exploratory Essays</w:t>
      </w:r>
      <w:r>
        <w:rPr>
          <w:rFonts w:ascii="Times New Roman" w:cs="Times New Roman" w:eastAsia="Times New Roman" w:hAnsi="Times New Roman"/>
          <w:sz w:val="24"/>
          <w:szCs w:val="24"/>
        </w:rPr>
        <w:t xml:space="preserve"> (2nd edn, Cambridge University Press 2006)</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Weimann G J, </w:t>
      </w:r>
      <w:r>
        <w:rPr>
          <w:rFonts w:ascii="Times New Roman" w:cs="Times New Roman" w:eastAsia="Times New Roman" w:hAnsi="Times New Roman"/>
          <w:i/>
          <w:iCs/>
          <w:sz w:val="24"/>
          <w:szCs w:val="24"/>
        </w:rPr>
        <w:t>Islamic Criminal Law in Northern Nigeria</w:t>
      </w:r>
      <w:r>
        <w:rPr>
          <w:rFonts w:ascii="Times New Roman" w:cs="Times New Roman" w:eastAsia="Times New Roman" w:hAnsi="Times New Roman"/>
          <w:sz w:val="24"/>
          <w:szCs w:val="24"/>
        </w:rPr>
        <w:t xml:space="preserve"> (Amsterdam University Press 2010)</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Wigmore J H, </w:t>
      </w:r>
      <w:r>
        <w:rPr>
          <w:rFonts w:ascii="Times New Roman" w:cs="Times New Roman" w:eastAsia="Times New Roman" w:hAnsi="Times New Roman"/>
          <w:i/>
          <w:iCs/>
          <w:sz w:val="24"/>
          <w:szCs w:val="24"/>
        </w:rPr>
        <w:t>Evidence in Trials at Common Law</w:t>
      </w:r>
      <w:r>
        <w:rPr>
          <w:rFonts w:ascii="Times New Roman" w:cs="Times New Roman" w:eastAsia="Times New Roman" w:hAnsi="Times New Roman"/>
          <w:sz w:val="24"/>
          <w:szCs w:val="24"/>
        </w:rPr>
        <w:t xml:space="preserve"> (rev edn, Little Brown 1983)</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Yakubu M G, </w:t>
      </w:r>
      <w:r>
        <w:rPr>
          <w:rFonts w:ascii="Times New Roman" w:cs="Times New Roman" w:eastAsia="Times New Roman" w:hAnsi="Times New Roman"/>
          <w:i/>
          <w:iCs/>
          <w:sz w:val="24"/>
          <w:szCs w:val="24"/>
        </w:rPr>
        <w:t>Constitutionalism and the Nigerian Legal System</w:t>
      </w:r>
      <w:r>
        <w:rPr>
          <w:rFonts w:ascii="Times New Roman" w:cs="Times New Roman" w:eastAsia="Times New Roman" w:hAnsi="Times New Roman"/>
          <w:sz w:val="24"/>
          <w:szCs w:val="24"/>
        </w:rPr>
        <w:t xml:space="preserve"> (Malthouse Press Ltd 2010)</w:t>
      </w:r>
    </w:p>
    <w:p>
      <w:pPr>
        <w:pStyle w:val="style0"/>
        <w:spacing w:before="320" w:after="160" w:lineRule="auto" w:line="240"/>
        <w:rPr>
          <w:rFonts w:ascii="Times New Roman" w:cs="Times New Roman" w:eastAsia="Times New Roman" w:hAnsi="Times New Roman"/>
          <w:sz w:val="24"/>
          <w:szCs w:val="24"/>
        </w:rPr>
      </w:pPr>
      <w:r>
        <w:rPr>
          <w:rFonts w:ascii="Times New Roman" w:cs="Times New Roman" w:eastAsia="Times New Roman" w:hAnsi="Times New Roman"/>
          <w:b/>
          <w:bCs/>
          <w:sz w:val="24"/>
          <w:szCs w:val="24"/>
        </w:rPr>
        <w:t>Journal Articles</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Adebayo A, ‘The Military and the Criminal Law in Nigeria’ (2009) 53(2) </w:t>
      </w:r>
      <w:r>
        <w:rPr>
          <w:rFonts w:ascii="Times New Roman" w:cs="Times New Roman" w:eastAsia="Times New Roman" w:hAnsi="Times New Roman"/>
          <w:i/>
          <w:iCs/>
          <w:sz w:val="24"/>
          <w:szCs w:val="24"/>
        </w:rPr>
        <w:t>Journal of African Law</w:t>
      </w:r>
      <w:r>
        <w:rPr>
          <w:rFonts w:ascii="Times New Roman" w:cs="Times New Roman" w:eastAsia="Times New Roman" w:hAnsi="Times New Roman"/>
          <w:sz w:val="24"/>
          <w:szCs w:val="24"/>
        </w:rPr>
        <w:t xml:space="preserve"> 173</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Adebowale S A, ‘The Concept of a Confessional Statement and the Procedure of Obtaining Same under the Administration of Criminal Justice Act’ (2021) </w:t>
      </w:r>
      <w:r>
        <w:rPr>
          <w:rFonts w:ascii="Times New Roman" w:cs="Times New Roman" w:eastAsia="Times New Roman" w:hAnsi="Times New Roman"/>
          <w:i/>
          <w:iCs/>
          <w:sz w:val="24"/>
          <w:szCs w:val="24"/>
        </w:rPr>
        <w:t>Legal Ideas Forum</w:t>
      </w:r>
      <w:r>
        <w:rPr>
          <w:rFonts w:ascii="Times New Roman" w:cs="Times New Roman" w:eastAsia="Times New Roman" w:hAnsi="Times New Roman"/>
          <w:sz w:val="24"/>
          <w:szCs w:val="24"/>
        </w:rPr>
        <w:t xml:space="preserve"> 120</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Adeyemi A A, ‘The Challenges of Criminal Justice Administration in Nigeria’ (1989) </w:t>
      </w:r>
      <w:r>
        <w:rPr>
          <w:rFonts w:ascii="Times New Roman" w:cs="Times New Roman" w:eastAsia="Times New Roman" w:hAnsi="Times New Roman"/>
          <w:i/>
          <w:iCs/>
          <w:sz w:val="24"/>
          <w:szCs w:val="24"/>
        </w:rPr>
        <w:t>Nigerian Institute of Advanced Legal Studies Journal</w:t>
      </w:r>
      <w:r>
        <w:rPr>
          <w:rFonts w:ascii="Times New Roman" w:cs="Times New Roman" w:eastAsia="Times New Roman" w:hAnsi="Times New Roman"/>
          <w:sz w:val="24"/>
          <w:szCs w:val="24"/>
        </w:rPr>
        <w:t xml:space="preserve"> 20</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AFE A S O, ‘The Role of Confessional Evidence in Criminal Proceedings: A Critical Analysis of the Nigerian Legal System’ (2024) 9(2) </w:t>
      </w:r>
      <w:r>
        <w:rPr>
          <w:rFonts w:ascii="Times New Roman" w:cs="Times New Roman" w:eastAsia="Times New Roman" w:hAnsi="Times New Roman"/>
          <w:i/>
          <w:iCs/>
          <w:sz w:val="24"/>
          <w:szCs w:val="24"/>
        </w:rPr>
        <w:t>Journal of Criminal Law and Jurisprudence</w:t>
      </w:r>
      <w:r>
        <w:rPr>
          <w:rFonts w:ascii="Times New Roman" w:cs="Times New Roman" w:eastAsia="Times New Roman" w:hAnsi="Times New Roman"/>
          <w:sz w:val="24"/>
          <w:szCs w:val="24"/>
        </w:rPr>
        <w:t xml:space="preserve"> 115</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Ahmed I B, ‘Police Investigation and Evidence Gathering in Nigerian Homicide Cases: A Practitioner’s Appraisal’ (2023) 20(3) </w:t>
      </w:r>
      <w:r>
        <w:rPr>
          <w:rFonts w:ascii="Times New Roman" w:cs="Times New Roman" w:eastAsia="Times New Roman" w:hAnsi="Times New Roman"/>
          <w:i/>
          <w:iCs/>
          <w:sz w:val="24"/>
          <w:szCs w:val="24"/>
        </w:rPr>
        <w:t>Nigerian Juridical Review</w:t>
      </w:r>
      <w:r>
        <w:rPr>
          <w:rFonts w:ascii="Times New Roman" w:cs="Times New Roman" w:eastAsia="Times New Roman" w:hAnsi="Times New Roman"/>
          <w:sz w:val="24"/>
          <w:szCs w:val="24"/>
        </w:rPr>
        <w:t xml:space="preserve"> 55</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Akintayo O, ‘Balancing the Scales: The Evidential Presumption of Withholding Evidence in Nigerian Criminal Trials’ (2025) 12 </w:t>
      </w:r>
      <w:r>
        <w:rPr>
          <w:rFonts w:ascii="Times New Roman" w:cs="Times New Roman" w:eastAsia="Times New Roman" w:hAnsi="Times New Roman"/>
          <w:i/>
          <w:iCs/>
          <w:sz w:val="24"/>
          <w:szCs w:val="24"/>
        </w:rPr>
        <w:t>Nigerian Law Journal</w:t>
      </w:r>
      <w:r>
        <w:rPr>
          <w:rFonts w:ascii="Times New Roman" w:cs="Times New Roman" w:eastAsia="Times New Roman" w:hAnsi="Times New Roman"/>
          <w:sz w:val="24"/>
          <w:szCs w:val="24"/>
        </w:rPr>
        <w:t xml:space="preserve"> 50</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Allen R J and Stein A, ‘Evidence, Probability, and the Burden of Proof’ (2013) 55(3) </w:t>
      </w:r>
      <w:r>
        <w:rPr>
          <w:rFonts w:ascii="Times New Roman" w:cs="Times New Roman" w:eastAsia="Times New Roman" w:hAnsi="Times New Roman"/>
          <w:i/>
          <w:iCs/>
          <w:sz w:val="24"/>
          <w:szCs w:val="24"/>
        </w:rPr>
        <w:t>Arizona Law Review</w:t>
      </w:r>
      <w:r>
        <w:rPr>
          <w:rFonts w:ascii="Times New Roman" w:cs="Times New Roman" w:eastAsia="Times New Roman" w:hAnsi="Times New Roman"/>
          <w:sz w:val="24"/>
          <w:szCs w:val="24"/>
        </w:rPr>
        <w:t xml:space="preserve"> 557</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Ashworth A, ‘Four Threats to the Presumption of Innocence’ (2015) 131 </w:t>
      </w:r>
      <w:r>
        <w:rPr>
          <w:rFonts w:ascii="Times New Roman" w:cs="Times New Roman" w:eastAsia="Times New Roman" w:hAnsi="Times New Roman"/>
          <w:i/>
          <w:iCs/>
          <w:sz w:val="24"/>
          <w:szCs w:val="24"/>
        </w:rPr>
        <w:t>Law Quarterly Review</w:t>
      </w:r>
      <w:r>
        <w:rPr>
          <w:rFonts w:ascii="Times New Roman" w:cs="Times New Roman" w:eastAsia="Times New Roman" w:hAnsi="Times New Roman"/>
          <w:sz w:val="24"/>
          <w:szCs w:val="24"/>
        </w:rPr>
        <w:t xml:space="preserve"> 261</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Balogun O A, ‘A Philosophical Defence of Punishment in Traditional African Legal Culture: The Yoruba Example’ (2017) 20(1) </w:t>
      </w:r>
      <w:r>
        <w:rPr>
          <w:rFonts w:ascii="Times New Roman" w:cs="Times New Roman" w:eastAsia="Times New Roman" w:hAnsi="Times New Roman"/>
          <w:i/>
          <w:iCs/>
          <w:sz w:val="24"/>
          <w:szCs w:val="24"/>
        </w:rPr>
        <w:t>Philosophia Africana</w:t>
      </w:r>
      <w:r>
        <w:rPr>
          <w:rFonts w:ascii="Times New Roman" w:cs="Times New Roman" w:eastAsia="Times New Roman" w:hAnsi="Times New Roman"/>
          <w:sz w:val="24"/>
          <w:szCs w:val="24"/>
        </w:rPr>
        <w:t xml:space="preserve"> 19</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Bello A O, ‘The Administration of Criminal Justice Act 2015: A Critical Appraisal’ (2016) 47 </w:t>
      </w:r>
      <w:r>
        <w:rPr>
          <w:rFonts w:ascii="Times New Roman" w:cs="Times New Roman" w:eastAsia="Times New Roman" w:hAnsi="Times New Roman"/>
          <w:i/>
          <w:iCs/>
          <w:sz w:val="24"/>
          <w:szCs w:val="24"/>
        </w:rPr>
        <w:t>Journal of Law, Policy and Globalization</w:t>
      </w:r>
      <w:r>
        <w:rPr>
          <w:rFonts w:ascii="Times New Roman" w:cs="Times New Roman" w:eastAsia="Times New Roman" w:hAnsi="Times New Roman"/>
          <w:sz w:val="24"/>
          <w:szCs w:val="24"/>
        </w:rPr>
        <w:t xml:space="preserve"> 106</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Chidozie S O and Ezeh E O, ‘An Appraisal of the Applicability of the Doctrine of Last Seen in Murder Trials in Nigeria’ (2025) 9(1) </w:t>
      </w:r>
      <w:r>
        <w:rPr>
          <w:rFonts w:ascii="Times New Roman" w:cs="Times New Roman" w:eastAsia="Times New Roman" w:hAnsi="Times New Roman"/>
          <w:i/>
          <w:iCs/>
          <w:sz w:val="24"/>
          <w:szCs w:val="24"/>
        </w:rPr>
        <w:t>Madonna University Journal of Law and Society</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Chukuma A, ‘Proof of Crime under the Nigerian Criminal Jurisdiction’ (2024) 8(1) </w:t>
      </w:r>
      <w:r>
        <w:rPr>
          <w:rFonts w:ascii="Times New Roman" w:cs="Times New Roman" w:eastAsia="Times New Roman" w:hAnsi="Times New Roman"/>
          <w:i/>
          <w:iCs/>
          <w:sz w:val="24"/>
          <w:szCs w:val="24"/>
        </w:rPr>
        <w:t>Nigerian Criminal Law Review</w:t>
      </w:r>
      <w:r>
        <w:rPr>
          <w:rFonts w:ascii="Times New Roman" w:cs="Times New Roman" w:eastAsia="Times New Roman" w:hAnsi="Times New Roman"/>
          <w:sz w:val="24"/>
          <w:szCs w:val="24"/>
        </w:rPr>
        <w:t xml:space="preserve"> 23</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Colvin E, ‘Causation in Criminal Law’ (1989) 1(1) </w:t>
      </w:r>
      <w:r>
        <w:rPr>
          <w:rFonts w:ascii="Times New Roman" w:cs="Times New Roman" w:eastAsia="Times New Roman" w:hAnsi="Times New Roman"/>
          <w:i/>
          <w:iCs/>
          <w:sz w:val="24"/>
          <w:szCs w:val="24"/>
        </w:rPr>
        <w:t>Bond Law Review</w:t>
      </w:r>
      <w:r>
        <w:rPr>
          <w:rFonts w:ascii="Times New Roman" w:cs="Times New Roman" w:eastAsia="Times New Roman" w:hAnsi="Times New Roman"/>
          <w:sz w:val="24"/>
          <w:szCs w:val="24"/>
        </w:rPr>
        <w:t xml:space="preserve"> 7</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Drizin S A and Leo R A, ‘The Problem of False Confessions in the Post-DNA World’ (2004) 82(3) </w:t>
      </w:r>
      <w:r>
        <w:rPr>
          <w:rFonts w:ascii="Times New Roman" w:cs="Times New Roman" w:eastAsia="Times New Roman" w:hAnsi="Times New Roman"/>
          <w:i/>
          <w:iCs/>
          <w:sz w:val="24"/>
          <w:szCs w:val="24"/>
        </w:rPr>
        <w:t>North Carolina Law Review</w:t>
      </w:r>
      <w:r>
        <w:rPr>
          <w:rFonts w:ascii="Times New Roman" w:cs="Times New Roman" w:eastAsia="Times New Roman" w:hAnsi="Times New Roman"/>
          <w:sz w:val="24"/>
          <w:szCs w:val="24"/>
        </w:rPr>
        <w:t xml:space="preserve"> 891</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Ehinlaiye S B, ‘Hostile Witnesses and the Fragile Architecture of Proof in Nigerian Criminal Proceedings’ (2023) 14(1) </w:t>
      </w:r>
      <w:r>
        <w:rPr>
          <w:rFonts w:ascii="Times New Roman" w:cs="Times New Roman" w:eastAsia="Times New Roman" w:hAnsi="Times New Roman"/>
          <w:i/>
          <w:iCs/>
          <w:sz w:val="24"/>
          <w:szCs w:val="24"/>
        </w:rPr>
        <w:t>African Journal of Criminal Law and Jurisprudence</w:t>
      </w:r>
      <w:r>
        <w:rPr>
          <w:rFonts w:ascii="Times New Roman" w:cs="Times New Roman" w:eastAsia="Times New Roman" w:hAnsi="Times New Roman"/>
          <w:sz w:val="24"/>
          <w:szCs w:val="24"/>
        </w:rPr>
        <w:t xml:space="preserve"> 22</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Ekhator E E, ‘The Role of the Administration of Criminal Justice Act 2015 in Enhancing Anti-Corruption Efforts in Nigeria’ (2019) 27(3) </w:t>
      </w:r>
      <w:r>
        <w:rPr>
          <w:rFonts w:ascii="Times New Roman" w:cs="Times New Roman" w:eastAsia="Times New Roman" w:hAnsi="Times New Roman"/>
          <w:i/>
          <w:iCs/>
          <w:sz w:val="24"/>
          <w:szCs w:val="24"/>
        </w:rPr>
        <w:t>African Journal of International and Comparative Law</w:t>
      </w:r>
      <w:r>
        <w:rPr>
          <w:rFonts w:ascii="Times New Roman" w:cs="Times New Roman" w:eastAsia="Times New Roman" w:hAnsi="Times New Roman"/>
          <w:sz w:val="24"/>
          <w:szCs w:val="24"/>
        </w:rPr>
        <w:t xml:space="preserve"> 412</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Enabulele A O and Bazuaye B, ‘Validity and Enforceability of Customary Law in Nigeria: Towards a Correct Delimitation of the Province of the Courts’ (2019) 63(1) </w:t>
      </w:r>
      <w:r>
        <w:rPr>
          <w:rFonts w:ascii="Times New Roman" w:cs="Times New Roman" w:eastAsia="Times New Roman" w:hAnsi="Times New Roman"/>
          <w:i/>
          <w:iCs/>
          <w:sz w:val="24"/>
          <w:szCs w:val="24"/>
        </w:rPr>
        <w:t>Journal of African Law</w:t>
      </w:r>
      <w:r>
        <w:rPr>
          <w:rFonts w:ascii="Times New Roman" w:cs="Times New Roman" w:eastAsia="Times New Roman" w:hAnsi="Times New Roman"/>
          <w:sz w:val="24"/>
          <w:szCs w:val="24"/>
        </w:rPr>
        <w:t xml:space="preserve"> 79</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Ezike C S, ‘Pre-trial Detention and the Right to Speedy Trial in Nigerian Capital Cases’ (2022) 12(1) </w:t>
      </w:r>
      <w:r>
        <w:rPr>
          <w:rFonts w:ascii="Times New Roman" w:cs="Times New Roman" w:eastAsia="Times New Roman" w:hAnsi="Times New Roman"/>
          <w:i/>
          <w:iCs/>
          <w:sz w:val="24"/>
          <w:szCs w:val="24"/>
        </w:rPr>
        <w:t>African Human Rights Law Journal</w:t>
      </w:r>
      <w:r>
        <w:rPr>
          <w:rFonts w:ascii="Times New Roman" w:cs="Times New Roman" w:eastAsia="Times New Roman" w:hAnsi="Times New Roman"/>
          <w:sz w:val="24"/>
          <w:szCs w:val="24"/>
        </w:rPr>
        <w:t xml:space="preserve"> 210</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Fadipe K O, ‘Investigative Incompetence and the Collapse of Murder Prosecutions in Nigeria’ (2023) 11(2) </w:t>
      </w:r>
      <w:r>
        <w:rPr>
          <w:rFonts w:ascii="Times New Roman" w:cs="Times New Roman" w:eastAsia="Times New Roman" w:hAnsi="Times New Roman"/>
          <w:i/>
          <w:iCs/>
          <w:sz w:val="24"/>
          <w:szCs w:val="24"/>
        </w:rPr>
        <w:t>Journal of Law, Policy and Globalization</w:t>
      </w:r>
      <w:r>
        <w:rPr>
          <w:rFonts w:ascii="Times New Roman" w:cs="Times New Roman" w:eastAsia="Times New Roman" w:hAnsi="Times New Roman"/>
          <w:sz w:val="24"/>
          <w:szCs w:val="24"/>
        </w:rPr>
        <w:t xml:space="preserve"> 88</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Fasan O A, ‘Forensic Science and the Burden of Proof in Nigerian Murder Trials: A Gap Analysis’ (2023) 22(1) </w:t>
      </w:r>
      <w:r>
        <w:rPr>
          <w:rFonts w:ascii="Times New Roman" w:cs="Times New Roman" w:eastAsia="Times New Roman" w:hAnsi="Times New Roman"/>
          <w:i/>
          <w:iCs/>
          <w:sz w:val="24"/>
          <w:szCs w:val="24"/>
        </w:rPr>
        <w:t>Lagos State University Law Journal</w:t>
      </w:r>
      <w:r>
        <w:rPr>
          <w:rFonts w:ascii="Times New Roman" w:cs="Times New Roman" w:eastAsia="Times New Roman" w:hAnsi="Times New Roman"/>
          <w:sz w:val="24"/>
          <w:szCs w:val="24"/>
        </w:rPr>
        <w:t xml:space="preserve"> 67</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Ferrer Beltrán J, ‘Evidence Assessment and Standards of Proof: A Messy Issue’ (2021) 2 </w:t>
      </w:r>
      <w:r>
        <w:rPr>
          <w:rFonts w:ascii="Times New Roman" w:cs="Times New Roman" w:eastAsia="Times New Roman" w:hAnsi="Times New Roman"/>
          <w:i/>
          <w:iCs/>
          <w:sz w:val="24"/>
          <w:szCs w:val="24"/>
        </w:rPr>
        <w:t>Quaestio Facti: International Journal on Evidential Reasoning</w:t>
      </w:r>
      <w:r>
        <w:rPr>
          <w:rFonts w:ascii="Times New Roman" w:cs="Times New Roman" w:eastAsia="Times New Roman" w:hAnsi="Times New Roman"/>
          <w:sz w:val="24"/>
          <w:szCs w:val="24"/>
        </w:rPr>
        <w:t xml:space="preserve"> 101</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Firkins G, ‘Rethinking Causation in English Criminal Law’ (2023) 87(2) </w:t>
      </w:r>
      <w:r>
        <w:rPr>
          <w:rFonts w:ascii="Times New Roman" w:cs="Times New Roman" w:eastAsia="Times New Roman" w:hAnsi="Times New Roman"/>
          <w:i/>
          <w:iCs/>
          <w:sz w:val="24"/>
          <w:szCs w:val="24"/>
        </w:rPr>
        <w:t>Journal of Criminal Law</w:t>
      </w:r>
      <w:r>
        <w:rPr>
          <w:rFonts w:ascii="Times New Roman" w:cs="Times New Roman" w:eastAsia="Times New Roman" w:hAnsi="Times New Roman"/>
          <w:sz w:val="24"/>
          <w:szCs w:val="24"/>
        </w:rPr>
        <w:t xml:space="preserve"> 121</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Fischer K A, ‘Post-Mortem Forensics and the Proof of Homicide: A Comparative Perspective’ (2022) 29(3) </w:t>
      </w:r>
      <w:r>
        <w:rPr>
          <w:rFonts w:ascii="Times New Roman" w:cs="Times New Roman" w:eastAsia="Times New Roman" w:hAnsi="Times New Roman"/>
          <w:i/>
          <w:iCs/>
          <w:sz w:val="24"/>
          <w:szCs w:val="24"/>
        </w:rPr>
        <w:t>Journal of Forensic Sciences and Criminalistics</w:t>
      </w:r>
      <w:r>
        <w:rPr>
          <w:rFonts w:ascii="Times New Roman" w:cs="Times New Roman" w:eastAsia="Times New Roman" w:hAnsi="Times New Roman"/>
          <w:sz w:val="24"/>
          <w:szCs w:val="24"/>
        </w:rPr>
        <w:t xml:space="preserve"> 88</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Goodwill G O and Inyang I A, ‘Role of Forensic Evidence in Criminal Investigation in Nigeria’ (2012) 6(1) </w:t>
      </w:r>
      <w:r>
        <w:rPr>
          <w:rFonts w:ascii="Times New Roman" w:cs="Times New Roman" w:eastAsia="Times New Roman" w:hAnsi="Times New Roman"/>
          <w:i/>
          <w:iCs/>
          <w:sz w:val="24"/>
          <w:szCs w:val="24"/>
        </w:rPr>
        <w:t>African Journal of Criminology and Justice Studies</w:t>
      </w:r>
      <w:r>
        <w:rPr>
          <w:rFonts w:ascii="Times New Roman" w:cs="Times New Roman" w:eastAsia="Times New Roman" w:hAnsi="Times New Roman"/>
          <w:sz w:val="24"/>
          <w:szCs w:val="24"/>
        </w:rPr>
        <w:t xml:space="preserve"> 147</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Hameed A, Adnan M, Qaiser U and Zaidi S, ‘Growing Importance of Circumstantial Evidence viz-a-viz Oral Testimony: A Case for Recognizing Predominance of Circumstantial Evidence’ (2025) 7(2) </w:t>
      </w:r>
      <w:r>
        <w:rPr>
          <w:rFonts w:ascii="Times New Roman" w:cs="Times New Roman" w:eastAsia="Times New Roman" w:hAnsi="Times New Roman"/>
          <w:i/>
          <w:iCs/>
          <w:sz w:val="24"/>
          <w:szCs w:val="24"/>
        </w:rPr>
        <w:t>Journal of Law and Social Studies</w:t>
      </w:r>
      <w:r>
        <w:rPr>
          <w:rFonts w:ascii="Times New Roman" w:cs="Times New Roman" w:eastAsia="Times New Roman" w:hAnsi="Times New Roman"/>
          <w:sz w:val="24"/>
          <w:szCs w:val="24"/>
        </w:rPr>
        <w:t xml:space="preserve"> 114</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Hossain M B and Rahi S T, ‘Murder: A Critical Analysis of the Common Law Definition’ (2018) 9(3) </w:t>
      </w:r>
      <w:r>
        <w:rPr>
          <w:rFonts w:ascii="Times New Roman" w:cs="Times New Roman" w:eastAsia="Times New Roman" w:hAnsi="Times New Roman"/>
          <w:i/>
          <w:iCs/>
          <w:sz w:val="24"/>
          <w:szCs w:val="24"/>
        </w:rPr>
        <w:t>Beijing Law Review</w:t>
      </w:r>
      <w:r>
        <w:rPr>
          <w:rFonts w:ascii="Times New Roman" w:cs="Times New Roman" w:eastAsia="Times New Roman" w:hAnsi="Times New Roman"/>
          <w:sz w:val="24"/>
          <w:szCs w:val="24"/>
        </w:rPr>
        <w:t xml:space="preserve"> 460</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Ibrahim A O, ‘Causation Without a Corpse: A Doctrinal Examination of Circumstantial Proof in Nigerian Homicide’ (2024) 21(2) </w:t>
      </w:r>
      <w:r>
        <w:rPr>
          <w:rFonts w:ascii="Times New Roman" w:cs="Times New Roman" w:eastAsia="Times New Roman" w:hAnsi="Times New Roman"/>
          <w:i/>
          <w:iCs/>
          <w:sz w:val="24"/>
          <w:szCs w:val="24"/>
        </w:rPr>
        <w:t>Nigerian Juridical Review</w:t>
      </w:r>
      <w:r>
        <w:rPr>
          <w:rFonts w:ascii="Times New Roman" w:cs="Times New Roman" w:eastAsia="Times New Roman" w:hAnsi="Times New Roman"/>
          <w:sz w:val="24"/>
          <w:szCs w:val="24"/>
        </w:rPr>
        <w:t xml:space="preserve"> 34</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Johnson E E, ‘Appraisal of the Defence of Provocation in Murder Cases Under Nigerian Criminal Law’ (2025) 15(4) </w:t>
      </w:r>
      <w:r>
        <w:rPr>
          <w:rFonts w:ascii="Times New Roman" w:cs="Times New Roman" w:eastAsia="Times New Roman" w:hAnsi="Times New Roman"/>
          <w:i/>
          <w:iCs/>
          <w:sz w:val="24"/>
          <w:szCs w:val="24"/>
        </w:rPr>
        <w:t>Nigerian Law Journal</w:t>
      </w:r>
      <w:r>
        <w:rPr>
          <w:rFonts w:ascii="Times New Roman" w:cs="Times New Roman" w:eastAsia="Times New Roman" w:hAnsi="Times New Roman"/>
          <w:sz w:val="24"/>
          <w:szCs w:val="24"/>
        </w:rPr>
        <w:t xml:space="preserve"> 45</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Kihara M J, ‘Exploring the Significance of the Effects of Reliability of Eyewitness Testimony during Investigations and in the Trial Process’ (Master of Psychology Research Project, University of Nairobi, 2019)</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Matthee J, ‘Influence of the Cultural Defence on Conduct and Culpability in South African Criminal Law’ (2024) 13(2) </w:t>
      </w:r>
      <w:r>
        <w:rPr>
          <w:rFonts w:ascii="Times New Roman" w:cs="Times New Roman" w:eastAsia="Times New Roman" w:hAnsi="Times New Roman"/>
          <w:i/>
          <w:iCs/>
          <w:sz w:val="24"/>
          <w:szCs w:val="24"/>
        </w:rPr>
        <w:t>Laws</w:t>
      </w:r>
      <w:r>
        <w:rPr>
          <w:rFonts w:ascii="Times New Roman" w:cs="Times New Roman" w:eastAsia="Times New Roman" w:hAnsi="Times New Roman"/>
          <w:sz w:val="24"/>
          <w:szCs w:val="24"/>
        </w:rPr>
        <w:t xml:space="preserve"> 23</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Morris H F, ‘A History of the Adoption of Codes of Criminal Law and Procedure in British Colonial Africa, 1876–1935’ (1974) 18 </w:t>
      </w:r>
      <w:r>
        <w:rPr>
          <w:rFonts w:ascii="Times New Roman" w:cs="Times New Roman" w:eastAsia="Times New Roman" w:hAnsi="Times New Roman"/>
          <w:i/>
          <w:iCs/>
          <w:sz w:val="24"/>
          <w:szCs w:val="24"/>
        </w:rPr>
        <w:t>Journal of African Law</w:t>
      </w:r>
      <w:r>
        <w:rPr>
          <w:rFonts w:ascii="Times New Roman" w:cs="Times New Roman" w:eastAsia="Times New Roman" w:hAnsi="Times New Roman"/>
          <w:sz w:val="24"/>
          <w:szCs w:val="24"/>
        </w:rPr>
        <w:t xml:space="preserve"> 6</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Nance D A, ‘What Makes Evidence Sufficient?’ (2023) 65(2) </w:t>
      </w:r>
      <w:r>
        <w:rPr>
          <w:rFonts w:ascii="Times New Roman" w:cs="Times New Roman" w:eastAsia="Times New Roman" w:hAnsi="Times New Roman"/>
          <w:i/>
          <w:iCs/>
          <w:sz w:val="24"/>
          <w:szCs w:val="24"/>
        </w:rPr>
        <w:t>Arizona Law Review</w:t>
      </w:r>
      <w:r>
        <w:rPr>
          <w:rFonts w:ascii="Times New Roman" w:cs="Times New Roman" w:eastAsia="Times New Roman" w:hAnsi="Times New Roman"/>
          <w:sz w:val="24"/>
          <w:szCs w:val="24"/>
        </w:rPr>
        <w:t xml:space="preserve"> 431</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Ndubuisi C E and Ndukwe S C, ‘Forensic Evidence in Nigeria’s Criminal Justice System: Legal Challenges, Institutional Deficiencies and the Imperative for Policy Reform’ (2025) 5(2) </w:t>
      </w:r>
      <w:r>
        <w:rPr>
          <w:rFonts w:ascii="Times New Roman" w:cs="Times New Roman" w:eastAsia="Times New Roman" w:hAnsi="Times New Roman"/>
          <w:i/>
          <w:iCs/>
          <w:sz w:val="24"/>
          <w:szCs w:val="24"/>
        </w:rPr>
        <w:t>International Journal of Criminal Justice Research</w:t>
      </w:r>
      <w:r>
        <w:rPr>
          <w:rFonts w:ascii="Times New Roman" w:cs="Times New Roman" w:eastAsia="Times New Roman" w:hAnsi="Times New Roman"/>
          <w:sz w:val="24"/>
          <w:szCs w:val="24"/>
        </w:rPr>
        <w:t xml:space="preserve"> 102</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Nnamani A N, ‘The Future of Plural Legal Systems: Navigating the Divide’ (2025) 45(2) </w:t>
      </w:r>
      <w:r>
        <w:rPr>
          <w:rFonts w:ascii="Times New Roman" w:cs="Times New Roman" w:eastAsia="Times New Roman" w:hAnsi="Times New Roman"/>
          <w:i/>
          <w:iCs/>
          <w:sz w:val="24"/>
          <w:szCs w:val="24"/>
        </w:rPr>
        <w:t>Journal of African Law</w:t>
      </w:r>
      <w:r>
        <w:rPr>
          <w:rFonts w:ascii="Times New Roman" w:cs="Times New Roman" w:eastAsia="Times New Roman" w:hAnsi="Times New Roman"/>
          <w:sz w:val="24"/>
          <w:szCs w:val="24"/>
        </w:rPr>
        <w:t xml:space="preserve"> 112</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Nnamani C C, ‘A Code for Public Prosecutors in the Nigerian Criminal Justice System’ (2019) 19(2) </w:t>
      </w:r>
      <w:r>
        <w:rPr>
          <w:rFonts w:ascii="Times New Roman" w:cs="Times New Roman" w:eastAsia="Times New Roman" w:hAnsi="Times New Roman"/>
          <w:i/>
          <w:iCs/>
          <w:sz w:val="24"/>
          <w:szCs w:val="24"/>
        </w:rPr>
        <w:t>Global Journal of Human Social Science</w:t>
      </w:r>
      <w:r>
        <w:rPr>
          <w:rFonts w:ascii="Times New Roman" w:cs="Times New Roman" w:eastAsia="Times New Roman" w:hAnsi="Times New Roman"/>
          <w:sz w:val="24"/>
          <w:szCs w:val="24"/>
        </w:rPr>
        <w:t xml:space="preserve"> 12</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Nte N D, ‘An Evaluation of the Challenges of Forensic Investigation and Unsolved Murders in Nigeria’ (2012) 6(1) </w:t>
      </w:r>
      <w:r>
        <w:rPr>
          <w:rFonts w:ascii="Times New Roman" w:cs="Times New Roman" w:eastAsia="Times New Roman" w:hAnsi="Times New Roman"/>
          <w:i/>
          <w:iCs/>
          <w:sz w:val="24"/>
          <w:szCs w:val="24"/>
        </w:rPr>
        <w:t>African Journal of Criminology and Justice Studies</w:t>
      </w:r>
      <w:r>
        <w:rPr>
          <w:rFonts w:ascii="Times New Roman" w:cs="Times New Roman" w:eastAsia="Times New Roman" w:hAnsi="Times New Roman"/>
          <w:sz w:val="24"/>
          <w:szCs w:val="24"/>
        </w:rPr>
        <w:t xml:space="preserve"> 143</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Obidimma E O C and Obunadike N C, ‘Expanding the Mental Element in Murder in the Criminal Code’ (2022) 18 </w:t>
      </w:r>
      <w:r>
        <w:rPr>
          <w:rFonts w:ascii="Times New Roman" w:cs="Times New Roman" w:eastAsia="Times New Roman" w:hAnsi="Times New Roman"/>
          <w:i/>
          <w:iCs/>
          <w:sz w:val="24"/>
          <w:szCs w:val="24"/>
        </w:rPr>
        <w:t>Unizik Law Journal</w:t>
      </w:r>
      <w:r>
        <w:rPr>
          <w:rFonts w:ascii="Times New Roman" w:cs="Times New Roman" w:eastAsia="Times New Roman" w:hAnsi="Times New Roman"/>
          <w:sz w:val="24"/>
          <w:szCs w:val="24"/>
        </w:rPr>
        <w:t xml:space="preserve"> 103</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Ogbu B N, ‘Witness Protection in Nigeria: A Case for Systematic Reform’ (2022) 17(2) </w:t>
      </w:r>
      <w:r>
        <w:rPr>
          <w:rFonts w:ascii="Times New Roman" w:cs="Times New Roman" w:eastAsia="Times New Roman" w:hAnsi="Times New Roman"/>
          <w:i/>
          <w:iCs/>
          <w:sz w:val="24"/>
          <w:szCs w:val="24"/>
        </w:rPr>
        <w:t>Journal of Nigerian Law and Practice</w:t>
      </w:r>
      <w:r>
        <w:rPr>
          <w:rFonts w:ascii="Times New Roman" w:cs="Times New Roman" w:eastAsia="Times New Roman" w:hAnsi="Times New Roman"/>
          <w:sz w:val="24"/>
          <w:szCs w:val="24"/>
        </w:rPr>
        <w:t xml:space="preserve"> 101</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Ojukwu E O, ‘Expanding the Scope of Malice Aforethought in Nigerian Homicide’ (2022) 18 </w:t>
      </w:r>
      <w:r>
        <w:rPr>
          <w:rFonts w:ascii="Times New Roman" w:cs="Times New Roman" w:eastAsia="Times New Roman" w:hAnsi="Times New Roman"/>
          <w:i/>
          <w:iCs/>
          <w:sz w:val="24"/>
          <w:szCs w:val="24"/>
        </w:rPr>
        <w:t>UNIZIK Law Journal</w:t>
      </w:r>
      <w:r>
        <w:rPr>
          <w:rFonts w:ascii="Times New Roman" w:cs="Times New Roman" w:eastAsia="Times New Roman" w:hAnsi="Times New Roman"/>
          <w:sz w:val="24"/>
          <w:szCs w:val="24"/>
        </w:rPr>
        <w:t xml:space="preserve"> 103</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Ojukwu J E O, ‘Substantive Fairness and the Criminal Defendant: The Limits of Proceduralism’ (2026) 55 </w:t>
      </w:r>
      <w:r>
        <w:rPr>
          <w:rFonts w:ascii="Times New Roman" w:cs="Times New Roman" w:eastAsia="Times New Roman" w:hAnsi="Times New Roman"/>
          <w:i/>
          <w:iCs/>
          <w:sz w:val="24"/>
          <w:szCs w:val="24"/>
        </w:rPr>
        <w:t>Harvard Law Review</w:t>
      </w:r>
      <w:r>
        <w:rPr>
          <w:rFonts w:ascii="Times New Roman" w:cs="Times New Roman" w:eastAsia="Times New Roman" w:hAnsi="Times New Roman"/>
          <w:sz w:val="24"/>
          <w:szCs w:val="24"/>
        </w:rPr>
        <w:t xml:space="preserve"> 112</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Okafor F O, ‘Delay as Denial of Justice: An Appraisal of the Right to Fair Hearing in Murder Trials’ (2021) 9(2) </w:t>
      </w:r>
      <w:r>
        <w:rPr>
          <w:rFonts w:ascii="Times New Roman" w:cs="Times New Roman" w:eastAsia="Times New Roman" w:hAnsi="Times New Roman"/>
          <w:i/>
          <w:iCs/>
          <w:sz w:val="24"/>
          <w:szCs w:val="24"/>
        </w:rPr>
        <w:t>Benue State University Law Journal</w:t>
      </w:r>
      <w:r>
        <w:rPr>
          <w:rFonts w:ascii="Times New Roman" w:cs="Times New Roman" w:eastAsia="Times New Roman" w:hAnsi="Times New Roman"/>
          <w:sz w:val="24"/>
          <w:szCs w:val="24"/>
        </w:rPr>
        <w:t xml:space="preserve"> 14</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Okeke C I, ‘Assessing the Utilization and Effectiveness of Forensic Technology in Nigerian Criminal Investigations’ (2026) 9(2) </w:t>
      </w:r>
      <w:r>
        <w:rPr>
          <w:rFonts w:ascii="Times New Roman" w:cs="Times New Roman" w:eastAsia="Times New Roman" w:hAnsi="Times New Roman"/>
          <w:i/>
          <w:iCs/>
          <w:sz w:val="24"/>
          <w:szCs w:val="24"/>
        </w:rPr>
        <w:t>Nigerian Journal of Criminology and Security Studies</w:t>
      </w:r>
      <w:r>
        <w:rPr>
          <w:rFonts w:ascii="Times New Roman" w:cs="Times New Roman" w:eastAsia="Times New Roman" w:hAnsi="Times New Roman"/>
          <w:sz w:val="24"/>
          <w:szCs w:val="24"/>
        </w:rPr>
        <w:t xml:space="preserve"> 128</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Okonkwo C O, ‘Statutory Interpretation of Homicide and the Mens Rea Requirement under the Criminal Code’ (2022) 15(2) </w:t>
      </w:r>
      <w:r>
        <w:rPr>
          <w:rFonts w:ascii="Times New Roman" w:cs="Times New Roman" w:eastAsia="Times New Roman" w:hAnsi="Times New Roman"/>
          <w:i/>
          <w:iCs/>
          <w:sz w:val="24"/>
          <w:szCs w:val="24"/>
        </w:rPr>
        <w:t>Nigerian Law Journal</w:t>
      </w:r>
      <w:r>
        <w:rPr>
          <w:rFonts w:ascii="Times New Roman" w:cs="Times New Roman" w:eastAsia="Times New Roman" w:hAnsi="Times New Roman"/>
          <w:sz w:val="24"/>
          <w:szCs w:val="24"/>
        </w:rPr>
        <w:t xml:space="preserve"> 45</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Okorie G N, ‘Corpse as Condition Precedent: Rethinking the No-Body Rule in Nigerian Murder Trials’ (2022) 19(1) </w:t>
      </w:r>
      <w:r>
        <w:rPr>
          <w:rFonts w:ascii="Times New Roman" w:cs="Times New Roman" w:eastAsia="Times New Roman" w:hAnsi="Times New Roman"/>
          <w:i/>
          <w:iCs/>
          <w:sz w:val="24"/>
          <w:szCs w:val="24"/>
        </w:rPr>
        <w:t>Nigerian Law Journal</w:t>
      </w:r>
      <w:r>
        <w:rPr>
          <w:rFonts w:ascii="Times New Roman" w:cs="Times New Roman" w:eastAsia="Times New Roman" w:hAnsi="Times New Roman"/>
          <w:sz w:val="24"/>
          <w:szCs w:val="24"/>
        </w:rPr>
        <w:t xml:space="preserve"> 78</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Okoye E C, ‘An Analysis of the Significance of Circumstantial Evidence in Criminal Trials in Nigeria’ (2026) </w:t>
      </w:r>
      <w:r>
        <w:rPr>
          <w:rFonts w:ascii="Times New Roman" w:cs="Times New Roman" w:eastAsia="Times New Roman" w:hAnsi="Times New Roman"/>
          <w:i/>
          <w:iCs/>
          <w:sz w:val="24"/>
          <w:szCs w:val="24"/>
        </w:rPr>
        <w:t>Journal of Law and Judicial System</w:t>
      </w:r>
      <w:r>
        <w:rPr>
          <w:rFonts w:ascii="Times New Roman" w:cs="Times New Roman" w:eastAsia="Times New Roman" w:hAnsi="Times New Roman"/>
          <w:sz w:val="24"/>
          <w:szCs w:val="24"/>
        </w:rPr>
        <w:t>, Opast Publishing</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Omoregie E B, ‘An Analysis of the Significance of Circumstantial Evidence in Criminal Trials in Nigeria – A Review’ (2005) </w:t>
      </w:r>
      <w:r>
        <w:rPr>
          <w:rFonts w:ascii="Times New Roman" w:cs="Times New Roman" w:eastAsia="Times New Roman" w:hAnsi="Times New Roman"/>
          <w:i/>
          <w:iCs/>
          <w:sz w:val="24"/>
          <w:szCs w:val="24"/>
        </w:rPr>
        <w:t>Benin Journal of Public Law</w:t>
      </w:r>
      <w:r>
        <w:rPr>
          <w:rFonts w:ascii="Times New Roman" w:cs="Times New Roman" w:eastAsia="Times New Roman" w:hAnsi="Times New Roman"/>
          <w:sz w:val="24"/>
          <w:szCs w:val="24"/>
        </w:rPr>
        <w:t xml:space="preserve"> 78</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Oyelade T A O, ‘The Mental Element in Nigerian Murder Trials’ (2024) 15 </w:t>
      </w:r>
      <w:r>
        <w:rPr>
          <w:rFonts w:ascii="Times New Roman" w:cs="Times New Roman" w:eastAsia="Times New Roman" w:hAnsi="Times New Roman"/>
          <w:i/>
          <w:iCs/>
          <w:sz w:val="24"/>
          <w:szCs w:val="24"/>
        </w:rPr>
        <w:t>Nigerian Law Journal</w:t>
      </w:r>
      <w:r>
        <w:rPr>
          <w:rFonts w:ascii="Times New Roman" w:cs="Times New Roman" w:eastAsia="Times New Roman" w:hAnsi="Times New Roman"/>
          <w:sz w:val="24"/>
          <w:szCs w:val="24"/>
        </w:rPr>
        <w:t xml:space="preserve"> 45</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Picinali F, ‘Innocence and Burdens of Proof in English Criminal Law’ (2014) 24(1) </w:t>
      </w:r>
      <w:r>
        <w:rPr>
          <w:rFonts w:ascii="Times New Roman" w:cs="Times New Roman" w:eastAsia="Times New Roman" w:hAnsi="Times New Roman"/>
          <w:i/>
          <w:iCs/>
          <w:sz w:val="24"/>
          <w:szCs w:val="24"/>
        </w:rPr>
        <w:t>Criminal Law Forum</w:t>
      </w:r>
      <w:r>
        <w:rPr>
          <w:rFonts w:ascii="Times New Roman" w:cs="Times New Roman" w:eastAsia="Times New Roman" w:hAnsi="Times New Roman"/>
          <w:sz w:val="24"/>
          <w:szCs w:val="24"/>
        </w:rPr>
        <w:t xml:space="preserve"> 201</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Seidman R O, ‘Law and Development: A General Model’ (1972) 6(2) </w:t>
      </w:r>
      <w:r>
        <w:rPr>
          <w:rFonts w:ascii="Times New Roman" w:cs="Times New Roman" w:eastAsia="Times New Roman" w:hAnsi="Times New Roman"/>
          <w:i/>
          <w:iCs/>
          <w:sz w:val="24"/>
          <w:szCs w:val="24"/>
        </w:rPr>
        <w:t>Law and Society Review</w:t>
      </w:r>
      <w:r>
        <w:rPr>
          <w:rFonts w:ascii="Times New Roman" w:cs="Times New Roman" w:eastAsia="Times New Roman" w:hAnsi="Times New Roman"/>
          <w:sz w:val="24"/>
          <w:szCs w:val="24"/>
        </w:rPr>
        <w:t xml:space="preserve"> 311</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Spencer J, ‘Hearsay Evidence in Criminal Proceedings’ in W Twining, </w:t>
      </w:r>
      <w:r>
        <w:rPr>
          <w:rFonts w:ascii="Times New Roman" w:cs="Times New Roman" w:eastAsia="Times New Roman" w:hAnsi="Times New Roman"/>
          <w:i/>
          <w:iCs/>
          <w:sz w:val="24"/>
          <w:szCs w:val="24"/>
        </w:rPr>
        <w:t>Rethinking Evidence</w:t>
      </w:r>
      <w:r>
        <w:rPr>
          <w:rFonts w:ascii="Times New Roman" w:cs="Times New Roman" w:eastAsia="Times New Roman" w:hAnsi="Times New Roman"/>
          <w:sz w:val="24"/>
          <w:szCs w:val="24"/>
        </w:rPr>
        <w:t xml:space="preserve"> (Cambridge University Press 2006) 211</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Stein A, ‘The Logic of Proof Beyond a Reasonable Doubt’ (2005) 54 </w:t>
      </w:r>
      <w:r>
        <w:rPr>
          <w:rFonts w:ascii="Times New Roman" w:cs="Times New Roman" w:eastAsia="Times New Roman" w:hAnsi="Times New Roman"/>
          <w:i/>
          <w:iCs/>
          <w:sz w:val="24"/>
          <w:szCs w:val="24"/>
        </w:rPr>
        <w:t>Journal of Legal Studies</w:t>
      </w:r>
      <w:r>
        <w:rPr>
          <w:rFonts w:ascii="Times New Roman" w:cs="Times New Roman" w:eastAsia="Times New Roman" w:hAnsi="Times New Roman"/>
          <w:sz w:val="24"/>
          <w:szCs w:val="24"/>
        </w:rPr>
        <w:t xml:space="preserve"> 101</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Wigwe C C, ‘Causation in Unlawful Homicide: A Functional Appraisal’ (2009) 5(1) </w:t>
      </w:r>
      <w:r>
        <w:rPr>
          <w:rFonts w:ascii="Times New Roman" w:cs="Times New Roman" w:eastAsia="Times New Roman" w:hAnsi="Times New Roman"/>
          <w:i/>
          <w:iCs/>
          <w:sz w:val="24"/>
          <w:szCs w:val="24"/>
        </w:rPr>
        <w:t>Journal of Jurisprudence and Contemporary Issues</w:t>
      </w:r>
      <w:r>
        <w:rPr>
          <w:rFonts w:ascii="Times New Roman" w:cs="Times New Roman" w:eastAsia="Times New Roman" w:hAnsi="Times New Roman"/>
          <w:sz w:val="24"/>
          <w:szCs w:val="24"/>
        </w:rPr>
        <w:t xml:space="preserve"> 49</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Wilkinson H III, ‘The Presumption of Civil Innocence’ (2018) 104 </w:t>
      </w:r>
      <w:r>
        <w:rPr>
          <w:rFonts w:ascii="Times New Roman" w:cs="Times New Roman" w:eastAsia="Times New Roman" w:hAnsi="Times New Roman"/>
          <w:i/>
          <w:iCs/>
          <w:sz w:val="24"/>
          <w:szCs w:val="24"/>
        </w:rPr>
        <w:t>Virginia Law Review</w:t>
      </w:r>
      <w:r>
        <w:rPr>
          <w:rFonts w:ascii="Times New Roman" w:cs="Times New Roman" w:eastAsia="Times New Roman" w:hAnsi="Times New Roman"/>
          <w:sz w:val="24"/>
          <w:szCs w:val="24"/>
        </w:rPr>
        <w:t xml:space="preserve"> 589</w:t>
      </w:r>
    </w:p>
    <w:p>
      <w:pPr>
        <w:pStyle w:val="style0"/>
        <w:spacing w:before="320" w:after="160" w:lineRule="auto" w:line="240"/>
        <w:rPr>
          <w:rFonts w:ascii="Times New Roman" w:cs="Times New Roman" w:eastAsia="Times New Roman" w:hAnsi="Times New Roman"/>
          <w:sz w:val="24"/>
          <w:szCs w:val="24"/>
        </w:rPr>
      </w:pPr>
      <w:r>
        <w:rPr>
          <w:rFonts w:ascii="Times New Roman" w:cs="Times New Roman" w:eastAsia="Times New Roman" w:hAnsi="Times New Roman"/>
          <w:b/>
          <w:bCs/>
          <w:sz w:val="24"/>
          <w:szCs w:val="24"/>
        </w:rPr>
        <w:t>Online Sources</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Emmanuel I J, ‘Appraisal of the Defence of Provocation in Murder Cases Under Nigerian Criminal Law’ (</w:t>
      </w:r>
      <w:r>
        <w:rPr>
          <w:rFonts w:ascii="Times New Roman" w:cs="Times New Roman" w:eastAsia="Times New Roman" w:hAnsi="Times New Roman"/>
          <w:i/>
          <w:iCs/>
          <w:sz w:val="24"/>
          <w:szCs w:val="24"/>
        </w:rPr>
        <w:t>Legal Ideas Forum</w:t>
      </w:r>
      <w:r>
        <w:rPr>
          <w:rFonts w:ascii="Times New Roman" w:cs="Times New Roman" w:eastAsia="Times New Roman" w:hAnsi="Times New Roman"/>
          <w:sz w:val="24"/>
          <w:szCs w:val="24"/>
        </w:rPr>
        <w:t>, 5 January 2026) &lt;https://legalideasforum.com&gt; accessed 11 April 2026</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Festus I and Wali I U, ‘Presumption of Innocence and Burden of Proof: A Cardinal Principle of Criminal Justice Administration’ (</w:t>
      </w:r>
      <w:r>
        <w:rPr>
          <w:rFonts w:ascii="Times New Roman" w:cs="Times New Roman" w:eastAsia="Times New Roman" w:hAnsi="Times New Roman"/>
          <w:i/>
          <w:iCs/>
          <w:sz w:val="24"/>
          <w:szCs w:val="24"/>
        </w:rPr>
        <w:t>LegalNaija</w:t>
      </w:r>
      <w:r>
        <w:rPr>
          <w:rFonts w:ascii="Times New Roman" w:cs="Times New Roman" w:eastAsia="Times New Roman" w:hAnsi="Times New Roman"/>
          <w:sz w:val="24"/>
          <w:szCs w:val="24"/>
        </w:rPr>
        <w:t>, 15 April 2021) &lt;https://legalnaija.com&gt; accessed 9 April 2026</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Okeke C, Ikechukwu G and Adebanjo A, ‘The Offences of Murder, Culpable Homicide and Attempt-to-Murder in Nigeria’ (Mondaq, 6 August 2021) &lt;https://www.mondaq.com&gt; accessed 9 April 2026</w:t>
      </w:r>
    </w:p>
    <w:p>
      <w:pPr>
        <w:pStyle w:val="style0"/>
        <w:spacing w:after="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Olaposi I, ‘The History and Sources of the Nigerian Criminal Laws: How We Ended Up with Two Codes’ (</w:t>
      </w:r>
      <w:r>
        <w:rPr>
          <w:rFonts w:ascii="Times New Roman" w:cs="Times New Roman" w:eastAsia="Times New Roman" w:hAnsi="Times New Roman"/>
          <w:i/>
          <w:iCs/>
          <w:sz w:val="24"/>
          <w:szCs w:val="24"/>
        </w:rPr>
        <w:t>LegalNaija</w:t>
      </w:r>
      <w:r>
        <w:rPr>
          <w:rFonts w:ascii="Times New Roman" w:cs="Times New Roman" w:eastAsia="Times New Roman" w:hAnsi="Times New Roman"/>
          <w:sz w:val="24"/>
          <w:szCs w:val="24"/>
        </w:rPr>
        <w:t>, 8 June 2021) &lt;https://legalnaija.com&gt; accessed 9 April 2026</w:t>
      </w:r>
    </w:p>
    <w:p>
      <w:pPr>
        <w:pStyle w:val="style0"/>
        <w:spacing w:after="240" w:lineRule="auto" w:line="240"/>
        <w:jc w:val="center"/>
        <w:rPr>
          <w:rFonts w:ascii="Times New Roman" w:cs="Times New Roman" w:eastAsia="Times New Roman" w:hAnsi="Times New Roman"/>
          <w:sz w:val="20"/>
          <w:szCs w:val="20"/>
        </w:rPr>
      </w:pPr>
    </w:p>
    <w:p>
      <w:pPr>
        <w:pStyle w:val="style0"/>
        <w:spacing w:before="280" w:after="120" w:lineRule="auto" w:line="480"/>
        <w:jc w:val="both"/>
        <w:outlineLvl w:val="1"/>
        <w:rPr>
          <w:sz w:val="24"/>
          <w:szCs w:val="24"/>
        </w:rPr>
      </w:pPr>
    </w:p>
    <w:p>
      <w:pPr>
        <w:pStyle w:val="style0"/>
        <w:spacing w:after="160" w:lineRule="auto" w:line="480"/>
        <w:jc w:val="both"/>
        <w:rPr>
          <w:rFonts w:ascii="Times New Roman" w:cs="Times New Roman" w:eastAsia="Calibri" w:hAnsi="Times New Roman"/>
          <w:sz w:val="24"/>
          <w:szCs w:val="24"/>
        </w:rPr>
      </w:pPr>
    </w:p>
    <w:p>
      <w:pPr>
        <w:pStyle w:val="style0"/>
        <w:rPr>
          <w:szCs w:val="24"/>
        </w:rPr>
      </w:pPr>
    </w:p>
    <w:sectPr>
      <w:footerReference w:type="default" r:id="rId2"/>
      <w:pgSz w:w="12240" w:h="15840" w:orient="portrait"/>
      <w:pgMar w:top="1440" w:right="1440" w:bottom="1440" w:left="1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3"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Cambria">
    <w:altName w:val="Cambria"/>
    <w:panose1 w:val="02040503050004030204"/>
    <w:charset w:val="00"/>
    <w:family w:val="roman"/>
    <w:pitch w:val="variable"/>
    <w:sig w:usb0="E00002FF" w:usb1="400004FF" w:usb2="00000000" w:usb3="00000000" w:csb0="0000019F" w:csb1="00000000"/>
  </w:font>
  <w:font w:name="Arial">
    <w:altName w:val="Arial"/>
    <w:panose1 w:val="020b0604020002020204"/>
    <w:charset w:val="00"/>
    <w:family w:val="swiss"/>
    <w:pitch w:val="variable"/>
    <w:sig w:usb0="E0002AFF" w:usb1="C0007843" w:usb2="00000009" w:usb3="00000000" w:csb0="000001FF" w:csb1="00000000"/>
  </w:font>
  <w:font w:name="MS Mincho">
    <w:altName w:val="ＭＳ 明朝"/>
    <w:panose1 w:val="02020609040002080304"/>
    <w:charset w:val="80"/>
    <w:family w:val="modern"/>
    <w:pitch w:val="fixed"/>
    <w:sig w:usb0="E00002FF" w:usb1="6AC7FDFB" w:usb2="08000012" w:usb3="00000000" w:csb0="000200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right"/>
      <w:rPr/>
    </w:pPr>
    <w:r>
      <w:rPr/>
      <w:fldChar w:fldCharType="begin"/>
    </w:r>
    <w:r>
      <w:instrText xml:space="preserve"> PAGE   \* MERGEFORMAT </w:instrText>
    </w:r>
    <w:r>
      <w:rPr/>
      <w:fldChar w:fldCharType="separate"/>
    </w:r>
    <w:r>
      <w:rPr>
        <w:noProof/>
      </w:rPr>
      <w:t>97</w:t>
    </w:r>
    <w:r>
      <w:rPr/>
      <w:fldChar w:fldCharType="end"/>
    </w:r>
  </w:p>
  <w:p>
    <w:pPr>
      <w:pStyle w:val="style0"/>
      <w:jc w:val="center"/>
      <w:rPr/>
    </w:pP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TO Elias, </w:t>
      </w:r>
      <w:r>
        <w:rPr>
          <w:rFonts w:ascii="Times New Roman" w:cs="Times New Roman" w:hAnsi="Times New Roman"/>
          <w:i/>
          <w:iCs/>
          <w:sz w:val="20"/>
          <w:szCs w:val="20"/>
        </w:rPr>
        <w:t>The Nature of African Customary Law</w:t>
      </w:r>
      <w:r>
        <w:rPr>
          <w:rFonts w:ascii="Times New Roman" w:cs="Times New Roman" w:hAnsi="Times New Roman"/>
          <w:sz w:val="20"/>
          <w:szCs w:val="20"/>
        </w:rPr>
        <w:t> (Manchester University Press 1956) chap V, 116–134.</w:t>
      </w:r>
    </w:p>
  </w:footnote>
  <w:footnote w:id="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OA Balogun, 'A Philosophical Defence of Punishment in Traditional African Legal Culture: The Yoruba</w:t>
      </w:r>
    </w:p>
    <w:p>
      <w:pPr>
        <w:pStyle w:val="style157"/>
        <w:rPr>
          <w:rFonts w:ascii="Times New Roman" w:cs="Times New Roman" w:hAnsi="Times New Roman"/>
          <w:sz w:val="20"/>
          <w:szCs w:val="20"/>
        </w:rPr>
      </w:pPr>
      <w:r>
        <w:rPr>
          <w:rFonts w:ascii="Times New Roman" w:cs="Times New Roman" w:hAnsi="Times New Roman"/>
          <w:sz w:val="20"/>
          <w:szCs w:val="20"/>
        </w:rPr>
        <w:t xml:space="preserve">   Example,' </w:t>
      </w:r>
      <w:r>
        <w:rPr>
          <w:rFonts w:ascii="Times New Roman" w:cs="Times New Roman" w:hAnsi="Times New Roman"/>
          <w:i/>
          <w:iCs/>
          <w:sz w:val="20"/>
          <w:szCs w:val="20"/>
        </w:rPr>
        <w:t>Journal of Pan African Studies</w:t>
      </w:r>
      <w:r>
        <w:rPr>
          <w:rFonts w:ascii="Times New Roman" w:cs="Times New Roman" w:hAnsi="Times New Roman"/>
          <w:sz w:val="20"/>
          <w:szCs w:val="20"/>
        </w:rPr>
        <w:t xml:space="preserve"> (2009) 3(3) 43. </w:t>
      </w:r>
    </w:p>
  </w:footnote>
  <w:footnote w:id="3">
    <w:p>
      <w:pPr>
        <w:pStyle w:val="style157"/>
        <w:rPr>
          <w:rFonts w:ascii="Times New Roman" w:cs="Times New Roman" w:hAnsi="Times New Roman"/>
          <w:bCs/>
          <w:i/>
          <w:iCs/>
          <w:sz w:val="20"/>
          <w:szCs w:val="20"/>
        </w:rPr>
      </w:pPr>
      <w:r>
        <w:rPr>
          <w:rStyle w:val="style38"/>
          <w:rFonts w:ascii="Times New Roman" w:cs="Times New Roman" w:hAnsi="Times New Roman"/>
          <w:sz w:val="20"/>
          <w:szCs w:val="20"/>
        </w:rPr>
        <w:footnoteRef/>
      </w:r>
      <w:r>
        <w:rPr>
          <w:rFonts w:ascii="Times New Roman" w:cs="Times New Roman" w:hAnsi="Times New Roman"/>
          <w:bCs/>
          <w:sz w:val="20"/>
          <w:szCs w:val="20"/>
        </w:rPr>
        <w:t xml:space="preserve"> Yinka Olomojobi, ‘Hausa-Fulani Identity and Politics of Sharia in Northern Nigeria’ (2013) 1 </w:t>
      </w:r>
      <w:r>
        <w:rPr>
          <w:rFonts w:ascii="Times New Roman" w:cs="Times New Roman" w:hAnsi="Times New Roman"/>
          <w:bCs/>
          <w:i/>
          <w:iCs/>
          <w:sz w:val="20"/>
          <w:szCs w:val="20"/>
        </w:rPr>
        <w:t>Adeleke University</w:t>
      </w:r>
    </w:p>
    <w:p>
      <w:pPr>
        <w:pStyle w:val="style157"/>
        <w:rPr>
          <w:rFonts w:ascii="Times New Roman" w:cs="Times New Roman" w:hAnsi="Times New Roman"/>
          <w:bCs/>
          <w:i/>
          <w:iCs/>
          <w:sz w:val="20"/>
          <w:szCs w:val="20"/>
        </w:rPr>
      </w:pPr>
      <w:r>
        <w:rPr>
          <w:rFonts w:ascii="Times New Roman" w:cs="Times New Roman" w:hAnsi="Times New Roman"/>
          <w:bCs/>
          <w:i/>
          <w:iCs/>
          <w:sz w:val="20"/>
          <w:szCs w:val="20"/>
        </w:rPr>
        <w:t xml:space="preserve">   Journal of Basic and Social Sciences</w:t>
      </w:r>
      <w:r>
        <w:rPr>
          <w:rFonts w:ascii="Times New Roman" w:cs="Times New Roman" w:hAnsi="Times New Roman"/>
          <w:bCs/>
          <w:sz w:val="20"/>
          <w:szCs w:val="20"/>
        </w:rPr>
        <w:t xml:space="preserve"> 23.</w:t>
      </w:r>
    </w:p>
  </w:footnote>
  <w:footnote w:id="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Tahir Wasti, </w:t>
      </w:r>
      <w:r>
        <w:rPr>
          <w:rFonts w:ascii="Times New Roman" w:cs="Times New Roman" w:hAnsi="Times New Roman"/>
          <w:i/>
          <w:iCs/>
          <w:sz w:val="20"/>
          <w:szCs w:val="20"/>
        </w:rPr>
        <w:t>The Application of Islamic Law in Pakistan: Sharia in Practice</w:t>
      </w:r>
      <w:r>
        <w:rPr>
          <w:rFonts w:ascii="Times New Roman" w:cs="Times New Roman" w:hAnsi="Times New Roman"/>
          <w:sz w:val="20"/>
          <w:szCs w:val="20"/>
        </w:rPr>
        <w:t xml:space="preserve"> (Brill, Leiden 2009) 105.</w:t>
      </w:r>
    </w:p>
  </w:footnote>
  <w:footnote w:id="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AG Karibi-Whyte, </w:t>
      </w:r>
      <w:r>
        <w:rPr>
          <w:rFonts w:ascii="Times New Roman" w:cs="Times New Roman" w:hAnsi="Times New Roman"/>
          <w:i/>
          <w:iCs/>
          <w:sz w:val="20"/>
          <w:szCs w:val="20"/>
        </w:rPr>
        <w:t>History and Sources of Nigerian Criminal Law</w:t>
      </w:r>
      <w:r>
        <w:rPr>
          <w:rFonts w:ascii="Times New Roman" w:cs="Times New Roman" w:hAnsi="Times New Roman"/>
          <w:sz w:val="20"/>
          <w:szCs w:val="20"/>
        </w:rPr>
        <w:t xml:space="preserve"> (Spectrum Books Ltd, Ibadan 1993) 232.</w:t>
      </w:r>
    </w:p>
  </w:footnote>
  <w:footnote w:id="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EC Onyeozili and ON Ebbe, ‘Social Control in Pre-colonial Igbo Land of Nigeria’ (2012) 6(1 &amp; 2) African</w:t>
      </w:r>
    </w:p>
    <w:p>
      <w:pPr>
        <w:pStyle w:val="style157"/>
        <w:rPr>
          <w:rFonts w:ascii="Times New Roman" w:cs="Times New Roman" w:hAnsi="Times New Roman"/>
          <w:sz w:val="20"/>
          <w:szCs w:val="20"/>
        </w:rPr>
      </w:pPr>
      <w:r>
        <w:rPr>
          <w:rFonts w:ascii="Times New Roman" w:cs="Times New Roman" w:hAnsi="Times New Roman"/>
          <w:sz w:val="20"/>
          <w:szCs w:val="20"/>
        </w:rPr>
        <w:t xml:space="preserve">   Journal of Criminology and Justice Studies 29.</w:t>
      </w:r>
    </w:p>
  </w:footnote>
  <w:footnote w:id="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w:t>
      </w:r>
      <w:r>
        <w:rPr>
          <w:rFonts w:ascii="Times New Roman" w:cs="Times New Roman" w:hAnsi="Times New Roman"/>
          <w:i/>
          <w:iCs/>
          <w:sz w:val="20"/>
          <w:szCs w:val="20"/>
        </w:rPr>
        <w:t>Evidence Act</w:t>
      </w:r>
      <w:r>
        <w:rPr>
          <w:rFonts w:ascii="Times New Roman" w:cs="Times New Roman" w:hAnsi="Times New Roman"/>
          <w:sz w:val="20"/>
          <w:szCs w:val="20"/>
        </w:rPr>
        <w:t xml:space="preserve"> 2023, s 135(1).</w:t>
      </w:r>
    </w:p>
  </w:footnote>
  <w:footnote w:id="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w:t>
      </w:r>
      <w:r>
        <w:rPr>
          <w:rFonts w:ascii="Times New Roman" w:cs="Times New Roman" w:hAnsi="Times New Roman"/>
          <w:iCs/>
          <w:sz w:val="20"/>
          <w:szCs w:val="20"/>
        </w:rPr>
        <w:t>Bakare v The State</w:t>
      </w:r>
      <w:r>
        <w:rPr>
          <w:rFonts w:ascii="Times New Roman" w:cs="Times New Roman" w:hAnsi="Times New Roman"/>
          <w:sz w:val="20"/>
          <w:szCs w:val="20"/>
        </w:rPr>
        <w:t xml:space="preserve"> (1987) 1 NWLR (Pt 52) 579 (SC).</w:t>
      </w:r>
    </w:p>
  </w:footnote>
  <w:footnote w:id="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w:t>
      </w:r>
      <w:r>
        <w:rPr>
          <w:rFonts w:ascii="Times New Roman" w:cs="Times New Roman" w:hAnsi="Times New Roman"/>
          <w:i/>
          <w:iCs/>
          <w:sz w:val="20"/>
          <w:szCs w:val="20"/>
        </w:rPr>
        <w:t>Igabele v The State</w:t>
      </w:r>
      <w:r>
        <w:rPr>
          <w:rFonts w:ascii="Times New Roman" w:cs="Times New Roman" w:hAnsi="Times New Roman"/>
          <w:sz w:val="20"/>
          <w:szCs w:val="20"/>
        </w:rPr>
        <w:t xml:space="preserve"> (2006) 6 NWLR (Pt 975) 100 (SC).</w:t>
      </w:r>
    </w:p>
  </w:footnote>
  <w:footnote w:id="1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w:t>
      </w:r>
      <w:r>
        <w:rPr>
          <w:rStyle w:val="style88"/>
          <w:rFonts w:ascii="Times New Roman" w:cs="Times New Roman" w:hAnsi="Times New Roman"/>
          <w:sz w:val="20"/>
          <w:szCs w:val="20"/>
        </w:rPr>
        <w:t>CFRN</w:t>
      </w:r>
      <w:r>
        <w:rPr>
          <w:rFonts w:ascii="Times New Roman" w:cs="Times New Roman" w:hAnsi="Times New Roman"/>
          <w:sz w:val="20"/>
          <w:szCs w:val="20"/>
        </w:rPr>
        <w:t xml:space="preserve"> 1999 (as amended), s 36(5).</w:t>
      </w:r>
    </w:p>
  </w:footnote>
  <w:footnote w:id="1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 36(12).</w:t>
      </w:r>
    </w:p>
  </w:footnote>
  <w:footnote w:id="1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Abacha v The State [2002] 11 NWLR (Pt 779) 437 (SC).</w:t>
      </w:r>
    </w:p>
  </w:footnote>
  <w:footnote w:id="1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TA Aguda, </w:t>
      </w:r>
      <w:r>
        <w:rPr>
          <w:rStyle w:val="style88"/>
          <w:rFonts w:ascii="Times New Roman" w:cs="Times New Roman" w:hAnsi="Times New Roman"/>
          <w:sz w:val="20"/>
          <w:szCs w:val="20"/>
        </w:rPr>
        <w:t>The Criminal Law and Procedure of the Southern States of Nigeria</w:t>
      </w:r>
      <w:r>
        <w:rPr>
          <w:rFonts w:ascii="Times New Roman" w:cs="Times New Roman" w:hAnsi="Times New Roman"/>
          <w:sz w:val="20"/>
          <w:szCs w:val="20"/>
        </w:rPr>
        <w:t xml:space="preserve"> (Sweet &amp; Maxwell, London,</w:t>
      </w:r>
    </w:p>
    <w:p>
      <w:pPr>
        <w:pStyle w:val="style157"/>
        <w:rPr>
          <w:rFonts w:ascii="Times New Roman" w:cs="Times New Roman" w:hAnsi="Times New Roman"/>
          <w:sz w:val="20"/>
          <w:szCs w:val="20"/>
        </w:rPr>
      </w:pPr>
      <w:r>
        <w:rPr>
          <w:rFonts w:ascii="Times New Roman" w:cs="Times New Roman" w:hAnsi="Times New Roman"/>
          <w:sz w:val="20"/>
          <w:szCs w:val="20"/>
        </w:rPr>
        <w:t xml:space="preserve">    1963) 112.</w:t>
      </w:r>
    </w:p>
  </w:footnote>
  <w:footnote w:id="1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IE Sagay, </w:t>
      </w:r>
      <w:r>
        <w:rPr>
          <w:rStyle w:val="style88"/>
          <w:rFonts w:ascii="Times New Roman" w:cs="Times New Roman" w:hAnsi="Times New Roman"/>
          <w:sz w:val="20"/>
          <w:szCs w:val="20"/>
        </w:rPr>
        <w:t>Nigerian Criminal Law</w:t>
      </w:r>
      <w:r>
        <w:rPr>
          <w:rFonts w:ascii="Times New Roman" w:cs="Times New Roman" w:hAnsi="Times New Roman"/>
          <w:sz w:val="20"/>
          <w:szCs w:val="20"/>
        </w:rPr>
        <w:t xml:space="preserve"> (Malthouse Press, Lagos, 1990) 45.</w:t>
      </w:r>
    </w:p>
  </w:footnote>
  <w:footnote w:id="1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Emeka v The State [2001] 14 NWLR (Pt 734) 666 (SC).</w:t>
      </w:r>
    </w:p>
  </w:footnote>
  <w:footnote w:id="16">
    <w:p>
      <w:pPr>
        <w:pStyle w:val="style157"/>
        <w:rPr>
          <w:rFonts w:ascii="Times New Roman" w:cs="Times New Roman" w:hAnsi="Times New Roman"/>
          <w:i/>
          <w:iCs/>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MA Owoade, ‘Proof of Murder in Nigeria: Problems and Prospects’ (2005) 1 </w:t>
      </w:r>
      <w:r>
        <w:rPr>
          <w:rFonts w:ascii="Times New Roman" w:cs="Times New Roman" w:hAnsi="Times New Roman"/>
          <w:i/>
          <w:iCs/>
          <w:sz w:val="20"/>
          <w:szCs w:val="20"/>
        </w:rPr>
        <w:t>University of Ilorin Journal of</w:t>
      </w:r>
    </w:p>
    <w:p>
      <w:pPr>
        <w:pStyle w:val="style157"/>
        <w:rPr>
          <w:rFonts w:ascii="Times New Roman" w:cs="Times New Roman" w:hAnsi="Times New Roman"/>
          <w:i/>
          <w:iCs/>
          <w:sz w:val="20"/>
          <w:szCs w:val="20"/>
        </w:rPr>
      </w:pPr>
      <w:r>
        <w:rPr>
          <w:rFonts w:ascii="Times New Roman" w:cs="Times New Roman" w:hAnsi="Times New Roman"/>
          <w:i/>
          <w:iCs/>
          <w:sz w:val="20"/>
          <w:szCs w:val="20"/>
        </w:rPr>
        <w:t xml:space="preserve">     Public Law</w:t>
      </w:r>
      <w:r>
        <w:rPr>
          <w:rFonts w:ascii="Times New Roman" w:cs="Times New Roman" w:hAnsi="Times New Roman"/>
          <w:sz w:val="20"/>
          <w:szCs w:val="20"/>
        </w:rPr>
        <w:t xml:space="preserve"> 49.</w:t>
      </w:r>
    </w:p>
  </w:footnote>
  <w:footnote w:id="1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CO Okonkwo, </w:t>
      </w:r>
      <w:r>
        <w:rPr>
          <w:rFonts w:ascii="Times New Roman" w:cs="Times New Roman" w:hAnsi="Times New Roman"/>
          <w:i/>
          <w:iCs/>
          <w:sz w:val="20"/>
          <w:szCs w:val="20"/>
        </w:rPr>
        <w:t>Okonkwo and Naish on Criminal Law in Nigeria</w:t>
      </w:r>
      <w:r>
        <w:rPr>
          <w:rFonts w:ascii="Times New Roman" w:cs="Times New Roman" w:hAnsi="Times New Roman"/>
          <w:sz w:val="20"/>
          <w:szCs w:val="20"/>
        </w:rPr>
        <w:t xml:space="preserve"> (2nd edn, Spectrum Books 1980) 105</w:t>
      </w:r>
    </w:p>
  </w:footnote>
  <w:footnote w:id="1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Ochiba v The State [2011] 17 NWLR (Pt 1277) 663 (SC). </w:t>
      </w:r>
    </w:p>
  </w:footnote>
  <w:footnote w:id="1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Simon Greenleaf, </w:t>
      </w:r>
      <w:r>
        <w:rPr>
          <w:rFonts w:ascii="Times New Roman" w:cs="Times New Roman" w:hAnsi="Times New Roman"/>
          <w:i/>
          <w:iCs/>
          <w:sz w:val="20"/>
          <w:szCs w:val="20"/>
        </w:rPr>
        <w:t>A Treatise on the Law of Evidence</w:t>
      </w:r>
      <w:r>
        <w:rPr>
          <w:rFonts w:ascii="Times New Roman" w:cs="Times New Roman" w:hAnsi="Times New Roman"/>
          <w:sz w:val="20"/>
          <w:szCs w:val="20"/>
        </w:rPr>
        <w:t>, Vol. 1 (1st edn, Little, Brown and Company,</w:t>
      </w:r>
    </w:p>
    <w:p>
      <w:pPr>
        <w:pStyle w:val="style157"/>
        <w:rPr>
          <w:rFonts w:ascii="Times New Roman" w:cs="Times New Roman" w:hAnsi="Times New Roman"/>
          <w:sz w:val="20"/>
          <w:szCs w:val="20"/>
        </w:rPr>
      </w:pPr>
      <w:r>
        <w:rPr>
          <w:rFonts w:ascii="Times New Roman" w:cs="Times New Roman" w:hAnsi="Times New Roman"/>
          <w:sz w:val="20"/>
          <w:szCs w:val="20"/>
        </w:rPr>
        <w:t xml:space="preserve">    Cambridge,  Massachusetts 1842) 16.</w:t>
      </w:r>
    </w:p>
  </w:footnote>
  <w:footnote w:id="20">
    <w:p>
      <w:pPr>
        <w:pStyle w:val="style157"/>
        <w:rPr>
          <w:rFonts w:ascii="Times New Roman" w:cs="Times New Roman" w:hAnsi="Times New Roman"/>
          <w:i/>
          <w:iCs/>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CC Nweze , ‘Circumstantial Evidence and the Proof of Guilt in Capital Offences’ (2010) 3 </w:t>
      </w:r>
      <w:r>
        <w:rPr>
          <w:rFonts w:ascii="Times New Roman" w:cs="Times New Roman" w:hAnsi="Times New Roman"/>
          <w:i/>
          <w:iCs/>
          <w:sz w:val="20"/>
          <w:szCs w:val="20"/>
        </w:rPr>
        <w:t>Benue State</w:t>
      </w:r>
    </w:p>
    <w:p>
      <w:pPr>
        <w:pStyle w:val="style157"/>
        <w:rPr>
          <w:rFonts w:ascii="Times New Roman" w:cs="Times New Roman" w:hAnsi="Times New Roman"/>
          <w:i/>
          <w:iCs/>
          <w:sz w:val="20"/>
          <w:szCs w:val="20"/>
        </w:rPr>
      </w:pPr>
      <w:r>
        <w:rPr>
          <w:rFonts w:ascii="Times New Roman" w:cs="Times New Roman" w:hAnsi="Times New Roman"/>
          <w:i/>
          <w:iCs/>
          <w:sz w:val="20"/>
          <w:szCs w:val="20"/>
        </w:rPr>
        <w:t xml:space="preserve">    University Law Journal</w:t>
      </w:r>
      <w:r>
        <w:rPr>
          <w:rFonts w:ascii="Times New Roman" w:cs="Times New Roman" w:hAnsi="Times New Roman"/>
          <w:sz w:val="20"/>
          <w:szCs w:val="20"/>
        </w:rPr>
        <w:t xml:space="preserve"> 8.</w:t>
      </w:r>
    </w:p>
  </w:footnote>
  <w:footnote w:id="2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SSA Wakili and others ‘Legal Framework and Challenges Concerning Forensic Evidence in Nigeria’ (2026)</w:t>
      </w:r>
    </w:p>
    <w:p>
      <w:pPr>
        <w:pStyle w:val="style157"/>
        <w:rPr>
          <w:rFonts w:ascii="Times New Roman" w:cs="Times New Roman" w:hAnsi="Times New Roman"/>
          <w:sz w:val="20"/>
          <w:szCs w:val="20"/>
        </w:rPr>
      </w:pPr>
      <w:r>
        <w:rPr>
          <w:rFonts w:ascii="Times New Roman" w:cs="Times New Roman" w:hAnsi="Times New Roman"/>
          <w:sz w:val="20"/>
          <w:szCs w:val="20"/>
        </w:rPr>
        <w:t xml:space="preserve">    15(1) </w:t>
      </w:r>
      <w:r>
        <w:rPr>
          <w:rFonts w:ascii="Times New Roman" w:cs="Times New Roman" w:hAnsi="Times New Roman"/>
          <w:i/>
          <w:iCs/>
          <w:sz w:val="20"/>
          <w:szCs w:val="20"/>
        </w:rPr>
        <w:t>Journal of Criminal Law</w:t>
      </w:r>
      <w:r>
        <w:rPr>
          <w:rFonts w:ascii="Times New Roman" w:cs="Times New Roman" w:hAnsi="Times New Roman"/>
          <w:sz w:val="20"/>
          <w:szCs w:val="20"/>
        </w:rPr>
        <w:t xml:space="preserve"> 42.</w:t>
      </w:r>
    </w:p>
  </w:footnote>
  <w:footnote w:id="2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CI Okeke, ‘Assessing the Utilization and Effectiveness of Forensic Technology in Nigerian Criminal</w:t>
      </w:r>
    </w:p>
    <w:p>
      <w:pPr>
        <w:pStyle w:val="style157"/>
        <w:rPr>
          <w:rFonts w:ascii="Times New Roman" w:cs="Times New Roman" w:hAnsi="Times New Roman"/>
          <w:sz w:val="20"/>
          <w:szCs w:val="20"/>
        </w:rPr>
      </w:pPr>
      <w:r>
        <w:rPr>
          <w:rFonts w:ascii="Times New Roman" w:cs="Times New Roman" w:hAnsi="Times New Roman"/>
          <w:sz w:val="20"/>
          <w:szCs w:val="20"/>
        </w:rPr>
        <w:t xml:space="preserve">    Investigations’ (2026) 9(2) </w:t>
      </w:r>
      <w:r>
        <w:rPr>
          <w:rStyle w:val="style88"/>
          <w:rFonts w:ascii="Times New Roman" w:cs="Times New Roman" w:hAnsi="Times New Roman"/>
          <w:sz w:val="20"/>
          <w:szCs w:val="20"/>
        </w:rPr>
        <w:t>Nigerian Journal of Criminology and Security Studies</w:t>
      </w:r>
      <w:r>
        <w:rPr>
          <w:rFonts w:ascii="Times New Roman" w:cs="Times New Roman" w:hAnsi="Times New Roman"/>
          <w:sz w:val="20"/>
          <w:szCs w:val="20"/>
        </w:rPr>
        <w:t xml:space="preserve"> 128.</w:t>
      </w:r>
    </w:p>
  </w:footnote>
  <w:footnote w:id="2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Femi Falana, Falana's Companion to Criminal Litigation in Nigeria (Legaltext Publishing, Lagos, 2015) 309.</w:t>
      </w:r>
    </w:p>
  </w:footnote>
  <w:footnote w:id="2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Afe Babalola , </w:t>
      </w:r>
      <w:r>
        <w:rPr>
          <w:rFonts w:ascii="Times New Roman" w:cs="Times New Roman" w:hAnsi="Times New Roman"/>
          <w:i/>
          <w:iCs/>
          <w:sz w:val="20"/>
          <w:szCs w:val="20"/>
        </w:rPr>
        <w:t>Evidence: Law and Practice in Nigeria</w:t>
      </w:r>
      <w:r>
        <w:rPr>
          <w:rFonts w:ascii="Times New Roman" w:cs="Times New Roman" w:hAnsi="Times New Roman"/>
          <w:sz w:val="20"/>
          <w:szCs w:val="20"/>
        </w:rPr>
        <w:t xml:space="preserve"> (2nd edn, Princeton Publishing Co. Ltd, Lagos 2013)</w:t>
      </w:r>
    </w:p>
    <w:p>
      <w:pPr>
        <w:pStyle w:val="style157"/>
        <w:rPr>
          <w:rFonts w:ascii="Times New Roman" w:cs="Times New Roman" w:hAnsi="Times New Roman"/>
          <w:sz w:val="20"/>
          <w:szCs w:val="20"/>
        </w:rPr>
      </w:pPr>
      <w:r>
        <w:rPr>
          <w:rFonts w:ascii="Times New Roman" w:cs="Times New Roman" w:hAnsi="Times New Roman"/>
          <w:sz w:val="20"/>
          <w:szCs w:val="20"/>
        </w:rPr>
        <w:t xml:space="preserve">     78.</w:t>
      </w:r>
    </w:p>
  </w:footnote>
  <w:footnote w:id="2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TA Aguda, The Law of Evidence in Nigeria (2nd edn, Spectrum Books, Ibadan, 1999) 112.</w:t>
      </w:r>
    </w:p>
  </w:footnote>
  <w:footnote w:id="2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Archibong v The State [2006] 14 NWLR (Pt 1000) 349 (SC).</w:t>
      </w:r>
    </w:p>
  </w:footnote>
  <w:footnote w:id="2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IA Inyang and G. O. Goodwill, ‘Role of Forensic Evidence in Criminal Investigation in Nigeria’ (November</w:t>
      </w:r>
    </w:p>
    <w:p>
      <w:pPr>
        <w:pStyle w:val="style157"/>
        <w:rPr>
          <w:rFonts w:ascii="Times New Roman" w:cs="Times New Roman" w:hAnsi="Times New Roman"/>
          <w:sz w:val="20"/>
          <w:szCs w:val="20"/>
        </w:rPr>
      </w:pPr>
      <w:r>
        <w:rPr>
          <w:rFonts w:ascii="Times New Roman" w:cs="Times New Roman" w:hAnsi="Times New Roman"/>
          <w:sz w:val="20"/>
          <w:szCs w:val="20"/>
        </w:rPr>
        <w:t xml:space="preserve">    2012) 6(1) </w:t>
      </w:r>
      <w:r>
        <w:rPr>
          <w:rFonts w:ascii="Times New Roman" w:cs="Times New Roman" w:hAnsi="Times New Roman"/>
          <w:i/>
          <w:iCs/>
          <w:sz w:val="20"/>
          <w:szCs w:val="20"/>
        </w:rPr>
        <w:t>African Journal of Criminology and Justice Studies</w:t>
      </w:r>
      <w:r>
        <w:rPr>
          <w:rFonts w:ascii="Times New Roman" w:cs="Times New Roman" w:hAnsi="Times New Roman"/>
          <w:sz w:val="20"/>
          <w:szCs w:val="20"/>
        </w:rPr>
        <w:t xml:space="preserve"> 147.</w:t>
      </w:r>
    </w:p>
  </w:footnote>
  <w:footnote w:id="2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Administration of Criminal Justice Act 2015, s 1.</w:t>
      </w:r>
    </w:p>
  </w:footnote>
  <w:footnote w:id="2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DN Uwazurike, ‘The Administration of Criminal Justice Act 2015 and the Future of Criminal Procedure in</w:t>
      </w:r>
    </w:p>
    <w:p>
      <w:pPr>
        <w:pStyle w:val="style157"/>
        <w:rPr>
          <w:rFonts w:ascii="Times New Roman" w:cs="Times New Roman" w:hAnsi="Times New Roman"/>
          <w:sz w:val="20"/>
          <w:szCs w:val="20"/>
        </w:rPr>
      </w:pPr>
      <w:r>
        <w:rPr>
          <w:rFonts w:ascii="Times New Roman" w:cs="Times New Roman" w:hAnsi="Times New Roman"/>
          <w:sz w:val="20"/>
          <w:szCs w:val="20"/>
        </w:rPr>
        <w:t xml:space="preserve">     Nigeria’ (2016) 4 </w:t>
      </w:r>
      <w:r>
        <w:rPr>
          <w:rFonts w:ascii="Times New Roman" w:cs="Times New Roman" w:hAnsi="Times New Roman"/>
          <w:i/>
          <w:iCs/>
          <w:sz w:val="20"/>
          <w:szCs w:val="20"/>
        </w:rPr>
        <w:t>Nigerian Journal of Law and Social Policy</w:t>
      </w:r>
      <w:r>
        <w:rPr>
          <w:rFonts w:ascii="Times New Roman" w:cs="Times New Roman" w:hAnsi="Times New Roman"/>
          <w:sz w:val="20"/>
          <w:szCs w:val="20"/>
        </w:rPr>
        <w:t xml:space="preserve"> 5.</w:t>
      </w:r>
    </w:p>
  </w:footnote>
  <w:footnote w:id="30">
    <w:p>
      <w:pPr>
        <w:pStyle w:val="style157"/>
        <w:rPr>
          <w:rStyle w:val="style88"/>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Yemi Osinbajo (SAN), ‘The Police and Crime Investigation in Nigeria’ (2021) 5(1) </w:t>
      </w:r>
      <w:r>
        <w:rPr>
          <w:rStyle w:val="style88"/>
          <w:rFonts w:ascii="Times New Roman" w:cs="Times New Roman" w:hAnsi="Times New Roman"/>
          <w:sz w:val="20"/>
          <w:szCs w:val="20"/>
        </w:rPr>
        <w:t>African Journal of</w:t>
      </w:r>
    </w:p>
    <w:p>
      <w:pPr>
        <w:pStyle w:val="style157"/>
        <w:rPr>
          <w:rFonts w:ascii="Times New Roman" w:cs="Times New Roman" w:hAnsi="Times New Roman"/>
          <w:i/>
          <w:iCs/>
          <w:sz w:val="20"/>
          <w:szCs w:val="20"/>
        </w:rPr>
      </w:pPr>
      <w:r>
        <w:rPr>
          <w:rStyle w:val="style88"/>
          <w:rFonts w:ascii="Times New Roman" w:cs="Times New Roman" w:hAnsi="Times New Roman"/>
          <w:sz w:val="20"/>
          <w:szCs w:val="20"/>
        </w:rPr>
        <w:t xml:space="preserve">    Criminal Law and Jurisprudence</w:t>
      </w:r>
      <w:r>
        <w:rPr>
          <w:rFonts w:ascii="Times New Roman" w:cs="Times New Roman" w:hAnsi="Times New Roman"/>
          <w:sz w:val="20"/>
          <w:szCs w:val="20"/>
        </w:rPr>
        <w:t xml:space="preserve"> 40.</w:t>
      </w:r>
    </w:p>
  </w:footnote>
  <w:footnote w:id="3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National Human Rights Commission Act, Cap N46, LFN 2004. </w:t>
      </w:r>
    </w:p>
  </w:footnote>
  <w:footnote w:id="3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Femi Falana, </w:t>
      </w:r>
      <w:r>
        <w:rPr>
          <w:rFonts w:ascii="Times New Roman" w:cs="Times New Roman" w:hAnsi="Times New Roman"/>
          <w:i/>
          <w:iCs/>
          <w:sz w:val="20"/>
          <w:szCs w:val="20"/>
        </w:rPr>
        <w:t>Falana’s Companion to Criminal Litigation in Nigeria</w:t>
      </w:r>
      <w:r>
        <w:rPr>
          <w:rFonts w:ascii="Times New Roman" w:cs="Times New Roman" w:hAnsi="Times New Roman"/>
          <w:sz w:val="20"/>
          <w:szCs w:val="20"/>
        </w:rPr>
        <w:t xml:space="preserve"> (Legaltext Publishing, Lagos 2015) 309.</w:t>
      </w:r>
    </w:p>
  </w:footnote>
  <w:footnote w:id="3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CFRN, 1999 (as amended), s 36.</w:t>
      </w:r>
    </w:p>
  </w:footnote>
  <w:footnote w:id="3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Afolabi v The State [2016] 9 NWLR (Pt 1516) 1 (SC).</w:t>
      </w:r>
    </w:p>
  </w:footnote>
  <w:footnote w:id="35">
    <w:p>
      <w:pPr>
        <w:pStyle w:val="style157"/>
        <w:rPr>
          <w:rFonts w:ascii="Times New Roman" w:cs="Times New Roman" w:hAnsi="Times New Roman"/>
          <w:i/>
          <w:iCs/>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Chidi Anselm Odinkalu and Joy Ngozi Ezeilo, </w:t>
      </w:r>
      <w:r>
        <w:rPr>
          <w:rFonts w:ascii="Times New Roman" w:cs="Times New Roman" w:hAnsi="Times New Roman"/>
          <w:i/>
          <w:iCs/>
          <w:sz w:val="20"/>
          <w:szCs w:val="20"/>
        </w:rPr>
        <w:t>Dialectics of Rights: The Rights of Suspects and Accused</w:t>
      </w:r>
    </w:p>
    <w:p>
      <w:pPr>
        <w:pStyle w:val="style157"/>
        <w:rPr>
          <w:rFonts w:ascii="Times New Roman" w:cs="Times New Roman" w:hAnsi="Times New Roman"/>
          <w:i/>
          <w:iCs/>
          <w:sz w:val="20"/>
          <w:szCs w:val="20"/>
        </w:rPr>
      </w:pPr>
      <w:r>
        <w:rPr>
          <w:rFonts w:ascii="Times New Roman" w:cs="Times New Roman" w:hAnsi="Times New Roman"/>
          <w:i/>
          <w:iCs/>
          <w:sz w:val="20"/>
          <w:szCs w:val="20"/>
        </w:rPr>
        <w:t xml:space="preserve">    Persons in Nigeria</w:t>
      </w:r>
      <w:r>
        <w:rPr>
          <w:rFonts w:ascii="Times New Roman" w:cs="Times New Roman" w:hAnsi="Times New Roman"/>
          <w:sz w:val="20"/>
          <w:szCs w:val="20"/>
        </w:rPr>
        <w:t xml:space="preserve"> (National Human Rights Commission, Abuja 2011) 268.</w:t>
      </w:r>
    </w:p>
  </w:footnote>
  <w:footnote w:id="3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YY Dadem, </w:t>
      </w:r>
      <w:r>
        <w:rPr>
          <w:rFonts w:ascii="Times New Roman" w:cs="Times New Roman" w:hAnsi="Times New Roman"/>
          <w:i/>
          <w:iCs/>
          <w:sz w:val="20"/>
          <w:szCs w:val="20"/>
        </w:rPr>
        <w:t>Criminal Law in Nigeria</w:t>
      </w:r>
      <w:r>
        <w:rPr>
          <w:rFonts w:ascii="Times New Roman" w:cs="Times New Roman" w:hAnsi="Times New Roman"/>
          <w:sz w:val="20"/>
          <w:szCs w:val="20"/>
        </w:rPr>
        <w:t xml:space="preserve"> (2nd edn, University of Jos Press, 2014) 112.</w:t>
      </w:r>
    </w:p>
  </w:footnote>
  <w:footnote w:id="3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Isah v The State [2017] 6 NWLR (Pt 1562) 524 (SC).</w:t>
      </w:r>
    </w:p>
  </w:footnote>
  <w:footnote w:id="3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Style w:val="style88"/>
          <w:rFonts w:ascii="Times New Roman" w:cs="Times New Roman" w:hAnsi="Times New Roman"/>
          <w:sz w:val="20"/>
          <w:szCs w:val="20"/>
        </w:rPr>
        <w:t xml:space="preserve"> </w:t>
      </w:r>
      <w:r>
        <w:rPr>
          <w:rFonts w:ascii="Times New Roman" w:cs="Times New Roman" w:hAnsi="Times New Roman"/>
          <w:iCs/>
          <w:sz w:val="20"/>
          <w:szCs w:val="20"/>
        </w:rPr>
        <w:t xml:space="preserve">OA Osikoya, </w:t>
      </w:r>
      <w:r>
        <w:rPr>
          <w:rFonts w:ascii="Times New Roman" w:cs="Times New Roman" w:hAnsi="Times New Roman"/>
          <w:i/>
          <w:iCs/>
          <w:sz w:val="20"/>
          <w:szCs w:val="20"/>
        </w:rPr>
        <w:t>Flawed Evidence: A Recipe for Wrongful Conviction in Nigeria</w:t>
      </w:r>
      <w:r>
        <w:rPr>
          <w:rFonts w:ascii="Times New Roman" w:cs="Times New Roman" w:hAnsi="Times New Roman"/>
          <w:iCs/>
          <w:sz w:val="20"/>
          <w:szCs w:val="20"/>
        </w:rPr>
        <w:t xml:space="preserve"> (Spectrum Books 2020) 52.</w:t>
      </w:r>
    </w:p>
  </w:footnote>
  <w:footnote w:id="3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SSA Wakili et al, ‘Legal Framework and Challenges Concerning Forensic Evidence in Nigeria’ (2026) 6(1)</w:t>
      </w:r>
    </w:p>
    <w:p>
      <w:pPr>
        <w:pStyle w:val="style157"/>
        <w:rPr>
          <w:rFonts w:ascii="Times New Roman" w:cs="Times New Roman" w:hAnsi="Times New Roman"/>
          <w:sz w:val="20"/>
          <w:szCs w:val="20"/>
        </w:rPr>
      </w:pPr>
      <w:r>
        <w:rPr>
          <w:rFonts w:ascii="Times New Roman" w:cs="Times New Roman" w:hAnsi="Times New Roman"/>
          <w:sz w:val="20"/>
          <w:szCs w:val="20"/>
        </w:rPr>
        <w:t xml:space="preserve">     </w:t>
      </w:r>
      <w:r>
        <w:rPr>
          <w:rStyle w:val="style88"/>
          <w:rFonts w:ascii="Times New Roman" w:cs="Times New Roman" w:hAnsi="Times New Roman"/>
          <w:sz w:val="20"/>
          <w:szCs w:val="20"/>
        </w:rPr>
        <w:t>International Journal of Criminal Justice Research</w:t>
      </w:r>
      <w:r>
        <w:rPr>
          <w:rFonts w:ascii="Times New Roman" w:cs="Times New Roman" w:hAnsi="Times New Roman"/>
          <w:sz w:val="20"/>
          <w:szCs w:val="20"/>
        </w:rPr>
        <w:t xml:space="preserve"> 112.</w:t>
      </w:r>
    </w:p>
  </w:footnote>
  <w:footnote w:id="40">
    <w:p>
      <w:pPr>
        <w:pStyle w:val="style157"/>
        <w:rPr>
          <w:rFonts w:ascii="Times New Roman" w:cs="Times New Roman" w:hAnsi="Times New Roman"/>
          <w:i/>
          <w:iCs/>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EN Okafor, ‘Justice Delayed in Nigerian Courts: Causes, Effects and Way Forward’ (2026) 3(1) </w:t>
      </w:r>
      <w:r>
        <w:rPr>
          <w:rFonts w:ascii="Times New Roman" w:cs="Times New Roman" w:hAnsi="Times New Roman"/>
          <w:i/>
          <w:iCs/>
          <w:sz w:val="20"/>
          <w:szCs w:val="20"/>
        </w:rPr>
        <w:t>African</w:t>
      </w:r>
    </w:p>
    <w:p>
      <w:pPr>
        <w:pStyle w:val="style157"/>
        <w:rPr>
          <w:rFonts w:ascii="Times New Roman" w:cs="Times New Roman" w:hAnsi="Times New Roman"/>
          <w:i/>
          <w:iCs/>
          <w:sz w:val="20"/>
          <w:szCs w:val="20"/>
        </w:rPr>
      </w:pPr>
      <w:r>
        <w:rPr>
          <w:rFonts w:ascii="Times New Roman" w:cs="Times New Roman" w:hAnsi="Times New Roman"/>
          <w:i/>
          <w:iCs/>
          <w:sz w:val="20"/>
          <w:szCs w:val="20"/>
        </w:rPr>
        <w:t xml:space="preserve">    Journal of Law, Educational and Social Issues</w:t>
      </w:r>
      <w:r>
        <w:rPr>
          <w:rFonts w:ascii="Times New Roman" w:cs="Times New Roman" w:hAnsi="Times New Roman"/>
          <w:sz w:val="20"/>
          <w:szCs w:val="20"/>
        </w:rPr>
        <w:t xml:space="preserve"> 44.</w:t>
      </w:r>
    </w:p>
  </w:footnote>
  <w:footnote w:id="4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O Oko, "The Problems of Criminal Justice Administration in Nigeria" (2005) </w:t>
      </w:r>
      <w:r>
        <w:rPr>
          <w:rStyle w:val="style88"/>
          <w:rFonts w:ascii="Times New Roman" w:cs="Times New Roman" w:hAnsi="Times New Roman"/>
          <w:sz w:val="20"/>
          <w:szCs w:val="20"/>
        </w:rPr>
        <w:t>Journal of African Law</w:t>
      </w:r>
      <w:r>
        <w:rPr>
          <w:rFonts w:ascii="Times New Roman" w:cs="Times New Roman" w:hAnsi="Times New Roman"/>
          <w:sz w:val="20"/>
          <w:szCs w:val="20"/>
        </w:rPr>
        <w:t xml:space="preserve"> 49.</w:t>
      </w:r>
    </w:p>
  </w:footnote>
  <w:footnote w:id="4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Viviane Saleh-Hanna, </w:t>
      </w:r>
      <w:r>
        <w:rPr>
          <w:rStyle w:val="style88"/>
          <w:rFonts w:ascii="Times New Roman" w:cs="Times New Roman" w:hAnsi="Times New Roman"/>
          <w:sz w:val="20"/>
          <w:szCs w:val="20"/>
        </w:rPr>
        <w:t>Colonial Systems of Control: Criminal Justice in Nigeria</w:t>
      </w:r>
      <w:r>
        <w:rPr>
          <w:rFonts w:ascii="Times New Roman" w:cs="Times New Roman" w:hAnsi="Times New Roman"/>
          <w:sz w:val="20"/>
          <w:szCs w:val="20"/>
        </w:rPr>
        <w:t xml:space="preserve"> (University of Ottawa Press</w:t>
      </w:r>
    </w:p>
    <w:p>
      <w:pPr>
        <w:pStyle w:val="style157"/>
        <w:rPr>
          <w:rFonts w:ascii="Times New Roman" w:cs="Times New Roman" w:hAnsi="Times New Roman"/>
          <w:sz w:val="20"/>
          <w:szCs w:val="20"/>
        </w:rPr>
      </w:pPr>
      <w:r>
        <w:rPr>
          <w:rFonts w:ascii="Times New Roman" w:cs="Times New Roman" w:hAnsi="Times New Roman"/>
          <w:sz w:val="20"/>
          <w:szCs w:val="20"/>
        </w:rPr>
        <w:t xml:space="preserve">    2007)15.</w:t>
      </w:r>
    </w:p>
  </w:footnote>
  <w:footnote w:id="4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F Oditah, ‘Evidential Burden in Criminal Trials’ (1995) </w:t>
      </w:r>
      <w:r>
        <w:rPr>
          <w:rFonts w:ascii="Times New Roman" w:cs="Times New Roman" w:hAnsi="Times New Roman"/>
          <w:i/>
          <w:iCs/>
          <w:sz w:val="20"/>
          <w:szCs w:val="20"/>
        </w:rPr>
        <w:t>Nigerian Current Law Review</w:t>
      </w:r>
      <w:r>
        <w:rPr>
          <w:rFonts w:ascii="Times New Roman" w:cs="Times New Roman" w:hAnsi="Times New Roman"/>
          <w:sz w:val="20"/>
          <w:szCs w:val="20"/>
        </w:rPr>
        <w:t xml:space="preserve"> 25.</w:t>
      </w:r>
    </w:p>
  </w:footnote>
  <w:footnote w:id="4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CK Agomo, </w:t>
      </w:r>
      <w:r>
        <w:rPr>
          <w:rFonts w:ascii="Times New Roman" w:cs="Times New Roman" w:hAnsi="Times New Roman"/>
          <w:i/>
          <w:iCs/>
          <w:sz w:val="20"/>
          <w:szCs w:val="20"/>
        </w:rPr>
        <w:t>Women and Criminal Justice in Nigeria</w:t>
      </w:r>
      <w:r>
        <w:rPr>
          <w:rFonts w:ascii="Times New Roman" w:cs="Times New Roman" w:hAnsi="Times New Roman"/>
          <w:sz w:val="20"/>
          <w:szCs w:val="20"/>
        </w:rPr>
        <w:t xml:space="preserve"> (Lagos: University of Lagos Press, 2002) 45.</w:t>
      </w:r>
    </w:p>
  </w:footnote>
  <w:footnote w:id="45">
    <w:p>
      <w:pPr>
        <w:pStyle w:val="style157"/>
        <w:rPr>
          <w:rFonts w:ascii="Times New Roman" w:cs="Times New Roman" w:hAnsi="Times New Roman"/>
          <w:i/>
          <w:iCs/>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AO Bello, ‘The Administration of Criminal Justice Act 2015: A Critical Appraisal’ (2016) 47 </w:t>
      </w:r>
      <w:r>
        <w:rPr>
          <w:rFonts w:ascii="Times New Roman" w:cs="Times New Roman" w:hAnsi="Times New Roman"/>
          <w:i/>
          <w:iCs/>
          <w:sz w:val="20"/>
          <w:szCs w:val="20"/>
        </w:rPr>
        <w:t>Journal of</w:t>
      </w:r>
    </w:p>
    <w:p>
      <w:pPr>
        <w:pStyle w:val="style157"/>
        <w:rPr>
          <w:rFonts w:ascii="Times New Roman" w:cs="Times New Roman" w:hAnsi="Times New Roman"/>
          <w:i/>
          <w:iCs/>
          <w:sz w:val="20"/>
          <w:szCs w:val="20"/>
        </w:rPr>
      </w:pPr>
      <w:r>
        <w:rPr>
          <w:rFonts w:ascii="Times New Roman" w:cs="Times New Roman" w:hAnsi="Times New Roman"/>
          <w:i/>
          <w:iCs/>
          <w:sz w:val="20"/>
          <w:szCs w:val="20"/>
        </w:rPr>
        <w:t xml:space="preserve">    Law, Policy and Globalization</w:t>
      </w:r>
      <w:r>
        <w:rPr>
          <w:rFonts w:ascii="Times New Roman" w:cs="Times New Roman" w:hAnsi="Times New Roman"/>
          <w:sz w:val="20"/>
          <w:szCs w:val="20"/>
        </w:rPr>
        <w:t xml:space="preserve"> 106.</w:t>
      </w:r>
    </w:p>
  </w:footnote>
  <w:footnote w:id="46">
    <w:p>
      <w:pPr>
        <w:pStyle w:val="style157"/>
        <w:rPr>
          <w:rFonts w:ascii="Times New Roman" w:cs="Times New Roman" w:hAnsi="Times New Roman"/>
          <w:bCs/>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w:t>
      </w:r>
      <w:r>
        <w:rPr>
          <w:rFonts w:ascii="Times New Roman" w:cs="Times New Roman" w:hAnsi="Times New Roman"/>
          <w:bCs/>
          <w:sz w:val="20"/>
          <w:szCs w:val="20"/>
        </w:rPr>
        <w:t>DI Nte, ‘An Evaluation of the Challenges of Forensic Investigation and Unsolved Murders in Nigeria’</w:t>
      </w:r>
    </w:p>
    <w:p>
      <w:pPr>
        <w:pStyle w:val="style157"/>
        <w:rPr>
          <w:rFonts w:ascii="Times New Roman" w:cs="Times New Roman" w:hAnsi="Times New Roman"/>
          <w:i/>
          <w:iCs/>
          <w:sz w:val="20"/>
          <w:szCs w:val="20"/>
        </w:rPr>
      </w:pPr>
      <w:r>
        <w:rPr>
          <w:rFonts w:ascii="Times New Roman" w:cs="Times New Roman" w:hAnsi="Times New Roman"/>
          <w:bCs/>
          <w:sz w:val="20"/>
          <w:szCs w:val="20"/>
        </w:rPr>
        <w:t xml:space="preserve">    (2012) 6(1) </w:t>
      </w:r>
      <w:r>
        <w:rPr>
          <w:rFonts w:ascii="Times New Roman" w:cs="Times New Roman" w:hAnsi="Times New Roman"/>
          <w:bCs/>
          <w:i/>
          <w:iCs/>
          <w:sz w:val="20"/>
          <w:szCs w:val="20"/>
        </w:rPr>
        <w:t>African Journal of Criminology and Justice Studies</w:t>
      </w:r>
      <w:r>
        <w:rPr>
          <w:rFonts w:ascii="Times New Roman" w:cs="Times New Roman" w:hAnsi="Times New Roman"/>
          <w:bCs/>
          <w:sz w:val="20"/>
          <w:szCs w:val="20"/>
        </w:rPr>
        <w:t xml:space="preserve"> 143.</w:t>
      </w:r>
    </w:p>
  </w:footnote>
  <w:footnote w:id="4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T Akinola Aguda, </w:t>
      </w:r>
      <w:r>
        <w:rPr>
          <w:rStyle w:val="style88"/>
          <w:rFonts w:ascii="Times New Roman" w:cs="Times New Roman" w:hAnsi="Times New Roman"/>
          <w:sz w:val="20"/>
          <w:szCs w:val="20"/>
        </w:rPr>
        <w:t>Criminal Law and Procedure in the Southern States of Nigeria</w:t>
      </w:r>
      <w:r>
        <w:rPr>
          <w:rFonts w:ascii="Times New Roman" w:cs="Times New Roman" w:hAnsi="Times New Roman"/>
          <w:sz w:val="20"/>
          <w:szCs w:val="20"/>
        </w:rPr>
        <w:t xml:space="preserve"> (3rd edn, Sweet &amp; Maxwell</w:t>
      </w:r>
      <w:r>
        <w:rPr>
          <w:rFonts w:ascii="Times New Roman" w:cs="Times New Roman" w:hAnsi="Times New Roman"/>
          <w:sz w:val="20"/>
          <w:szCs w:val="20"/>
        </w:rPr>
        <w:t xml:space="preserve"> </w:t>
      </w:r>
    </w:p>
    <w:p>
      <w:pPr>
        <w:pStyle w:val="style157"/>
        <w:rPr>
          <w:rFonts w:ascii="Times New Roman" w:cs="Times New Roman" w:hAnsi="Times New Roman"/>
          <w:sz w:val="20"/>
          <w:szCs w:val="20"/>
        </w:rPr>
      </w:pPr>
      <w:r>
        <w:rPr>
          <w:rFonts w:ascii="Times New Roman" w:cs="Times New Roman" w:hAnsi="Times New Roman"/>
          <w:sz w:val="20"/>
          <w:szCs w:val="20"/>
        </w:rPr>
        <w:t xml:space="preserve">     </w:t>
      </w:r>
      <w:r>
        <w:rPr>
          <w:rFonts w:ascii="Times New Roman" w:cs="Times New Roman" w:hAnsi="Times New Roman"/>
          <w:sz w:val="20"/>
          <w:szCs w:val="20"/>
        </w:rPr>
        <w:t>1982) 98.</w:t>
      </w:r>
    </w:p>
  </w:footnote>
  <w:footnote w:id="4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Motunrayo Ope-Ogunseitan, ‘Forensics: The Missing Link in Nigerian Criminal Investigation’ (2016) 2</w:t>
      </w:r>
    </w:p>
    <w:p>
      <w:pPr>
        <w:pStyle w:val="style157"/>
        <w:rPr>
          <w:rFonts w:ascii="Times New Roman" w:cs="Times New Roman" w:hAnsi="Times New Roman"/>
          <w:i/>
          <w:iCs/>
          <w:sz w:val="20"/>
          <w:szCs w:val="20"/>
        </w:rPr>
      </w:pPr>
      <w:r>
        <w:rPr>
          <w:rFonts w:ascii="Times New Roman" w:cs="Times New Roman" w:hAnsi="Times New Roman"/>
          <w:i/>
          <w:iCs/>
          <w:sz w:val="20"/>
          <w:szCs w:val="20"/>
        </w:rPr>
        <w:t xml:space="preserve">    Journal of  the Mooting Society, University of Lagos</w:t>
      </w:r>
      <w:r>
        <w:rPr>
          <w:rFonts w:ascii="Times New Roman" w:cs="Times New Roman" w:hAnsi="Times New Roman"/>
          <w:sz w:val="20"/>
          <w:szCs w:val="20"/>
        </w:rPr>
        <w:t xml:space="preserve"> 67.</w:t>
      </w:r>
    </w:p>
  </w:footnote>
  <w:footnote w:id="4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Eghosa E Ekhator, ‘The Role of the Administration of Criminal Justice Act 2015 in Enhancing Anti-Corruption</w:t>
      </w:r>
    </w:p>
    <w:p>
      <w:pPr>
        <w:pStyle w:val="style157"/>
        <w:rPr>
          <w:rFonts w:ascii="Times New Roman" w:cs="Times New Roman" w:hAnsi="Times New Roman"/>
          <w:sz w:val="20"/>
          <w:szCs w:val="20"/>
        </w:rPr>
      </w:pPr>
      <w:r>
        <w:rPr>
          <w:rFonts w:ascii="Times New Roman" w:cs="Times New Roman" w:hAnsi="Times New Roman"/>
          <w:sz w:val="20"/>
          <w:szCs w:val="20"/>
        </w:rPr>
        <w:t xml:space="preserve">    Efforts in Nigeria’ (2019) 27(3) </w:t>
      </w:r>
      <w:r>
        <w:rPr>
          <w:rFonts w:ascii="Times New Roman" w:cs="Times New Roman" w:hAnsi="Times New Roman"/>
          <w:i/>
          <w:iCs/>
          <w:sz w:val="20"/>
          <w:szCs w:val="20"/>
        </w:rPr>
        <w:t>African Journal of International and Comparative Law</w:t>
      </w:r>
      <w:r>
        <w:rPr>
          <w:rFonts w:ascii="Times New Roman" w:cs="Times New Roman" w:hAnsi="Times New Roman"/>
          <w:sz w:val="20"/>
          <w:szCs w:val="20"/>
        </w:rPr>
        <w:t xml:space="preserve"> 412.</w:t>
      </w:r>
    </w:p>
  </w:footnote>
  <w:footnote w:id="5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ACJA 2015, s 270.</w:t>
      </w:r>
    </w:p>
  </w:footnote>
  <w:footnote w:id="51">
    <w:p>
      <w:pPr>
        <w:pStyle w:val="style157"/>
        <w:rPr>
          <w:rFonts w:ascii="Times New Roman" w:cs="Times New Roman" w:hAnsi="Times New Roman"/>
          <w:i/>
          <w:iCs/>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AA Adeyemi, ‘The Challenges of Criminal Justice Administration in Nigeria’ (1989) </w:t>
      </w:r>
      <w:r>
        <w:rPr>
          <w:rFonts w:ascii="Times New Roman" w:cs="Times New Roman" w:hAnsi="Times New Roman"/>
          <w:i/>
          <w:iCs/>
          <w:sz w:val="20"/>
          <w:szCs w:val="20"/>
        </w:rPr>
        <w:t>Nigerian Institute of</w:t>
      </w:r>
    </w:p>
    <w:p>
      <w:pPr>
        <w:pStyle w:val="style157"/>
        <w:rPr>
          <w:rFonts w:ascii="Times New Roman" w:cs="Times New Roman" w:hAnsi="Times New Roman"/>
          <w:i/>
          <w:iCs/>
          <w:sz w:val="20"/>
          <w:szCs w:val="20"/>
        </w:rPr>
      </w:pPr>
      <w:r>
        <w:rPr>
          <w:rFonts w:ascii="Times New Roman" w:cs="Times New Roman" w:hAnsi="Times New Roman"/>
          <w:i/>
          <w:iCs/>
          <w:sz w:val="20"/>
          <w:szCs w:val="20"/>
        </w:rPr>
        <w:t xml:space="preserve">    Advanced Legal Studies Journal</w:t>
      </w:r>
      <w:r>
        <w:rPr>
          <w:rFonts w:ascii="Times New Roman" w:cs="Times New Roman" w:hAnsi="Times New Roman"/>
          <w:sz w:val="20"/>
          <w:szCs w:val="20"/>
        </w:rPr>
        <w:t xml:space="preserve"> 20.</w:t>
      </w:r>
    </w:p>
  </w:footnote>
  <w:footnote w:id="5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CO Okonkwo and ME Naish, </w:t>
      </w:r>
      <w:r>
        <w:rPr>
          <w:rFonts w:ascii="Times New Roman" w:cs="Times New Roman" w:hAnsi="Times New Roman"/>
          <w:i/>
          <w:iCs/>
          <w:sz w:val="20"/>
          <w:szCs w:val="20"/>
        </w:rPr>
        <w:t>Criminal Law in Nigeria</w:t>
      </w:r>
      <w:r>
        <w:rPr>
          <w:rFonts w:ascii="Times New Roman" w:cs="Times New Roman" w:hAnsi="Times New Roman"/>
          <w:sz w:val="20"/>
          <w:szCs w:val="20"/>
        </w:rPr>
        <w:t xml:space="preserve"> (2nd edn, London: Sweet &amp; Maxwell 1980) 211.</w:t>
      </w:r>
    </w:p>
  </w:footnote>
  <w:footnote w:id="5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Dele Farotimi, </w:t>
      </w:r>
      <w:r>
        <w:rPr>
          <w:rFonts w:ascii="Times New Roman" w:cs="Times New Roman" w:hAnsi="Times New Roman"/>
          <w:i/>
          <w:iCs/>
          <w:sz w:val="20"/>
          <w:szCs w:val="20"/>
        </w:rPr>
        <w:t>Nigeria and Its Criminal Justice System</w:t>
      </w:r>
      <w:r>
        <w:rPr>
          <w:rFonts w:ascii="Times New Roman" w:cs="Times New Roman" w:hAnsi="Times New Roman"/>
          <w:sz w:val="20"/>
          <w:szCs w:val="20"/>
        </w:rPr>
        <w:t xml:space="preserve"> (Lagos: Independently Published, 2024) 122.</w:t>
      </w:r>
    </w:p>
  </w:footnote>
  <w:footnote w:id="5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J Hall, </w:t>
      </w:r>
      <w:r>
        <w:rPr>
          <w:rFonts w:ascii="Times New Roman" w:cs="Times New Roman" w:hAnsi="Times New Roman"/>
          <w:i/>
          <w:iCs/>
          <w:sz w:val="20"/>
          <w:szCs w:val="20"/>
        </w:rPr>
        <w:t>General Principles of Criminal Law</w:t>
      </w:r>
      <w:r>
        <w:rPr>
          <w:rFonts w:ascii="Times New Roman" w:cs="Times New Roman" w:hAnsi="Times New Roman"/>
          <w:sz w:val="20"/>
          <w:szCs w:val="20"/>
        </w:rPr>
        <w:t xml:space="preserve"> (2nd edn, Bobbs-Merrill 1960) 110.</w:t>
      </w:r>
    </w:p>
  </w:footnote>
  <w:footnote w:id="55">
    <w:p>
      <w:pPr>
        <w:pStyle w:val="style157"/>
        <w:rPr>
          <w:rFonts w:ascii="Times New Roman" w:cs="Times New Roman" w:hAnsi="Times New Roman"/>
          <w:bCs/>
          <w:sz w:val="20"/>
          <w:szCs w:val="20"/>
        </w:rPr>
      </w:pPr>
      <w:r>
        <w:rPr>
          <w:rStyle w:val="style38"/>
          <w:rFonts w:ascii="Times New Roman" w:cs="Times New Roman" w:hAnsi="Times New Roman"/>
          <w:sz w:val="20"/>
          <w:szCs w:val="20"/>
        </w:rPr>
        <w:footnoteRef/>
      </w:r>
      <w:r>
        <w:rPr>
          <w:rFonts w:ascii="Times New Roman" w:cs="Times New Roman" w:hAnsi="Times New Roman"/>
          <w:bCs/>
          <w:sz w:val="20"/>
          <w:szCs w:val="20"/>
        </w:rPr>
        <w:t xml:space="preserve"> IKE Oraegbunam, ‘Criminal Liability Under the Nigerian Law: An Examination of the Liability of Non</w:t>
      </w:r>
    </w:p>
    <w:p>
      <w:pPr>
        <w:pStyle w:val="style157"/>
        <w:rPr>
          <w:rFonts w:ascii="Times New Roman" w:cs="Times New Roman" w:hAnsi="Times New Roman"/>
          <w:bCs/>
          <w:sz w:val="20"/>
          <w:szCs w:val="20"/>
        </w:rPr>
      </w:pPr>
      <w:r>
        <w:rPr>
          <w:rFonts w:ascii="Times New Roman" w:cs="Times New Roman" w:hAnsi="Times New Roman"/>
          <w:bCs/>
          <w:sz w:val="20"/>
          <w:szCs w:val="20"/>
        </w:rPr>
        <w:t xml:space="preserve">    Legal Entities’ (2022)&lt;</w:t>
      </w:r>
      <w:r>
        <w:rPr/>
        <w:fldChar w:fldCharType="begin"/>
      </w:r>
      <w:r>
        <w:instrText xml:space="preserve"> HYPERLINK "https://www.researchgate.net/" \t "_new" </w:instrText>
      </w:r>
      <w:r>
        <w:rPr/>
        <w:fldChar w:fldCharType="separate"/>
      </w:r>
      <w:r>
        <w:rPr>
          <w:rStyle w:val="style85"/>
          <w:rFonts w:ascii="Times New Roman" w:cs="Times New Roman" w:hAnsi="Times New Roman"/>
          <w:bCs/>
          <w:sz w:val="20"/>
          <w:szCs w:val="20"/>
        </w:rPr>
        <w:t>https://www.researchgate.net/</w:t>
      </w:r>
      <w:r>
        <w:rPr/>
        <w:fldChar w:fldCharType="end"/>
      </w:r>
      <w:r>
        <w:rPr>
          <w:rFonts w:ascii="Times New Roman" w:cs="Times New Roman" w:hAnsi="Times New Roman"/>
          <w:sz w:val="20"/>
          <w:szCs w:val="20"/>
        </w:rPr>
        <w:t>&gt;</w:t>
      </w:r>
      <w:r>
        <w:rPr>
          <w:rFonts w:ascii="Times New Roman" w:cs="Times New Roman" w:hAnsi="Times New Roman"/>
          <w:bCs/>
          <w:sz w:val="20"/>
          <w:szCs w:val="20"/>
        </w:rPr>
        <w:t xml:space="preserve"> accessed 11 April 2026.</w:t>
      </w:r>
    </w:p>
  </w:footnote>
  <w:footnote w:id="56">
    <w:p>
      <w:pPr>
        <w:pStyle w:val="style157"/>
        <w:rPr>
          <w:rFonts w:ascii="Times New Roman" w:cs="Times New Roman" w:hAnsi="Times New Roman"/>
          <w:i/>
          <w:iCs/>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Sir Edward Coke, </w:t>
      </w:r>
      <w:r>
        <w:rPr>
          <w:rFonts w:ascii="Times New Roman" w:cs="Times New Roman" w:hAnsi="Times New Roman"/>
          <w:i/>
          <w:iCs/>
          <w:sz w:val="20"/>
          <w:szCs w:val="20"/>
        </w:rPr>
        <w:t>The Third Part of the Institutes of the Laws of England: Concerning High Treason, and</w:t>
      </w:r>
    </w:p>
    <w:p>
      <w:pPr>
        <w:pStyle w:val="style157"/>
        <w:rPr>
          <w:rFonts w:ascii="Times New Roman" w:cs="Times New Roman" w:hAnsi="Times New Roman"/>
          <w:i/>
          <w:iCs/>
          <w:sz w:val="20"/>
          <w:szCs w:val="20"/>
        </w:rPr>
      </w:pPr>
      <w:r>
        <w:rPr>
          <w:rFonts w:ascii="Times New Roman" w:cs="Times New Roman" w:hAnsi="Times New Roman"/>
          <w:i/>
          <w:iCs/>
          <w:sz w:val="20"/>
          <w:szCs w:val="20"/>
        </w:rPr>
        <w:t xml:space="preserve">    Other Pleas of the Crown</w:t>
      </w:r>
      <w:r>
        <w:rPr>
          <w:rFonts w:ascii="Times New Roman" w:cs="Times New Roman" w:hAnsi="Times New Roman"/>
          <w:sz w:val="20"/>
          <w:szCs w:val="20"/>
        </w:rPr>
        <w:t xml:space="preserve"> (E &amp; R Brooke, 1847) 47.</w:t>
      </w:r>
    </w:p>
  </w:footnote>
  <w:footnote w:id="5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Padfield, </w:t>
      </w:r>
      <w:r>
        <w:rPr>
          <w:rFonts w:ascii="Times New Roman" w:cs="Times New Roman" w:hAnsi="Times New Roman"/>
          <w:i/>
          <w:iCs/>
          <w:sz w:val="20"/>
          <w:szCs w:val="20"/>
        </w:rPr>
        <w:t>Criminal Law</w:t>
      </w:r>
      <w:r>
        <w:rPr>
          <w:rFonts w:ascii="Times New Roman" w:cs="Times New Roman" w:hAnsi="Times New Roman"/>
          <w:sz w:val="20"/>
          <w:szCs w:val="20"/>
        </w:rPr>
        <w:t xml:space="preserve"> (10th edn, Oxford University Press 2022) 105.</w:t>
      </w:r>
    </w:p>
  </w:footnote>
  <w:footnote w:id="5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Joshua Dressler, </w:t>
      </w:r>
      <w:r>
        <w:rPr>
          <w:rFonts w:ascii="Times New Roman" w:cs="Times New Roman" w:hAnsi="Times New Roman"/>
          <w:i/>
          <w:iCs/>
          <w:sz w:val="20"/>
          <w:szCs w:val="20"/>
        </w:rPr>
        <w:t>Understanding Criminal Law</w:t>
      </w:r>
      <w:r>
        <w:rPr>
          <w:rFonts w:ascii="Times New Roman" w:cs="Times New Roman" w:hAnsi="Times New Roman"/>
          <w:sz w:val="20"/>
          <w:szCs w:val="20"/>
        </w:rPr>
        <w:t xml:space="preserve"> (8th edn, Carolina Academic Press 2022) 199.</w:t>
      </w:r>
    </w:p>
  </w:footnote>
  <w:footnote w:id="5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bCs/>
          <w:sz w:val="20"/>
          <w:szCs w:val="20"/>
        </w:rPr>
        <w:t xml:space="preserve"> Criminal Procedure Act, Cap C41, Laws of the Federation of Nigeria 2004, s 72.</w:t>
      </w:r>
    </w:p>
  </w:footnote>
  <w:footnote w:id="6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iCs/>
          <w:sz w:val="20"/>
          <w:szCs w:val="20"/>
        </w:rPr>
        <w:t xml:space="preserve"> (2017) LPELR-42101 (SC)</w:t>
      </w:r>
      <w:r>
        <w:rPr>
          <w:rFonts w:ascii="Times New Roman" w:cs="Times New Roman" w:hAnsi="Times New Roman"/>
          <w:sz w:val="20"/>
          <w:szCs w:val="20"/>
        </w:rPr>
        <w:t>.</w:t>
      </w:r>
    </w:p>
  </w:footnote>
  <w:footnote w:id="6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William Blackstone, </w:t>
      </w:r>
      <w:r>
        <w:rPr>
          <w:rStyle w:val="style88"/>
          <w:rFonts w:ascii="Times New Roman" w:cs="Times New Roman" w:hAnsi="Times New Roman"/>
          <w:sz w:val="20"/>
          <w:szCs w:val="20"/>
        </w:rPr>
        <w:t>Commentaries on the Laws of England</w:t>
      </w:r>
      <w:r>
        <w:rPr>
          <w:rFonts w:ascii="Times New Roman" w:cs="Times New Roman" w:hAnsi="Times New Roman"/>
          <w:sz w:val="20"/>
          <w:szCs w:val="20"/>
        </w:rPr>
        <w:t xml:space="preserve"> 4 (Clarendon Press 1769) 12.</w:t>
      </w:r>
    </w:p>
  </w:footnote>
  <w:footnote w:id="6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Criminal Code Act, Cap. C38, Laws of the Federation of Nigeria 2004, s 319(1). </w:t>
      </w:r>
    </w:p>
  </w:footnote>
  <w:footnote w:id="6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Criminal Code Act, Cap C38, Laws of the Federation of Nigeria 2004, s 317.</w:t>
      </w:r>
    </w:p>
  </w:footnote>
  <w:footnote w:id="64">
    <w:p>
      <w:pPr>
        <w:pStyle w:val="style157"/>
        <w:rPr>
          <w:rFonts w:ascii="Times New Roman" w:cs="Times New Roman" w:hAnsi="Times New Roman"/>
          <w:bCs/>
          <w:sz w:val="20"/>
          <w:szCs w:val="20"/>
        </w:rPr>
      </w:pPr>
      <w:r>
        <w:rPr>
          <w:rStyle w:val="style38"/>
          <w:rFonts w:ascii="Times New Roman" w:cs="Times New Roman" w:hAnsi="Times New Roman"/>
          <w:sz w:val="20"/>
          <w:szCs w:val="20"/>
        </w:rPr>
        <w:footnoteRef/>
      </w:r>
      <w:r>
        <w:rPr>
          <w:rFonts w:ascii="Times New Roman" w:cs="Times New Roman" w:hAnsi="Times New Roman"/>
          <w:bCs/>
          <w:sz w:val="20"/>
          <w:szCs w:val="20"/>
        </w:rPr>
        <w:t xml:space="preserve"> Ishie Johnson Emmanuel, 'Appraisal of the Defence of Provocation in Murder Cases Under Nigerian Criminal</w:t>
      </w:r>
    </w:p>
    <w:p>
      <w:pPr>
        <w:pStyle w:val="style157"/>
        <w:rPr>
          <w:rFonts w:ascii="Times New Roman" w:cs="Times New Roman" w:hAnsi="Times New Roman"/>
          <w:bCs/>
          <w:sz w:val="20"/>
          <w:szCs w:val="20"/>
        </w:rPr>
      </w:pPr>
      <w:r>
        <w:rPr>
          <w:rFonts w:ascii="Times New Roman" w:cs="Times New Roman" w:hAnsi="Times New Roman"/>
          <w:bCs/>
          <w:sz w:val="20"/>
          <w:szCs w:val="20"/>
        </w:rPr>
        <w:t xml:space="preserve">    Law' (Legal Ideas Forum, 5 January 2026) &lt;https://legalideasforum.com/appraisal-of-the-defence-of</w:t>
      </w:r>
    </w:p>
    <w:p>
      <w:pPr>
        <w:pStyle w:val="style157"/>
        <w:rPr>
          <w:rFonts w:ascii="Times New Roman" w:cs="Times New Roman" w:hAnsi="Times New Roman"/>
          <w:bCs/>
          <w:sz w:val="20"/>
          <w:szCs w:val="20"/>
        </w:rPr>
      </w:pPr>
      <w:r>
        <w:rPr>
          <w:rFonts w:ascii="Times New Roman" w:cs="Times New Roman" w:hAnsi="Times New Roman"/>
          <w:bCs/>
          <w:sz w:val="20"/>
          <w:szCs w:val="20"/>
        </w:rPr>
        <w:t xml:space="preserve">    provocation-in-murder-cases-under-nigerian-criminal-law.html&gt;</w:t>
      </w:r>
      <w:r>
        <w:rPr>
          <w:rFonts w:ascii="Times New Roman" w:cs="Times New Roman" w:hAnsi="Times New Roman"/>
          <w:sz w:val="20"/>
          <w:szCs w:val="20"/>
        </w:rPr>
        <w:t xml:space="preserve"> accessed 11 April 2026.</w:t>
      </w:r>
    </w:p>
  </w:footnote>
  <w:footnote w:id="65">
    <w:p>
      <w:pPr>
        <w:pStyle w:val="style157"/>
        <w:rPr>
          <w:rFonts w:ascii="Times New Roman" w:cs="Times New Roman" w:hAnsi="Times New Roman"/>
          <w:i/>
          <w:iCs/>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MB Hossain and ST Rahi, ‘Murder: A Critical Analysis of the Common Law Definition’ (2018) 9(3) </w:t>
      </w:r>
      <w:r>
        <w:rPr>
          <w:rFonts w:ascii="Times New Roman" w:cs="Times New Roman" w:hAnsi="Times New Roman"/>
          <w:i/>
          <w:iCs/>
          <w:sz w:val="20"/>
          <w:szCs w:val="20"/>
        </w:rPr>
        <w:t>Beijing</w:t>
      </w:r>
    </w:p>
    <w:p>
      <w:pPr>
        <w:pStyle w:val="style157"/>
        <w:rPr>
          <w:rFonts w:ascii="Times New Roman" w:cs="Times New Roman" w:hAnsi="Times New Roman"/>
          <w:i/>
          <w:iCs/>
          <w:sz w:val="20"/>
          <w:szCs w:val="20"/>
        </w:rPr>
      </w:pPr>
      <w:r>
        <w:rPr>
          <w:rFonts w:ascii="Times New Roman" w:cs="Times New Roman" w:hAnsi="Times New Roman"/>
          <w:i/>
          <w:iCs/>
          <w:sz w:val="20"/>
          <w:szCs w:val="20"/>
        </w:rPr>
        <w:t xml:space="preserve">    Law  Review</w:t>
      </w:r>
      <w:r>
        <w:rPr>
          <w:rFonts w:ascii="Times New Roman" w:cs="Times New Roman" w:hAnsi="Times New Roman"/>
          <w:sz w:val="20"/>
          <w:szCs w:val="20"/>
        </w:rPr>
        <w:t xml:space="preserve"> 460.</w:t>
      </w:r>
    </w:p>
  </w:footnote>
  <w:footnote w:id="6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P Murphy, </w:t>
      </w:r>
      <w:r>
        <w:rPr>
          <w:rFonts w:ascii="Times New Roman" w:cs="Times New Roman" w:hAnsi="Times New Roman"/>
          <w:i/>
          <w:iCs/>
          <w:sz w:val="20"/>
          <w:szCs w:val="20"/>
        </w:rPr>
        <w:t>Murphy on Evidence</w:t>
      </w:r>
      <w:r>
        <w:rPr>
          <w:rFonts w:ascii="Times New Roman" w:cs="Times New Roman" w:hAnsi="Times New Roman"/>
          <w:sz w:val="20"/>
          <w:szCs w:val="20"/>
        </w:rPr>
        <w:t xml:space="preserve"> (11th edn, Oxford: Oxford University Press, 2009) 213.</w:t>
      </w:r>
    </w:p>
  </w:footnote>
  <w:footnote w:id="67">
    <w:p>
      <w:pPr>
        <w:pStyle w:val="style157"/>
        <w:rPr>
          <w:rFonts w:ascii="Times New Roman" w:cs="Times New Roman" w:hAnsi="Times New Roman"/>
          <w:b/>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w:t>
      </w:r>
      <w:r>
        <w:rPr>
          <w:rFonts w:ascii="Times New Roman" w:cs="Times New Roman" w:hAnsi="Times New Roman"/>
          <w:bCs/>
          <w:sz w:val="20"/>
          <w:szCs w:val="20"/>
        </w:rPr>
        <w:t>Bakare v State (1987) 1 NWLR (Pt 52) 579.</w:t>
      </w:r>
    </w:p>
  </w:footnote>
  <w:footnote w:id="6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Dibie v The State</w:t>
      </w:r>
      <w:r>
        <w:rPr>
          <w:rFonts w:ascii="Times New Roman" w:cs="Times New Roman" w:hAnsi="Times New Roman"/>
          <w:color w:val="f3e8ff"/>
          <w:sz w:val="20"/>
          <w:szCs w:val="20"/>
          <w:shd w:val="clear" w:color="auto" w:fill="ffffff"/>
        </w:rPr>
        <w:t xml:space="preserve"> </w:t>
      </w:r>
      <w:r>
        <w:rPr>
          <w:rFonts w:ascii="Times New Roman" w:cs="Times New Roman" w:hAnsi="Times New Roman"/>
          <w:sz w:val="20"/>
          <w:szCs w:val="20"/>
        </w:rPr>
        <w:t>(1987) JELR 42730 (SC).</w:t>
      </w:r>
    </w:p>
  </w:footnote>
  <w:footnote w:id="6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2011, No. 18 of 2011, s. 135(1).</w:t>
      </w:r>
      <w:r>
        <w:rPr>
          <w:rFonts w:ascii="Times New Roman" w:cs="Times New Roman" w:hAnsi="Times New Roman"/>
          <w:sz w:val="20"/>
          <w:szCs w:val="20"/>
        </w:rPr>
        <w:tab/>
      </w:r>
    </w:p>
  </w:footnote>
  <w:footnote w:id="7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Harvie Wilkinson III, ‘The Presumption of Civil Innocence’ (2018) 104 </w:t>
      </w:r>
      <w:r>
        <w:rPr>
          <w:rFonts w:ascii="Times New Roman" w:cs="Times New Roman" w:hAnsi="Times New Roman"/>
          <w:i/>
          <w:iCs/>
          <w:sz w:val="20"/>
          <w:szCs w:val="20"/>
        </w:rPr>
        <w:t>Virginia Law Review</w:t>
      </w:r>
      <w:r>
        <w:rPr>
          <w:rFonts w:ascii="Times New Roman" w:cs="Times New Roman" w:hAnsi="Times New Roman"/>
          <w:sz w:val="20"/>
          <w:szCs w:val="20"/>
        </w:rPr>
        <w:t xml:space="preserve"> 589,102.</w:t>
      </w:r>
    </w:p>
  </w:footnote>
  <w:footnote w:id="71">
    <w:p>
      <w:pPr>
        <w:pStyle w:val="style157"/>
        <w:rPr>
          <w:rFonts w:ascii="Times New Roman" w:cs="Times New Roman" w:hAnsi="Times New Roman"/>
          <w:b/>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w:t>
      </w:r>
      <w:r>
        <w:rPr>
          <w:rFonts w:ascii="Times New Roman" w:cs="Times New Roman" w:hAnsi="Times New Roman"/>
          <w:bCs/>
          <w:sz w:val="20"/>
          <w:szCs w:val="20"/>
        </w:rPr>
        <w:t>(1987) 1 NWLR (Pt 52) 579.</w:t>
      </w:r>
    </w:p>
  </w:footnote>
  <w:footnote w:id="7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DA Nance, ‘What Makes Evidence Sufficient?’ (2023) 65(2) </w:t>
      </w:r>
      <w:r>
        <w:rPr>
          <w:rFonts w:ascii="Times New Roman" w:cs="Times New Roman" w:hAnsi="Times New Roman"/>
          <w:i/>
          <w:iCs/>
          <w:sz w:val="20"/>
          <w:szCs w:val="20"/>
        </w:rPr>
        <w:t>Arizona Law Review</w:t>
      </w:r>
      <w:r>
        <w:rPr>
          <w:rFonts w:ascii="Times New Roman" w:cs="Times New Roman" w:hAnsi="Times New Roman"/>
          <w:sz w:val="20"/>
          <w:szCs w:val="20"/>
        </w:rPr>
        <w:t xml:space="preserve"> 431, 445.</w:t>
      </w:r>
    </w:p>
  </w:footnote>
  <w:footnote w:id="7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bCs/>
          <w:sz w:val="20"/>
          <w:szCs w:val="20"/>
        </w:rPr>
        <w:t xml:space="preserve"> Lori v State (1980) 8–11 SC 81.</w:t>
      </w:r>
    </w:p>
  </w:footnote>
  <w:footnote w:id="7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CFRN 1999 (as amended), s 36(5).</w:t>
      </w:r>
    </w:p>
  </w:footnote>
  <w:footnote w:id="7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(1992) 2 NWLR (Pt. 222) 164 at 198 (SC).</w:t>
      </w:r>
    </w:p>
  </w:footnote>
  <w:footnote w:id="7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CR Snyman, </w:t>
      </w:r>
      <w:r>
        <w:rPr>
          <w:rFonts w:ascii="Times New Roman" w:cs="Times New Roman" w:hAnsi="Times New Roman"/>
          <w:i/>
          <w:iCs/>
          <w:sz w:val="20"/>
          <w:szCs w:val="20"/>
        </w:rPr>
        <w:t>Criminal Law</w:t>
      </w:r>
      <w:r>
        <w:rPr>
          <w:rFonts w:ascii="Times New Roman" w:cs="Times New Roman" w:hAnsi="Times New Roman"/>
          <w:sz w:val="20"/>
          <w:szCs w:val="20"/>
        </w:rPr>
        <w:t xml:space="preserve"> (7th edn, LexisNexis 2020) 123.</w:t>
      </w:r>
    </w:p>
  </w:footnote>
  <w:footnote w:id="7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 Oputa, ‘Proof of Guilt in Criminal Cases’ (1977/78) 11 </w:t>
      </w:r>
      <w:r>
        <w:rPr>
          <w:rFonts w:ascii="Times New Roman" w:cs="Times New Roman" w:hAnsi="Times New Roman"/>
          <w:i/>
          <w:iCs/>
          <w:sz w:val="20"/>
          <w:szCs w:val="20"/>
        </w:rPr>
        <w:t>Nigerian Law Journal</w:t>
      </w:r>
      <w:r>
        <w:rPr>
          <w:rFonts w:ascii="Times New Roman" w:cs="Times New Roman" w:hAnsi="Times New Roman"/>
          <w:sz w:val="20"/>
          <w:szCs w:val="20"/>
        </w:rPr>
        <w:t xml:space="preserve"> 24, 26.</w:t>
      </w:r>
    </w:p>
  </w:footnote>
  <w:footnote w:id="7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i/>
          <w:iCs/>
          <w:sz w:val="20"/>
          <w:szCs w:val="20"/>
        </w:rPr>
        <w:t xml:space="preserve"> </w:t>
      </w:r>
      <w:r>
        <w:rPr>
          <w:rFonts w:ascii="Times New Roman" w:cs="Times New Roman" w:hAnsi="Times New Roman"/>
          <w:iCs/>
          <w:sz w:val="20"/>
          <w:szCs w:val="20"/>
        </w:rPr>
        <w:t>Babuga v. The State</w:t>
      </w:r>
      <w:r>
        <w:rPr>
          <w:rFonts w:ascii="Times New Roman" w:cs="Times New Roman" w:hAnsi="Times New Roman"/>
          <w:i/>
          <w:iCs/>
          <w:sz w:val="20"/>
          <w:szCs w:val="20"/>
        </w:rPr>
        <w:t xml:space="preserve"> (1996) 7 NWLR (Pt. 460) 279 at 296.</w:t>
      </w:r>
    </w:p>
  </w:footnote>
  <w:footnote w:id="79">
    <w:p>
      <w:pPr>
        <w:pStyle w:val="style157"/>
        <w:rPr>
          <w:rFonts w:ascii="Times New Roman" w:cs="Times New Roman" w:hAnsi="Times New Roman"/>
          <w:i/>
          <w:iCs/>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CC Wigwe, ‘Causation in Unlawful Homicide: A Functional Appraisal’ (2009) 5(1) </w:t>
      </w:r>
      <w:r>
        <w:rPr>
          <w:rFonts w:ascii="Times New Roman" w:cs="Times New Roman" w:hAnsi="Times New Roman"/>
          <w:i/>
          <w:iCs/>
          <w:sz w:val="20"/>
          <w:szCs w:val="20"/>
        </w:rPr>
        <w:t>Journal of</w:t>
      </w:r>
    </w:p>
    <w:p>
      <w:pPr>
        <w:pStyle w:val="style157"/>
        <w:rPr>
          <w:rFonts w:ascii="Times New Roman" w:cs="Times New Roman" w:hAnsi="Times New Roman"/>
          <w:i/>
          <w:iCs/>
          <w:sz w:val="20"/>
          <w:szCs w:val="20"/>
        </w:rPr>
      </w:pPr>
      <w:r>
        <w:rPr>
          <w:rFonts w:ascii="Times New Roman" w:cs="Times New Roman" w:hAnsi="Times New Roman"/>
          <w:i/>
          <w:iCs/>
          <w:sz w:val="20"/>
          <w:szCs w:val="20"/>
        </w:rPr>
        <w:t xml:space="preserve">      Jurisprudence and Contemporary Issues</w:t>
      </w:r>
      <w:r>
        <w:rPr>
          <w:rFonts w:ascii="Times New Roman" w:cs="Times New Roman" w:hAnsi="Times New Roman"/>
          <w:sz w:val="20"/>
          <w:szCs w:val="20"/>
        </w:rPr>
        <w:t xml:space="preserve"> 49, 55.</w:t>
      </w:r>
    </w:p>
  </w:footnote>
  <w:footnote w:id="8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T Akinola Aguda, </w:t>
      </w:r>
      <w:r>
        <w:rPr>
          <w:rFonts w:ascii="Times New Roman" w:cs="Times New Roman" w:hAnsi="Times New Roman"/>
          <w:i/>
          <w:iCs/>
          <w:sz w:val="20"/>
          <w:szCs w:val="20"/>
        </w:rPr>
        <w:t>Criminal Law and Procedure in the Southern States of Nigeria</w:t>
      </w:r>
      <w:r>
        <w:rPr>
          <w:rFonts w:ascii="Times New Roman" w:cs="Times New Roman" w:hAnsi="Times New Roman"/>
          <w:sz w:val="20"/>
          <w:szCs w:val="20"/>
        </w:rPr>
        <w:t xml:space="preserve"> (Sweet &amp; Maxwell, 1982);</w:t>
      </w:r>
    </w:p>
    <w:p>
      <w:pPr>
        <w:pStyle w:val="style157"/>
        <w:rPr>
          <w:rFonts w:ascii="Times New Roman" w:cs="Times New Roman" w:hAnsi="Times New Roman"/>
          <w:sz w:val="20"/>
          <w:szCs w:val="20"/>
        </w:rPr>
      </w:pPr>
      <w:r>
        <w:rPr>
          <w:rFonts w:ascii="Times New Roman" w:cs="Times New Roman" w:hAnsi="Times New Roman"/>
          <w:sz w:val="20"/>
          <w:szCs w:val="20"/>
        </w:rPr>
        <w:t xml:space="preserve">      Okonkwo and Naish, </w:t>
      </w:r>
      <w:r>
        <w:rPr>
          <w:rFonts w:ascii="Times New Roman" w:cs="Times New Roman" w:hAnsi="Times New Roman"/>
          <w:i/>
          <w:iCs/>
          <w:sz w:val="20"/>
          <w:szCs w:val="20"/>
        </w:rPr>
        <w:t>Criminal Law in Nigeria</w:t>
      </w:r>
      <w:r>
        <w:rPr>
          <w:rFonts w:ascii="Times New Roman" w:cs="Times New Roman" w:hAnsi="Times New Roman"/>
          <w:sz w:val="20"/>
          <w:szCs w:val="20"/>
        </w:rPr>
        <w:t xml:space="preserve"> (2nd edn, Sweet &amp; Maxwell, 2005), p 96.</w:t>
      </w:r>
    </w:p>
  </w:footnote>
  <w:footnote w:id="8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Criminal Code Act, Cap. C38, Laws of the Federation of Nigeria 2004, s. 316(1)-(6).</w:t>
      </w:r>
    </w:p>
  </w:footnote>
  <w:footnote w:id="8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CO Okonkwo, </w:t>
      </w:r>
      <w:r>
        <w:rPr>
          <w:rStyle w:val="style88"/>
          <w:rFonts w:ascii="Times New Roman" w:cs="Times New Roman" w:hAnsi="Times New Roman"/>
          <w:sz w:val="20"/>
          <w:szCs w:val="20"/>
        </w:rPr>
        <w:t>Criminal Law in Nigeria</w:t>
      </w:r>
      <w:r>
        <w:rPr>
          <w:rFonts w:ascii="Times New Roman" w:cs="Times New Roman" w:hAnsi="Times New Roman"/>
          <w:sz w:val="20"/>
          <w:szCs w:val="20"/>
        </w:rPr>
        <w:t xml:space="preserve"> (2nd edn, Spectrum Books Ltd 1990) 379.</w:t>
      </w:r>
    </w:p>
  </w:footnote>
  <w:footnote w:id="8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bCs/>
          <w:sz w:val="20"/>
          <w:szCs w:val="20"/>
        </w:rPr>
        <w:t xml:space="preserve"> Penal Code Law, 1959 (Northern Region No 18 of 1959), Section 221.</w:t>
      </w:r>
    </w:p>
  </w:footnote>
  <w:footnote w:id="8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Collins Okeke, Ginika Ikechukwu and Ayotomiwa Adebanjo, ‘The Offences of Murder, Culpable Homicide</w:t>
      </w:r>
    </w:p>
    <w:p>
      <w:pPr>
        <w:pStyle w:val="style157"/>
        <w:rPr>
          <w:rFonts w:ascii="Times New Roman" w:cs="Times New Roman" w:hAnsi="Times New Roman"/>
          <w:sz w:val="20"/>
          <w:szCs w:val="20"/>
        </w:rPr>
      </w:pPr>
      <w:r>
        <w:rPr>
          <w:rFonts w:ascii="Times New Roman" w:cs="Times New Roman" w:hAnsi="Times New Roman"/>
          <w:sz w:val="20"/>
          <w:szCs w:val="20"/>
        </w:rPr>
        <w:t xml:space="preserve">     an  Attempt-to-Murder in Nigeria’ (Mondaq, 6 August 2021)&lt;</w:t>
      </w:r>
      <w:r>
        <w:rPr/>
        <w:fldChar w:fldCharType="begin"/>
      </w:r>
      <w:r>
        <w:instrText xml:space="preserve"> HYPERLINK "https://www.mondaq.com" \t "_new" </w:instrText>
      </w:r>
      <w:r>
        <w:rPr/>
        <w:fldChar w:fldCharType="separate"/>
      </w:r>
      <w:r>
        <w:rPr>
          <w:rStyle w:val="style85"/>
          <w:rFonts w:ascii="Times New Roman" w:cs="Times New Roman" w:hAnsi="Times New Roman"/>
          <w:sz w:val="20"/>
          <w:szCs w:val="20"/>
        </w:rPr>
        <w:t>https://www.mondaq.com</w:t>
      </w:r>
      <w:r>
        <w:rPr/>
        <w:fldChar w:fldCharType="end"/>
      </w:r>
      <w:r>
        <w:rPr>
          <w:rFonts w:ascii="Times New Roman" w:cs="Times New Roman" w:hAnsi="Times New Roman"/>
          <w:sz w:val="20"/>
          <w:szCs w:val="20"/>
        </w:rPr>
        <w:t>&gt;accessed 9 Apri</w:t>
      </w:r>
    </w:p>
    <w:p>
      <w:pPr>
        <w:pStyle w:val="style157"/>
        <w:rPr>
          <w:rFonts w:ascii="Times New Roman" w:cs="Times New Roman" w:hAnsi="Times New Roman"/>
          <w:sz w:val="20"/>
          <w:szCs w:val="20"/>
        </w:rPr>
      </w:pPr>
      <w:r>
        <w:rPr>
          <w:rFonts w:ascii="Times New Roman" w:cs="Times New Roman" w:hAnsi="Times New Roman"/>
          <w:sz w:val="20"/>
          <w:szCs w:val="20"/>
        </w:rPr>
        <w:t xml:space="preserve">      2026.</w:t>
      </w:r>
    </w:p>
  </w:footnote>
  <w:footnote w:id="8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AA Ibidapo-Obe, </w:t>
      </w:r>
      <w:r>
        <w:rPr>
          <w:rStyle w:val="style88"/>
          <w:rFonts w:ascii="Times New Roman" w:cs="Times New Roman" w:hAnsi="Times New Roman"/>
          <w:sz w:val="20"/>
          <w:szCs w:val="20"/>
        </w:rPr>
        <w:t>Crime and Punishment in Nigerian Law</w:t>
      </w:r>
      <w:r>
        <w:rPr>
          <w:rFonts w:ascii="Times New Roman" w:cs="Times New Roman" w:hAnsi="Times New Roman"/>
          <w:sz w:val="20"/>
          <w:szCs w:val="20"/>
        </w:rPr>
        <w:t xml:space="preserve"> (1st edn, University of Lagos Press 2005) 45.</w:t>
      </w:r>
    </w:p>
  </w:footnote>
  <w:footnote w:id="8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Oladele Abiodun Balogun, ‘A Philosophical Defence of Punishment in Traditional African Legal Culture:</w:t>
      </w:r>
    </w:p>
    <w:p>
      <w:pPr>
        <w:pStyle w:val="style157"/>
        <w:rPr>
          <w:rFonts w:ascii="Times New Roman" w:cs="Times New Roman" w:hAnsi="Times New Roman"/>
          <w:sz w:val="20"/>
          <w:szCs w:val="20"/>
        </w:rPr>
      </w:pPr>
      <w:r>
        <w:rPr>
          <w:rFonts w:ascii="Times New Roman" w:cs="Times New Roman" w:hAnsi="Times New Roman"/>
          <w:sz w:val="20"/>
          <w:szCs w:val="20"/>
        </w:rPr>
        <w:t xml:space="preserve">    The Yoruba Example’(2017) 20(1) </w:t>
      </w:r>
      <w:r>
        <w:rPr>
          <w:rFonts w:ascii="Times New Roman" w:cs="Times New Roman" w:hAnsi="Times New Roman"/>
          <w:i/>
          <w:iCs/>
          <w:sz w:val="20"/>
          <w:szCs w:val="20"/>
        </w:rPr>
        <w:t>Philosophia Africana</w:t>
      </w:r>
      <w:r>
        <w:rPr>
          <w:rFonts w:ascii="Times New Roman" w:cs="Times New Roman" w:hAnsi="Times New Roman"/>
          <w:sz w:val="20"/>
          <w:szCs w:val="20"/>
        </w:rPr>
        <w:t xml:space="preserve"> 19.</w:t>
      </w:r>
    </w:p>
  </w:footnote>
  <w:footnote w:id="8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Gunnar J Weimann, </w:t>
      </w:r>
      <w:r>
        <w:rPr>
          <w:rFonts w:ascii="Times New Roman" w:cs="Times New Roman" w:hAnsi="Times New Roman"/>
          <w:i/>
          <w:iCs/>
          <w:sz w:val="20"/>
          <w:szCs w:val="20"/>
        </w:rPr>
        <w:t>Islamic Criminal Law in Northern Nigeria</w:t>
      </w:r>
      <w:r>
        <w:rPr>
          <w:rFonts w:ascii="Times New Roman" w:cs="Times New Roman" w:hAnsi="Times New Roman"/>
          <w:sz w:val="20"/>
          <w:szCs w:val="20"/>
        </w:rPr>
        <w:t xml:space="preserve"> (Amsterdam University Press 2010) 83.</w:t>
      </w:r>
    </w:p>
  </w:footnote>
  <w:footnote w:id="8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Mahmood Mamdani, </w:t>
      </w:r>
      <w:r>
        <w:rPr>
          <w:rFonts w:ascii="Times New Roman" w:cs="Times New Roman" w:hAnsi="Times New Roman"/>
          <w:i/>
          <w:iCs/>
          <w:sz w:val="20"/>
          <w:szCs w:val="20"/>
        </w:rPr>
        <w:t>Citizen and Subject: Contemporary Africa and the Legacy of Late Colonialism</w:t>
      </w:r>
    </w:p>
    <w:p>
      <w:pPr>
        <w:pStyle w:val="style157"/>
        <w:rPr>
          <w:rFonts w:ascii="Times New Roman" w:cs="Times New Roman" w:hAnsi="Times New Roman"/>
          <w:sz w:val="20"/>
          <w:szCs w:val="20"/>
        </w:rPr>
      </w:pPr>
      <w:r>
        <w:rPr>
          <w:rFonts w:ascii="Times New Roman" w:cs="Times New Roman" w:hAnsi="Times New Roman"/>
          <w:sz w:val="20"/>
          <w:szCs w:val="20"/>
        </w:rPr>
        <w:t xml:space="preserve">    (Princeton University Press 1996) 109.</w:t>
      </w:r>
    </w:p>
  </w:footnote>
  <w:footnote w:id="8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MG Yakubu, </w:t>
      </w:r>
      <w:r>
        <w:rPr>
          <w:rStyle w:val="style88"/>
          <w:rFonts w:ascii="Times New Roman" w:cs="Times New Roman" w:hAnsi="Times New Roman"/>
          <w:sz w:val="20"/>
          <w:szCs w:val="20"/>
        </w:rPr>
        <w:t>Constitutionalism and the Nigerian Legal System</w:t>
      </w:r>
      <w:r>
        <w:rPr>
          <w:rFonts w:ascii="Times New Roman" w:cs="Times New Roman" w:hAnsi="Times New Roman"/>
          <w:sz w:val="20"/>
          <w:szCs w:val="20"/>
        </w:rPr>
        <w:t xml:space="preserve"> (Malthouse Press Ltd 2010) 8.</w:t>
      </w:r>
    </w:p>
  </w:footnote>
  <w:footnote w:id="9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HF Morris, 'A History of the Adoption of Codes of Criminal Law and Procedure in British Colonial Africa,</w:t>
      </w:r>
    </w:p>
    <w:p>
      <w:pPr>
        <w:pStyle w:val="style157"/>
        <w:rPr>
          <w:rFonts w:ascii="Times New Roman" w:cs="Times New Roman" w:hAnsi="Times New Roman"/>
          <w:sz w:val="20"/>
          <w:szCs w:val="20"/>
        </w:rPr>
      </w:pPr>
      <w:r>
        <w:rPr>
          <w:rFonts w:ascii="Times New Roman" w:cs="Times New Roman" w:hAnsi="Times New Roman"/>
          <w:sz w:val="20"/>
          <w:szCs w:val="20"/>
        </w:rPr>
        <w:t xml:space="preserve">   1876–1935' (1974) 18 </w:t>
      </w:r>
      <w:r>
        <w:rPr>
          <w:rStyle w:val="style88"/>
          <w:rFonts w:ascii="Times New Roman" w:cs="Times New Roman" w:hAnsi="Times New Roman"/>
          <w:sz w:val="20"/>
          <w:szCs w:val="20"/>
        </w:rPr>
        <w:t>Journal of African Law</w:t>
      </w:r>
      <w:r>
        <w:rPr>
          <w:rFonts w:ascii="Times New Roman" w:cs="Times New Roman" w:hAnsi="Times New Roman"/>
          <w:sz w:val="20"/>
          <w:szCs w:val="20"/>
        </w:rPr>
        <w:t xml:space="preserve"> 6.</w:t>
      </w:r>
    </w:p>
  </w:footnote>
  <w:footnote w:id="9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Ruud Peters, </w:t>
      </w:r>
      <w:r>
        <w:rPr>
          <w:rFonts w:ascii="Times New Roman" w:cs="Times New Roman" w:hAnsi="Times New Roman"/>
          <w:i/>
          <w:iCs/>
          <w:sz w:val="20"/>
          <w:szCs w:val="20"/>
        </w:rPr>
        <w:t>Islamic Criminal Law in Northern Nigeria: Politics, Religion, Judicial Practice</w:t>
      </w:r>
      <w:r>
        <w:rPr>
          <w:rFonts w:ascii="Times New Roman" w:cs="Times New Roman" w:hAnsi="Times New Roman"/>
          <w:sz w:val="20"/>
          <w:szCs w:val="20"/>
        </w:rPr>
        <w:t> (Amsterdam</w:t>
      </w:r>
    </w:p>
    <w:p>
      <w:pPr>
        <w:pStyle w:val="style157"/>
        <w:rPr>
          <w:rFonts w:ascii="Times New Roman" w:cs="Times New Roman" w:hAnsi="Times New Roman"/>
          <w:sz w:val="20"/>
          <w:szCs w:val="20"/>
        </w:rPr>
      </w:pPr>
      <w:r>
        <w:rPr>
          <w:rFonts w:ascii="Times New Roman" w:cs="Times New Roman" w:hAnsi="Times New Roman"/>
          <w:sz w:val="20"/>
          <w:szCs w:val="20"/>
        </w:rPr>
        <w:t xml:space="preserve">    University Press/Vossiuspers 2001) p 30.</w:t>
      </w:r>
    </w:p>
  </w:footnote>
  <w:footnote w:id="9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bCs/>
          <w:sz w:val="20"/>
          <w:szCs w:val="20"/>
        </w:rPr>
        <w:t xml:space="preserve"> Inioluwa Olaposi,</w:t>
      </w:r>
      <w:r>
        <w:rPr>
          <w:rFonts w:ascii="Times New Roman" w:cs="Times New Roman" w:hAnsi="Times New Roman"/>
          <w:sz w:val="20"/>
          <w:szCs w:val="20"/>
        </w:rPr>
        <w:t>‘The History and Sources of the Nigerian Criminal Laws: How We Ended Up with Two</w:t>
      </w:r>
    </w:p>
    <w:p>
      <w:pPr>
        <w:pStyle w:val="style157"/>
        <w:rPr>
          <w:rStyle w:val="style85"/>
          <w:rFonts w:ascii="Times New Roman" w:cs="Times New Roman" w:hAnsi="Times New Roman"/>
          <w:sz w:val="20"/>
          <w:szCs w:val="20"/>
          <w:lang w:val="fr-FR"/>
        </w:rPr>
      </w:pPr>
      <w:r>
        <w:rPr>
          <w:rFonts w:ascii="Times New Roman" w:cs="Times New Roman" w:hAnsi="Times New Roman"/>
          <w:sz w:val="20"/>
          <w:szCs w:val="20"/>
        </w:rPr>
        <w:t xml:space="preserve">    </w:t>
      </w:r>
      <w:r>
        <w:rPr>
          <w:rFonts w:ascii="Times New Roman" w:cs="Times New Roman" w:hAnsi="Times New Roman"/>
          <w:sz w:val="20"/>
          <w:szCs w:val="20"/>
          <w:lang w:val="fr-FR"/>
        </w:rPr>
        <w:t>Codes’ (LegalNaija, 8 June 2021) &lt;</w:t>
      </w:r>
      <w:r>
        <w:rPr>
          <w:rFonts w:ascii="Times New Roman" w:cs="Times New Roman" w:hAnsi="Times New Roman"/>
          <w:sz w:val="20"/>
          <w:szCs w:val="20"/>
        </w:rPr>
        <w:fldChar w:fldCharType="begin"/>
      </w:r>
      <w:r>
        <w:rPr>
          <w:rFonts w:ascii="Times New Roman" w:cs="Times New Roman" w:hAnsi="Times New Roman"/>
          <w:sz w:val="20"/>
          <w:szCs w:val="20"/>
          <w:lang w:val="fr-FR"/>
        </w:rPr>
        <w:instrText xml:space="preserve"> HYPERLINK "https://legalnaija.com/the-history-and-sources-of-the-nigerian-criminal-laws-how-we-ended-up-with-two-codes-inioluwa-olaposi/" \t "_new" </w:instrText>
      </w:r>
      <w:r>
        <w:rPr>
          <w:rFonts w:ascii="Times New Roman" w:cs="Times New Roman" w:hAnsi="Times New Roman"/>
          <w:sz w:val="20"/>
          <w:szCs w:val="20"/>
        </w:rPr>
        <w:fldChar w:fldCharType="separate"/>
      </w:r>
      <w:r>
        <w:rPr>
          <w:rStyle w:val="style85"/>
          <w:rFonts w:ascii="Times New Roman" w:cs="Times New Roman" w:hAnsi="Times New Roman"/>
          <w:sz w:val="20"/>
          <w:szCs w:val="20"/>
          <w:lang w:val="fr-FR"/>
        </w:rPr>
        <w:t>https://legalnaija.com/the-history-and-sources-of-the-nigerian-criminal</w:t>
      </w:r>
    </w:p>
    <w:p>
      <w:pPr>
        <w:pStyle w:val="style157"/>
        <w:rPr>
          <w:rFonts w:ascii="Times New Roman" w:cs="Times New Roman" w:hAnsi="Times New Roman"/>
          <w:sz w:val="20"/>
          <w:szCs w:val="20"/>
        </w:rPr>
      </w:pPr>
      <w:r>
        <w:rPr>
          <w:rStyle w:val="style85"/>
          <w:rFonts w:ascii="Times New Roman" w:cs="Times New Roman" w:hAnsi="Times New Roman"/>
          <w:sz w:val="20"/>
          <w:szCs w:val="20"/>
          <w:lang w:val="fr-FR"/>
        </w:rPr>
        <w:t xml:space="preserve">    </w:t>
      </w:r>
      <w:r>
        <w:rPr>
          <w:rStyle w:val="style85"/>
          <w:rFonts w:ascii="Times New Roman" w:cs="Times New Roman" w:hAnsi="Times New Roman"/>
          <w:sz w:val="20"/>
          <w:szCs w:val="20"/>
        </w:rPr>
        <w:t>laws-how-we-ended-up-with-two-codes-inioluwa-olaposi/</w:t>
      </w:r>
      <w:r>
        <w:rPr>
          <w:rFonts w:ascii="Times New Roman" w:cs="Times New Roman" w:hAnsi="Times New Roman"/>
          <w:sz w:val="20"/>
          <w:szCs w:val="20"/>
        </w:rPr>
        <w:fldChar w:fldCharType="end"/>
      </w:r>
      <w:r>
        <w:rPr>
          <w:rFonts w:ascii="Times New Roman" w:cs="Times New Roman" w:hAnsi="Times New Roman"/>
          <w:sz w:val="20"/>
          <w:szCs w:val="20"/>
        </w:rPr>
        <w:t xml:space="preserve"> &gt;accessed 9 April 2026.</w:t>
      </w:r>
    </w:p>
  </w:footnote>
  <w:footnote w:id="9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bCs/>
          <w:sz w:val="20"/>
          <w:szCs w:val="20"/>
        </w:rPr>
        <w:t xml:space="preserve"> ACJA 2015</w:t>
      </w:r>
      <w:r>
        <w:rPr>
          <w:rFonts w:ascii="Times New Roman" w:cs="Times New Roman" w:hAnsi="Times New Roman"/>
          <w:sz w:val="20"/>
          <w:szCs w:val="20"/>
        </w:rPr>
        <w:t xml:space="preserve">, s 15(4), 270, 396(3)–(4); </w:t>
      </w:r>
      <w:r>
        <w:rPr>
          <w:rFonts w:ascii="Times New Roman" w:cs="Times New Roman" w:hAnsi="Times New Roman"/>
          <w:bCs/>
          <w:sz w:val="20"/>
          <w:szCs w:val="20"/>
        </w:rPr>
        <w:t>Evidence Act 2023</w:t>
      </w:r>
      <w:r>
        <w:rPr>
          <w:rFonts w:ascii="Times New Roman" w:cs="Times New Roman" w:hAnsi="Times New Roman"/>
          <w:sz w:val="20"/>
          <w:szCs w:val="20"/>
        </w:rPr>
        <w:t xml:space="preserve">. </w:t>
      </w:r>
    </w:p>
  </w:footnote>
  <w:footnote w:id="9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bCs/>
          <w:sz w:val="20"/>
          <w:szCs w:val="20"/>
        </w:rPr>
        <w:t xml:space="preserve"> </w:t>
      </w:r>
      <w:r>
        <w:rPr>
          <w:rFonts w:ascii="Times New Roman" w:cs="Times New Roman" w:hAnsi="Times New Roman"/>
          <w:sz w:val="20"/>
          <w:szCs w:val="20"/>
        </w:rPr>
        <w:t xml:space="preserve">A Adebayo, ‘The Military and the Criminal Law in Nigeria’ (2009) 53(2) </w:t>
      </w:r>
      <w:r>
        <w:rPr>
          <w:rStyle w:val="style88"/>
          <w:rFonts w:ascii="Times New Roman" w:cs="Times New Roman" w:hAnsi="Times New Roman"/>
          <w:sz w:val="20"/>
          <w:szCs w:val="20"/>
        </w:rPr>
        <w:t>Journal of African Law</w:t>
      </w:r>
      <w:r>
        <w:rPr>
          <w:rFonts w:ascii="Times New Roman" w:cs="Times New Roman" w:hAnsi="Times New Roman"/>
          <w:sz w:val="20"/>
          <w:szCs w:val="20"/>
        </w:rPr>
        <w:t xml:space="preserve"> 173.</w:t>
      </w:r>
    </w:p>
  </w:footnote>
  <w:footnote w:id="9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w:t>
      </w:r>
      <w:r>
        <w:rPr>
          <w:rStyle w:val="style88"/>
          <w:rFonts w:ascii="Times New Roman" w:cs="Times New Roman" w:hAnsi="Times New Roman"/>
          <w:sz w:val="20"/>
          <w:szCs w:val="20"/>
        </w:rPr>
        <w:t>CFRN</w:t>
      </w:r>
      <w:r>
        <w:rPr>
          <w:rFonts w:ascii="Times New Roman" w:cs="Times New Roman" w:hAnsi="Times New Roman"/>
          <w:i/>
          <w:sz w:val="20"/>
          <w:szCs w:val="20"/>
        </w:rPr>
        <w:t xml:space="preserve"> </w:t>
      </w:r>
      <w:r>
        <w:rPr>
          <w:rFonts w:ascii="Times New Roman" w:cs="Times New Roman" w:hAnsi="Times New Roman"/>
          <w:sz w:val="20"/>
          <w:szCs w:val="20"/>
        </w:rPr>
        <w:t>1999 (as amended), s 36(5).</w:t>
      </w:r>
    </w:p>
  </w:footnote>
  <w:footnote w:id="9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Style w:val="style88"/>
          <w:rFonts w:ascii="Times New Roman" w:cs="Times New Roman" w:hAnsi="Times New Roman"/>
          <w:sz w:val="20"/>
          <w:szCs w:val="20"/>
        </w:rPr>
        <w:t xml:space="preserve"> </w:t>
      </w:r>
      <w:r>
        <w:rPr>
          <w:rFonts w:ascii="Times New Roman" w:cs="Times New Roman" w:hAnsi="Times New Roman"/>
          <w:sz w:val="20"/>
          <w:szCs w:val="20"/>
        </w:rPr>
        <w:t>[1935] AC 462.</w:t>
      </w:r>
    </w:p>
  </w:footnote>
  <w:footnote w:id="9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CO Okonkwo, </w:t>
      </w:r>
      <w:r>
        <w:rPr>
          <w:rStyle w:val="style88"/>
          <w:rFonts w:ascii="Times New Roman" w:cs="Times New Roman" w:hAnsi="Times New Roman"/>
          <w:sz w:val="20"/>
          <w:szCs w:val="20"/>
        </w:rPr>
        <w:t>Criminal Law in Nigeria</w:t>
      </w:r>
      <w:r>
        <w:rPr>
          <w:rFonts w:ascii="Times New Roman" w:cs="Times New Roman" w:hAnsi="Times New Roman"/>
          <w:sz w:val="20"/>
          <w:szCs w:val="20"/>
        </w:rPr>
        <w:t xml:space="preserve"> (2nd edn, Spectrum Law Publishing 1980) 228.</w:t>
      </w:r>
    </w:p>
  </w:footnote>
  <w:footnote w:id="9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w:t>
      </w:r>
    </w:p>
  </w:footnote>
  <w:footnote w:id="9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William Twining, </w:t>
      </w:r>
      <w:r>
        <w:rPr>
          <w:rFonts w:ascii="Times New Roman" w:cs="Times New Roman" w:hAnsi="Times New Roman"/>
          <w:i/>
          <w:iCs/>
          <w:sz w:val="20"/>
          <w:szCs w:val="20"/>
        </w:rPr>
        <w:t>Rethinking Evidence: Exploratory Essays</w:t>
      </w:r>
      <w:r>
        <w:rPr>
          <w:rFonts w:ascii="Times New Roman" w:cs="Times New Roman" w:hAnsi="Times New Roman"/>
          <w:sz w:val="20"/>
          <w:szCs w:val="20"/>
        </w:rPr>
        <w:t xml:space="preserve"> (2nd edn, Cambridge University Press 2006</w:t>
      </w:r>
    </w:p>
    <w:p>
      <w:pPr>
        <w:pStyle w:val="style157"/>
        <w:rPr>
          <w:rFonts w:ascii="Times New Roman" w:cs="Times New Roman" w:hAnsi="Times New Roman"/>
          <w:sz w:val="20"/>
          <w:szCs w:val="20"/>
        </w:rPr>
      </w:pPr>
      <w:r>
        <w:rPr>
          <w:rFonts w:ascii="Times New Roman" w:cs="Times New Roman" w:hAnsi="Times New Roman"/>
          <w:sz w:val="20"/>
          <w:szCs w:val="20"/>
        </w:rPr>
        <w:t xml:space="preserve">      193.</w:t>
      </w:r>
    </w:p>
  </w:footnote>
  <w:footnote w:id="10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w:t>
      </w:r>
    </w:p>
  </w:footnote>
  <w:footnote w:id="10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MA Owoade, </w:t>
      </w:r>
      <w:r>
        <w:rPr>
          <w:rStyle w:val="style88"/>
          <w:rFonts w:ascii="Times New Roman" w:cs="Times New Roman" w:hAnsi="Times New Roman"/>
          <w:sz w:val="20"/>
          <w:szCs w:val="20"/>
        </w:rPr>
        <w:t>Law of Homicide in Nigeria</w:t>
      </w:r>
      <w:r>
        <w:rPr>
          <w:rFonts w:ascii="Times New Roman" w:cs="Times New Roman" w:hAnsi="Times New Roman"/>
          <w:sz w:val="20"/>
          <w:szCs w:val="20"/>
        </w:rPr>
        <w:t xml:space="preserve"> (Obafemi Awolowo University Press 1990) 105.</w:t>
      </w:r>
    </w:p>
  </w:footnote>
  <w:footnote w:id="10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TA Aguda, </w:t>
      </w:r>
      <w:r>
        <w:rPr>
          <w:rStyle w:val="style88"/>
          <w:rFonts w:ascii="Times New Roman" w:cs="Times New Roman" w:hAnsi="Times New Roman"/>
          <w:sz w:val="20"/>
          <w:szCs w:val="20"/>
        </w:rPr>
        <w:t>The Law of Evidence</w:t>
      </w:r>
      <w:r>
        <w:rPr>
          <w:rFonts w:ascii="Times New Roman" w:cs="Times New Roman" w:hAnsi="Times New Roman"/>
          <w:sz w:val="20"/>
          <w:szCs w:val="20"/>
        </w:rPr>
        <w:t xml:space="preserve"> (4th edn, Spectrum Books Ltd 1999) 301.</w:t>
      </w:r>
    </w:p>
  </w:footnote>
  <w:footnote w:id="10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Ethelbert Obiorah Ezeh and Stella Omoikhefe Chidozie, ‘An Appraisal of the Applicability of the Doctrine</w:t>
      </w:r>
    </w:p>
    <w:p>
      <w:pPr>
        <w:pStyle w:val="style157"/>
        <w:rPr>
          <w:rFonts w:ascii="Times New Roman" w:cs="Times New Roman" w:hAnsi="Times New Roman"/>
          <w:sz w:val="20"/>
          <w:szCs w:val="20"/>
        </w:rPr>
      </w:pPr>
      <w:r>
        <w:rPr>
          <w:rFonts w:ascii="Times New Roman" w:cs="Times New Roman" w:hAnsi="Times New Roman"/>
          <w:sz w:val="20"/>
          <w:szCs w:val="20"/>
        </w:rPr>
        <w:t xml:space="preserve">     of  Last Seen in Murder Trials in Nigeria’ (2025) 9(1) </w:t>
      </w:r>
      <w:r>
        <w:rPr>
          <w:rFonts w:ascii="Times New Roman" w:cs="Times New Roman" w:hAnsi="Times New Roman"/>
          <w:i/>
          <w:iCs/>
          <w:sz w:val="20"/>
          <w:szCs w:val="20"/>
        </w:rPr>
        <w:t>Madonna University Journal of Law and Society</w:t>
      </w:r>
    </w:p>
    <w:p>
      <w:pPr>
        <w:pStyle w:val="style157"/>
        <w:rPr>
          <w:rFonts w:ascii="Times New Roman" w:cs="Times New Roman" w:hAnsi="Times New Roman"/>
          <w:bCs/>
          <w:sz w:val="20"/>
          <w:szCs w:val="20"/>
        </w:rPr>
      </w:pPr>
      <w:r>
        <w:rPr>
          <w:rFonts w:ascii="Times New Roman" w:cs="Times New Roman" w:hAnsi="Times New Roman"/>
          <w:sz w:val="20"/>
          <w:szCs w:val="20"/>
        </w:rPr>
        <w:t xml:space="preserve">     &lt;</w:t>
      </w:r>
      <w:r>
        <w:rPr/>
        <w:fldChar w:fldCharType="begin"/>
      </w:r>
      <w:r>
        <w:instrText xml:space="preserve"> HYPERLINK "https://madonnauniversity.edu.ng/journals/index.php/Law/article/view/213" \t "_new" </w:instrText>
      </w:r>
      <w:r>
        <w:rPr/>
        <w:fldChar w:fldCharType="separate"/>
      </w:r>
      <w:r>
        <w:rPr>
          <w:rStyle w:val="style85"/>
          <w:rFonts w:ascii="Times New Roman" w:cs="Times New Roman" w:hAnsi="Times New Roman"/>
          <w:sz w:val="20"/>
          <w:szCs w:val="20"/>
        </w:rPr>
        <w:t>https://madonnauniversity.edu.ng/journals/index.php/Law/article/view/213</w:t>
      </w:r>
      <w:r>
        <w:rPr/>
        <w:fldChar w:fldCharType="end"/>
      </w:r>
      <w:r>
        <w:rPr>
          <w:rFonts w:ascii="Times New Roman" w:cs="Times New Roman" w:hAnsi="Times New Roman"/>
          <w:sz w:val="20"/>
          <w:szCs w:val="20"/>
        </w:rPr>
        <w:t xml:space="preserve">&gt; </w:t>
      </w:r>
      <w:r>
        <w:rPr>
          <w:rFonts w:ascii="Times New Roman" w:cs="Times New Roman" w:hAnsi="Times New Roman"/>
          <w:bCs/>
          <w:sz w:val="20"/>
          <w:szCs w:val="20"/>
        </w:rPr>
        <w:t>accessed 11 April 2026.</w:t>
      </w:r>
    </w:p>
  </w:footnote>
  <w:footnote w:id="10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(1992) 2 NWLR (Pt. 222) 164 (SC).</w:t>
      </w:r>
    </w:p>
  </w:footnote>
  <w:footnote w:id="10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Ronald J Allen and Alex Stein, ‘Evidence, Probability, and the Burden of Proof’ (2013) 55(3) Arizona Law</w:t>
      </w:r>
    </w:p>
    <w:p>
      <w:pPr>
        <w:pStyle w:val="style157"/>
        <w:rPr>
          <w:rFonts w:ascii="Times New Roman" w:cs="Times New Roman" w:hAnsi="Times New Roman"/>
          <w:sz w:val="20"/>
          <w:szCs w:val="20"/>
        </w:rPr>
      </w:pPr>
      <w:r>
        <w:rPr>
          <w:rFonts w:ascii="Times New Roman" w:cs="Times New Roman" w:hAnsi="Times New Roman"/>
          <w:sz w:val="20"/>
          <w:szCs w:val="20"/>
        </w:rPr>
        <w:t xml:space="preserve">      Review 557.</w:t>
      </w:r>
    </w:p>
  </w:footnote>
  <w:footnote w:id="10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Niki Tobi, </w:t>
      </w:r>
      <w:r>
        <w:rPr>
          <w:rFonts w:ascii="Times New Roman" w:cs="Times New Roman" w:hAnsi="Times New Roman"/>
          <w:i/>
          <w:iCs/>
          <w:sz w:val="20"/>
          <w:szCs w:val="20"/>
        </w:rPr>
        <w:t>A Case Book on the Law of Evidence in Nigeria</w:t>
      </w:r>
      <w:r>
        <w:rPr>
          <w:rFonts w:ascii="Times New Roman" w:cs="Times New Roman" w:hAnsi="Times New Roman"/>
          <w:sz w:val="20"/>
          <w:szCs w:val="20"/>
        </w:rPr>
        <w:t xml:space="preserve"> (1st edn, Fourth Dimension Publishers 1996)</w:t>
      </w:r>
    </w:p>
    <w:p>
      <w:pPr>
        <w:pStyle w:val="style157"/>
        <w:rPr>
          <w:rFonts w:ascii="Times New Roman" w:cs="Times New Roman" w:hAnsi="Times New Roman"/>
          <w:sz w:val="20"/>
          <w:szCs w:val="20"/>
        </w:rPr>
      </w:pPr>
      <w:r>
        <w:rPr>
          <w:rFonts w:ascii="Times New Roman" w:cs="Times New Roman" w:hAnsi="Times New Roman"/>
          <w:sz w:val="20"/>
          <w:szCs w:val="20"/>
        </w:rPr>
        <w:t xml:space="preserve">     101.</w:t>
      </w:r>
    </w:p>
  </w:footnote>
  <w:footnote w:id="107">
    <w:p>
      <w:pPr>
        <w:pStyle w:val="style157"/>
        <w:rPr>
          <w:rStyle w:val="style88"/>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Nancy Pennington and Reid Hastie, ‘The Story Model for Juror Decision Making’ in Reid Hastie (ed), </w:t>
      </w:r>
      <w:r>
        <w:rPr>
          <w:rStyle w:val="style88"/>
          <w:rFonts w:ascii="Times New Roman" w:cs="Times New Roman" w:hAnsi="Times New Roman"/>
          <w:sz w:val="20"/>
          <w:szCs w:val="20"/>
        </w:rPr>
        <w:t>Inside</w:t>
      </w:r>
    </w:p>
    <w:p>
      <w:pPr>
        <w:pStyle w:val="style157"/>
        <w:rPr>
          <w:rFonts w:ascii="Times New Roman" w:cs="Times New Roman" w:hAnsi="Times New Roman"/>
          <w:i/>
          <w:iCs/>
          <w:sz w:val="20"/>
          <w:szCs w:val="20"/>
        </w:rPr>
      </w:pPr>
      <w:r>
        <w:rPr>
          <w:rStyle w:val="style88"/>
          <w:rFonts w:ascii="Times New Roman" w:cs="Times New Roman" w:hAnsi="Times New Roman"/>
          <w:sz w:val="20"/>
          <w:szCs w:val="20"/>
        </w:rPr>
        <w:t xml:space="preserve">     theJuror: The Psychology of Juror Decision Making</w:t>
      </w:r>
      <w:r>
        <w:rPr>
          <w:rFonts w:ascii="Times New Roman" w:cs="Times New Roman" w:hAnsi="Times New Roman"/>
          <w:sz w:val="20"/>
          <w:szCs w:val="20"/>
        </w:rPr>
        <w:t xml:space="preserve"> (Cambridge University Press 1993) 192.</w:t>
      </w:r>
    </w:p>
  </w:footnote>
  <w:footnote w:id="10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2023, s 28, s 40 and s 135.</w:t>
      </w:r>
    </w:p>
  </w:footnote>
  <w:footnote w:id="10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Eghosa E Ekhator, ‘The Role of the Administration of Criminal Justice Act 2015 in Enhancing Anti</w:t>
      </w:r>
    </w:p>
    <w:p>
      <w:pPr>
        <w:pStyle w:val="style157"/>
        <w:rPr>
          <w:rFonts w:ascii="Times New Roman" w:cs="Times New Roman" w:hAnsi="Times New Roman"/>
          <w:sz w:val="20"/>
          <w:szCs w:val="20"/>
        </w:rPr>
      </w:pPr>
      <w:r>
        <w:rPr>
          <w:rFonts w:ascii="Times New Roman" w:cs="Times New Roman" w:hAnsi="Times New Roman"/>
          <w:sz w:val="20"/>
          <w:szCs w:val="20"/>
        </w:rPr>
        <w:t xml:space="preserve">     Corruption Efforts in Nigeria’ (2016) </w:t>
      </w:r>
      <w:r>
        <w:rPr>
          <w:rStyle w:val="style88"/>
          <w:rFonts w:ascii="Times New Roman" w:cs="Times New Roman" w:hAnsi="Times New Roman"/>
          <w:sz w:val="20"/>
          <w:szCs w:val="20"/>
        </w:rPr>
        <w:t>Journal of African Law</w:t>
      </w:r>
      <w:r>
        <w:rPr>
          <w:rFonts w:ascii="Times New Roman" w:cs="Times New Roman" w:hAnsi="Times New Roman"/>
          <w:sz w:val="20"/>
          <w:szCs w:val="20"/>
        </w:rPr>
        <w:t xml:space="preserve"> 45.</w:t>
      </w:r>
    </w:p>
  </w:footnote>
  <w:footnote w:id="11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Saul M Kassin and Gisli H Gudjonsson, ‘The Psychology of Confessions: A Review of the Literature and</w:t>
      </w:r>
    </w:p>
    <w:p>
      <w:pPr>
        <w:pStyle w:val="style157"/>
        <w:rPr>
          <w:rFonts w:ascii="Times New Roman" w:cs="Times New Roman" w:hAnsi="Times New Roman"/>
          <w:sz w:val="20"/>
          <w:szCs w:val="20"/>
        </w:rPr>
      </w:pPr>
      <w:r>
        <w:rPr>
          <w:rFonts w:ascii="Times New Roman" w:cs="Times New Roman" w:hAnsi="Times New Roman"/>
          <w:sz w:val="20"/>
          <w:szCs w:val="20"/>
        </w:rPr>
        <w:t xml:space="preserve">     Issues’ (2004) 5(2) </w:t>
      </w:r>
      <w:r>
        <w:rPr>
          <w:rFonts w:ascii="Times New Roman" w:cs="Times New Roman" w:hAnsi="Times New Roman"/>
          <w:i/>
          <w:iCs/>
          <w:sz w:val="20"/>
          <w:szCs w:val="20"/>
        </w:rPr>
        <w:t>Psychological Science in the Public Interest</w:t>
      </w:r>
      <w:r>
        <w:rPr>
          <w:rFonts w:ascii="Times New Roman" w:cs="Times New Roman" w:hAnsi="Times New Roman"/>
          <w:sz w:val="20"/>
          <w:szCs w:val="20"/>
        </w:rPr>
        <w:t xml:space="preserve"> 33.</w:t>
      </w:r>
    </w:p>
  </w:footnote>
  <w:footnote w:id="11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Steven A Drizin and Richard A Leo, ‘The Problem of False Confessions in the Post-DNA World’ (2004)</w:t>
      </w:r>
    </w:p>
    <w:p>
      <w:pPr>
        <w:pStyle w:val="style157"/>
        <w:rPr>
          <w:rFonts w:ascii="Times New Roman" w:cs="Times New Roman" w:hAnsi="Times New Roman"/>
          <w:sz w:val="20"/>
          <w:szCs w:val="20"/>
        </w:rPr>
      </w:pPr>
      <w:r>
        <w:rPr>
          <w:rFonts w:ascii="Times New Roman" w:cs="Times New Roman" w:hAnsi="Times New Roman"/>
          <w:sz w:val="20"/>
          <w:szCs w:val="20"/>
        </w:rPr>
        <w:t xml:space="preserve">     82(3) </w:t>
      </w:r>
      <w:r>
        <w:rPr>
          <w:rFonts w:ascii="Times New Roman" w:cs="Times New Roman" w:hAnsi="Times New Roman"/>
          <w:i/>
          <w:iCs/>
          <w:sz w:val="20"/>
          <w:szCs w:val="20"/>
        </w:rPr>
        <w:t>North Carolina Law Review</w:t>
      </w:r>
      <w:r>
        <w:rPr>
          <w:rFonts w:ascii="Times New Roman" w:cs="Times New Roman" w:hAnsi="Times New Roman"/>
          <w:sz w:val="20"/>
          <w:szCs w:val="20"/>
        </w:rPr>
        <w:t xml:space="preserve"> 891.</w:t>
      </w:r>
    </w:p>
  </w:footnote>
  <w:footnote w:id="11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bCs/>
          <w:sz w:val="20"/>
          <w:szCs w:val="20"/>
        </w:rPr>
        <w:t xml:space="preserve"> </w:t>
      </w:r>
      <w:r>
        <w:rPr>
          <w:rFonts w:ascii="Times New Roman" w:cs="Times New Roman" w:hAnsi="Times New Roman"/>
          <w:sz w:val="20"/>
          <w:szCs w:val="20"/>
        </w:rPr>
        <w:t>ASO Afe, ‘The Role of Confessional Evidence in Criminal Proceedings: A Critical Analysis of the Nigerian</w:t>
      </w:r>
    </w:p>
    <w:p>
      <w:pPr>
        <w:pStyle w:val="style157"/>
        <w:rPr>
          <w:rFonts w:ascii="Times New Roman" w:cs="Times New Roman" w:hAnsi="Times New Roman"/>
          <w:sz w:val="20"/>
          <w:szCs w:val="20"/>
        </w:rPr>
      </w:pPr>
      <w:r>
        <w:rPr>
          <w:rFonts w:ascii="Times New Roman" w:cs="Times New Roman" w:hAnsi="Times New Roman"/>
          <w:sz w:val="20"/>
          <w:szCs w:val="20"/>
        </w:rPr>
        <w:t xml:space="preserve">     Legal System’ (2024) 9(2) </w:t>
      </w:r>
      <w:r>
        <w:rPr>
          <w:rStyle w:val="style88"/>
          <w:rFonts w:ascii="Times New Roman" w:cs="Times New Roman" w:hAnsi="Times New Roman"/>
          <w:sz w:val="20"/>
          <w:szCs w:val="20"/>
        </w:rPr>
        <w:t>Journal of Criminal Law and Jurisprudence</w:t>
      </w:r>
      <w:r>
        <w:rPr>
          <w:rFonts w:ascii="Times New Roman" w:cs="Times New Roman" w:hAnsi="Times New Roman"/>
          <w:sz w:val="20"/>
          <w:szCs w:val="20"/>
        </w:rPr>
        <w:t xml:space="preserve"> 115</w:t>
      </w:r>
    </w:p>
  </w:footnote>
  <w:footnote w:id="11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FC Nwadialo, </w:t>
      </w:r>
      <w:r>
        <w:rPr>
          <w:rStyle w:val="style88"/>
          <w:rFonts w:ascii="Times New Roman" w:cs="Times New Roman" w:hAnsi="Times New Roman"/>
          <w:sz w:val="20"/>
          <w:szCs w:val="20"/>
        </w:rPr>
        <w:t>Modern Nigerian Law of Evidence</w:t>
      </w:r>
      <w:r>
        <w:rPr>
          <w:rFonts w:ascii="Times New Roman" w:cs="Times New Roman" w:hAnsi="Times New Roman"/>
          <w:sz w:val="20"/>
          <w:szCs w:val="20"/>
        </w:rPr>
        <w:t xml:space="preserve"> (3rd edn, University of Lagos Press 2020) 120.</w:t>
      </w:r>
    </w:p>
  </w:footnote>
  <w:footnote w:id="11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EB Omoregie, ‘An Analysis of the Significance of Circumstantial Evidence in Criminal Trials in Nigeria – A</w:t>
      </w:r>
    </w:p>
    <w:p>
      <w:pPr>
        <w:pStyle w:val="style157"/>
        <w:rPr>
          <w:rFonts w:ascii="Times New Roman" w:cs="Times New Roman" w:hAnsi="Times New Roman"/>
          <w:sz w:val="20"/>
          <w:szCs w:val="20"/>
        </w:rPr>
      </w:pPr>
      <w:r>
        <w:rPr>
          <w:rFonts w:ascii="Times New Roman" w:cs="Times New Roman" w:hAnsi="Times New Roman"/>
          <w:sz w:val="20"/>
          <w:szCs w:val="20"/>
        </w:rPr>
        <w:t xml:space="preserve">      Review’ (2005) </w:t>
      </w:r>
      <w:r>
        <w:rPr>
          <w:rStyle w:val="style88"/>
          <w:rFonts w:ascii="Times New Roman" w:cs="Times New Roman" w:hAnsi="Times New Roman"/>
          <w:sz w:val="20"/>
          <w:szCs w:val="20"/>
        </w:rPr>
        <w:t>Benin Journal of Public Law</w:t>
      </w:r>
      <w:r>
        <w:rPr>
          <w:rFonts w:ascii="Times New Roman" w:cs="Times New Roman" w:hAnsi="Times New Roman"/>
          <w:sz w:val="20"/>
          <w:szCs w:val="20"/>
        </w:rPr>
        <w:t xml:space="preserve"> 78.</w:t>
      </w:r>
    </w:p>
  </w:footnote>
  <w:footnote w:id="11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[1911] 13 CLR 619 (HCA) 661.</w:t>
      </w:r>
    </w:p>
  </w:footnote>
  <w:footnote w:id="11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Niki Tobi, </w:t>
      </w:r>
      <w:r>
        <w:rPr>
          <w:rStyle w:val="style88"/>
          <w:rFonts w:ascii="Times New Roman" w:cs="Times New Roman" w:hAnsi="Times New Roman"/>
          <w:sz w:val="20"/>
          <w:szCs w:val="20"/>
        </w:rPr>
        <w:t>The Nigerian Law of Evidence</w:t>
      </w:r>
      <w:r>
        <w:rPr>
          <w:rFonts w:ascii="Times New Roman" w:cs="Times New Roman" w:hAnsi="Times New Roman"/>
          <w:sz w:val="20"/>
          <w:szCs w:val="20"/>
        </w:rPr>
        <w:t xml:space="preserve"> (Malt House Press Ltd 1991) 184–186.</w:t>
      </w:r>
    </w:p>
  </w:footnote>
  <w:footnote w:id="11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w:t>
      </w:r>
    </w:p>
  </w:footnote>
  <w:footnote w:id="11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Elizabeth F Loftus, </w:t>
      </w:r>
      <w:r>
        <w:rPr>
          <w:rStyle w:val="style88"/>
          <w:rFonts w:ascii="Times New Roman" w:cs="Times New Roman" w:hAnsi="Times New Roman"/>
          <w:sz w:val="20"/>
          <w:szCs w:val="20"/>
        </w:rPr>
        <w:t>Eyewitness Testimony</w:t>
      </w:r>
      <w:r>
        <w:rPr>
          <w:rFonts w:ascii="Times New Roman" w:cs="Times New Roman" w:hAnsi="Times New Roman"/>
          <w:sz w:val="20"/>
          <w:szCs w:val="20"/>
        </w:rPr>
        <w:t xml:space="preserve"> (Harvard University Press 1996) 32.</w:t>
      </w:r>
    </w:p>
  </w:footnote>
  <w:footnote w:id="11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Niki Tobi, </w:t>
      </w:r>
      <w:r>
        <w:rPr>
          <w:rStyle w:val="style88"/>
          <w:rFonts w:ascii="Times New Roman" w:cs="Times New Roman" w:hAnsi="Times New Roman"/>
          <w:sz w:val="20"/>
          <w:szCs w:val="20"/>
        </w:rPr>
        <w:t>The Nigerian Law of Evidence</w:t>
      </w:r>
      <w:r>
        <w:rPr>
          <w:rFonts w:ascii="Times New Roman" w:cs="Times New Roman" w:hAnsi="Times New Roman"/>
          <w:sz w:val="20"/>
          <w:szCs w:val="20"/>
        </w:rPr>
        <w:t xml:space="preserve"> (Malt House Press Ltd 1991) 184.</w:t>
      </w:r>
    </w:p>
  </w:footnote>
  <w:footnote w:id="12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Muchemi James Kihara, 'Exploring the Significance of the Effects of Reliability of Eyewitness Testimony</w:t>
      </w:r>
    </w:p>
    <w:p>
      <w:pPr>
        <w:pStyle w:val="style157"/>
        <w:rPr>
          <w:rFonts w:ascii="Times New Roman" w:cs="Times New Roman" w:hAnsi="Times New Roman"/>
          <w:sz w:val="20"/>
          <w:szCs w:val="20"/>
        </w:rPr>
      </w:pPr>
      <w:r>
        <w:rPr>
          <w:rFonts w:ascii="Times New Roman" w:cs="Times New Roman" w:hAnsi="Times New Roman"/>
          <w:sz w:val="20"/>
          <w:szCs w:val="20"/>
        </w:rPr>
        <w:t xml:space="preserve">     during Investigations and in the Trial Process' (Master of Psychology Research Project, University of      </w:t>
      </w:r>
    </w:p>
    <w:p>
      <w:pPr>
        <w:pStyle w:val="style157"/>
        <w:rPr>
          <w:rFonts w:ascii="Times New Roman" w:cs="Times New Roman" w:hAnsi="Times New Roman"/>
          <w:sz w:val="20"/>
          <w:szCs w:val="20"/>
        </w:rPr>
      </w:pPr>
      <w:r>
        <w:rPr>
          <w:rFonts w:ascii="Times New Roman" w:cs="Times New Roman" w:hAnsi="Times New Roman"/>
          <w:sz w:val="20"/>
          <w:szCs w:val="20"/>
        </w:rPr>
        <w:t xml:space="preserve">      Nairobi, 2019) 38.</w:t>
      </w:r>
    </w:p>
  </w:footnote>
  <w:footnote w:id="12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Criminal Code Act, Cap C38, LFN 2004.</w:t>
      </w:r>
    </w:p>
  </w:footnote>
  <w:footnote w:id="12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w:t>
      </w:r>
      <w:r>
        <w:rPr>
          <w:rFonts w:ascii="Times New Roman" w:cs="Times New Roman" w:hAnsi="Times New Roman"/>
          <w:bCs/>
          <w:sz w:val="20"/>
          <w:szCs w:val="20"/>
        </w:rPr>
        <w:t xml:space="preserve">IE Sagay, </w:t>
      </w:r>
      <w:r>
        <w:rPr>
          <w:rFonts w:ascii="Times New Roman" w:cs="Times New Roman" w:hAnsi="Times New Roman"/>
          <w:bCs/>
          <w:i/>
          <w:iCs/>
          <w:sz w:val="20"/>
          <w:szCs w:val="20"/>
        </w:rPr>
        <w:t>Nigerian Criminal Law</w:t>
      </w:r>
      <w:r>
        <w:rPr>
          <w:rFonts w:ascii="Times New Roman" w:cs="Times New Roman" w:hAnsi="Times New Roman"/>
          <w:bCs/>
          <w:sz w:val="20"/>
          <w:szCs w:val="20"/>
        </w:rPr>
        <w:t xml:space="preserve"> (2nd edn, Spectrum Books 2004) 142</w:t>
      </w:r>
      <w:r>
        <w:rPr>
          <w:rFonts w:ascii="Times New Roman" w:cs="Times New Roman" w:hAnsi="Times New Roman"/>
          <w:b/>
          <w:bCs/>
          <w:sz w:val="20"/>
          <w:szCs w:val="20"/>
        </w:rPr>
        <w:t>.</w:t>
      </w:r>
    </w:p>
  </w:footnote>
  <w:footnote w:id="12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Criminal Code Act, s 316.</w:t>
      </w:r>
    </w:p>
  </w:footnote>
  <w:footnote w:id="12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CN Okoye, ‘Statutory Interpretation of Homicide and the Mens Rea Requirement under the Criminal Code’</w:t>
      </w:r>
    </w:p>
    <w:p>
      <w:pPr>
        <w:pStyle w:val="style157"/>
        <w:rPr>
          <w:rFonts w:ascii="Times New Roman" w:cs="Times New Roman" w:hAnsi="Times New Roman"/>
          <w:sz w:val="20"/>
          <w:szCs w:val="20"/>
        </w:rPr>
      </w:pPr>
      <w:r>
        <w:rPr>
          <w:rFonts w:ascii="Times New Roman" w:cs="Times New Roman" w:hAnsi="Times New Roman"/>
          <w:sz w:val="20"/>
          <w:szCs w:val="20"/>
        </w:rPr>
        <w:t xml:space="preserve">   (2022) 15(2) </w:t>
      </w:r>
      <w:r>
        <w:rPr>
          <w:rFonts w:ascii="Times New Roman" w:cs="Times New Roman" w:hAnsi="Times New Roman"/>
          <w:i/>
          <w:sz w:val="20"/>
          <w:szCs w:val="20"/>
        </w:rPr>
        <w:t>Nigerian Law Journal</w:t>
      </w:r>
      <w:r>
        <w:rPr>
          <w:rFonts w:ascii="Times New Roman" w:cs="Times New Roman" w:hAnsi="Times New Roman"/>
          <w:sz w:val="20"/>
          <w:szCs w:val="20"/>
        </w:rPr>
        <w:t xml:space="preserve"> 45.</w:t>
      </w:r>
    </w:p>
  </w:footnote>
  <w:footnote w:id="125">
    <w:p>
      <w:pPr>
        <w:pStyle w:val="style157"/>
        <w:rPr>
          <w:rFonts w:ascii="Times New Roman" w:cs="Times New Roman" w:hAnsi="Times New Roman"/>
          <w:i/>
          <w:iCs/>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EO Ojukwu, "Expanding the Scope of Malice Aforethought in Nigerian Homicide" (2022) 18 </w:t>
      </w:r>
      <w:r>
        <w:rPr>
          <w:rFonts w:ascii="Times New Roman" w:cs="Times New Roman" w:hAnsi="Times New Roman"/>
          <w:i/>
          <w:iCs/>
          <w:sz w:val="20"/>
          <w:szCs w:val="20"/>
        </w:rPr>
        <w:t>UNIZIK Law</w:t>
      </w:r>
    </w:p>
    <w:p>
      <w:pPr>
        <w:pStyle w:val="style157"/>
        <w:rPr>
          <w:rFonts w:ascii="Times New Roman" w:cs="Times New Roman" w:hAnsi="Times New Roman"/>
          <w:sz w:val="20"/>
          <w:szCs w:val="20"/>
        </w:rPr>
      </w:pPr>
      <w:r>
        <w:rPr>
          <w:rFonts w:ascii="Times New Roman" w:cs="Times New Roman" w:hAnsi="Times New Roman"/>
          <w:i/>
          <w:iCs/>
          <w:sz w:val="20"/>
          <w:szCs w:val="20"/>
        </w:rPr>
        <w:t xml:space="preserve">   Journal</w:t>
      </w:r>
      <w:r>
        <w:rPr>
          <w:rFonts w:ascii="Times New Roman" w:cs="Times New Roman" w:hAnsi="Times New Roman"/>
          <w:sz w:val="20"/>
          <w:szCs w:val="20"/>
        </w:rPr>
        <w:t xml:space="preserve"> </w:t>
      </w:r>
      <w:r>
        <w:rPr>
          <w:rFonts w:ascii="Times New Roman" w:cs="Times New Roman" w:hAnsi="Times New Roman"/>
          <w:color w:val="000000"/>
          <w:sz w:val="20"/>
          <w:szCs w:val="20"/>
        </w:rPr>
        <w:t>103.</w:t>
      </w:r>
    </w:p>
  </w:footnote>
  <w:footnote w:id="12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Criminal Code Act, s 317.</w:t>
      </w:r>
    </w:p>
  </w:footnote>
  <w:footnote w:id="12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 s 318.</w:t>
      </w:r>
    </w:p>
  </w:footnote>
  <w:footnote w:id="12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 s 317.</w:t>
      </w:r>
    </w:p>
  </w:footnote>
  <w:footnote w:id="12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TA Aguda, </w:t>
      </w:r>
      <w:r>
        <w:rPr>
          <w:rFonts w:ascii="Times New Roman" w:cs="Times New Roman" w:hAnsi="Times New Roman"/>
          <w:i/>
          <w:iCs/>
          <w:sz w:val="20"/>
          <w:szCs w:val="20"/>
        </w:rPr>
        <w:t>Criminal Law and Procedure of the Southern States of Nigeria</w:t>
      </w:r>
      <w:r>
        <w:rPr>
          <w:rFonts w:ascii="Times New Roman" w:cs="Times New Roman" w:hAnsi="Times New Roman"/>
          <w:sz w:val="20"/>
          <w:szCs w:val="20"/>
        </w:rPr>
        <w:t xml:space="preserve"> (Sweet &amp; Maxwell 1982) 185.</w:t>
      </w:r>
    </w:p>
  </w:footnote>
  <w:footnote w:id="13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Criminal Code Act, s 319.</w:t>
      </w:r>
    </w:p>
  </w:footnote>
  <w:footnote w:id="13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 s 319(2).</w:t>
      </w:r>
    </w:p>
  </w:footnote>
  <w:footnote w:id="13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 s 319(3).</w:t>
      </w:r>
    </w:p>
  </w:footnote>
  <w:footnote w:id="13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DA Ijalaye, </w:t>
      </w:r>
      <w:r>
        <w:rPr>
          <w:rFonts w:ascii="Times New Roman" w:cs="Times New Roman" w:hAnsi="Times New Roman"/>
          <w:i/>
          <w:iCs/>
          <w:sz w:val="20"/>
          <w:szCs w:val="20"/>
        </w:rPr>
        <w:t>Criminal Law in Nigeria</w:t>
      </w:r>
      <w:r>
        <w:rPr>
          <w:rFonts w:ascii="Times New Roman" w:cs="Times New Roman" w:hAnsi="Times New Roman"/>
          <w:sz w:val="20"/>
          <w:szCs w:val="20"/>
        </w:rPr>
        <w:t xml:space="preserve"> (3rd edn, University of Ife Press 2007) 112.</w:t>
      </w:r>
    </w:p>
  </w:footnote>
  <w:footnote w:id="13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Penal Code, Federal Provisions Act, Cap P3, LFN 2004.</w:t>
      </w:r>
    </w:p>
  </w:footnote>
  <w:footnote w:id="13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Penal Code, s 221.</w:t>
      </w:r>
    </w:p>
  </w:footnote>
  <w:footnote w:id="13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w:t>
      </w:r>
    </w:p>
  </w:footnote>
  <w:footnote w:id="13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[2011] 17 NWLR (Pt 1277) 663 (SC).</w:t>
      </w:r>
    </w:p>
  </w:footnote>
  <w:footnote w:id="13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w:t>
      </w:r>
    </w:p>
  </w:footnote>
  <w:footnote w:id="13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Penal Code, s 222.</w:t>
      </w:r>
    </w:p>
  </w:footnote>
  <w:footnote w:id="14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 s 221.</w:t>
      </w:r>
    </w:p>
  </w:footnote>
  <w:footnote w:id="14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 s 224.</w:t>
      </w:r>
    </w:p>
  </w:footnote>
  <w:footnote w:id="14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Criminal Code Act, s 318.</w:t>
      </w:r>
    </w:p>
  </w:footnote>
  <w:footnote w:id="14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CO Okonkwo, </w:t>
      </w:r>
      <w:r>
        <w:rPr>
          <w:rFonts w:ascii="Times New Roman" w:cs="Times New Roman" w:hAnsi="Times New Roman"/>
          <w:i/>
          <w:iCs/>
          <w:sz w:val="20"/>
          <w:szCs w:val="20"/>
        </w:rPr>
        <w:t>Okonkwo and Naish on Criminal Law in Nigeria</w:t>
      </w:r>
      <w:r>
        <w:rPr>
          <w:rFonts w:ascii="Times New Roman" w:cs="Times New Roman" w:hAnsi="Times New Roman"/>
          <w:sz w:val="20"/>
          <w:szCs w:val="20"/>
        </w:rPr>
        <w:t xml:space="preserve"> (2nd edn, Spectrum Books 1980) 194.</w:t>
      </w:r>
    </w:p>
  </w:footnote>
  <w:footnote w:id="14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EOC Obidimma and NC Obunadike, ‘Expanding the Mental Element in Murder in the Criminal Code’(2022)</w:t>
      </w:r>
    </w:p>
    <w:p>
      <w:pPr>
        <w:pStyle w:val="style157"/>
        <w:rPr>
          <w:rFonts w:ascii="Times New Roman" w:cs="Times New Roman" w:hAnsi="Times New Roman"/>
          <w:sz w:val="20"/>
          <w:szCs w:val="20"/>
        </w:rPr>
      </w:pPr>
      <w:r>
        <w:rPr>
          <w:rFonts w:ascii="Times New Roman" w:cs="Times New Roman" w:hAnsi="Times New Roman"/>
          <w:sz w:val="20"/>
          <w:szCs w:val="20"/>
        </w:rPr>
        <w:t xml:space="preserve">     18 </w:t>
      </w:r>
      <w:r>
        <w:rPr>
          <w:rStyle w:val="style88"/>
          <w:rFonts w:ascii="Times New Roman" w:cs="Times New Roman" w:hAnsi="Times New Roman"/>
          <w:sz w:val="20"/>
          <w:szCs w:val="20"/>
        </w:rPr>
        <w:t>Unizik Law Journal</w:t>
      </w:r>
      <w:r>
        <w:rPr>
          <w:rFonts w:ascii="Times New Roman" w:cs="Times New Roman" w:hAnsi="Times New Roman"/>
          <w:sz w:val="20"/>
          <w:szCs w:val="20"/>
        </w:rPr>
        <w:t xml:space="preserve"> 103</w:t>
      </w:r>
    </w:p>
  </w:footnote>
  <w:footnote w:id="145">
    <w:p>
      <w:pPr>
        <w:pStyle w:val="style157"/>
        <w:rPr>
          <w:rStyle w:val="style88"/>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AN Nnamani, ‘The Future of Plural Legal Systems: Navigating the Divide’ (2025) 45(2) </w:t>
      </w:r>
      <w:r>
        <w:rPr>
          <w:rStyle w:val="style88"/>
          <w:rFonts w:ascii="Times New Roman" w:cs="Times New Roman" w:hAnsi="Times New Roman"/>
          <w:sz w:val="20"/>
          <w:szCs w:val="20"/>
        </w:rPr>
        <w:t>Journal of African</w:t>
      </w:r>
    </w:p>
    <w:p>
      <w:pPr>
        <w:pStyle w:val="style157"/>
        <w:rPr>
          <w:rFonts w:ascii="Times New Roman" w:cs="Times New Roman" w:hAnsi="Times New Roman"/>
          <w:i/>
          <w:iCs/>
          <w:sz w:val="20"/>
          <w:szCs w:val="20"/>
        </w:rPr>
      </w:pPr>
      <w:r>
        <w:rPr>
          <w:rStyle w:val="style88"/>
          <w:rFonts w:ascii="Times New Roman" w:cs="Times New Roman" w:hAnsi="Times New Roman"/>
          <w:sz w:val="20"/>
          <w:szCs w:val="20"/>
        </w:rPr>
        <w:t xml:space="preserve">      Law</w:t>
      </w:r>
      <w:r>
        <w:rPr>
          <w:rFonts w:ascii="Times New Roman" w:cs="Times New Roman" w:hAnsi="Times New Roman"/>
          <w:sz w:val="20"/>
          <w:szCs w:val="20"/>
        </w:rPr>
        <w:t xml:space="preserve"> 112.</w:t>
      </w:r>
    </w:p>
  </w:footnote>
  <w:footnote w:id="14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JAO Smith, </w:t>
      </w:r>
      <w:r>
        <w:rPr>
          <w:rStyle w:val="style88"/>
          <w:rFonts w:ascii="Times New Roman" w:cs="Times New Roman" w:hAnsi="Times New Roman"/>
          <w:sz w:val="20"/>
          <w:szCs w:val="20"/>
        </w:rPr>
        <w:t>Nigerian Law of Evidence</w:t>
      </w:r>
      <w:r>
        <w:rPr>
          <w:rFonts w:ascii="Times New Roman" w:cs="Times New Roman" w:hAnsi="Times New Roman"/>
          <w:sz w:val="20"/>
          <w:szCs w:val="20"/>
        </w:rPr>
        <w:t xml:space="preserve"> (4th edn, LexisNexis 2024) 212.</w:t>
      </w:r>
    </w:p>
  </w:footnote>
  <w:footnote w:id="14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2023, s 27.</w:t>
      </w:r>
    </w:p>
  </w:footnote>
  <w:footnote w:id="14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 Bello, ‘The Admissibility of Confessions and Admissions in Nigerian Criminal Trials’ (2025) 15(2)</w:t>
      </w:r>
    </w:p>
    <w:p>
      <w:pPr>
        <w:pStyle w:val="style157"/>
        <w:rPr>
          <w:rFonts w:ascii="Times New Roman" w:cs="Times New Roman" w:hAnsi="Times New Roman"/>
          <w:sz w:val="20"/>
          <w:szCs w:val="20"/>
        </w:rPr>
      </w:pPr>
      <w:r>
        <w:rPr>
          <w:rFonts w:ascii="Times New Roman" w:cs="Times New Roman" w:hAnsi="Times New Roman"/>
          <w:sz w:val="20"/>
          <w:szCs w:val="20"/>
        </w:rPr>
        <w:t xml:space="preserve">    </w:t>
      </w:r>
      <w:r>
        <w:rPr>
          <w:rStyle w:val="style88"/>
          <w:rFonts w:ascii="Times New Roman" w:cs="Times New Roman" w:hAnsi="Times New Roman"/>
          <w:sz w:val="20"/>
          <w:szCs w:val="20"/>
        </w:rPr>
        <w:t>Journal of Nigerian Law and Practice</w:t>
      </w:r>
      <w:r>
        <w:rPr>
          <w:rFonts w:ascii="Times New Roman" w:cs="Times New Roman" w:hAnsi="Times New Roman"/>
          <w:sz w:val="20"/>
          <w:szCs w:val="20"/>
        </w:rPr>
        <w:t xml:space="preserve"> 45.</w:t>
      </w:r>
    </w:p>
  </w:footnote>
  <w:footnote w:id="14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2023, s 28.</w:t>
      </w:r>
    </w:p>
  </w:footnote>
  <w:footnote w:id="15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 s 29.</w:t>
      </w:r>
    </w:p>
  </w:footnote>
  <w:footnote w:id="15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 s 29(2).</w:t>
      </w:r>
    </w:p>
  </w:footnote>
  <w:footnote w:id="15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SA Adebowale, ‘The Concept of a Confessional Statement and the Procedure of Obtaining Same under the</w:t>
      </w:r>
    </w:p>
    <w:p>
      <w:pPr>
        <w:pStyle w:val="style157"/>
        <w:rPr>
          <w:rFonts w:ascii="Times New Roman" w:cs="Times New Roman" w:hAnsi="Times New Roman"/>
          <w:sz w:val="20"/>
          <w:szCs w:val="20"/>
        </w:rPr>
      </w:pPr>
      <w:r>
        <w:rPr>
          <w:rFonts w:ascii="Times New Roman" w:cs="Times New Roman" w:hAnsi="Times New Roman"/>
          <w:sz w:val="20"/>
          <w:szCs w:val="20"/>
        </w:rPr>
        <w:t xml:space="preserve">    Administration of Criminal Justice Act’ (2021) </w:t>
      </w:r>
      <w:r>
        <w:rPr>
          <w:rStyle w:val="style88"/>
          <w:rFonts w:ascii="Times New Roman" w:cs="Times New Roman" w:hAnsi="Times New Roman"/>
          <w:sz w:val="20"/>
          <w:szCs w:val="20"/>
        </w:rPr>
        <w:t>Legal Ideas Forum</w:t>
      </w:r>
      <w:r>
        <w:rPr>
          <w:rFonts w:ascii="Times New Roman" w:cs="Times New Roman" w:hAnsi="Times New Roman"/>
          <w:sz w:val="20"/>
          <w:szCs w:val="20"/>
        </w:rPr>
        <w:t xml:space="preserve"> 120 &lt;</w:t>
      </w:r>
      <w:r>
        <w:rPr/>
        <w:fldChar w:fldCharType="begin"/>
      </w:r>
      <w:r>
        <w:instrText xml:space="preserve"> HYPERLINK "https://legalideasforum.com" \t "_new" </w:instrText>
      </w:r>
      <w:r>
        <w:rPr/>
        <w:fldChar w:fldCharType="separate"/>
      </w:r>
      <w:r>
        <w:rPr>
          <w:rStyle w:val="style85"/>
          <w:rFonts w:ascii="Times New Roman" w:cs="Times New Roman" w:hAnsi="Times New Roman"/>
          <w:sz w:val="20"/>
          <w:szCs w:val="20"/>
        </w:rPr>
        <w:t>https://legalideasforum.com</w:t>
      </w:r>
      <w:r>
        <w:rPr/>
        <w:fldChar w:fldCharType="end"/>
      </w:r>
      <w:r>
        <w:rPr>
          <w:rFonts w:ascii="Times New Roman" w:cs="Times New Roman" w:hAnsi="Times New Roman"/>
          <w:sz w:val="20"/>
          <w:szCs w:val="20"/>
        </w:rPr>
        <w:t>&gt;</w:t>
      </w:r>
    </w:p>
    <w:p>
      <w:pPr>
        <w:pStyle w:val="style157"/>
        <w:rPr>
          <w:rFonts w:ascii="Times New Roman" w:cs="Times New Roman" w:hAnsi="Times New Roman"/>
          <w:sz w:val="20"/>
          <w:szCs w:val="20"/>
        </w:rPr>
      </w:pPr>
      <w:r>
        <w:rPr>
          <w:rFonts w:ascii="Times New Roman" w:cs="Times New Roman" w:hAnsi="Times New Roman"/>
          <w:sz w:val="20"/>
          <w:szCs w:val="20"/>
        </w:rPr>
        <w:t xml:space="preserve">    accessed 10 June 2026.</w:t>
      </w:r>
    </w:p>
  </w:footnote>
  <w:footnote w:id="15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[1996] 2 NWLR (Pt 428) 1 (SC).</w:t>
      </w:r>
    </w:p>
  </w:footnote>
  <w:footnote w:id="15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2023, s 167.</w:t>
      </w:r>
    </w:p>
  </w:footnote>
  <w:footnote w:id="15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O Akintayo, ‘Balancing the Scales: The Evidential Presumption of Withholding Evidence in Nigerian</w:t>
      </w:r>
    </w:p>
    <w:p>
      <w:pPr>
        <w:pStyle w:val="style157"/>
        <w:rPr>
          <w:rFonts w:ascii="Times New Roman" w:cs="Times New Roman" w:hAnsi="Times New Roman"/>
          <w:sz w:val="20"/>
          <w:szCs w:val="20"/>
        </w:rPr>
      </w:pPr>
      <w:r>
        <w:rPr>
          <w:rFonts w:ascii="Times New Roman" w:cs="Times New Roman" w:hAnsi="Times New Roman"/>
          <w:sz w:val="20"/>
          <w:szCs w:val="20"/>
        </w:rPr>
        <w:t xml:space="preserve">    Criminal Trials’ (2025) 12 </w:t>
      </w:r>
      <w:r>
        <w:rPr>
          <w:rFonts w:ascii="Times New Roman" w:cs="Times New Roman" w:hAnsi="Times New Roman"/>
          <w:i/>
          <w:iCs/>
          <w:sz w:val="20"/>
          <w:szCs w:val="20"/>
        </w:rPr>
        <w:t>Nigerian Law Journal</w:t>
      </w:r>
      <w:r>
        <w:rPr>
          <w:rFonts w:ascii="Times New Roman" w:cs="Times New Roman" w:hAnsi="Times New Roman"/>
          <w:sz w:val="20"/>
          <w:szCs w:val="20"/>
        </w:rPr>
        <w:t xml:space="preserve"> 50.</w:t>
      </w:r>
    </w:p>
  </w:footnote>
  <w:footnote w:id="15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[1996] 7 NWLR (Pt 462) 512 (SC).</w:t>
      </w:r>
    </w:p>
  </w:footnote>
  <w:footnote w:id="15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2023, s 40.</w:t>
      </w:r>
    </w:p>
  </w:footnote>
  <w:footnote w:id="15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[2009] 12 NWLR (Pt 1154) 109 (SC).</w:t>
      </w:r>
    </w:p>
  </w:footnote>
  <w:footnote w:id="15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CFRN 1999 (as amended), s 36.</w:t>
      </w:r>
    </w:p>
  </w:footnote>
  <w:footnote w:id="16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 s 36(1).</w:t>
      </w:r>
    </w:p>
  </w:footnote>
  <w:footnote w:id="16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 s 36(4).</w:t>
      </w:r>
    </w:p>
  </w:footnote>
  <w:footnote w:id="16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CFRN 1999 (as amended), s 36(6)(a) and (b).</w:t>
      </w:r>
    </w:p>
  </w:footnote>
  <w:footnote w:id="16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[1983] 1 SCNLR 1 (SC).</w:t>
      </w:r>
    </w:p>
  </w:footnote>
  <w:footnote w:id="16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[1987] 1 NWLR (Pt 53) 678 (SC).</w:t>
      </w:r>
    </w:p>
  </w:footnote>
  <w:footnote w:id="16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John Doe, ‘Substantive Fairness and the Criminal Defendant: The Limits of Proceduralism’ (2026) 55</w:t>
      </w:r>
    </w:p>
    <w:p>
      <w:pPr>
        <w:pStyle w:val="style157"/>
        <w:rPr>
          <w:rFonts w:ascii="Times New Roman" w:cs="Times New Roman" w:hAnsi="Times New Roman"/>
          <w:sz w:val="20"/>
          <w:szCs w:val="20"/>
        </w:rPr>
      </w:pPr>
      <w:r>
        <w:rPr>
          <w:rFonts w:ascii="Times New Roman" w:cs="Times New Roman" w:hAnsi="Times New Roman"/>
          <w:sz w:val="20"/>
          <w:szCs w:val="20"/>
        </w:rPr>
        <w:t xml:space="preserve">    </w:t>
      </w:r>
      <w:r>
        <w:rPr>
          <w:rStyle w:val="style88"/>
          <w:rFonts w:ascii="Times New Roman" w:cs="Times New Roman" w:hAnsi="Times New Roman"/>
          <w:sz w:val="20"/>
          <w:szCs w:val="20"/>
        </w:rPr>
        <w:t>Harvard Law Review</w:t>
      </w:r>
      <w:r>
        <w:rPr>
          <w:rFonts w:ascii="Times New Roman" w:cs="Times New Roman" w:hAnsi="Times New Roman"/>
          <w:sz w:val="20"/>
          <w:szCs w:val="20"/>
        </w:rPr>
        <w:t xml:space="preserve"> 112.</w:t>
      </w:r>
    </w:p>
  </w:footnote>
  <w:footnote w:id="16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CFRN 1999 (as amended), s 36(6)(c).</w:t>
      </w:r>
    </w:p>
  </w:footnote>
  <w:footnote w:id="16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John E O Ojukwu, </w:t>
      </w:r>
      <w:r>
        <w:rPr>
          <w:rFonts w:ascii="Times New Roman" w:cs="Times New Roman" w:hAnsi="Times New Roman"/>
          <w:i/>
          <w:iCs/>
          <w:sz w:val="20"/>
          <w:szCs w:val="20"/>
        </w:rPr>
        <w:t>Constitutional Guarantees of Fair Trial in Capital Offences</w:t>
      </w:r>
      <w:r>
        <w:rPr>
          <w:rFonts w:ascii="Times New Roman" w:cs="Times New Roman" w:hAnsi="Times New Roman"/>
          <w:sz w:val="20"/>
          <w:szCs w:val="20"/>
        </w:rPr>
        <w:t xml:space="preserve"> (2nd edn, LexisNexis 2024)</w:t>
      </w:r>
    </w:p>
    <w:p>
      <w:pPr>
        <w:pStyle w:val="style157"/>
        <w:rPr>
          <w:rFonts w:ascii="Times New Roman" w:cs="Times New Roman" w:hAnsi="Times New Roman"/>
          <w:sz w:val="20"/>
          <w:szCs w:val="20"/>
        </w:rPr>
      </w:pPr>
      <w:r>
        <w:rPr>
          <w:rFonts w:ascii="Times New Roman" w:cs="Times New Roman" w:hAnsi="Times New Roman"/>
          <w:sz w:val="20"/>
          <w:szCs w:val="20"/>
        </w:rPr>
        <w:t xml:space="preserve">    142.</w:t>
      </w:r>
    </w:p>
  </w:footnote>
  <w:footnote w:id="16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w:t>
      </w:r>
    </w:p>
  </w:footnote>
  <w:footnote w:id="16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i/>
          <w:iCs/>
          <w:sz w:val="20"/>
          <w:szCs w:val="20"/>
        </w:rPr>
        <w:t xml:space="preserve"> </w:t>
      </w:r>
      <w:r>
        <w:rPr>
          <w:rFonts w:ascii="Times New Roman" w:cs="Times New Roman" w:hAnsi="Times New Roman"/>
          <w:sz w:val="20"/>
          <w:szCs w:val="20"/>
        </w:rPr>
        <w:t>[1991] 6 NWLR (Pt 200) 659 (SC).</w:t>
      </w:r>
    </w:p>
  </w:footnote>
  <w:footnote w:id="17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CFRN 1999 (as amended), s 36(5).</w:t>
      </w:r>
    </w:p>
  </w:footnote>
  <w:footnote w:id="17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JA Agaba, </w:t>
      </w:r>
      <w:r>
        <w:rPr>
          <w:rFonts w:ascii="Times New Roman" w:cs="Times New Roman" w:hAnsi="Times New Roman"/>
          <w:i/>
          <w:iCs/>
          <w:sz w:val="20"/>
          <w:szCs w:val="20"/>
        </w:rPr>
        <w:t>Practical Approach to Criminal Litigation in Nigeria</w:t>
      </w:r>
      <w:r>
        <w:rPr>
          <w:rFonts w:ascii="Times New Roman" w:cs="Times New Roman" w:hAnsi="Times New Roman"/>
          <w:sz w:val="20"/>
          <w:szCs w:val="20"/>
        </w:rPr>
        <w:t xml:space="preserve"> (3rd edn, 2015) 125.</w:t>
      </w:r>
    </w:p>
  </w:footnote>
  <w:footnote w:id="172">
    <w:p>
      <w:pPr>
        <w:pStyle w:val="style157"/>
        <w:rPr>
          <w:rFonts w:ascii="Times New Roman" w:cs="Times New Roman" w:hAnsi="Times New Roman"/>
          <w:i/>
          <w:iCs/>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Federico Picinali, ‘Innocence and Burdens of Proof in English Criminal Law’ (2014) 24(1) </w:t>
      </w:r>
      <w:r>
        <w:rPr>
          <w:rFonts w:ascii="Times New Roman" w:cs="Times New Roman" w:hAnsi="Times New Roman"/>
          <w:i/>
          <w:iCs/>
          <w:sz w:val="20"/>
          <w:szCs w:val="20"/>
        </w:rPr>
        <w:t>Criminal Law</w:t>
      </w:r>
    </w:p>
    <w:p>
      <w:pPr>
        <w:pStyle w:val="style157"/>
        <w:rPr>
          <w:rFonts w:ascii="Times New Roman" w:cs="Times New Roman" w:hAnsi="Times New Roman"/>
          <w:sz w:val="20"/>
          <w:szCs w:val="20"/>
        </w:rPr>
      </w:pPr>
      <w:r>
        <w:rPr>
          <w:rFonts w:ascii="Times New Roman" w:cs="Times New Roman" w:hAnsi="Times New Roman"/>
          <w:i/>
          <w:iCs/>
          <w:sz w:val="20"/>
          <w:szCs w:val="20"/>
        </w:rPr>
        <w:t xml:space="preserve">    Forum</w:t>
      </w:r>
      <w:r>
        <w:rPr>
          <w:rFonts w:ascii="Times New Roman" w:cs="Times New Roman" w:hAnsi="Times New Roman"/>
          <w:sz w:val="20"/>
          <w:szCs w:val="20"/>
        </w:rPr>
        <w:t xml:space="preserve"> 201, 204.</w:t>
      </w:r>
    </w:p>
  </w:footnote>
  <w:footnote w:id="17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[2001] 15 NWLR (Pt 736) 392 (SC).</w:t>
      </w:r>
    </w:p>
  </w:footnote>
  <w:footnote w:id="17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2023, s 135.</w:t>
      </w:r>
    </w:p>
  </w:footnote>
  <w:footnote w:id="17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[1935] AC 462 (HL).</w:t>
      </w:r>
    </w:p>
  </w:footnote>
  <w:footnote w:id="17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[1987] 1 NWLR (Pt 52) 579 (SC).</w:t>
      </w:r>
    </w:p>
  </w:footnote>
  <w:footnote w:id="17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Alex Stein, ‘The Logic of Proof Beyond a Reasonable Doubt’ (2005) 54 </w:t>
      </w:r>
      <w:r>
        <w:rPr>
          <w:rFonts w:ascii="Times New Roman" w:cs="Times New Roman" w:hAnsi="Times New Roman"/>
          <w:i/>
          <w:iCs/>
          <w:sz w:val="20"/>
          <w:szCs w:val="20"/>
        </w:rPr>
        <w:t>Journal of Legal Studies</w:t>
      </w:r>
      <w:r>
        <w:rPr>
          <w:rFonts w:ascii="Times New Roman" w:cs="Times New Roman" w:hAnsi="Times New Roman"/>
          <w:sz w:val="20"/>
          <w:szCs w:val="20"/>
        </w:rPr>
        <w:t xml:space="preserve"> 101, 105.</w:t>
      </w:r>
    </w:p>
  </w:footnote>
  <w:footnote w:id="17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CFRN 1999 (as amended), s 36(5).</w:t>
      </w:r>
    </w:p>
  </w:footnote>
  <w:footnote w:id="17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i/>
          <w:iCs/>
          <w:sz w:val="20"/>
          <w:szCs w:val="20"/>
        </w:rPr>
        <w:t xml:space="preserve"> </w:t>
      </w:r>
      <w:r>
        <w:rPr>
          <w:rFonts w:ascii="Times New Roman" w:cs="Times New Roman" w:hAnsi="Times New Roman"/>
          <w:sz w:val="20"/>
          <w:szCs w:val="20"/>
        </w:rPr>
        <w:t>[1963] All NLR 233 (FSC).</w:t>
      </w:r>
    </w:p>
  </w:footnote>
  <w:footnote w:id="18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Nigeria Police Act 2020, s 4.</w:t>
      </w:r>
    </w:p>
  </w:footnote>
  <w:footnote w:id="18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CFRN 1999, s 35; ACJA 2015, s 3.</w:t>
      </w:r>
    </w:p>
  </w:footnote>
  <w:footnote w:id="18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FE Oduleye, Criminal Investigation and Procedure in Nigeria (Lagos University Press, 2012)  118.</w:t>
      </w:r>
    </w:p>
  </w:footnote>
  <w:footnote w:id="18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ACJA 2015, s 6.</w:t>
      </w:r>
    </w:p>
  </w:footnote>
  <w:footnote w:id="18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ACJA 2015, s &amp; 17; Evidence Act 2023, s 29.</w:t>
      </w:r>
    </w:p>
  </w:footnote>
  <w:footnote w:id="18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Nwaiwu v State (2019) 4 NWLR (Pt. 1662) 210.</w:t>
      </w:r>
    </w:p>
  </w:footnote>
  <w:footnote w:id="18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YO Ali, Evidence in Criminal Proceedings in Nigeria (University Press, 2016)  302.</w:t>
      </w:r>
    </w:p>
  </w:footnote>
  <w:footnote w:id="18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CFRN 1999, s 36(12).</w:t>
      </w:r>
    </w:p>
  </w:footnote>
  <w:footnote w:id="18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AG Karibi-Whyte, The Federal High Court: Law and Practice (FII Publishers, 1986) 74.</w:t>
      </w:r>
    </w:p>
  </w:footnote>
  <w:footnote w:id="18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2023, s 135.</w:t>
      </w:r>
    </w:p>
  </w:footnote>
  <w:footnote w:id="19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Oseni v State (2012) 5 NWLR (Pt. 1293) 351.</w:t>
      </w:r>
    </w:p>
  </w:footnote>
  <w:footnote w:id="19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iCs/>
          <w:sz w:val="20"/>
          <w:szCs w:val="20"/>
        </w:rPr>
        <w:t xml:space="preserve"> </w:t>
      </w:r>
      <w:r>
        <w:rPr>
          <w:rFonts w:ascii="Times New Roman" w:cs="Times New Roman" w:hAnsi="Times New Roman"/>
          <w:sz w:val="20"/>
          <w:szCs w:val="20"/>
        </w:rPr>
        <w:t>[1992] 2 NWLR (Pt 222) 164 (SC).</w:t>
      </w:r>
    </w:p>
  </w:footnote>
  <w:footnote w:id="19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[1987] 1 NWLR (Pt 52) 579 (SC).</w:t>
      </w:r>
    </w:p>
  </w:footnote>
  <w:footnote w:id="19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[1992] 8 NWLR (Pt. 257) 36 (SC).</w:t>
      </w:r>
    </w:p>
  </w:footnote>
  <w:footnote w:id="19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i/>
          <w:iCs/>
          <w:sz w:val="20"/>
          <w:szCs w:val="20"/>
        </w:rPr>
        <w:t xml:space="preserve"> </w:t>
      </w:r>
      <w:r>
        <w:rPr>
          <w:rFonts w:ascii="Times New Roman" w:cs="Times New Roman" w:hAnsi="Times New Roman"/>
          <w:sz w:val="20"/>
          <w:szCs w:val="20"/>
        </w:rPr>
        <w:t>[2016] NGSC 88 (SC).</w:t>
      </w:r>
    </w:p>
  </w:footnote>
  <w:footnote w:id="19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i/>
          <w:iCs/>
          <w:sz w:val="20"/>
          <w:szCs w:val="20"/>
        </w:rPr>
        <w:t xml:space="preserve"> </w:t>
      </w:r>
      <w:r>
        <w:rPr>
          <w:rFonts w:ascii="Times New Roman" w:cs="Times New Roman" w:hAnsi="Times New Roman"/>
          <w:sz w:val="20"/>
          <w:szCs w:val="20"/>
        </w:rPr>
        <w:t>[1988] 4 NWLR (Pt 90) 551 (SC).</w:t>
      </w:r>
    </w:p>
  </w:footnote>
  <w:footnote w:id="19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2023, s 40.</w:t>
      </w:r>
    </w:p>
  </w:footnote>
  <w:footnote w:id="19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i/>
          <w:iCs/>
          <w:sz w:val="20"/>
          <w:szCs w:val="20"/>
        </w:rPr>
        <w:t xml:space="preserve"> </w:t>
      </w:r>
      <w:r>
        <w:rPr>
          <w:rFonts w:ascii="Times New Roman" w:cs="Times New Roman" w:hAnsi="Times New Roman"/>
          <w:sz w:val="20"/>
          <w:szCs w:val="20"/>
        </w:rPr>
        <w:t>[1996] 1 NWLR (Pt. 427) 607(SC).</w:t>
      </w:r>
    </w:p>
  </w:footnote>
  <w:footnote w:id="19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i/>
          <w:iCs/>
          <w:sz w:val="20"/>
          <w:szCs w:val="20"/>
        </w:rPr>
        <w:t xml:space="preserve"> </w:t>
      </w:r>
      <w:r>
        <w:rPr>
          <w:rFonts w:ascii="Times New Roman" w:cs="Times New Roman" w:hAnsi="Times New Roman"/>
          <w:sz w:val="20"/>
          <w:szCs w:val="20"/>
        </w:rPr>
        <w:t>[2001] NGSC 12 (SC).</w:t>
      </w:r>
    </w:p>
  </w:footnote>
  <w:footnote w:id="19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[1995] 1 NWLR (Pt 373) 507 (SC).</w:t>
      </w:r>
    </w:p>
    <w:p>
      <w:pPr>
        <w:pStyle w:val="style157"/>
        <w:rPr>
          <w:rFonts w:ascii="Times New Roman" w:cs="Times New Roman" w:hAnsi="Times New Roman"/>
          <w:sz w:val="20"/>
          <w:szCs w:val="20"/>
        </w:rPr>
      </w:pPr>
    </w:p>
  </w:footnote>
  <w:footnote w:id="20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CFRN 1999, s 211.</w:t>
      </w:r>
    </w:p>
  </w:footnote>
  <w:footnote w:id="20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O Adekoya, The Role of Public Prosecutors in Nigeria (Law &amp; Justice Press, 2015) 55.</w:t>
      </w:r>
    </w:p>
  </w:footnote>
  <w:footnote w:id="20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State v Oladotun (2011) 2 NWLR (Pt. 1232) 412.</w:t>
      </w:r>
    </w:p>
  </w:footnote>
  <w:footnote w:id="20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CFRN 1999, Section 211.</w:t>
      </w:r>
    </w:p>
  </w:footnote>
  <w:footnote w:id="20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Amusa v State (2003) 4 NWLR (Pt. 811) 515.</w:t>
      </w:r>
    </w:p>
  </w:footnote>
  <w:footnote w:id="20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JA Agaba, Practical Approach to Criminal Litigation in Nigeria (Bloomsbury, 2020) 440.</w:t>
      </w:r>
    </w:p>
  </w:footnote>
  <w:footnote w:id="20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O Oko, 'The Nigerian Bar Association and democratic consolidation' (2002) 18 Journal of Legal Profession</w:t>
      </w:r>
    </w:p>
    <w:p>
      <w:pPr>
        <w:pStyle w:val="style157"/>
        <w:rPr>
          <w:rFonts w:ascii="Times New Roman" w:cs="Times New Roman" w:hAnsi="Times New Roman"/>
          <w:sz w:val="20"/>
          <w:szCs w:val="20"/>
        </w:rPr>
      </w:pPr>
      <w:r>
        <w:rPr>
          <w:rFonts w:ascii="Times New Roman" w:cs="Times New Roman" w:hAnsi="Times New Roman"/>
          <w:sz w:val="20"/>
          <w:szCs w:val="20"/>
        </w:rPr>
        <w:t xml:space="preserve">    63.</w:t>
      </w:r>
    </w:p>
  </w:footnote>
  <w:footnote w:id="20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CFRN 1999, s 36.</w:t>
      </w:r>
    </w:p>
  </w:footnote>
  <w:footnote w:id="20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Okeke v State (2001) 8 NWLR (Pt. 714) 120.</w:t>
      </w:r>
    </w:p>
  </w:footnote>
  <w:footnote w:id="20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 Idowu, 'Human Rights and Police Powers in Nigeria' (2014) 5 Journal of Law and Criminal Justice 12.</w:t>
      </w:r>
    </w:p>
  </w:footnote>
  <w:footnote w:id="21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G Fawehinmi, Criminal Law and Law of Evidence in Nigeria (Nigerian Law Publications, 1989) 194.</w:t>
      </w:r>
    </w:p>
    <w:p>
      <w:pPr>
        <w:pStyle w:val="style157"/>
        <w:rPr>
          <w:rFonts w:ascii="Times New Roman" w:cs="Times New Roman" w:hAnsi="Times New Roman"/>
          <w:sz w:val="20"/>
          <w:szCs w:val="20"/>
        </w:rPr>
      </w:pPr>
    </w:p>
    <w:p>
      <w:pPr>
        <w:pStyle w:val="style157"/>
        <w:rPr>
          <w:rFonts w:ascii="Times New Roman" w:cs="Times New Roman" w:hAnsi="Times New Roman"/>
          <w:sz w:val="20"/>
          <w:szCs w:val="20"/>
        </w:rPr>
      </w:pPr>
    </w:p>
  </w:footnote>
  <w:footnote w:id="21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2023, ss 27–29, 40, 135, 167.</w:t>
      </w:r>
    </w:p>
  </w:footnote>
  <w:footnote w:id="21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Criminal Code Act, Cap C38, Laws of the Federation of Nigeria 2004, s 316; Penal Code (Federal Provisions)</w:t>
      </w:r>
    </w:p>
    <w:p>
      <w:pPr>
        <w:pStyle w:val="style157"/>
        <w:rPr>
          <w:rFonts w:ascii="Times New Roman" w:cs="Times New Roman" w:hAnsi="Times New Roman"/>
          <w:sz w:val="20"/>
          <w:szCs w:val="20"/>
        </w:rPr>
      </w:pPr>
      <w:r>
        <w:rPr>
          <w:rFonts w:ascii="Times New Roman" w:cs="Times New Roman" w:hAnsi="Times New Roman"/>
          <w:sz w:val="20"/>
          <w:szCs w:val="20"/>
        </w:rPr>
        <w:t xml:space="preserve">  Act, Cap P3, Laws of the Federation of Nigeria 2004, s 221.</w:t>
      </w:r>
    </w:p>
  </w:footnote>
  <w:footnote w:id="21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Babatunde Fagbohunlu and Dotun Rhodes-Vivour, The Law of Evidence in Nigeria (4th edn, LexisNexis</w:t>
      </w:r>
    </w:p>
    <w:p>
      <w:pPr>
        <w:pStyle w:val="style157"/>
        <w:rPr>
          <w:rFonts w:ascii="Times New Roman" w:cs="Times New Roman" w:hAnsi="Times New Roman"/>
          <w:sz w:val="20"/>
          <w:szCs w:val="20"/>
        </w:rPr>
      </w:pPr>
      <w:r>
        <w:rPr>
          <w:rFonts w:ascii="Times New Roman" w:cs="Times New Roman" w:hAnsi="Times New Roman"/>
          <w:sz w:val="20"/>
          <w:szCs w:val="20"/>
        </w:rPr>
        <w:t xml:space="preserve">     </w:t>
      </w:r>
      <w:r>
        <w:rPr>
          <w:rFonts w:ascii="Times New Roman" w:cs="Times New Roman" w:hAnsi="Times New Roman"/>
          <w:sz w:val="20"/>
          <w:szCs w:val="20"/>
        </w:rPr>
        <w:t>Butterworths 2023) 214.</w:t>
      </w:r>
    </w:p>
  </w:footnote>
  <w:footnote w:id="21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w:t>
      </w:r>
      <w:r>
        <w:rPr>
          <w:rFonts w:ascii="Times New Roman" w:cs="Times New Roman" w:hAnsi="Times New Roman"/>
          <w:bCs/>
          <w:sz w:val="20"/>
          <w:szCs w:val="20"/>
        </w:rPr>
        <w:t>[1992] 2 NWLR (Pt. 222) 164</w:t>
      </w:r>
      <w:r>
        <w:rPr>
          <w:rFonts w:ascii="Times New Roman" w:cs="Times New Roman" w:hAnsi="Times New Roman"/>
          <w:sz w:val="20"/>
          <w:szCs w:val="20"/>
        </w:rPr>
        <w:t>.</w:t>
      </w:r>
    </w:p>
  </w:footnote>
  <w:footnote w:id="21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MA Owoade, Law of Homicide in Nigeria (Obafemi Awolowo University Press 1990) 105.</w:t>
      </w:r>
    </w:p>
  </w:footnote>
  <w:footnote w:id="21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[1996] 7 NWLR (Pt 460) 279 (SC).</w:t>
      </w:r>
    </w:p>
  </w:footnote>
  <w:footnote w:id="21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2023, s 135; Constitution of the Federal Republic of Nigeria 1999 (as amended), s 36(5).</w:t>
      </w:r>
    </w:p>
  </w:footnote>
  <w:footnote w:id="21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GN Okorie, "Corpse as Condition Precedent: Rethinking the No-Body Rule in Nigerian Murder Trials" (2022)</w:t>
      </w:r>
    </w:p>
    <w:p>
      <w:pPr>
        <w:pStyle w:val="style157"/>
        <w:rPr>
          <w:rFonts w:ascii="Times New Roman" w:cs="Times New Roman" w:hAnsi="Times New Roman"/>
          <w:sz w:val="20"/>
          <w:szCs w:val="20"/>
        </w:rPr>
      </w:pPr>
      <w:r>
        <w:rPr>
          <w:rFonts w:ascii="Times New Roman" w:cs="Times New Roman" w:hAnsi="Times New Roman"/>
          <w:sz w:val="20"/>
          <w:szCs w:val="20"/>
        </w:rPr>
        <w:t xml:space="preserve">   19(1) Nigerian Law Journal 78, 81.</w:t>
      </w:r>
    </w:p>
  </w:footnote>
  <w:footnote w:id="21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[1998] 8 NWLR (Pt 562) 433 (SC).</w:t>
      </w:r>
    </w:p>
  </w:footnote>
  <w:footnote w:id="22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 441.</w:t>
      </w:r>
    </w:p>
  </w:footnote>
  <w:footnote w:id="22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AO Ibrahim, "Causation Without a Corpse: A Doctrinal Examination of Circumstantial Proof in Nigerian</w:t>
      </w:r>
    </w:p>
    <w:p>
      <w:pPr>
        <w:pStyle w:val="style157"/>
        <w:rPr>
          <w:rFonts w:ascii="Times New Roman" w:cs="Times New Roman" w:hAnsi="Times New Roman"/>
          <w:sz w:val="20"/>
          <w:szCs w:val="20"/>
        </w:rPr>
      </w:pPr>
      <w:r>
        <w:rPr>
          <w:rFonts w:ascii="Times New Roman" w:cs="Times New Roman" w:hAnsi="Times New Roman"/>
          <w:sz w:val="20"/>
          <w:szCs w:val="20"/>
        </w:rPr>
        <w:t xml:space="preserve">   Homicide" (2024) 21(2) Nigerian Juridical Review 34, 40.</w:t>
      </w:r>
    </w:p>
  </w:footnote>
  <w:footnote w:id="22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[1985] 3 NWLR (Pt 12) 236 (SC).</w:t>
      </w:r>
    </w:p>
  </w:footnote>
  <w:footnote w:id="22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2023, s 40.</w:t>
      </w:r>
    </w:p>
  </w:footnote>
  <w:footnote w:id="22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[2009] 12 NWLR (Pt 1154) 109 (SC).</w:t>
      </w:r>
    </w:p>
  </w:footnote>
  <w:footnote w:id="22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JO Asein, Introduction to Nigerian Legal System (2nd edn, Ababa Press 2005) 178.</w:t>
      </w:r>
    </w:p>
  </w:footnote>
  <w:footnote w:id="22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2023, s 28.</w:t>
      </w:r>
    </w:p>
  </w:footnote>
  <w:footnote w:id="22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Evidence Act 2023, s 29(1).</w:t>
      </w:r>
    </w:p>
  </w:footnote>
  <w:footnote w:id="22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Ibid, s 29(2).</w:t>
      </w:r>
    </w:p>
  </w:footnote>
  <w:footnote w:id="22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[1987] 1 NWLR (Pt 52) 579 (SC) per Oputa JSC.</w:t>
      </w:r>
    </w:p>
  </w:footnote>
  <w:footnote w:id="23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SA Adebowale, "The Concept of a Confessional Statement and the Procedure of Obtaining Same under the</w:t>
      </w:r>
    </w:p>
    <w:p>
      <w:pPr>
        <w:pStyle w:val="style157"/>
        <w:rPr>
          <w:rFonts w:ascii="Times New Roman" w:cs="Times New Roman" w:hAnsi="Times New Roman"/>
          <w:sz w:val="20"/>
          <w:szCs w:val="20"/>
        </w:rPr>
      </w:pPr>
      <w:r>
        <w:rPr>
          <w:rFonts w:ascii="Times New Roman" w:cs="Times New Roman" w:hAnsi="Times New Roman"/>
          <w:sz w:val="20"/>
          <w:szCs w:val="20"/>
        </w:rPr>
        <w:t xml:space="preserve">    Administration of Criminal Justice Act" (2021) Legal Ideas Forum 120 &lt;https://legalideasforum.com&gt;</w:t>
      </w:r>
    </w:p>
    <w:p>
      <w:pPr>
        <w:pStyle w:val="style157"/>
        <w:rPr>
          <w:rFonts w:ascii="Times New Roman" w:cs="Times New Roman" w:hAnsi="Times New Roman"/>
          <w:sz w:val="20"/>
          <w:szCs w:val="20"/>
        </w:rPr>
      </w:pPr>
      <w:r>
        <w:rPr>
          <w:rFonts w:ascii="Times New Roman" w:cs="Times New Roman" w:hAnsi="Times New Roman"/>
          <w:sz w:val="20"/>
          <w:szCs w:val="20"/>
        </w:rPr>
        <w:t xml:space="preserve">    accessed 10 June 2026.</w:t>
      </w:r>
    </w:p>
  </w:footnote>
  <w:footnote w:id="23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w:t>
      </w:r>
    </w:p>
  </w:footnote>
  <w:footnote w:id="23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Administration of Criminal Justice Act 2015, s 15(4).</w:t>
      </w:r>
    </w:p>
  </w:footnote>
  <w:footnote w:id="23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TA Aguda, The Law and Practice of Evidence in Nigeria (3rd edn, Spectrum Books 2001) 362.</w:t>
      </w:r>
    </w:p>
  </w:footnote>
  <w:footnote w:id="23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[2003] 5 NWLR (Pt 812) 156 (SC).</w:t>
      </w:r>
    </w:p>
  </w:footnote>
  <w:footnote w:id="23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 169.</w:t>
      </w:r>
    </w:p>
  </w:footnote>
  <w:footnote w:id="23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CO Okonkwo, Okonkwo and Naish on Criminal Law in Nigeria (2nd edn, Spectrum Books 1980) 311.</w:t>
      </w:r>
    </w:p>
  </w:footnote>
  <w:footnote w:id="23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2023, s 232.</w:t>
      </w:r>
    </w:p>
  </w:footnote>
  <w:footnote w:id="23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TAO Oyelade, "The Mental Element in Nigerian Murder Trials" (2024) 15 Nigerian Law Journal 45, 53.</w:t>
      </w:r>
    </w:p>
  </w:footnote>
  <w:footnote w:id="23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[2011] 17 NWLR (Pt 1277) 663 (SC).</w:t>
      </w:r>
    </w:p>
  </w:footnote>
  <w:footnote w:id="24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SB Ehinlaiye, "Hostile Witnesses and the Fragile Architecture of Proof in Nigerian Criminal Proceedings"</w:t>
      </w:r>
    </w:p>
    <w:p>
      <w:pPr>
        <w:pStyle w:val="style157"/>
        <w:rPr>
          <w:rFonts w:ascii="Times New Roman" w:cs="Times New Roman" w:hAnsi="Times New Roman"/>
          <w:sz w:val="20"/>
          <w:szCs w:val="20"/>
        </w:rPr>
      </w:pPr>
      <w:r>
        <w:rPr>
          <w:rFonts w:ascii="Times New Roman" w:cs="Times New Roman" w:hAnsi="Times New Roman"/>
          <w:sz w:val="20"/>
          <w:szCs w:val="20"/>
        </w:rPr>
        <w:t xml:space="preserve">    (2023) 14(1) African Journal of Criminal Law and Jurisprudence 22, 27.</w:t>
      </w:r>
    </w:p>
  </w:footnote>
  <w:footnote w:id="24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2023, s 232.</w:t>
      </w:r>
    </w:p>
  </w:footnote>
  <w:footnote w:id="24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 s 233.</w:t>
      </w:r>
    </w:p>
  </w:footnote>
  <w:footnote w:id="24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[2000] 5 NWLR (Pt 656) 187 (SC).</w:t>
      </w:r>
    </w:p>
  </w:footnote>
  <w:footnote w:id="24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 198.</w:t>
      </w:r>
    </w:p>
  </w:footnote>
  <w:footnote w:id="24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BN Ogbu, "Witness Protection in Nigeria: A Case for Systematic Reform" (2022) 17(2) Journal of Nigerian</w:t>
      </w:r>
    </w:p>
    <w:p>
      <w:pPr>
        <w:pStyle w:val="style157"/>
        <w:rPr>
          <w:rFonts w:ascii="Times New Roman" w:cs="Times New Roman" w:hAnsi="Times New Roman"/>
          <w:sz w:val="20"/>
          <w:szCs w:val="20"/>
        </w:rPr>
      </w:pPr>
      <w:r>
        <w:rPr>
          <w:rFonts w:ascii="Times New Roman" w:cs="Times New Roman" w:hAnsi="Times New Roman"/>
          <w:sz w:val="20"/>
          <w:szCs w:val="20"/>
        </w:rPr>
        <w:t xml:space="preserve">    Law and Practice 101, 105.</w:t>
      </w:r>
    </w:p>
  </w:footnote>
  <w:footnote w:id="24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CFRN 1999 (as amended), s 36(6)(a)-(c).</w:t>
      </w:r>
    </w:p>
  </w:footnote>
  <w:footnote w:id="24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 Ahmed, "Police Investigation and Evidence Gathering in Nigerian Homicide Cases: A Practitioner's</w:t>
      </w:r>
    </w:p>
    <w:p>
      <w:pPr>
        <w:pStyle w:val="style157"/>
        <w:rPr>
          <w:rFonts w:ascii="Times New Roman" w:cs="Times New Roman" w:hAnsi="Times New Roman"/>
          <w:sz w:val="20"/>
          <w:szCs w:val="20"/>
        </w:rPr>
      </w:pPr>
      <w:r>
        <w:rPr>
          <w:rFonts w:ascii="Times New Roman" w:cs="Times New Roman" w:hAnsi="Times New Roman"/>
          <w:sz w:val="20"/>
          <w:szCs w:val="20"/>
        </w:rPr>
        <w:t xml:space="preserve">    Appraisal" (2023) 20(3) Nigerian Juridical Review 55, 60.</w:t>
      </w:r>
    </w:p>
  </w:footnote>
  <w:footnote w:id="24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Administration of Criminal Justice Act 2015 (ACJA), s 6.</w:t>
      </w:r>
    </w:p>
  </w:footnote>
  <w:footnote w:id="24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ACJA, 2015, s 6.</w:t>
      </w:r>
    </w:p>
  </w:footnote>
  <w:footnote w:id="25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[1996] 7 NWLR (Pt 462) 512 (SC).</w:t>
      </w:r>
    </w:p>
  </w:footnote>
  <w:footnote w:id="25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[2001] 15 NWLR (Pt 736) 392 (SC).</w:t>
      </w:r>
    </w:p>
  </w:footnote>
  <w:footnote w:id="25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KO Fadipe, "Investigative Incompetence and the Collapse of Murder Prosecutions in Nigeria" (2023) 11(2)</w:t>
      </w:r>
    </w:p>
    <w:p>
      <w:pPr>
        <w:pStyle w:val="style157"/>
        <w:rPr>
          <w:rFonts w:ascii="Times New Roman" w:cs="Times New Roman" w:hAnsi="Times New Roman"/>
          <w:sz w:val="20"/>
          <w:szCs w:val="20"/>
        </w:rPr>
      </w:pPr>
      <w:r>
        <w:rPr>
          <w:rFonts w:ascii="Times New Roman" w:cs="Times New Roman" w:hAnsi="Times New Roman"/>
          <w:sz w:val="20"/>
          <w:szCs w:val="20"/>
        </w:rPr>
        <w:t xml:space="preserve">    Journal of Law, Policy and Globalization 88, 93.</w:t>
      </w:r>
    </w:p>
  </w:footnote>
  <w:footnote w:id="25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Police Act 2020 (Nigeria), s 4, which sets out the general functions and duties of the Nigerian Police Force.</w:t>
      </w:r>
    </w:p>
  </w:footnote>
  <w:footnote w:id="25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ACJA 2015, s 14.</w:t>
      </w:r>
    </w:p>
  </w:footnote>
  <w:footnote w:id="25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[2014] LPELR-22764 (SC).</w:t>
      </w:r>
    </w:p>
  </w:footnote>
  <w:footnote w:id="25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ACJA 2015, s 379; Constitution of the Federal Republic of Nigeria 1999 (as amended), s 36(4).</w:t>
      </w:r>
    </w:p>
  </w:footnote>
  <w:footnote w:id="25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CFRN, 1999 (as amended) s36(1) and (4).</w:t>
      </w:r>
    </w:p>
  </w:footnote>
  <w:footnote w:id="25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[1987] 1 NWLR (Pt 53) 678 (SC).</w:t>
      </w:r>
    </w:p>
  </w:footnote>
  <w:footnote w:id="25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CS Ezike, "Pre-trial Detention and the Right to Speedy Trial in Nigerian Capital Cases" (2022) 12(1) African</w:t>
      </w:r>
    </w:p>
    <w:p>
      <w:pPr>
        <w:pStyle w:val="style157"/>
        <w:rPr>
          <w:rFonts w:ascii="Times New Roman" w:cs="Times New Roman" w:hAnsi="Times New Roman"/>
          <w:sz w:val="20"/>
          <w:szCs w:val="20"/>
        </w:rPr>
      </w:pPr>
      <w:r>
        <w:rPr>
          <w:rFonts w:ascii="Times New Roman" w:cs="Times New Roman" w:hAnsi="Times New Roman"/>
          <w:sz w:val="20"/>
          <w:szCs w:val="20"/>
        </w:rPr>
        <w:t xml:space="preserve">    Human Rights Law Journal 210, 215.</w:t>
      </w:r>
    </w:p>
  </w:footnote>
  <w:footnote w:id="26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ACJA 2015, s 396–400.</w:t>
      </w:r>
    </w:p>
  </w:footnote>
  <w:footnote w:id="26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[1983] 1 SCNLR 1 (SC).</w:t>
      </w:r>
    </w:p>
  </w:footnote>
  <w:footnote w:id="26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FO Okafor, "Delay as Denial of Justice: An Appraisal of the Right to Fair Hearing in Murder Trials" (2021)</w:t>
      </w:r>
    </w:p>
    <w:p>
      <w:pPr>
        <w:pStyle w:val="style157"/>
        <w:rPr>
          <w:rFonts w:ascii="Times New Roman" w:cs="Times New Roman" w:hAnsi="Times New Roman"/>
          <w:sz w:val="20"/>
          <w:szCs w:val="20"/>
        </w:rPr>
      </w:pPr>
      <w:r>
        <w:rPr>
          <w:rFonts w:ascii="Times New Roman" w:cs="Times New Roman" w:hAnsi="Times New Roman"/>
          <w:sz w:val="20"/>
          <w:szCs w:val="20"/>
        </w:rPr>
        <w:t xml:space="preserve">     9(2) Benue State University Law Journal 14, 18.</w:t>
      </w:r>
    </w:p>
  </w:footnote>
  <w:footnote w:id="26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CFRN, 1999 (as amended), s 36(5).</w:t>
      </w:r>
    </w:p>
  </w:footnote>
  <w:footnote w:id="26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AA Adeyemi, Criminology and Criminal Justice (University of Lagos Press 1999) 205.</w:t>
      </w:r>
    </w:p>
  </w:footnote>
  <w:footnote w:id="26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AO Enabulele and B Bazuaye, "Validity and Enforceability of Customary Law in Nigeria: Towards a</w:t>
      </w:r>
    </w:p>
    <w:p>
      <w:pPr>
        <w:pStyle w:val="style157"/>
        <w:rPr>
          <w:rFonts w:ascii="Times New Roman" w:cs="Times New Roman" w:hAnsi="Times New Roman"/>
          <w:sz w:val="20"/>
          <w:szCs w:val="20"/>
        </w:rPr>
      </w:pPr>
      <w:r>
        <w:rPr>
          <w:rFonts w:ascii="Times New Roman" w:cs="Times New Roman" w:hAnsi="Times New Roman"/>
          <w:sz w:val="20"/>
          <w:szCs w:val="20"/>
        </w:rPr>
        <w:t xml:space="preserve">      Correct Delimitation of the Province of the Courts" (2019) 63(1) Journal of African Law 79, 87.</w:t>
      </w:r>
    </w:p>
  </w:footnote>
  <w:footnote w:id="26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2023, s 84.</w:t>
      </w:r>
    </w:p>
  </w:footnote>
  <w:footnote w:id="26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Ibid,84.</w:t>
      </w:r>
    </w:p>
  </w:footnote>
  <w:footnote w:id="26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JA Agaba, Practical Approach to Criminal Litigation in Nigeria (3rd edn, Princeton Publishing 2015) 398.</w:t>
      </w:r>
    </w:p>
  </w:footnote>
  <w:footnote w:id="26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OA Fasan, "Forensic Science and the Burden of Proof in Nigerian Murder Trials: A Gap Analysis" (2023)</w:t>
      </w:r>
    </w:p>
    <w:p>
      <w:pPr>
        <w:pStyle w:val="style157"/>
        <w:rPr>
          <w:rFonts w:ascii="Times New Roman" w:cs="Times New Roman" w:hAnsi="Times New Roman"/>
          <w:sz w:val="20"/>
          <w:szCs w:val="20"/>
        </w:rPr>
      </w:pPr>
      <w:r>
        <w:rPr>
          <w:rFonts w:ascii="Times New Roman" w:cs="Times New Roman" w:hAnsi="Times New Roman"/>
          <w:sz w:val="20"/>
          <w:szCs w:val="20"/>
        </w:rPr>
        <w:t xml:space="preserve">      22(1) Lagos State University Law Journal 67, 71.</w:t>
      </w:r>
    </w:p>
  </w:footnote>
  <w:footnote w:id="27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[2002] 14 NWLR (Pt 787) 310 (SC).</w:t>
      </w:r>
    </w:p>
  </w:footnote>
  <w:footnote w:id="27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DA Ijalaye, Criminal Law in Nigeria (3rd edn, University of Ife Press 2007) 197.</w:t>
      </w:r>
    </w:p>
  </w:footnote>
  <w:footnote w:id="27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England, R v Baxendale-Walker [2007] EWCA Crim 1314.</w:t>
      </w:r>
    </w:p>
  </w:footnote>
  <w:footnote w:id="27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w:t>
      </w:r>
      <w:r>
        <w:rPr>
          <w:rFonts w:ascii="Times New Roman" w:cs="Times New Roman" w:hAnsi="Times New Roman"/>
          <w:i/>
          <w:iCs/>
          <w:sz w:val="20"/>
          <w:szCs w:val="20"/>
        </w:rPr>
        <w:t>DPP v Hyam</w:t>
      </w:r>
      <w:r>
        <w:rPr>
          <w:rFonts w:ascii="Times New Roman" w:cs="Times New Roman" w:hAnsi="Times New Roman"/>
          <w:sz w:val="20"/>
          <w:szCs w:val="20"/>
        </w:rPr>
        <w:t xml:space="preserve"> [1975] AC 57</w:t>
      </w:r>
    </w:p>
  </w:footnote>
  <w:footnote w:id="27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M McConville and G Wilson (eds), The Handbook of the Criminal Justice Process (Oxford University Press</w:t>
      </w:r>
    </w:p>
    <w:p>
      <w:pPr>
        <w:pStyle w:val="style157"/>
        <w:rPr>
          <w:rFonts w:ascii="Times New Roman" w:cs="Times New Roman" w:hAnsi="Times New Roman"/>
          <w:sz w:val="20"/>
          <w:szCs w:val="20"/>
        </w:rPr>
      </w:pPr>
      <w:r>
        <w:rPr>
          <w:rFonts w:ascii="Times New Roman" w:cs="Times New Roman" w:hAnsi="Times New Roman"/>
          <w:sz w:val="20"/>
          <w:szCs w:val="20"/>
        </w:rPr>
        <w:t xml:space="preserve">    2002) 341.</w:t>
      </w:r>
    </w:p>
  </w:footnote>
  <w:footnote w:id="27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KA Fischer, "Post-Mortem Forensics and the Proof of Homicide: A Comparative Perspective" (2022) 29(3)</w:t>
      </w:r>
    </w:p>
    <w:p>
      <w:pPr>
        <w:pStyle w:val="style157"/>
        <w:rPr>
          <w:rFonts w:ascii="Times New Roman" w:cs="Times New Roman" w:hAnsi="Times New Roman"/>
          <w:sz w:val="20"/>
          <w:szCs w:val="20"/>
        </w:rPr>
      </w:pPr>
      <w:r>
        <w:rPr>
          <w:rFonts w:ascii="Times New Roman" w:cs="Times New Roman" w:hAnsi="Times New Roman"/>
          <w:sz w:val="20"/>
          <w:szCs w:val="20"/>
        </w:rPr>
        <w:t xml:space="preserve">      Journal of Forensic Sciences and Criminalistics 88, 91.</w:t>
      </w:r>
    </w:p>
  </w:footnote>
  <w:footnote w:id="27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Germany, Strafprozessordnung (Code of Criminal Procedure).</w:t>
      </w:r>
    </w:p>
  </w:footnote>
  <w:footnote w:id="27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J Spencer, "Hearsay Evidence in Criminal Proceedings" in Rethinking Evidence (Cambridge University</w:t>
      </w:r>
    </w:p>
    <w:p>
      <w:pPr>
        <w:pStyle w:val="style157"/>
        <w:rPr>
          <w:rFonts w:ascii="Times New Roman" w:cs="Times New Roman" w:hAnsi="Times New Roman"/>
          <w:sz w:val="20"/>
          <w:szCs w:val="20"/>
        </w:rPr>
      </w:pPr>
      <w:r>
        <w:rPr>
          <w:rFonts w:ascii="Times New Roman" w:cs="Times New Roman" w:hAnsi="Times New Roman"/>
          <w:sz w:val="20"/>
          <w:szCs w:val="20"/>
        </w:rPr>
        <w:t xml:space="preserve">     Press 2006) 211, 219.</w:t>
      </w:r>
    </w:p>
  </w:footnote>
  <w:footnote w:id="27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384 US 436 (1966).</w:t>
      </w:r>
    </w:p>
  </w:footnote>
  <w:footnote w:id="27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2023, sections 2729.</w:t>
      </w:r>
    </w:p>
  </w:footnote>
  <w:footnote w:id="28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Criminal Procedure Rules (England and Wales) 2020, Part 19.</w:t>
      </w:r>
    </w:p>
  </w:footnote>
  <w:footnote w:id="28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w:t>
      </w:r>
      <w:r>
        <w:rPr>
          <w:rFonts w:ascii="Times New Roman" w:cs="Times New Roman" w:hAnsi="Times New Roman"/>
          <w:bCs/>
          <w:sz w:val="20"/>
          <w:szCs w:val="20"/>
        </w:rPr>
        <w:t>(CCT50/95) [1997] ZACC 2.</w:t>
      </w:r>
    </w:p>
  </w:footnote>
  <w:footnote w:id="28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Jacques Matthee, ‘Influence of the Cultural Defence on Conduct and Culpability in South African Criminal</w:t>
      </w:r>
    </w:p>
    <w:p>
      <w:pPr>
        <w:pStyle w:val="style157"/>
        <w:rPr>
          <w:rFonts w:ascii="Times New Roman" w:cs="Times New Roman" w:hAnsi="Times New Roman"/>
          <w:sz w:val="20"/>
          <w:szCs w:val="20"/>
        </w:rPr>
      </w:pPr>
      <w:r>
        <w:rPr>
          <w:rFonts w:ascii="Times New Roman" w:cs="Times New Roman" w:hAnsi="Times New Roman"/>
          <w:sz w:val="20"/>
          <w:szCs w:val="20"/>
        </w:rPr>
        <w:t xml:space="preserve">      Law’ (2024) 13(2) </w:t>
      </w:r>
      <w:r>
        <w:rPr>
          <w:rFonts w:ascii="Times New Roman" w:cs="Times New Roman" w:hAnsi="Times New Roman"/>
          <w:i/>
          <w:iCs/>
          <w:sz w:val="20"/>
          <w:szCs w:val="20"/>
        </w:rPr>
        <w:t>Laws</w:t>
      </w:r>
      <w:r>
        <w:rPr>
          <w:rFonts w:ascii="Times New Roman" w:cs="Times New Roman" w:hAnsi="Times New Roman"/>
          <w:sz w:val="20"/>
          <w:szCs w:val="20"/>
        </w:rPr>
        <w:t xml:space="preserve"> 23.</w:t>
      </w:r>
    </w:p>
  </w:footnote>
  <w:footnote w:id="28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RO Seidman, "Law and Development: A General Model" (1972) 6(2) Law and Society Review 311, 318.</w:t>
      </w:r>
    </w:p>
  </w:footnote>
  <w:footnote w:id="284">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Ibid.</w:t>
      </w:r>
    </w:p>
  </w:footnote>
  <w:footnote w:id="285">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2023, s 28.</w:t>
      </w:r>
    </w:p>
  </w:footnote>
  <w:footnote w:id="286">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2023, s 29.</w:t>
      </w:r>
    </w:p>
  </w:footnote>
  <w:footnote w:id="287">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CI Okeke, 'Assessing the Utilization and Effectiveness of Forensic Technology in Nigerian Criminal</w:t>
      </w:r>
    </w:p>
    <w:p>
      <w:pPr>
        <w:pStyle w:val="style157"/>
        <w:rPr>
          <w:rFonts w:ascii="Times New Roman" w:cs="Times New Roman" w:hAnsi="Times New Roman"/>
          <w:sz w:val="20"/>
          <w:szCs w:val="20"/>
        </w:rPr>
      </w:pPr>
      <w:r>
        <w:rPr>
          <w:rFonts w:ascii="Times New Roman" w:cs="Times New Roman" w:hAnsi="Times New Roman"/>
          <w:sz w:val="20"/>
          <w:szCs w:val="20"/>
        </w:rPr>
        <w:t xml:space="preserve">   Investigations' (2026) 9(2) Nigerian Journal of Criminology and Security Studies 128.</w:t>
      </w:r>
    </w:p>
  </w:footnote>
  <w:footnote w:id="288">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Oforlete v The State (2000) 12 NWLR (Pt 681) 415, 440 (SC).</w:t>
      </w:r>
    </w:p>
  </w:footnote>
  <w:footnote w:id="289">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Constitution of the Federal Republic of Nigeria 1999 (as amended), s 36(1) and (4).</w:t>
      </w:r>
    </w:p>
  </w:footnote>
  <w:footnote w:id="290">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Administration of Criminal Justice Act 2015, s 15(4).</w:t>
      </w:r>
    </w:p>
  </w:footnote>
  <w:footnote w:id="291">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CFRN 1999 (as amended), s 36.</w:t>
      </w:r>
    </w:p>
  </w:footnote>
  <w:footnote w:id="292">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2023, s 28, s 29,  s 40, s 135, s 167.</w:t>
      </w:r>
    </w:p>
  </w:footnote>
  <w:footnote w:id="293">
    <w:p>
      <w:pPr>
        <w:pStyle w:val="style157"/>
        <w:rPr>
          <w:rFonts w:ascii="Times New Roman" w:cs="Times New Roman" w:hAnsi="Times New Roman"/>
          <w:sz w:val="20"/>
          <w:szCs w:val="20"/>
        </w:rPr>
      </w:pPr>
      <w:r>
        <w:rPr>
          <w:rStyle w:val="style38"/>
          <w:rFonts w:ascii="Times New Roman" w:cs="Times New Roman" w:hAnsi="Times New Roman"/>
          <w:sz w:val="20"/>
          <w:szCs w:val="20"/>
        </w:rPr>
        <w:footnoteRef/>
      </w:r>
      <w:r>
        <w:rPr>
          <w:rFonts w:ascii="Times New Roman" w:cs="Times New Roman" w:hAnsi="Times New Roman"/>
          <w:sz w:val="20"/>
          <w:szCs w:val="20"/>
        </w:rPr>
        <w:t xml:space="preserve">  Evidence Act 2023, s 135; Constitution of the Federal Republic of Nigeria 1999 (as amended), s 36(5).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D68EA5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0EDECCA6"/>
    <w:lvl w:ilvl="0" w:tplc="77F0CDA4">
      <w:start w:val="1"/>
      <w:numFmt w:val="lowerLetter"/>
      <w:lvlText w:val="(%1)"/>
      <w:lvlJc w:val="left"/>
      <w:pPr>
        <w:ind w:left="720" w:hanging="360"/>
      </w:pPr>
      <w:rPr>
        <w:rFonts w:hint="default"/>
      </w:rPr>
    </w:lvl>
    <w:lvl w:ilvl="1" w:tplc="04090011">
      <w:start w:val="1"/>
      <w:numFmt w:val="decimal"/>
      <w:lvlText w:val="%2)"/>
      <w:lvlJc w:val="left"/>
      <w:pPr>
        <w:ind w:left="81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D8E8DCA2"/>
    <w:lvl w:ilvl="0" w:tplc="77F0CD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1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paragraph" w:styleId="style2">
    <w:name w:val="heading 2"/>
    <w:basedOn w:val="style0"/>
    <w:next w:val="style0"/>
    <w:link w:val="style4100"/>
    <w:qFormat/>
    <w:uiPriority w:val="9"/>
    <w:pPr>
      <w:keepNext/>
      <w:keepLines/>
      <w:spacing w:before="200" w:after="0"/>
      <w:outlineLvl w:val="1"/>
    </w:pPr>
    <w:rPr>
      <w:rFonts w:ascii="Cambria" w:cs="宋体" w:eastAsia="宋体" w:hAnsi="Cambria"/>
      <w:b/>
      <w:bCs/>
      <w:color w:val="4f81bd"/>
      <w:sz w:val="26"/>
      <w:szCs w:val="26"/>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29">
    <w:name w:val="footnote text"/>
    <w:basedOn w:val="style0"/>
    <w:next w:val="style29"/>
    <w:link w:val="style4097"/>
    <w:uiPriority w:val="99"/>
    <w:pPr>
      <w:spacing w:after="0" w:lineRule="auto" w:line="240"/>
    </w:pPr>
    <w:rPr>
      <w:sz w:val="20"/>
      <w:szCs w:val="20"/>
    </w:rPr>
  </w:style>
  <w:style w:type="character" w:customStyle="1" w:styleId="style4097">
    <w:name w:val="Footnote Text Char"/>
    <w:basedOn w:val="style65"/>
    <w:next w:val="style4097"/>
    <w:link w:val="style29"/>
    <w:uiPriority w:val="99"/>
    <w:rPr>
      <w:sz w:val="20"/>
      <w:szCs w:val="20"/>
    </w:rPr>
  </w:style>
  <w:style w:type="character" w:styleId="style38">
    <w:name w:val="footnote reference"/>
    <w:basedOn w:val="style65"/>
    <w:next w:val="style38"/>
    <w:uiPriority w:val="99"/>
    <w:rPr>
      <w:vertAlign w:val="superscript"/>
    </w:rPr>
  </w:style>
  <w:style w:type="character" w:styleId="style88">
    <w:name w:val="Emphasis"/>
    <w:basedOn w:val="style65"/>
    <w:next w:val="style88"/>
    <w:qFormat/>
    <w:uiPriority w:val="20"/>
    <w:rPr>
      <w:i/>
      <w:iCs/>
    </w:rPr>
  </w:style>
  <w:style w:type="paragraph" w:styleId="style157">
    <w:name w:val="No Spacing"/>
    <w:next w:val="style157"/>
    <w:qFormat/>
    <w:uiPriority w:val="1"/>
    <w:pPr>
      <w:spacing w:after="0" w:lineRule="auto" w:line="240"/>
    </w:pPr>
    <w:rPr/>
  </w:style>
  <w:style w:type="character" w:styleId="style85">
    <w:name w:val="Hyperlink"/>
    <w:next w:val="style85"/>
    <w:uiPriority w:val="99"/>
    <w:rPr>
      <w:color w:val="0563c1"/>
      <w:u w:val="single"/>
    </w:rPr>
  </w:style>
  <w:style w:type="paragraph" w:styleId="style31">
    <w:name w:val="header"/>
    <w:basedOn w:val="style0"/>
    <w:next w:val="style31"/>
    <w:link w:val="style4098"/>
    <w:uiPriority w:val="99"/>
    <w:pPr>
      <w:tabs>
        <w:tab w:val="center" w:leader="none" w:pos="4703"/>
        <w:tab w:val="right" w:leader="none" w:pos="9406"/>
      </w:tabs>
      <w:spacing w:after="0" w:lineRule="auto" w:line="240"/>
    </w:pPr>
    <w:rPr/>
  </w:style>
  <w:style w:type="character" w:customStyle="1" w:styleId="style4098">
    <w:name w:val="Header Char_ffe55f6c-8f4c-4d62-8be2-fd74cb1e9e50"/>
    <w:basedOn w:val="style65"/>
    <w:next w:val="style4098"/>
    <w:link w:val="style31"/>
    <w:uiPriority w:val="99"/>
  </w:style>
  <w:style w:type="paragraph" w:styleId="style32">
    <w:name w:val="footer"/>
    <w:basedOn w:val="style0"/>
    <w:next w:val="style32"/>
    <w:link w:val="style4099"/>
    <w:uiPriority w:val="99"/>
    <w:pPr>
      <w:tabs>
        <w:tab w:val="center" w:leader="none" w:pos="4703"/>
        <w:tab w:val="right" w:leader="none" w:pos="9406"/>
      </w:tabs>
      <w:spacing w:after="0" w:lineRule="auto" w:line="240"/>
    </w:pPr>
    <w:rPr/>
  </w:style>
  <w:style w:type="character" w:customStyle="1" w:styleId="style4099">
    <w:name w:val="Footer Char_c8560411-95f7-4112-b463-012625cf4b92"/>
    <w:basedOn w:val="style65"/>
    <w:next w:val="style4099"/>
    <w:link w:val="style32"/>
    <w:uiPriority w:val="99"/>
  </w:style>
  <w:style w:type="paragraph" w:styleId="style94">
    <w:name w:val="Normal (Web)"/>
    <w:basedOn w:val="style0"/>
    <w:next w:val="style94"/>
    <w:uiPriority w:val="99"/>
    <w:pPr/>
    <w:rPr>
      <w:rFonts w:ascii="Times New Roman" w:cs="Times New Roman" w:hAnsi="Times New Roman"/>
      <w:sz w:val="24"/>
      <w:szCs w:val="24"/>
    </w:rPr>
  </w:style>
  <w:style w:type="paragraph" w:styleId="style179">
    <w:name w:val="List Paragraph"/>
    <w:basedOn w:val="style0"/>
    <w:next w:val="style179"/>
    <w:qFormat/>
    <w:uiPriority w:val="34"/>
    <w:pPr>
      <w:ind w:left="720"/>
      <w:contextualSpacing/>
    </w:pPr>
    <w:rPr/>
  </w:style>
  <w:style w:type="character" w:customStyle="1" w:styleId="style4100">
    <w:name w:val="Heading 2 Char_685c8975-f9b4-445c-8714-3abf63dc2b6b"/>
    <w:basedOn w:val="style65"/>
    <w:next w:val="style4100"/>
    <w:link w:val="style2"/>
    <w:uiPriority w:val="9"/>
    <w:rPr>
      <w:rFonts w:ascii="Cambria" w:cs="宋体" w:eastAsia="宋体" w:hAnsi="Cambria"/>
      <w:b/>
      <w:bCs/>
      <w:color w:val="4f81bd"/>
      <w:sz w:val="26"/>
      <w:szCs w:val="2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2A784-8AEA-405D-A72C-7A5005CE9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25248</Words>
  <Pages>97</Pages>
  <Characters>138253</Characters>
  <Application>WPS Office</Application>
  <DocSecurity>0</DocSecurity>
  <Paragraphs>1029</Paragraphs>
  <ScaleCrop>false</ScaleCrop>
  <LinksUpToDate>false</LinksUpToDate>
  <CharactersWithSpaces>164103</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2026-07-24T14:25:18Z</dcterms:created>
  <dc:creator>Engr Lambert</dc:creator>
  <lastModifiedBy>Infinix X6511B</lastModifiedBy>
  <dcterms:modified xsi:type="dcterms:W3CDTF">2026-07-24T14:25:19Z</dcterms:modified>
  <revision>71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c83969b9ca944a87a067b679d7d5592c</vt:lpwstr>
  </property>
</Properties>
</file>