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EEFBB" w14:textId="77777777" w:rsidR="00052FF0" w:rsidRPr="0050439A" w:rsidRDefault="00052FF0" w:rsidP="0050439A">
      <w:pPr>
        <w:spacing w:line="360" w:lineRule="auto"/>
        <w:rPr>
          <w:rFonts w:ascii="Times New Roman" w:hAnsi="Times New Roman" w:cs="Times New Roman"/>
          <w:b/>
          <w:sz w:val="24"/>
          <w:szCs w:val="24"/>
        </w:rPr>
      </w:pPr>
    </w:p>
    <w:p w14:paraId="1DFD8BB7" w14:textId="5F5A2B79" w:rsidR="005C62C3" w:rsidRPr="00D5159A" w:rsidRDefault="005C62C3" w:rsidP="005C62C3">
      <w:pPr>
        <w:spacing w:line="360" w:lineRule="auto"/>
        <w:jc w:val="center"/>
        <w:rPr>
          <w:rFonts w:ascii="Times New Roman" w:hAnsi="Times New Roman" w:cs="Times New Roman"/>
          <w:b/>
          <w:sz w:val="24"/>
          <w:szCs w:val="24"/>
        </w:rPr>
      </w:pPr>
      <w:r w:rsidRPr="00D5159A">
        <w:rPr>
          <w:rFonts w:ascii="Times New Roman" w:hAnsi="Times New Roman" w:cs="Times New Roman"/>
          <w:b/>
          <w:sz w:val="24"/>
          <w:szCs w:val="24"/>
        </w:rPr>
        <w:t xml:space="preserve">APPRAISAL OF </w:t>
      </w:r>
      <w:r>
        <w:rPr>
          <w:rFonts w:ascii="Times New Roman" w:hAnsi="Times New Roman" w:cs="Times New Roman"/>
          <w:b/>
          <w:sz w:val="24"/>
          <w:szCs w:val="24"/>
        </w:rPr>
        <w:t xml:space="preserve">THE NATURE AND SCOPE OF </w:t>
      </w:r>
      <w:r w:rsidR="00A4056C">
        <w:rPr>
          <w:rFonts w:ascii="Times New Roman" w:hAnsi="Times New Roman" w:cs="Times New Roman"/>
          <w:b/>
          <w:sz w:val="24"/>
          <w:szCs w:val="24"/>
        </w:rPr>
        <w:t>PATIENTS’</w:t>
      </w:r>
      <w:r>
        <w:rPr>
          <w:rFonts w:ascii="Times New Roman" w:hAnsi="Times New Roman" w:cs="Times New Roman"/>
          <w:b/>
          <w:sz w:val="24"/>
          <w:szCs w:val="24"/>
        </w:rPr>
        <w:t xml:space="preserve"> RIGHTS </w:t>
      </w:r>
      <w:r w:rsidR="00322D4E">
        <w:rPr>
          <w:rFonts w:ascii="Times New Roman" w:hAnsi="Times New Roman" w:cs="Times New Roman"/>
          <w:b/>
          <w:sz w:val="24"/>
          <w:szCs w:val="24"/>
        </w:rPr>
        <w:t xml:space="preserve">UNDER THE </w:t>
      </w:r>
      <w:r w:rsidR="00A4056C">
        <w:rPr>
          <w:rFonts w:ascii="Times New Roman" w:hAnsi="Times New Roman" w:cs="Times New Roman"/>
          <w:b/>
          <w:sz w:val="24"/>
          <w:szCs w:val="24"/>
        </w:rPr>
        <w:t>NIGERIAN LAW</w:t>
      </w:r>
    </w:p>
    <w:p w14:paraId="22E5BD9B" w14:textId="77777777" w:rsidR="005C62C3" w:rsidRPr="00D5159A" w:rsidRDefault="005C62C3" w:rsidP="005C62C3">
      <w:pPr>
        <w:spacing w:line="360" w:lineRule="auto"/>
        <w:jc w:val="center"/>
        <w:rPr>
          <w:rFonts w:ascii="Times New Roman" w:hAnsi="Times New Roman" w:cs="Times New Roman"/>
          <w:b/>
          <w:sz w:val="24"/>
          <w:szCs w:val="24"/>
        </w:rPr>
      </w:pPr>
    </w:p>
    <w:p w14:paraId="62A799C8" w14:textId="77777777" w:rsidR="005C62C3" w:rsidRPr="00D5159A" w:rsidRDefault="005C62C3" w:rsidP="005C62C3">
      <w:pPr>
        <w:spacing w:line="360" w:lineRule="auto"/>
        <w:rPr>
          <w:rFonts w:ascii="Times New Roman" w:hAnsi="Times New Roman" w:cs="Times New Roman"/>
          <w:b/>
          <w:sz w:val="24"/>
          <w:szCs w:val="24"/>
        </w:rPr>
      </w:pPr>
    </w:p>
    <w:p w14:paraId="52C36984" w14:textId="77777777" w:rsidR="005C62C3" w:rsidRPr="00D5159A" w:rsidRDefault="005C62C3" w:rsidP="005C62C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BY:</w:t>
      </w:r>
    </w:p>
    <w:p w14:paraId="2DB3E151" w14:textId="69F754CE" w:rsidR="005C62C3" w:rsidRPr="00D5159A" w:rsidRDefault="009F06D7" w:rsidP="005C62C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NWAFOR-ORIZU EKENEDILICHUKWU KOSI</w:t>
      </w:r>
    </w:p>
    <w:p w14:paraId="68D7BDA2" w14:textId="77777777" w:rsidR="005C62C3" w:rsidRPr="00D5159A" w:rsidRDefault="005C62C3" w:rsidP="005C62C3">
      <w:pPr>
        <w:spacing w:line="360" w:lineRule="auto"/>
        <w:jc w:val="center"/>
        <w:rPr>
          <w:rFonts w:ascii="Times New Roman" w:hAnsi="Times New Roman" w:cs="Times New Roman"/>
          <w:b/>
          <w:sz w:val="24"/>
          <w:szCs w:val="24"/>
        </w:rPr>
      </w:pPr>
      <w:r w:rsidRPr="00D5159A">
        <w:rPr>
          <w:rFonts w:ascii="Times New Roman" w:hAnsi="Times New Roman" w:cs="Times New Roman"/>
          <w:b/>
          <w:sz w:val="24"/>
          <w:szCs w:val="24"/>
        </w:rPr>
        <w:t xml:space="preserve"> </w:t>
      </w:r>
    </w:p>
    <w:p w14:paraId="3792EE8E" w14:textId="71FE7650" w:rsidR="005C62C3" w:rsidRDefault="005C62C3" w:rsidP="005C62C3">
      <w:pPr>
        <w:spacing w:line="360" w:lineRule="auto"/>
        <w:jc w:val="center"/>
        <w:rPr>
          <w:rFonts w:ascii="Times New Roman" w:hAnsi="Times New Roman" w:cs="Times New Roman"/>
          <w:b/>
          <w:sz w:val="24"/>
          <w:szCs w:val="24"/>
        </w:rPr>
      </w:pPr>
      <w:r w:rsidRPr="00D5159A">
        <w:rPr>
          <w:rFonts w:ascii="Times New Roman" w:hAnsi="Times New Roman" w:cs="Times New Roman"/>
          <w:b/>
          <w:sz w:val="24"/>
          <w:szCs w:val="24"/>
        </w:rPr>
        <w:t>REG NO: U2</w:t>
      </w:r>
      <w:r w:rsidR="009F06D7">
        <w:rPr>
          <w:rFonts w:ascii="Times New Roman" w:hAnsi="Times New Roman" w:cs="Times New Roman"/>
          <w:b/>
          <w:sz w:val="24"/>
          <w:szCs w:val="24"/>
        </w:rPr>
        <w:t>1/LAW/</w:t>
      </w:r>
      <w:r w:rsidR="005073B8">
        <w:rPr>
          <w:rFonts w:ascii="Times New Roman" w:hAnsi="Times New Roman" w:cs="Times New Roman"/>
          <w:b/>
          <w:sz w:val="24"/>
          <w:szCs w:val="24"/>
        </w:rPr>
        <w:t>360</w:t>
      </w:r>
    </w:p>
    <w:p w14:paraId="1AD69D59" w14:textId="77777777" w:rsidR="005C62C3" w:rsidRDefault="005C62C3" w:rsidP="005C62C3">
      <w:pPr>
        <w:spacing w:line="360" w:lineRule="auto"/>
        <w:jc w:val="center"/>
        <w:rPr>
          <w:rFonts w:ascii="Times New Roman" w:hAnsi="Times New Roman" w:cs="Times New Roman"/>
          <w:b/>
          <w:sz w:val="24"/>
          <w:szCs w:val="24"/>
        </w:rPr>
      </w:pPr>
    </w:p>
    <w:p w14:paraId="365F180E" w14:textId="77777777" w:rsidR="005C62C3" w:rsidRDefault="005C62C3" w:rsidP="005C62C3">
      <w:pPr>
        <w:spacing w:line="360" w:lineRule="auto"/>
        <w:rPr>
          <w:rFonts w:ascii="Times New Roman" w:hAnsi="Times New Roman" w:cs="Times New Roman"/>
          <w:b/>
          <w:sz w:val="24"/>
          <w:szCs w:val="24"/>
        </w:rPr>
      </w:pPr>
    </w:p>
    <w:p w14:paraId="792A97D1" w14:textId="77777777" w:rsidR="005C62C3" w:rsidRPr="00D5159A" w:rsidRDefault="005C62C3" w:rsidP="005C62C3">
      <w:pPr>
        <w:spacing w:line="360" w:lineRule="auto"/>
        <w:jc w:val="center"/>
        <w:rPr>
          <w:rFonts w:ascii="Times New Roman" w:hAnsi="Times New Roman" w:cs="Times New Roman"/>
          <w:b/>
          <w:sz w:val="24"/>
          <w:szCs w:val="24"/>
        </w:rPr>
      </w:pPr>
    </w:p>
    <w:p w14:paraId="3DE1B678" w14:textId="5F4830EB" w:rsidR="005C62C3" w:rsidRDefault="005C62C3" w:rsidP="00FF2157">
      <w:pPr>
        <w:spacing w:line="360" w:lineRule="auto"/>
        <w:jc w:val="center"/>
        <w:rPr>
          <w:rFonts w:ascii="Times New Roman" w:hAnsi="Times New Roman" w:cs="Times New Roman"/>
          <w:b/>
          <w:sz w:val="24"/>
          <w:szCs w:val="24"/>
        </w:rPr>
      </w:pPr>
      <w:r w:rsidRPr="00963E04">
        <w:rPr>
          <w:rFonts w:ascii="Times New Roman" w:hAnsi="Times New Roman" w:cs="Times New Roman"/>
          <w:b/>
          <w:sz w:val="24"/>
          <w:szCs w:val="24"/>
        </w:rPr>
        <w:t xml:space="preserve">A LONG ESSAY SUBMITTED TO THE FACULTY OF LAW, GODFREY OKOYE </w:t>
      </w:r>
      <w:r w:rsidR="00876C1B">
        <w:rPr>
          <w:rFonts w:ascii="Times New Roman" w:hAnsi="Times New Roman" w:cs="Times New Roman"/>
          <w:b/>
          <w:sz w:val="24"/>
          <w:szCs w:val="24"/>
        </w:rPr>
        <w:t>UNIVERSITY,</w:t>
      </w:r>
      <w:r w:rsidRPr="00963E04">
        <w:rPr>
          <w:rFonts w:ascii="Times New Roman" w:hAnsi="Times New Roman" w:cs="Times New Roman"/>
          <w:b/>
          <w:sz w:val="24"/>
          <w:szCs w:val="24"/>
        </w:rPr>
        <w:t xml:space="preserve"> IN PARTIAL </w:t>
      </w:r>
      <w:r w:rsidR="00322D4E">
        <w:rPr>
          <w:rFonts w:ascii="Times New Roman" w:hAnsi="Times New Roman" w:cs="Times New Roman"/>
          <w:b/>
          <w:sz w:val="24"/>
          <w:szCs w:val="24"/>
        </w:rPr>
        <w:t>FULFILLMENT</w:t>
      </w:r>
      <w:r w:rsidRPr="00963E04">
        <w:rPr>
          <w:rFonts w:ascii="Times New Roman" w:hAnsi="Times New Roman" w:cs="Times New Roman"/>
          <w:b/>
          <w:sz w:val="24"/>
          <w:szCs w:val="24"/>
        </w:rPr>
        <w:t xml:space="preserve"> OF THE REQUIREMENTS FOR THE AWARD OF THE DEGREE OF BACHELOR OF LAW (LL. B) GODFREY OKOYE UNIVERSITY</w:t>
      </w:r>
    </w:p>
    <w:p w14:paraId="462E84CF" w14:textId="77777777" w:rsidR="00FF2157" w:rsidRDefault="00FF2157" w:rsidP="00FF2157">
      <w:pPr>
        <w:spacing w:line="360" w:lineRule="auto"/>
        <w:jc w:val="center"/>
        <w:rPr>
          <w:rFonts w:ascii="Times New Roman" w:hAnsi="Times New Roman" w:cs="Times New Roman"/>
          <w:b/>
          <w:sz w:val="24"/>
          <w:szCs w:val="24"/>
        </w:rPr>
      </w:pPr>
    </w:p>
    <w:p w14:paraId="6A993DBC" w14:textId="77777777" w:rsidR="00FF2157" w:rsidRDefault="00FF2157" w:rsidP="00FF2157">
      <w:pPr>
        <w:spacing w:line="360" w:lineRule="auto"/>
        <w:jc w:val="center"/>
        <w:rPr>
          <w:rFonts w:ascii="Times New Roman" w:hAnsi="Times New Roman" w:cs="Times New Roman"/>
          <w:b/>
          <w:sz w:val="24"/>
          <w:szCs w:val="24"/>
        </w:rPr>
      </w:pPr>
    </w:p>
    <w:p w14:paraId="6A170DBE" w14:textId="77777777" w:rsidR="00FF2157" w:rsidRDefault="00FF2157" w:rsidP="00FF2157">
      <w:pPr>
        <w:spacing w:line="360" w:lineRule="auto"/>
        <w:jc w:val="center"/>
        <w:rPr>
          <w:rFonts w:ascii="Times New Roman" w:hAnsi="Times New Roman" w:cs="Times New Roman"/>
          <w:b/>
          <w:sz w:val="24"/>
          <w:szCs w:val="24"/>
        </w:rPr>
      </w:pPr>
    </w:p>
    <w:p w14:paraId="20A9FC77" w14:textId="77777777" w:rsidR="00FF2157" w:rsidRDefault="00FF2157" w:rsidP="00FF2157">
      <w:pPr>
        <w:spacing w:line="360" w:lineRule="auto"/>
        <w:jc w:val="center"/>
        <w:rPr>
          <w:rFonts w:ascii="Times New Roman" w:hAnsi="Times New Roman" w:cs="Times New Roman"/>
          <w:b/>
          <w:sz w:val="24"/>
          <w:szCs w:val="24"/>
        </w:rPr>
      </w:pPr>
    </w:p>
    <w:p w14:paraId="298CEBEA" w14:textId="77777777" w:rsidR="00FF2157" w:rsidRDefault="00FF2157" w:rsidP="00FF2157">
      <w:pPr>
        <w:spacing w:line="360" w:lineRule="auto"/>
        <w:jc w:val="center"/>
        <w:rPr>
          <w:rFonts w:ascii="Times New Roman" w:hAnsi="Times New Roman" w:cs="Times New Roman"/>
          <w:b/>
          <w:sz w:val="24"/>
          <w:szCs w:val="24"/>
        </w:rPr>
      </w:pPr>
    </w:p>
    <w:p w14:paraId="139D9C3A" w14:textId="77777777" w:rsidR="00FF2157" w:rsidRDefault="00FF2157" w:rsidP="00FF2157">
      <w:pPr>
        <w:spacing w:line="360" w:lineRule="auto"/>
        <w:jc w:val="center"/>
        <w:rPr>
          <w:rFonts w:ascii="Times New Roman" w:hAnsi="Times New Roman" w:cs="Times New Roman"/>
          <w:b/>
          <w:sz w:val="24"/>
          <w:szCs w:val="24"/>
        </w:rPr>
      </w:pPr>
    </w:p>
    <w:p w14:paraId="469EF18A" w14:textId="13BF01BF" w:rsidR="00FF2157" w:rsidRDefault="00FF2157" w:rsidP="00FF215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JULY, 2026</w:t>
      </w:r>
    </w:p>
    <w:p w14:paraId="024629B2" w14:textId="77777777" w:rsidR="00B8096F" w:rsidRDefault="00B8096F" w:rsidP="006173ED">
      <w:pPr>
        <w:rPr>
          <w:b/>
          <w:bCs/>
        </w:rPr>
      </w:pPr>
    </w:p>
    <w:p w14:paraId="1344D544" w14:textId="77777777" w:rsidR="00BD2DDD" w:rsidRDefault="00C00065" w:rsidP="00721ED9">
      <w:pPr>
        <w:spacing w:line="480" w:lineRule="auto"/>
        <w:rPr>
          <w:b/>
          <w:bCs/>
        </w:rPr>
        <w:sectPr w:rsidR="00BD2DDD" w:rsidSect="00A8304F">
          <w:footerReference w:type="default" r:id="rId8"/>
          <w:pgSz w:w="11906" w:h="16838"/>
          <w:pgMar w:top="1440" w:right="1440" w:bottom="1440" w:left="1440" w:header="708" w:footer="708" w:gutter="0"/>
          <w:pgNumType w:fmt="lowerRoman"/>
          <w:cols w:space="708"/>
          <w:docGrid w:linePitch="360"/>
        </w:sectPr>
      </w:pPr>
      <w:r>
        <w:rPr>
          <w:b/>
          <w:bCs/>
        </w:rPr>
        <w:t xml:space="preserve">            </w:t>
      </w:r>
    </w:p>
    <w:p w14:paraId="7EBDCF32" w14:textId="6434FCB2" w:rsidR="00FF260B" w:rsidRDefault="003E756C" w:rsidP="00C00065">
      <w:pPr>
        <w:spacing w:line="480" w:lineRule="auto"/>
        <w:rPr>
          <w:rFonts w:ascii="Times New Roman" w:hAnsi="Times New Roman" w:cs="Times New Roman"/>
          <w:b/>
          <w:sz w:val="24"/>
        </w:rPr>
      </w:pPr>
      <w:r>
        <w:rPr>
          <w:rFonts w:ascii="Times New Roman" w:hAnsi="Times New Roman" w:cs="Times New Roman"/>
          <w:b/>
          <w:noProof/>
          <w:sz w:val="24"/>
        </w:rPr>
        <w:lastRenderedPageBreak/>
        <w:drawing>
          <wp:inline distT="0" distB="0" distL="0" distR="0" wp14:anchorId="5FCF1DAA" wp14:editId="521568EC">
            <wp:extent cx="5559425" cy="9281160"/>
            <wp:effectExtent l="0" t="0" r="3175" b="0"/>
            <wp:docPr id="10089812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981263" name="Picture 1008981263"/>
                    <pic:cNvPicPr/>
                  </pic:nvPicPr>
                  <pic:blipFill>
                    <a:blip r:embed="rId9">
                      <a:extLst>
                        <a:ext uri="{28A0092B-C50C-407E-A947-70E740481C1C}">
                          <a14:useLocalDpi xmlns:a14="http://schemas.microsoft.com/office/drawing/2010/main" val="0"/>
                        </a:ext>
                      </a:extLst>
                    </a:blip>
                    <a:stretch>
                      <a:fillRect/>
                    </a:stretch>
                  </pic:blipFill>
                  <pic:spPr>
                    <a:xfrm>
                      <a:off x="0" y="0"/>
                      <a:ext cx="5559425" cy="9281160"/>
                    </a:xfrm>
                    <a:prstGeom prst="rect">
                      <a:avLst/>
                    </a:prstGeom>
                  </pic:spPr>
                </pic:pic>
              </a:graphicData>
            </a:graphic>
          </wp:inline>
        </w:drawing>
      </w:r>
    </w:p>
    <w:p w14:paraId="53F60BE1" w14:textId="5C1E5FE4" w:rsidR="003E756C" w:rsidRDefault="003E756C" w:rsidP="003E756C">
      <w:pPr>
        <w:spacing w:line="480" w:lineRule="auto"/>
        <w:rPr>
          <w:rFonts w:ascii="Times New Roman" w:hAnsi="Times New Roman" w:cs="Times New Roman"/>
          <w:b/>
          <w:sz w:val="24"/>
        </w:rPr>
      </w:pPr>
      <w:r>
        <w:rPr>
          <w:rFonts w:ascii="Times New Roman" w:hAnsi="Times New Roman" w:cs="Times New Roman"/>
          <w:b/>
          <w:noProof/>
          <w:sz w:val="24"/>
        </w:rPr>
        <w:lastRenderedPageBreak/>
        <w:drawing>
          <wp:inline distT="0" distB="0" distL="0" distR="0" wp14:anchorId="398E76BC" wp14:editId="2ACA2763">
            <wp:extent cx="5550971" cy="9476740"/>
            <wp:effectExtent l="0" t="0" r="0" b="0"/>
            <wp:docPr id="11623263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326371" name="Picture 1162326371"/>
                    <pic:cNvPicPr/>
                  </pic:nvPicPr>
                  <pic:blipFill>
                    <a:blip r:embed="rId10">
                      <a:extLst>
                        <a:ext uri="{28A0092B-C50C-407E-A947-70E740481C1C}">
                          <a14:useLocalDpi xmlns:a14="http://schemas.microsoft.com/office/drawing/2010/main" val="0"/>
                        </a:ext>
                      </a:extLst>
                    </a:blip>
                    <a:stretch>
                      <a:fillRect/>
                    </a:stretch>
                  </pic:blipFill>
                  <pic:spPr>
                    <a:xfrm>
                      <a:off x="0" y="0"/>
                      <a:ext cx="5567839" cy="9505538"/>
                    </a:xfrm>
                    <a:prstGeom prst="rect">
                      <a:avLst/>
                    </a:prstGeom>
                  </pic:spPr>
                </pic:pic>
              </a:graphicData>
            </a:graphic>
          </wp:inline>
        </w:drawing>
      </w:r>
    </w:p>
    <w:p w14:paraId="5A834E7F" w14:textId="13DE5881" w:rsidR="00C448A6" w:rsidRPr="00990009" w:rsidRDefault="00C448A6" w:rsidP="00C448A6">
      <w:pPr>
        <w:spacing w:line="480" w:lineRule="auto"/>
        <w:jc w:val="center"/>
        <w:rPr>
          <w:rFonts w:ascii="Times New Roman" w:hAnsi="Times New Roman" w:cs="Times New Roman"/>
          <w:b/>
          <w:sz w:val="24"/>
        </w:rPr>
      </w:pPr>
      <w:r w:rsidRPr="00990009">
        <w:rPr>
          <w:rFonts w:ascii="Times New Roman" w:hAnsi="Times New Roman" w:cs="Times New Roman"/>
          <w:b/>
          <w:sz w:val="24"/>
        </w:rPr>
        <w:lastRenderedPageBreak/>
        <w:t>DEDICATION</w:t>
      </w:r>
    </w:p>
    <w:p w14:paraId="7A674E00" w14:textId="6DECD9C1" w:rsidR="00C448A6" w:rsidRDefault="00C448A6" w:rsidP="002A22EE">
      <w:pPr>
        <w:spacing w:line="480" w:lineRule="auto"/>
        <w:jc w:val="both"/>
        <w:rPr>
          <w:rFonts w:ascii="Times New Roman" w:hAnsi="Times New Roman" w:cs="Times New Roman"/>
          <w:sz w:val="24"/>
        </w:rPr>
      </w:pPr>
      <w:r w:rsidRPr="00990009">
        <w:rPr>
          <w:rFonts w:ascii="Times New Roman" w:hAnsi="Times New Roman" w:cs="Times New Roman"/>
          <w:sz w:val="24"/>
        </w:rPr>
        <w:t xml:space="preserve">This work is dedicated firstly to </w:t>
      </w:r>
      <w:r w:rsidR="00CD2784">
        <w:rPr>
          <w:rFonts w:ascii="Times New Roman" w:hAnsi="Times New Roman" w:cs="Times New Roman"/>
          <w:sz w:val="24"/>
        </w:rPr>
        <w:t>Almighty God</w:t>
      </w:r>
      <w:r w:rsidRPr="00990009">
        <w:rPr>
          <w:rFonts w:ascii="Times New Roman" w:hAnsi="Times New Roman" w:cs="Times New Roman"/>
          <w:sz w:val="24"/>
        </w:rPr>
        <w:t xml:space="preserve"> for giving me strength and </w:t>
      </w:r>
      <w:r w:rsidR="00656378">
        <w:rPr>
          <w:rFonts w:ascii="Times New Roman" w:hAnsi="Times New Roman" w:cs="Times New Roman"/>
          <w:sz w:val="24"/>
        </w:rPr>
        <w:t xml:space="preserve">resilience. </w:t>
      </w:r>
      <w:r w:rsidRPr="00990009">
        <w:rPr>
          <w:rFonts w:ascii="Times New Roman" w:hAnsi="Times New Roman" w:cs="Times New Roman"/>
          <w:sz w:val="24"/>
        </w:rPr>
        <w:t>I also dedicate this work to</w:t>
      </w:r>
      <w:r>
        <w:rPr>
          <w:rFonts w:ascii="Times New Roman" w:hAnsi="Times New Roman" w:cs="Times New Roman"/>
          <w:sz w:val="24"/>
        </w:rPr>
        <w:t xml:space="preserve"> my lovely parents, Mr.</w:t>
      </w:r>
      <w:r w:rsidR="00656378">
        <w:rPr>
          <w:rFonts w:ascii="Times New Roman" w:hAnsi="Times New Roman" w:cs="Times New Roman"/>
          <w:sz w:val="24"/>
        </w:rPr>
        <w:t xml:space="preserve"> Onwa Nwafor-Orizu </w:t>
      </w:r>
      <w:r w:rsidR="004D14B0">
        <w:rPr>
          <w:rFonts w:ascii="Times New Roman" w:hAnsi="Times New Roman" w:cs="Times New Roman"/>
          <w:sz w:val="24"/>
        </w:rPr>
        <w:t>and</w:t>
      </w:r>
      <w:r w:rsidR="00656378">
        <w:rPr>
          <w:rFonts w:ascii="Times New Roman" w:hAnsi="Times New Roman" w:cs="Times New Roman"/>
          <w:sz w:val="24"/>
        </w:rPr>
        <w:t xml:space="preserve"> </w:t>
      </w:r>
      <w:r w:rsidR="004D14B0">
        <w:rPr>
          <w:rFonts w:ascii="Times New Roman" w:hAnsi="Times New Roman" w:cs="Times New Roman"/>
          <w:sz w:val="24"/>
        </w:rPr>
        <w:t xml:space="preserve">Barr. Onyinye </w:t>
      </w:r>
      <w:r w:rsidR="00CD2784">
        <w:rPr>
          <w:rFonts w:ascii="Times New Roman" w:hAnsi="Times New Roman" w:cs="Times New Roman"/>
          <w:sz w:val="24"/>
        </w:rPr>
        <w:t>Nwafor-Orizu,</w:t>
      </w:r>
      <w:r>
        <w:rPr>
          <w:rFonts w:ascii="Times New Roman" w:hAnsi="Times New Roman" w:cs="Times New Roman"/>
          <w:sz w:val="24"/>
        </w:rPr>
        <w:t xml:space="preserve"> for your</w:t>
      </w:r>
      <w:r w:rsidRPr="00990009">
        <w:rPr>
          <w:rFonts w:ascii="Times New Roman" w:hAnsi="Times New Roman" w:cs="Times New Roman"/>
          <w:sz w:val="24"/>
        </w:rPr>
        <w:t xml:space="preserve"> continuous love, encouragement, </w:t>
      </w:r>
      <w:r w:rsidR="00CD2784">
        <w:rPr>
          <w:rFonts w:ascii="Times New Roman" w:hAnsi="Times New Roman" w:cs="Times New Roman"/>
          <w:sz w:val="24"/>
        </w:rPr>
        <w:t>advice,</w:t>
      </w:r>
      <w:r w:rsidRPr="00990009">
        <w:rPr>
          <w:rFonts w:ascii="Times New Roman" w:hAnsi="Times New Roman" w:cs="Times New Roman"/>
          <w:sz w:val="24"/>
        </w:rPr>
        <w:t xml:space="preserve"> and </w:t>
      </w:r>
      <w:r w:rsidR="005C5138">
        <w:rPr>
          <w:rFonts w:ascii="Times New Roman" w:hAnsi="Times New Roman" w:cs="Times New Roman"/>
          <w:sz w:val="24"/>
        </w:rPr>
        <w:t>support,</w:t>
      </w:r>
      <w:r w:rsidRPr="00990009">
        <w:rPr>
          <w:rFonts w:ascii="Times New Roman" w:hAnsi="Times New Roman" w:cs="Times New Roman"/>
          <w:sz w:val="24"/>
        </w:rPr>
        <w:t xml:space="preserve"> both physically and </w:t>
      </w:r>
      <w:r>
        <w:rPr>
          <w:rFonts w:ascii="Times New Roman" w:hAnsi="Times New Roman" w:cs="Times New Roman"/>
          <w:sz w:val="24"/>
        </w:rPr>
        <w:t>mentally</w:t>
      </w:r>
      <w:r w:rsidR="005C5138">
        <w:rPr>
          <w:rFonts w:ascii="Times New Roman" w:hAnsi="Times New Roman" w:cs="Times New Roman"/>
          <w:sz w:val="24"/>
        </w:rPr>
        <w:t>, and for</w:t>
      </w:r>
      <w:r>
        <w:rPr>
          <w:rFonts w:ascii="Times New Roman" w:hAnsi="Times New Roman" w:cs="Times New Roman"/>
          <w:sz w:val="24"/>
        </w:rPr>
        <w:t xml:space="preserve"> being a </w:t>
      </w:r>
      <w:r w:rsidRPr="00990009">
        <w:rPr>
          <w:rFonts w:ascii="Times New Roman" w:hAnsi="Times New Roman" w:cs="Times New Roman"/>
          <w:sz w:val="24"/>
        </w:rPr>
        <w:t>force behind this project.</w:t>
      </w:r>
    </w:p>
    <w:p w14:paraId="68285D78" w14:textId="26BED085" w:rsidR="00C448A6" w:rsidRDefault="00C448A6" w:rsidP="002A22EE">
      <w:pPr>
        <w:spacing w:line="480" w:lineRule="auto"/>
        <w:jc w:val="both"/>
        <w:rPr>
          <w:rFonts w:ascii="Times New Roman" w:hAnsi="Times New Roman" w:cs="Times New Roman"/>
          <w:sz w:val="24"/>
        </w:rPr>
      </w:pPr>
      <w:r>
        <w:rPr>
          <w:rFonts w:ascii="Times New Roman" w:hAnsi="Times New Roman" w:cs="Times New Roman"/>
          <w:sz w:val="24"/>
        </w:rPr>
        <w:t xml:space="preserve">To my </w:t>
      </w:r>
      <w:r w:rsidR="00A04869">
        <w:rPr>
          <w:rFonts w:ascii="Times New Roman" w:hAnsi="Times New Roman" w:cs="Times New Roman"/>
          <w:sz w:val="24"/>
        </w:rPr>
        <w:t>older sister</w:t>
      </w:r>
      <w:r w:rsidR="00684F5A">
        <w:rPr>
          <w:rFonts w:ascii="Times New Roman" w:hAnsi="Times New Roman" w:cs="Times New Roman"/>
          <w:sz w:val="24"/>
        </w:rPr>
        <w:t>,</w:t>
      </w:r>
      <w:r>
        <w:rPr>
          <w:rFonts w:ascii="Times New Roman" w:hAnsi="Times New Roman" w:cs="Times New Roman"/>
          <w:sz w:val="24"/>
        </w:rPr>
        <w:t xml:space="preserve"> M</w:t>
      </w:r>
      <w:r w:rsidR="00A04869">
        <w:rPr>
          <w:rFonts w:ascii="Times New Roman" w:hAnsi="Times New Roman" w:cs="Times New Roman"/>
          <w:sz w:val="24"/>
        </w:rPr>
        <w:t>mesoma</w:t>
      </w:r>
      <w:r>
        <w:rPr>
          <w:rFonts w:ascii="Times New Roman" w:hAnsi="Times New Roman" w:cs="Times New Roman"/>
          <w:sz w:val="24"/>
        </w:rPr>
        <w:t xml:space="preserve"> (</w:t>
      </w:r>
      <w:r w:rsidR="00A04869">
        <w:rPr>
          <w:rFonts w:ascii="Times New Roman" w:hAnsi="Times New Roman" w:cs="Times New Roman"/>
          <w:sz w:val="24"/>
        </w:rPr>
        <w:t>Mems</w:t>
      </w:r>
      <w:r>
        <w:rPr>
          <w:rFonts w:ascii="Times New Roman" w:hAnsi="Times New Roman" w:cs="Times New Roman"/>
          <w:sz w:val="24"/>
        </w:rPr>
        <w:t xml:space="preserve">), you have been a significant and constant reflection of hard work and how it always pays off at the end. Your endless prayers have never gone unnoticed in my life. Thank you for all you have been doing for me since my </w:t>
      </w:r>
      <w:r w:rsidR="0067669C">
        <w:rPr>
          <w:rFonts w:ascii="Times New Roman" w:hAnsi="Times New Roman" w:cs="Times New Roman"/>
          <w:sz w:val="24"/>
        </w:rPr>
        <w:t>admission into the university</w:t>
      </w:r>
      <w:r>
        <w:rPr>
          <w:rFonts w:ascii="Times New Roman" w:hAnsi="Times New Roman" w:cs="Times New Roman"/>
          <w:sz w:val="24"/>
        </w:rPr>
        <w:t>.</w:t>
      </w:r>
    </w:p>
    <w:p w14:paraId="6F96AE04" w14:textId="25AAAE31" w:rsidR="00C448A6" w:rsidRDefault="00C448A6" w:rsidP="002A22EE">
      <w:pPr>
        <w:spacing w:line="480" w:lineRule="auto"/>
        <w:jc w:val="both"/>
        <w:rPr>
          <w:rFonts w:ascii="Times New Roman" w:hAnsi="Times New Roman" w:cs="Times New Roman"/>
          <w:sz w:val="24"/>
        </w:rPr>
      </w:pPr>
      <w:r>
        <w:rPr>
          <w:rFonts w:ascii="Times New Roman" w:hAnsi="Times New Roman" w:cs="Times New Roman"/>
          <w:sz w:val="24"/>
        </w:rPr>
        <w:t xml:space="preserve">To my </w:t>
      </w:r>
      <w:r w:rsidR="00EB7DB7">
        <w:rPr>
          <w:rFonts w:ascii="Times New Roman" w:hAnsi="Times New Roman" w:cs="Times New Roman"/>
          <w:sz w:val="24"/>
        </w:rPr>
        <w:t>older</w:t>
      </w:r>
      <w:r w:rsidR="00835C71">
        <w:rPr>
          <w:rFonts w:ascii="Times New Roman" w:hAnsi="Times New Roman" w:cs="Times New Roman"/>
          <w:sz w:val="24"/>
        </w:rPr>
        <w:t xml:space="preserve"> brother</w:t>
      </w:r>
      <w:r>
        <w:rPr>
          <w:rFonts w:ascii="Times New Roman" w:hAnsi="Times New Roman" w:cs="Times New Roman"/>
          <w:sz w:val="24"/>
        </w:rPr>
        <w:t xml:space="preserve">, </w:t>
      </w:r>
      <w:r w:rsidR="00835C71">
        <w:rPr>
          <w:rFonts w:ascii="Times New Roman" w:hAnsi="Times New Roman" w:cs="Times New Roman"/>
          <w:sz w:val="24"/>
        </w:rPr>
        <w:t>Nnamdi</w:t>
      </w:r>
      <w:r w:rsidR="00CC3EA1">
        <w:rPr>
          <w:rFonts w:ascii="Times New Roman" w:hAnsi="Times New Roman" w:cs="Times New Roman"/>
          <w:sz w:val="24"/>
        </w:rPr>
        <w:t xml:space="preserve">, </w:t>
      </w:r>
      <w:r>
        <w:rPr>
          <w:rFonts w:ascii="Times New Roman" w:hAnsi="Times New Roman" w:cs="Times New Roman"/>
          <w:sz w:val="24"/>
        </w:rPr>
        <w:t xml:space="preserve">thanks for your constant checkups, </w:t>
      </w:r>
      <w:r w:rsidR="00EB7DB7">
        <w:rPr>
          <w:rFonts w:ascii="Times New Roman" w:hAnsi="Times New Roman" w:cs="Times New Roman"/>
          <w:sz w:val="24"/>
        </w:rPr>
        <w:t>calls,</w:t>
      </w:r>
      <w:r>
        <w:rPr>
          <w:rFonts w:ascii="Times New Roman" w:hAnsi="Times New Roman" w:cs="Times New Roman"/>
          <w:sz w:val="24"/>
        </w:rPr>
        <w:t xml:space="preserve"> and support throughout the duration of my project. God bless you.   </w:t>
      </w:r>
    </w:p>
    <w:p w14:paraId="029EBF1A" w14:textId="3937BD4F" w:rsidR="00C448A6" w:rsidRPr="00990009" w:rsidRDefault="00C448A6" w:rsidP="002A22EE">
      <w:pPr>
        <w:spacing w:line="480" w:lineRule="auto"/>
        <w:jc w:val="both"/>
        <w:rPr>
          <w:rFonts w:ascii="Times New Roman" w:hAnsi="Times New Roman" w:cs="Times New Roman"/>
          <w:sz w:val="24"/>
        </w:rPr>
      </w:pPr>
      <w:r w:rsidRPr="00990009">
        <w:rPr>
          <w:rFonts w:ascii="Times New Roman" w:hAnsi="Times New Roman" w:cs="Times New Roman"/>
          <w:sz w:val="24"/>
        </w:rPr>
        <w:t xml:space="preserve"> Lastly, I also dedicate this work to my </w:t>
      </w:r>
      <w:r w:rsidR="00CC3EA1">
        <w:rPr>
          <w:rFonts w:ascii="Times New Roman" w:hAnsi="Times New Roman" w:cs="Times New Roman"/>
          <w:sz w:val="24"/>
        </w:rPr>
        <w:t xml:space="preserve">other siblings, Ononso and </w:t>
      </w:r>
      <w:r w:rsidR="00EB7DB7">
        <w:rPr>
          <w:rFonts w:ascii="Times New Roman" w:hAnsi="Times New Roman" w:cs="Times New Roman"/>
          <w:sz w:val="24"/>
        </w:rPr>
        <w:t>Ebele,</w:t>
      </w:r>
      <w:r w:rsidRPr="00990009">
        <w:rPr>
          <w:rFonts w:ascii="Times New Roman" w:hAnsi="Times New Roman" w:cs="Times New Roman"/>
          <w:sz w:val="24"/>
        </w:rPr>
        <w:t xml:space="preserve"> for their unwavering support and </w:t>
      </w:r>
      <w:r w:rsidR="00B37C3C">
        <w:rPr>
          <w:rFonts w:ascii="Times New Roman" w:hAnsi="Times New Roman" w:cs="Times New Roman"/>
          <w:sz w:val="24"/>
        </w:rPr>
        <w:t>advice</w:t>
      </w:r>
      <w:r w:rsidRPr="00990009">
        <w:rPr>
          <w:rFonts w:ascii="Times New Roman" w:hAnsi="Times New Roman" w:cs="Times New Roman"/>
          <w:sz w:val="24"/>
        </w:rPr>
        <w:t xml:space="preserve"> towards the completion of this project.  </w:t>
      </w:r>
    </w:p>
    <w:p w14:paraId="1F15EE70" w14:textId="77777777" w:rsidR="00C448A6" w:rsidRPr="00990009" w:rsidRDefault="00C448A6" w:rsidP="002A22EE">
      <w:pPr>
        <w:spacing w:line="480" w:lineRule="auto"/>
        <w:jc w:val="both"/>
        <w:rPr>
          <w:rFonts w:ascii="Times New Roman" w:hAnsi="Times New Roman" w:cs="Times New Roman"/>
          <w:sz w:val="24"/>
        </w:rPr>
      </w:pPr>
    </w:p>
    <w:p w14:paraId="2768F5B0" w14:textId="77777777" w:rsidR="00C448A6" w:rsidRPr="00990009" w:rsidRDefault="00C448A6" w:rsidP="002A22EE">
      <w:pPr>
        <w:spacing w:line="480" w:lineRule="auto"/>
        <w:jc w:val="both"/>
        <w:rPr>
          <w:rFonts w:ascii="Times New Roman" w:hAnsi="Times New Roman" w:cs="Times New Roman"/>
          <w:sz w:val="24"/>
        </w:rPr>
      </w:pPr>
    </w:p>
    <w:p w14:paraId="00A637DC" w14:textId="77777777" w:rsidR="00C448A6" w:rsidRPr="00990009" w:rsidRDefault="00C448A6" w:rsidP="002A22EE">
      <w:pPr>
        <w:spacing w:line="480" w:lineRule="auto"/>
        <w:jc w:val="both"/>
        <w:rPr>
          <w:rFonts w:ascii="Times New Roman" w:hAnsi="Times New Roman" w:cs="Times New Roman"/>
          <w:sz w:val="24"/>
        </w:rPr>
      </w:pPr>
    </w:p>
    <w:p w14:paraId="03B99B03" w14:textId="77777777" w:rsidR="00C448A6" w:rsidRDefault="00C448A6" w:rsidP="002A22EE">
      <w:pPr>
        <w:spacing w:line="480" w:lineRule="auto"/>
        <w:jc w:val="both"/>
        <w:rPr>
          <w:rFonts w:ascii="Times New Roman" w:hAnsi="Times New Roman" w:cs="Times New Roman"/>
          <w:sz w:val="24"/>
        </w:rPr>
      </w:pPr>
    </w:p>
    <w:p w14:paraId="027C7C64" w14:textId="77777777" w:rsidR="00C448A6" w:rsidRPr="00990009" w:rsidRDefault="00C448A6" w:rsidP="00C448A6">
      <w:pPr>
        <w:spacing w:line="480" w:lineRule="auto"/>
        <w:rPr>
          <w:rFonts w:ascii="Times New Roman" w:hAnsi="Times New Roman" w:cs="Times New Roman"/>
          <w:sz w:val="24"/>
        </w:rPr>
      </w:pPr>
    </w:p>
    <w:p w14:paraId="7CBCAD13" w14:textId="77777777" w:rsidR="00C448A6" w:rsidRPr="00990009" w:rsidRDefault="00C448A6" w:rsidP="00C448A6">
      <w:pPr>
        <w:spacing w:line="480" w:lineRule="auto"/>
        <w:jc w:val="center"/>
        <w:rPr>
          <w:rFonts w:ascii="Times New Roman" w:hAnsi="Times New Roman" w:cs="Times New Roman"/>
          <w:b/>
          <w:sz w:val="24"/>
        </w:rPr>
      </w:pPr>
    </w:p>
    <w:p w14:paraId="12D0D98A" w14:textId="77777777" w:rsidR="00656378" w:rsidRDefault="00656378" w:rsidP="00C448A6">
      <w:pPr>
        <w:spacing w:line="480" w:lineRule="auto"/>
        <w:jc w:val="center"/>
        <w:rPr>
          <w:rFonts w:ascii="Times New Roman" w:hAnsi="Times New Roman" w:cs="Times New Roman"/>
          <w:b/>
          <w:sz w:val="24"/>
        </w:rPr>
      </w:pPr>
    </w:p>
    <w:p w14:paraId="49274157" w14:textId="77777777" w:rsidR="00656378" w:rsidRDefault="00656378" w:rsidP="00C448A6">
      <w:pPr>
        <w:spacing w:line="480" w:lineRule="auto"/>
        <w:jc w:val="center"/>
        <w:rPr>
          <w:rFonts w:ascii="Times New Roman" w:hAnsi="Times New Roman" w:cs="Times New Roman"/>
          <w:b/>
          <w:sz w:val="24"/>
        </w:rPr>
      </w:pPr>
    </w:p>
    <w:p w14:paraId="381443E9" w14:textId="77777777" w:rsidR="00656378" w:rsidRDefault="00656378" w:rsidP="00C448A6">
      <w:pPr>
        <w:spacing w:line="480" w:lineRule="auto"/>
        <w:jc w:val="center"/>
        <w:rPr>
          <w:rFonts w:ascii="Times New Roman" w:hAnsi="Times New Roman" w:cs="Times New Roman"/>
          <w:b/>
          <w:sz w:val="24"/>
        </w:rPr>
      </w:pPr>
    </w:p>
    <w:p w14:paraId="6D489AEE" w14:textId="452CD94F" w:rsidR="00C448A6" w:rsidRPr="00990009" w:rsidRDefault="002D6957" w:rsidP="00C448A6">
      <w:pPr>
        <w:spacing w:line="480" w:lineRule="auto"/>
        <w:jc w:val="center"/>
        <w:rPr>
          <w:rFonts w:ascii="Times New Roman" w:hAnsi="Times New Roman" w:cs="Times New Roman"/>
          <w:b/>
          <w:sz w:val="24"/>
        </w:rPr>
      </w:pPr>
      <w:r>
        <w:rPr>
          <w:rFonts w:ascii="Times New Roman" w:hAnsi="Times New Roman" w:cs="Times New Roman"/>
          <w:b/>
          <w:sz w:val="24"/>
        </w:rPr>
        <w:lastRenderedPageBreak/>
        <w:t>ACKNOWLEDGEMENT</w:t>
      </w:r>
    </w:p>
    <w:p w14:paraId="156C807E" w14:textId="64998BAE" w:rsidR="00C448A6" w:rsidRPr="00990009" w:rsidRDefault="00C448A6" w:rsidP="002A22EE">
      <w:pPr>
        <w:spacing w:line="480" w:lineRule="auto"/>
        <w:jc w:val="both"/>
        <w:rPr>
          <w:rFonts w:ascii="Times New Roman" w:hAnsi="Times New Roman" w:cs="Times New Roman"/>
          <w:sz w:val="24"/>
        </w:rPr>
      </w:pPr>
      <w:r w:rsidRPr="00990009">
        <w:rPr>
          <w:rFonts w:ascii="Times New Roman" w:hAnsi="Times New Roman" w:cs="Times New Roman"/>
          <w:sz w:val="24"/>
        </w:rPr>
        <w:t xml:space="preserve">I would like to express my deep and sincere gratitude to </w:t>
      </w:r>
      <w:r w:rsidR="000C7F0A">
        <w:rPr>
          <w:rFonts w:ascii="Times New Roman" w:hAnsi="Times New Roman" w:cs="Times New Roman"/>
          <w:sz w:val="24"/>
        </w:rPr>
        <w:t xml:space="preserve">Mrs. Nwakaego </w:t>
      </w:r>
      <w:r w:rsidR="00934773">
        <w:rPr>
          <w:rFonts w:ascii="Times New Roman" w:hAnsi="Times New Roman" w:cs="Times New Roman"/>
          <w:sz w:val="24"/>
        </w:rPr>
        <w:t>Og</w:t>
      </w:r>
      <w:r w:rsidR="000C7F0A">
        <w:rPr>
          <w:rFonts w:ascii="Times New Roman" w:hAnsi="Times New Roman" w:cs="Times New Roman"/>
          <w:sz w:val="24"/>
        </w:rPr>
        <w:t xml:space="preserve">baji </w:t>
      </w:r>
      <w:r w:rsidRPr="00990009">
        <w:rPr>
          <w:rFonts w:ascii="Times New Roman" w:hAnsi="Times New Roman" w:cs="Times New Roman"/>
          <w:sz w:val="24"/>
        </w:rPr>
        <w:t xml:space="preserve">for her invaluable guidance and support throughout this project. She has been more than a supervisor but also a mother figure. The </w:t>
      </w:r>
      <w:r w:rsidR="00934773">
        <w:rPr>
          <w:rFonts w:ascii="Times New Roman" w:hAnsi="Times New Roman" w:cs="Times New Roman"/>
          <w:sz w:val="24"/>
        </w:rPr>
        <w:t>dean</w:t>
      </w:r>
      <w:r w:rsidRPr="00990009">
        <w:rPr>
          <w:rFonts w:ascii="Times New Roman" w:hAnsi="Times New Roman" w:cs="Times New Roman"/>
          <w:sz w:val="24"/>
        </w:rPr>
        <w:t xml:space="preserve"> of the faculty and the academic and administrative staff deserve my </w:t>
      </w:r>
      <w:r w:rsidR="00934773">
        <w:rPr>
          <w:rFonts w:ascii="Times New Roman" w:hAnsi="Times New Roman" w:cs="Times New Roman"/>
          <w:sz w:val="24"/>
        </w:rPr>
        <w:t>thanks</w:t>
      </w:r>
      <w:r w:rsidRPr="00990009">
        <w:rPr>
          <w:rFonts w:ascii="Times New Roman" w:hAnsi="Times New Roman" w:cs="Times New Roman"/>
          <w:sz w:val="24"/>
        </w:rPr>
        <w:t xml:space="preserve"> for the immeasurable contributions towards my academic </w:t>
      </w:r>
      <w:r w:rsidR="00371FFA">
        <w:rPr>
          <w:rFonts w:ascii="Times New Roman" w:hAnsi="Times New Roman" w:cs="Times New Roman"/>
          <w:sz w:val="24"/>
        </w:rPr>
        <w:t xml:space="preserve">career. </w:t>
      </w:r>
      <w:r w:rsidRPr="00990009">
        <w:rPr>
          <w:rFonts w:ascii="Times New Roman" w:hAnsi="Times New Roman" w:cs="Times New Roman"/>
          <w:sz w:val="24"/>
        </w:rPr>
        <w:t xml:space="preserve">I am also deeply indebted to my lovely family for their unwavering support and encouragement. Your contributions have significantly enriched this </w:t>
      </w:r>
      <w:r w:rsidR="00934773">
        <w:rPr>
          <w:rFonts w:ascii="Times New Roman" w:hAnsi="Times New Roman" w:cs="Times New Roman"/>
          <w:sz w:val="24"/>
        </w:rPr>
        <w:t>endeavo</w:t>
      </w:r>
      <w:r w:rsidR="002D6957">
        <w:rPr>
          <w:rFonts w:ascii="Times New Roman" w:hAnsi="Times New Roman" w:cs="Times New Roman"/>
          <w:sz w:val="24"/>
        </w:rPr>
        <w:t>u</w:t>
      </w:r>
      <w:r w:rsidR="00934773">
        <w:rPr>
          <w:rFonts w:ascii="Times New Roman" w:hAnsi="Times New Roman" w:cs="Times New Roman"/>
          <w:sz w:val="24"/>
        </w:rPr>
        <w:t>r.</w:t>
      </w:r>
    </w:p>
    <w:p w14:paraId="7E8A2821" w14:textId="77777777" w:rsidR="00C448A6" w:rsidRPr="00990009" w:rsidRDefault="00C448A6" w:rsidP="00C448A6">
      <w:pPr>
        <w:spacing w:line="480" w:lineRule="auto"/>
        <w:rPr>
          <w:rFonts w:ascii="Times New Roman" w:hAnsi="Times New Roman" w:cs="Times New Roman"/>
          <w:sz w:val="24"/>
        </w:rPr>
      </w:pPr>
    </w:p>
    <w:p w14:paraId="15326956" w14:textId="77777777" w:rsidR="00C448A6" w:rsidRPr="00990009" w:rsidRDefault="00C448A6" w:rsidP="00C448A6">
      <w:pPr>
        <w:spacing w:line="480" w:lineRule="auto"/>
        <w:rPr>
          <w:rFonts w:ascii="Times New Roman" w:hAnsi="Times New Roman" w:cs="Times New Roman"/>
          <w:sz w:val="24"/>
        </w:rPr>
      </w:pPr>
    </w:p>
    <w:p w14:paraId="49FFB8B8" w14:textId="77777777" w:rsidR="00C448A6" w:rsidRPr="00990009" w:rsidRDefault="00C448A6" w:rsidP="00C448A6">
      <w:pPr>
        <w:spacing w:line="480" w:lineRule="auto"/>
        <w:rPr>
          <w:rFonts w:ascii="Times New Roman" w:hAnsi="Times New Roman" w:cs="Times New Roman"/>
          <w:sz w:val="24"/>
        </w:rPr>
      </w:pPr>
    </w:p>
    <w:p w14:paraId="725E58B0" w14:textId="77777777" w:rsidR="00C448A6" w:rsidRPr="00990009" w:rsidRDefault="00C448A6" w:rsidP="00C448A6">
      <w:pPr>
        <w:spacing w:line="480" w:lineRule="auto"/>
        <w:rPr>
          <w:rFonts w:ascii="Times New Roman" w:hAnsi="Times New Roman" w:cs="Times New Roman"/>
          <w:sz w:val="24"/>
        </w:rPr>
      </w:pPr>
    </w:p>
    <w:p w14:paraId="287D3CB8" w14:textId="77777777" w:rsidR="00C448A6" w:rsidRDefault="00C448A6" w:rsidP="00C448A6">
      <w:pPr>
        <w:spacing w:line="480" w:lineRule="auto"/>
        <w:rPr>
          <w:rFonts w:ascii="Times New Roman" w:hAnsi="Times New Roman" w:cs="Times New Roman"/>
          <w:sz w:val="24"/>
        </w:rPr>
      </w:pPr>
    </w:p>
    <w:p w14:paraId="35388D4B" w14:textId="77777777" w:rsidR="00720B76" w:rsidRDefault="00720B76" w:rsidP="00C448A6">
      <w:pPr>
        <w:spacing w:line="480" w:lineRule="auto"/>
        <w:rPr>
          <w:rFonts w:ascii="Times New Roman" w:hAnsi="Times New Roman" w:cs="Times New Roman"/>
          <w:sz w:val="24"/>
        </w:rPr>
      </w:pPr>
    </w:p>
    <w:p w14:paraId="420DB56C" w14:textId="77777777" w:rsidR="00720B76" w:rsidRDefault="00720B76" w:rsidP="00C448A6">
      <w:pPr>
        <w:spacing w:line="480" w:lineRule="auto"/>
        <w:rPr>
          <w:rFonts w:ascii="Times New Roman" w:hAnsi="Times New Roman" w:cs="Times New Roman"/>
          <w:sz w:val="24"/>
        </w:rPr>
      </w:pPr>
    </w:p>
    <w:p w14:paraId="4CD42FDD" w14:textId="77777777" w:rsidR="00720B76" w:rsidRDefault="00720B76" w:rsidP="00C448A6">
      <w:pPr>
        <w:spacing w:line="480" w:lineRule="auto"/>
        <w:rPr>
          <w:rFonts w:ascii="Times New Roman" w:hAnsi="Times New Roman" w:cs="Times New Roman"/>
          <w:sz w:val="24"/>
        </w:rPr>
      </w:pPr>
    </w:p>
    <w:p w14:paraId="58AF92FC" w14:textId="77777777" w:rsidR="00720B76" w:rsidRDefault="00720B76" w:rsidP="00C448A6">
      <w:pPr>
        <w:spacing w:line="480" w:lineRule="auto"/>
        <w:rPr>
          <w:rFonts w:ascii="Times New Roman" w:hAnsi="Times New Roman" w:cs="Times New Roman"/>
          <w:sz w:val="24"/>
        </w:rPr>
      </w:pPr>
    </w:p>
    <w:p w14:paraId="2FE618D4" w14:textId="77777777" w:rsidR="00720B76" w:rsidRDefault="00720B76" w:rsidP="00C448A6">
      <w:pPr>
        <w:spacing w:line="480" w:lineRule="auto"/>
        <w:rPr>
          <w:rFonts w:ascii="Times New Roman" w:hAnsi="Times New Roman" w:cs="Times New Roman"/>
          <w:sz w:val="24"/>
        </w:rPr>
      </w:pPr>
    </w:p>
    <w:p w14:paraId="7BFE8F53" w14:textId="77777777" w:rsidR="00720B76" w:rsidRDefault="00720B76" w:rsidP="00C448A6">
      <w:pPr>
        <w:spacing w:line="480" w:lineRule="auto"/>
        <w:rPr>
          <w:rFonts w:ascii="Times New Roman" w:hAnsi="Times New Roman" w:cs="Times New Roman"/>
          <w:sz w:val="24"/>
        </w:rPr>
      </w:pPr>
    </w:p>
    <w:p w14:paraId="33ABDFC7" w14:textId="77777777" w:rsidR="00720B76" w:rsidRDefault="00720B76" w:rsidP="00C448A6">
      <w:pPr>
        <w:spacing w:line="480" w:lineRule="auto"/>
        <w:rPr>
          <w:rFonts w:ascii="Times New Roman" w:hAnsi="Times New Roman" w:cs="Times New Roman"/>
          <w:sz w:val="24"/>
        </w:rPr>
      </w:pPr>
    </w:p>
    <w:p w14:paraId="239E94D2" w14:textId="77777777" w:rsidR="00720B76" w:rsidRDefault="00720B76" w:rsidP="00C448A6">
      <w:pPr>
        <w:spacing w:line="480" w:lineRule="auto"/>
        <w:rPr>
          <w:rFonts w:ascii="Times New Roman" w:hAnsi="Times New Roman" w:cs="Times New Roman"/>
          <w:sz w:val="24"/>
        </w:rPr>
      </w:pPr>
    </w:p>
    <w:p w14:paraId="5989BF6B" w14:textId="77777777" w:rsidR="00720B76" w:rsidRDefault="00720B76" w:rsidP="00C448A6">
      <w:pPr>
        <w:spacing w:line="480" w:lineRule="auto"/>
        <w:rPr>
          <w:rFonts w:ascii="Times New Roman" w:hAnsi="Times New Roman" w:cs="Times New Roman"/>
          <w:sz w:val="24"/>
        </w:rPr>
      </w:pPr>
    </w:p>
    <w:p w14:paraId="6517EC45" w14:textId="77777777" w:rsidR="00C61614" w:rsidRPr="00990009" w:rsidRDefault="00C61614" w:rsidP="00C61614">
      <w:pPr>
        <w:spacing w:line="480" w:lineRule="auto"/>
        <w:jc w:val="center"/>
        <w:rPr>
          <w:rFonts w:ascii="Times New Roman" w:hAnsi="Times New Roman" w:cs="Times New Roman"/>
          <w:b/>
          <w:sz w:val="24"/>
        </w:rPr>
      </w:pPr>
      <w:r w:rsidRPr="00990009">
        <w:rPr>
          <w:rFonts w:ascii="Times New Roman" w:hAnsi="Times New Roman" w:cs="Times New Roman"/>
          <w:b/>
          <w:sz w:val="24"/>
        </w:rPr>
        <w:lastRenderedPageBreak/>
        <w:t>T</w:t>
      </w:r>
      <w:r>
        <w:rPr>
          <w:rFonts w:ascii="Times New Roman" w:hAnsi="Times New Roman" w:cs="Times New Roman"/>
          <w:b/>
          <w:sz w:val="24"/>
        </w:rPr>
        <w:t xml:space="preserve">ABLE OF CONTENT </w:t>
      </w:r>
    </w:p>
    <w:p w14:paraId="61D010A5" w14:textId="77777777" w:rsidR="00C61614" w:rsidRPr="00990009" w:rsidRDefault="00C61614" w:rsidP="00C61614">
      <w:pPr>
        <w:spacing w:after="0" w:line="480" w:lineRule="auto"/>
        <w:rPr>
          <w:rFonts w:ascii="Times New Roman" w:hAnsi="Times New Roman" w:cs="Times New Roman"/>
          <w:sz w:val="24"/>
          <w:szCs w:val="24"/>
        </w:rPr>
      </w:pPr>
    </w:p>
    <w:p w14:paraId="061B7445" w14:textId="336B36BD" w:rsidR="00C61614" w:rsidRPr="00990009" w:rsidRDefault="00C61614" w:rsidP="00C61614">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TITLE PAGE </w:t>
      </w:r>
      <w:r w:rsidR="00BD2DDD">
        <w:rPr>
          <w:rFonts w:ascii="Times New Roman" w:hAnsi="Times New Roman" w:cs="Times New Roman"/>
          <w:sz w:val="24"/>
          <w:szCs w:val="24"/>
        </w:rPr>
        <w:tab/>
      </w:r>
      <w:r>
        <w:rPr>
          <w:rFonts w:ascii="Times New Roman" w:hAnsi="Times New Roman" w:cs="Times New Roman"/>
          <w:sz w:val="24"/>
          <w:szCs w:val="24"/>
        </w:rPr>
        <w:t xml:space="preserve"> </w:t>
      </w:r>
    </w:p>
    <w:p w14:paraId="664824E0" w14:textId="436EE73E" w:rsidR="00C61614" w:rsidRPr="00990009" w:rsidRDefault="00C2625D" w:rsidP="00C61614">
      <w:pPr>
        <w:spacing w:after="0" w:line="480" w:lineRule="auto"/>
        <w:rPr>
          <w:rFonts w:ascii="Times New Roman" w:hAnsi="Times New Roman" w:cs="Times New Roman"/>
          <w:sz w:val="24"/>
          <w:szCs w:val="24"/>
        </w:rPr>
      </w:pPr>
      <w:r>
        <w:rPr>
          <w:rFonts w:ascii="Times New Roman" w:hAnsi="Times New Roman" w:cs="Times New Roman"/>
          <w:sz w:val="24"/>
          <w:szCs w:val="24"/>
        </w:rPr>
        <w:t>DECLARATION………………………………………………</w:t>
      </w:r>
      <w:r w:rsidR="00634A33">
        <w:rPr>
          <w:rFonts w:ascii="Times New Roman" w:hAnsi="Times New Roman" w:cs="Times New Roman"/>
          <w:sz w:val="24"/>
          <w:szCs w:val="24"/>
        </w:rPr>
        <w:t>……</w:t>
      </w:r>
      <w:r w:rsidR="00BD2DDD">
        <w:rPr>
          <w:rFonts w:ascii="Times New Roman" w:hAnsi="Times New Roman" w:cs="Times New Roman"/>
          <w:sz w:val="24"/>
          <w:szCs w:val="24"/>
        </w:rPr>
        <w:tab/>
      </w:r>
      <w:r w:rsidR="00634A33">
        <w:rPr>
          <w:rFonts w:ascii="Times New Roman" w:hAnsi="Times New Roman" w:cs="Times New Roman"/>
          <w:sz w:val="24"/>
          <w:szCs w:val="24"/>
        </w:rPr>
        <w:t>……………………...</w:t>
      </w:r>
      <w:r w:rsidR="00E13FC2">
        <w:rPr>
          <w:rFonts w:ascii="Times New Roman" w:hAnsi="Times New Roman" w:cs="Times New Roman"/>
          <w:sz w:val="24"/>
          <w:szCs w:val="24"/>
        </w:rPr>
        <w:t>i</w:t>
      </w:r>
    </w:p>
    <w:p w14:paraId="78BB8CD9" w14:textId="79CD9FB9" w:rsidR="00C61614" w:rsidRPr="00990009" w:rsidRDefault="007E2819" w:rsidP="00C61614">
      <w:pPr>
        <w:spacing w:after="0" w:line="480" w:lineRule="auto"/>
        <w:rPr>
          <w:rFonts w:ascii="Times New Roman" w:hAnsi="Times New Roman" w:cs="Times New Roman"/>
          <w:sz w:val="24"/>
          <w:szCs w:val="24"/>
        </w:rPr>
      </w:pPr>
      <w:r>
        <w:rPr>
          <w:rFonts w:ascii="Times New Roman" w:hAnsi="Times New Roman" w:cs="Times New Roman"/>
          <w:sz w:val="24"/>
          <w:szCs w:val="24"/>
        </w:rPr>
        <w:t>APPROVAL…….</w:t>
      </w:r>
      <w:r w:rsidR="00C61614">
        <w:rPr>
          <w:rFonts w:ascii="Times New Roman" w:hAnsi="Times New Roman" w:cs="Times New Roman"/>
          <w:sz w:val="24"/>
          <w:szCs w:val="24"/>
        </w:rPr>
        <w:t>…………………………………</w:t>
      </w:r>
      <w:r w:rsidR="00634A33">
        <w:rPr>
          <w:rFonts w:ascii="Times New Roman" w:hAnsi="Times New Roman" w:cs="Times New Roman"/>
          <w:sz w:val="24"/>
          <w:szCs w:val="24"/>
        </w:rPr>
        <w:t>……………………………………….</w:t>
      </w:r>
      <w:r w:rsidR="00C61614">
        <w:rPr>
          <w:rFonts w:ascii="Times New Roman" w:hAnsi="Times New Roman" w:cs="Times New Roman"/>
          <w:sz w:val="24"/>
          <w:szCs w:val="24"/>
        </w:rPr>
        <w:t>ii</w:t>
      </w:r>
    </w:p>
    <w:p w14:paraId="4E175B1D" w14:textId="643E6F0F" w:rsidR="00C61614" w:rsidRPr="00990009" w:rsidRDefault="00C61614" w:rsidP="00C61614">
      <w:pPr>
        <w:spacing w:after="0" w:line="480" w:lineRule="auto"/>
        <w:rPr>
          <w:rFonts w:ascii="Times New Roman" w:hAnsi="Times New Roman" w:cs="Times New Roman"/>
          <w:sz w:val="24"/>
          <w:szCs w:val="24"/>
        </w:rPr>
      </w:pPr>
      <w:r w:rsidRPr="00990009">
        <w:rPr>
          <w:rFonts w:ascii="Times New Roman" w:hAnsi="Times New Roman" w:cs="Times New Roman"/>
          <w:sz w:val="24"/>
          <w:szCs w:val="24"/>
        </w:rPr>
        <w:t>DEDI</w:t>
      </w:r>
      <w:r>
        <w:rPr>
          <w:rFonts w:ascii="Times New Roman" w:hAnsi="Times New Roman" w:cs="Times New Roman"/>
          <w:sz w:val="24"/>
          <w:szCs w:val="24"/>
        </w:rPr>
        <w:t>CATION …………………………………………</w:t>
      </w:r>
      <w:r w:rsidR="00565AF6">
        <w:rPr>
          <w:rFonts w:ascii="Times New Roman" w:hAnsi="Times New Roman" w:cs="Times New Roman"/>
          <w:sz w:val="24"/>
          <w:szCs w:val="24"/>
        </w:rPr>
        <w:t>………………………………….</w:t>
      </w:r>
      <w:r>
        <w:rPr>
          <w:rFonts w:ascii="Times New Roman" w:hAnsi="Times New Roman" w:cs="Times New Roman"/>
          <w:sz w:val="24"/>
          <w:szCs w:val="24"/>
        </w:rPr>
        <w:t>i</w:t>
      </w:r>
      <w:r w:rsidR="00E13FC2">
        <w:rPr>
          <w:rFonts w:ascii="Times New Roman" w:hAnsi="Times New Roman" w:cs="Times New Roman"/>
          <w:sz w:val="24"/>
          <w:szCs w:val="24"/>
        </w:rPr>
        <w:t>ii</w:t>
      </w:r>
    </w:p>
    <w:p w14:paraId="710F5228" w14:textId="56832B11" w:rsidR="00C61614" w:rsidRPr="00990009" w:rsidRDefault="00C61614" w:rsidP="00C61614">
      <w:pPr>
        <w:spacing w:after="0" w:line="480" w:lineRule="auto"/>
        <w:rPr>
          <w:rFonts w:ascii="Times New Roman" w:hAnsi="Times New Roman" w:cs="Times New Roman"/>
          <w:sz w:val="24"/>
          <w:szCs w:val="24"/>
        </w:rPr>
      </w:pPr>
      <w:r w:rsidRPr="00990009">
        <w:rPr>
          <w:rFonts w:ascii="Times New Roman" w:hAnsi="Times New Roman" w:cs="Times New Roman"/>
          <w:sz w:val="24"/>
          <w:szCs w:val="24"/>
        </w:rPr>
        <w:t>A</w:t>
      </w:r>
      <w:r>
        <w:rPr>
          <w:rFonts w:ascii="Times New Roman" w:hAnsi="Times New Roman" w:cs="Times New Roman"/>
          <w:sz w:val="24"/>
          <w:szCs w:val="24"/>
        </w:rPr>
        <w:t>CKNOWLEDGMENT………………………………</w:t>
      </w:r>
      <w:r w:rsidR="00565AF6">
        <w:rPr>
          <w:rFonts w:ascii="Times New Roman" w:hAnsi="Times New Roman" w:cs="Times New Roman"/>
          <w:sz w:val="24"/>
          <w:szCs w:val="24"/>
        </w:rPr>
        <w:t>…………………………………..</w:t>
      </w:r>
      <w:r w:rsidR="00DE4F70">
        <w:rPr>
          <w:rFonts w:ascii="Times New Roman" w:hAnsi="Times New Roman" w:cs="Times New Roman"/>
          <w:sz w:val="24"/>
          <w:szCs w:val="24"/>
        </w:rPr>
        <w:t>i</w:t>
      </w:r>
      <w:r>
        <w:rPr>
          <w:rFonts w:ascii="Times New Roman" w:hAnsi="Times New Roman" w:cs="Times New Roman"/>
          <w:sz w:val="24"/>
          <w:szCs w:val="24"/>
        </w:rPr>
        <w:t>v</w:t>
      </w:r>
    </w:p>
    <w:p w14:paraId="73CFB493" w14:textId="74F85498" w:rsidR="00C61614" w:rsidRPr="00990009" w:rsidRDefault="00C61614" w:rsidP="00C61614">
      <w:pPr>
        <w:spacing w:after="0" w:line="480" w:lineRule="auto"/>
        <w:rPr>
          <w:rFonts w:ascii="Times New Roman" w:hAnsi="Times New Roman" w:cs="Times New Roman"/>
          <w:sz w:val="24"/>
          <w:szCs w:val="24"/>
        </w:rPr>
      </w:pPr>
      <w:r>
        <w:rPr>
          <w:rFonts w:ascii="Times New Roman" w:hAnsi="Times New Roman" w:cs="Times New Roman"/>
          <w:sz w:val="24"/>
          <w:szCs w:val="24"/>
        </w:rPr>
        <w:t>TABLE OF CONTENTS …………………………………………</w:t>
      </w:r>
      <w:r w:rsidR="009E635A">
        <w:rPr>
          <w:rFonts w:ascii="Times New Roman" w:hAnsi="Times New Roman" w:cs="Times New Roman"/>
          <w:sz w:val="24"/>
          <w:szCs w:val="24"/>
        </w:rPr>
        <w:t>……………………….</w:t>
      </w:r>
      <w:r>
        <w:rPr>
          <w:rFonts w:ascii="Times New Roman" w:hAnsi="Times New Roman" w:cs="Times New Roman"/>
          <w:sz w:val="24"/>
          <w:szCs w:val="24"/>
        </w:rPr>
        <w:t>v</w:t>
      </w:r>
    </w:p>
    <w:p w14:paraId="024F68E9" w14:textId="0BB12FE1" w:rsidR="00C61614" w:rsidRPr="00990009" w:rsidRDefault="00C61614" w:rsidP="00C61614">
      <w:pPr>
        <w:spacing w:after="0" w:line="480" w:lineRule="auto"/>
        <w:rPr>
          <w:rFonts w:ascii="Times New Roman" w:hAnsi="Times New Roman" w:cs="Times New Roman"/>
          <w:sz w:val="24"/>
          <w:szCs w:val="24"/>
        </w:rPr>
      </w:pPr>
      <w:r w:rsidRPr="00990009">
        <w:rPr>
          <w:rFonts w:ascii="Times New Roman" w:hAnsi="Times New Roman" w:cs="Times New Roman"/>
          <w:sz w:val="24"/>
          <w:szCs w:val="24"/>
        </w:rPr>
        <w:t xml:space="preserve">LIST OF </w:t>
      </w:r>
      <w:r w:rsidR="009E62F5">
        <w:rPr>
          <w:rFonts w:ascii="Times New Roman" w:hAnsi="Times New Roman" w:cs="Times New Roman"/>
          <w:sz w:val="24"/>
          <w:szCs w:val="24"/>
        </w:rPr>
        <w:t>CASES</w:t>
      </w:r>
      <w:r>
        <w:rPr>
          <w:rFonts w:ascii="Times New Roman" w:hAnsi="Times New Roman" w:cs="Times New Roman"/>
          <w:sz w:val="24"/>
          <w:szCs w:val="24"/>
        </w:rPr>
        <w:t xml:space="preserve"> </w:t>
      </w:r>
      <w:r w:rsidRPr="00990009">
        <w:rPr>
          <w:rFonts w:ascii="Times New Roman" w:hAnsi="Times New Roman" w:cs="Times New Roman"/>
          <w:sz w:val="24"/>
          <w:szCs w:val="24"/>
        </w:rPr>
        <w:t>………………………………</w:t>
      </w:r>
      <w:r w:rsidR="00644C28">
        <w:rPr>
          <w:rFonts w:ascii="Times New Roman" w:hAnsi="Times New Roman" w:cs="Times New Roman"/>
          <w:sz w:val="24"/>
          <w:szCs w:val="24"/>
        </w:rPr>
        <w:t>………………………………………….</w:t>
      </w:r>
      <w:r w:rsidR="00DE4F70">
        <w:rPr>
          <w:rFonts w:ascii="Times New Roman" w:hAnsi="Times New Roman" w:cs="Times New Roman"/>
          <w:sz w:val="24"/>
          <w:szCs w:val="24"/>
        </w:rPr>
        <w:t>i</w:t>
      </w:r>
      <w:r w:rsidR="0027546C">
        <w:rPr>
          <w:rFonts w:ascii="Times New Roman" w:hAnsi="Times New Roman" w:cs="Times New Roman"/>
          <w:sz w:val="24"/>
          <w:szCs w:val="24"/>
        </w:rPr>
        <w:t>x</w:t>
      </w:r>
    </w:p>
    <w:p w14:paraId="3B786FB6" w14:textId="23D1F0F4" w:rsidR="00C61614" w:rsidRPr="00990009" w:rsidRDefault="00C61614" w:rsidP="00C61614">
      <w:pPr>
        <w:spacing w:after="0" w:line="480" w:lineRule="auto"/>
        <w:rPr>
          <w:rFonts w:ascii="Times New Roman" w:hAnsi="Times New Roman" w:cs="Times New Roman"/>
          <w:sz w:val="24"/>
          <w:szCs w:val="24"/>
        </w:rPr>
      </w:pPr>
      <w:r w:rsidRPr="00990009">
        <w:rPr>
          <w:rFonts w:ascii="Times New Roman" w:hAnsi="Times New Roman" w:cs="Times New Roman"/>
          <w:sz w:val="24"/>
          <w:szCs w:val="24"/>
        </w:rPr>
        <w:t xml:space="preserve">LIST OF </w:t>
      </w:r>
      <w:r w:rsidR="009E62F5">
        <w:rPr>
          <w:rFonts w:ascii="Times New Roman" w:hAnsi="Times New Roman" w:cs="Times New Roman"/>
          <w:sz w:val="24"/>
          <w:szCs w:val="24"/>
        </w:rPr>
        <w:t xml:space="preserve">STATUES </w:t>
      </w:r>
      <w:r>
        <w:rPr>
          <w:rFonts w:ascii="Times New Roman" w:hAnsi="Times New Roman" w:cs="Times New Roman"/>
          <w:sz w:val="24"/>
          <w:szCs w:val="24"/>
        </w:rPr>
        <w:t>……………</w:t>
      </w:r>
      <w:r w:rsidRPr="00990009">
        <w:rPr>
          <w:rFonts w:ascii="Times New Roman" w:hAnsi="Times New Roman" w:cs="Times New Roman"/>
          <w:sz w:val="24"/>
          <w:szCs w:val="24"/>
        </w:rPr>
        <w:t>………………</w:t>
      </w:r>
      <w:r w:rsidR="00D55E2F">
        <w:rPr>
          <w:rFonts w:ascii="Times New Roman" w:hAnsi="Times New Roman" w:cs="Times New Roman"/>
          <w:sz w:val="24"/>
          <w:szCs w:val="24"/>
        </w:rPr>
        <w:t>………………………………………….</w:t>
      </w:r>
      <w:r w:rsidR="0027546C">
        <w:rPr>
          <w:rFonts w:ascii="Times New Roman" w:hAnsi="Times New Roman" w:cs="Times New Roman"/>
          <w:sz w:val="24"/>
          <w:szCs w:val="24"/>
        </w:rPr>
        <w:t>x</w:t>
      </w:r>
    </w:p>
    <w:p w14:paraId="279FFB12" w14:textId="6B3B63DB" w:rsidR="009705C2" w:rsidRDefault="009705C2" w:rsidP="00C61614">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LIST OF ABBREVIATIONS </w:t>
      </w:r>
      <w:r w:rsidR="00263F68">
        <w:rPr>
          <w:rFonts w:ascii="Times New Roman" w:hAnsi="Times New Roman" w:cs="Times New Roman"/>
          <w:sz w:val="24"/>
          <w:szCs w:val="24"/>
        </w:rPr>
        <w:t>…………………</w:t>
      </w:r>
      <w:r>
        <w:rPr>
          <w:rFonts w:ascii="Times New Roman" w:hAnsi="Times New Roman" w:cs="Times New Roman"/>
          <w:sz w:val="24"/>
          <w:szCs w:val="24"/>
        </w:rPr>
        <w:t>………………</w:t>
      </w:r>
      <w:r w:rsidR="00D55E2F">
        <w:rPr>
          <w:rFonts w:ascii="Times New Roman" w:hAnsi="Times New Roman" w:cs="Times New Roman"/>
          <w:sz w:val="24"/>
          <w:szCs w:val="24"/>
        </w:rPr>
        <w:t>………………………….</w:t>
      </w:r>
      <w:r w:rsidR="0027546C">
        <w:rPr>
          <w:rFonts w:ascii="Times New Roman" w:hAnsi="Times New Roman" w:cs="Times New Roman"/>
          <w:sz w:val="24"/>
          <w:szCs w:val="24"/>
        </w:rPr>
        <w:t>xi</w:t>
      </w:r>
    </w:p>
    <w:p w14:paraId="16627463" w14:textId="5CC957DD" w:rsidR="00C61614" w:rsidRPr="00D15AFB" w:rsidRDefault="00C61614" w:rsidP="00C61614">
      <w:pPr>
        <w:spacing w:after="0" w:line="480" w:lineRule="auto"/>
        <w:rPr>
          <w:rFonts w:ascii="Times New Roman" w:hAnsi="Times New Roman" w:cs="Times New Roman"/>
          <w:sz w:val="24"/>
          <w:szCs w:val="24"/>
        </w:rPr>
      </w:pPr>
      <w:r w:rsidRPr="00990009">
        <w:rPr>
          <w:rFonts w:ascii="Times New Roman" w:hAnsi="Times New Roman" w:cs="Times New Roman"/>
          <w:sz w:val="24"/>
          <w:szCs w:val="24"/>
        </w:rPr>
        <w:t>ABSTRACT………………………………………………</w:t>
      </w:r>
      <w:r w:rsidR="00332364">
        <w:rPr>
          <w:rFonts w:ascii="Times New Roman" w:hAnsi="Times New Roman" w:cs="Times New Roman"/>
          <w:sz w:val="24"/>
          <w:szCs w:val="24"/>
        </w:rPr>
        <w:t>……………………………...</w:t>
      </w:r>
      <w:r w:rsidR="00263F68">
        <w:rPr>
          <w:rFonts w:ascii="Times New Roman" w:hAnsi="Times New Roman" w:cs="Times New Roman"/>
          <w:sz w:val="24"/>
          <w:szCs w:val="24"/>
        </w:rPr>
        <w:t>x</w:t>
      </w:r>
      <w:r w:rsidR="00B330F7">
        <w:rPr>
          <w:rFonts w:ascii="Times New Roman" w:hAnsi="Times New Roman" w:cs="Times New Roman"/>
          <w:sz w:val="24"/>
          <w:szCs w:val="24"/>
        </w:rPr>
        <w:t>i</w:t>
      </w:r>
      <w:r w:rsidR="00263F68">
        <w:rPr>
          <w:rFonts w:ascii="Times New Roman" w:hAnsi="Times New Roman" w:cs="Times New Roman"/>
          <w:sz w:val="24"/>
          <w:szCs w:val="24"/>
        </w:rPr>
        <w:t>v</w:t>
      </w:r>
    </w:p>
    <w:p w14:paraId="5A17A738" w14:textId="77777777" w:rsidR="00C61614" w:rsidRPr="00C82E11" w:rsidRDefault="00C61614" w:rsidP="00C61614">
      <w:pPr>
        <w:spacing w:line="480" w:lineRule="auto"/>
        <w:rPr>
          <w:rFonts w:ascii="Times New Roman" w:hAnsi="Times New Roman" w:cs="Times New Roman"/>
          <w:b/>
          <w:bCs/>
          <w:sz w:val="24"/>
          <w:szCs w:val="24"/>
        </w:rPr>
      </w:pPr>
      <w:r w:rsidRPr="00C82E11">
        <w:rPr>
          <w:rFonts w:ascii="Times New Roman" w:hAnsi="Times New Roman" w:cs="Times New Roman"/>
          <w:b/>
          <w:bCs/>
          <w:sz w:val="24"/>
          <w:szCs w:val="24"/>
        </w:rPr>
        <w:t>CHAPTER ONE: INTRODUCTION</w:t>
      </w:r>
    </w:p>
    <w:p w14:paraId="58770475" w14:textId="22A2C7D4"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 xml:space="preserve">1.1 Background to the </w:t>
      </w:r>
      <w:r>
        <w:rPr>
          <w:rFonts w:ascii="Times New Roman" w:hAnsi="Times New Roman" w:cs="Times New Roman"/>
          <w:sz w:val="24"/>
          <w:szCs w:val="24"/>
        </w:rPr>
        <w:t>Study ...........................................</w:t>
      </w:r>
      <w:r w:rsidR="009422F9">
        <w:rPr>
          <w:rFonts w:ascii="Times New Roman" w:hAnsi="Times New Roman" w:cs="Times New Roman"/>
          <w:sz w:val="24"/>
          <w:szCs w:val="24"/>
        </w:rPr>
        <w:t>..................................................</w:t>
      </w:r>
      <w:r w:rsidR="00081208">
        <w:rPr>
          <w:rFonts w:ascii="Times New Roman" w:hAnsi="Times New Roman" w:cs="Times New Roman"/>
          <w:sz w:val="24"/>
          <w:szCs w:val="24"/>
        </w:rPr>
        <w:t>...1</w:t>
      </w:r>
      <w:r w:rsidR="00292E8A">
        <w:rPr>
          <w:rFonts w:ascii="Times New Roman" w:hAnsi="Times New Roman" w:cs="Times New Roman"/>
          <w:sz w:val="24"/>
          <w:szCs w:val="24"/>
        </w:rPr>
        <w:t xml:space="preserve">                                       </w:t>
      </w:r>
    </w:p>
    <w:p w14:paraId="68F2D2AB" w14:textId="120D5ACE"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1.2 Statement of the Problem</w:t>
      </w:r>
      <w:r>
        <w:rPr>
          <w:rFonts w:ascii="Times New Roman" w:hAnsi="Times New Roman" w:cs="Times New Roman"/>
          <w:sz w:val="24"/>
          <w:szCs w:val="24"/>
        </w:rPr>
        <w:t xml:space="preserve"> ........................................</w:t>
      </w:r>
      <w:r w:rsidR="00C969EB">
        <w:rPr>
          <w:rFonts w:ascii="Times New Roman" w:hAnsi="Times New Roman" w:cs="Times New Roman"/>
          <w:sz w:val="24"/>
          <w:szCs w:val="24"/>
        </w:rPr>
        <w:t>....................................................</w:t>
      </w:r>
      <w:r w:rsidR="00081208">
        <w:rPr>
          <w:rFonts w:ascii="Times New Roman" w:hAnsi="Times New Roman" w:cs="Times New Roman"/>
          <w:sz w:val="24"/>
          <w:szCs w:val="24"/>
        </w:rPr>
        <w:t>...2</w:t>
      </w:r>
    </w:p>
    <w:p w14:paraId="4688E5FA" w14:textId="25615D7D"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1.3 Research Questions</w:t>
      </w:r>
      <w:r>
        <w:rPr>
          <w:rFonts w:ascii="Times New Roman" w:hAnsi="Times New Roman" w:cs="Times New Roman"/>
          <w:sz w:val="24"/>
          <w:szCs w:val="24"/>
        </w:rPr>
        <w:t xml:space="preserve"> ...................................................</w:t>
      </w:r>
      <w:r w:rsidR="00C969EB">
        <w:rPr>
          <w:rFonts w:ascii="Times New Roman" w:hAnsi="Times New Roman" w:cs="Times New Roman"/>
          <w:sz w:val="24"/>
          <w:szCs w:val="24"/>
        </w:rPr>
        <w:t>..................................................</w:t>
      </w:r>
      <w:r w:rsidR="00E84DA5">
        <w:rPr>
          <w:rFonts w:ascii="Times New Roman" w:hAnsi="Times New Roman" w:cs="Times New Roman"/>
          <w:sz w:val="24"/>
          <w:szCs w:val="24"/>
        </w:rPr>
        <w:t>..</w:t>
      </w:r>
      <w:r w:rsidR="00081208">
        <w:rPr>
          <w:rFonts w:ascii="Times New Roman" w:hAnsi="Times New Roman" w:cs="Times New Roman"/>
          <w:sz w:val="24"/>
          <w:szCs w:val="24"/>
        </w:rPr>
        <w:t>.</w:t>
      </w:r>
      <w:r w:rsidR="00E84DA5">
        <w:rPr>
          <w:rFonts w:ascii="Times New Roman" w:hAnsi="Times New Roman" w:cs="Times New Roman"/>
          <w:sz w:val="24"/>
          <w:szCs w:val="24"/>
        </w:rPr>
        <w:t>3</w:t>
      </w:r>
    </w:p>
    <w:p w14:paraId="0CEB8B54" w14:textId="41C98C4B"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 xml:space="preserve">1.4 Aims and Objectives of Research </w:t>
      </w:r>
      <w:r>
        <w:rPr>
          <w:rFonts w:ascii="Times New Roman" w:hAnsi="Times New Roman" w:cs="Times New Roman"/>
          <w:sz w:val="24"/>
          <w:szCs w:val="24"/>
        </w:rPr>
        <w:t>.................................</w:t>
      </w:r>
      <w:r w:rsidR="00E84DA5">
        <w:rPr>
          <w:rFonts w:ascii="Times New Roman" w:hAnsi="Times New Roman" w:cs="Times New Roman"/>
          <w:sz w:val="24"/>
          <w:szCs w:val="24"/>
        </w:rPr>
        <w:t>.................................................</w:t>
      </w:r>
      <w:r w:rsidR="00E92B38">
        <w:rPr>
          <w:rFonts w:ascii="Times New Roman" w:hAnsi="Times New Roman" w:cs="Times New Roman"/>
          <w:sz w:val="24"/>
          <w:szCs w:val="24"/>
        </w:rPr>
        <w:t>4</w:t>
      </w:r>
    </w:p>
    <w:p w14:paraId="434CD162" w14:textId="6608D2A5"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1.5 R</w:t>
      </w:r>
      <w:r>
        <w:rPr>
          <w:rFonts w:ascii="Times New Roman" w:hAnsi="Times New Roman" w:cs="Times New Roman"/>
          <w:sz w:val="24"/>
          <w:szCs w:val="24"/>
        </w:rPr>
        <w:t>e</w:t>
      </w:r>
      <w:r w:rsidRPr="00C82E11">
        <w:rPr>
          <w:rFonts w:ascii="Times New Roman" w:hAnsi="Times New Roman" w:cs="Times New Roman"/>
          <w:sz w:val="24"/>
          <w:szCs w:val="24"/>
        </w:rPr>
        <w:t>search Methodology</w:t>
      </w:r>
      <w:r>
        <w:rPr>
          <w:rFonts w:ascii="Times New Roman" w:hAnsi="Times New Roman" w:cs="Times New Roman"/>
          <w:sz w:val="24"/>
          <w:szCs w:val="24"/>
        </w:rPr>
        <w:t xml:space="preserve"> .................................................</w:t>
      </w:r>
      <w:r w:rsidR="00081208">
        <w:rPr>
          <w:rFonts w:ascii="Times New Roman" w:hAnsi="Times New Roman" w:cs="Times New Roman"/>
          <w:sz w:val="24"/>
          <w:szCs w:val="24"/>
        </w:rPr>
        <w:t>.................................................</w:t>
      </w:r>
      <w:r w:rsidR="001A7407">
        <w:rPr>
          <w:rFonts w:ascii="Times New Roman" w:hAnsi="Times New Roman" w:cs="Times New Roman"/>
          <w:sz w:val="24"/>
          <w:szCs w:val="24"/>
        </w:rPr>
        <w:t>4</w:t>
      </w:r>
    </w:p>
    <w:p w14:paraId="75097B75" w14:textId="050A32DB"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1.6 Scope of the Study</w:t>
      </w:r>
      <w:r>
        <w:rPr>
          <w:rFonts w:ascii="Times New Roman" w:hAnsi="Times New Roman" w:cs="Times New Roman"/>
          <w:sz w:val="24"/>
          <w:szCs w:val="24"/>
        </w:rPr>
        <w:t xml:space="preserve"> .......................................................</w:t>
      </w:r>
      <w:r w:rsidR="00081208">
        <w:rPr>
          <w:rFonts w:ascii="Times New Roman" w:hAnsi="Times New Roman" w:cs="Times New Roman"/>
          <w:sz w:val="24"/>
          <w:szCs w:val="24"/>
        </w:rPr>
        <w:t>.................................................</w:t>
      </w:r>
      <w:r w:rsidR="001A7407">
        <w:rPr>
          <w:rFonts w:ascii="Times New Roman" w:hAnsi="Times New Roman" w:cs="Times New Roman"/>
          <w:sz w:val="24"/>
          <w:szCs w:val="24"/>
        </w:rPr>
        <w:t>.</w:t>
      </w:r>
      <w:r w:rsidR="00965866">
        <w:rPr>
          <w:rFonts w:ascii="Times New Roman" w:hAnsi="Times New Roman" w:cs="Times New Roman"/>
          <w:sz w:val="24"/>
          <w:szCs w:val="24"/>
        </w:rPr>
        <w:t>5</w:t>
      </w:r>
    </w:p>
    <w:p w14:paraId="07D23610" w14:textId="6652957A"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1.7 Literature Review</w:t>
      </w:r>
      <w:r>
        <w:rPr>
          <w:rFonts w:ascii="Times New Roman" w:hAnsi="Times New Roman" w:cs="Times New Roman"/>
          <w:sz w:val="24"/>
          <w:szCs w:val="24"/>
        </w:rPr>
        <w:t xml:space="preserve">  ......................................................</w:t>
      </w:r>
      <w:r w:rsidR="007B33B1">
        <w:rPr>
          <w:rFonts w:ascii="Times New Roman" w:hAnsi="Times New Roman" w:cs="Times New Roman"/>
          <w:sz w:val="24"/>
          <w:szCs w:val="24"/>
        </w:rPr>
        <w:t>...................................................</w:t>
      </w:r>
      <w:r w:rsidR="00E92B38">
        <w:rPr>
          <w:rFonts w:ascii="Times New Roman" w:hAnsi="Times New Roman" w:cs="Times New Roman"/>
          <w:sz w:val="24"/>
          <w:szCs w:val="24"/>
        </w:rPr>
        <w:t>6</w:t>
      </w:r>
    </w:p>
    <w:p w14:paraId="2670AF59" w14:textId="794EF62C"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1.7.1 Review of Nigerian Authors</w:t>
      </w:r>
      <w:r>
        <w:rPr>
          <w:rFonts w:ascii="Times New Roman" w:hAnsi="Times New Roman" w:cs="Times New Roman"/>
          <w:sz w:val="24"/>
          <w:szCs w:val="24"/>
        </w:rPr>
        <w:t xml:space="preserve"> ....................................</w:t>
      </w:r>
      <w:r w:rsidR="007B33B1">
        <w:rPr>
          <w:rFonts w:ascii="Times New Roman" w:hAnsi="Times New Roman" w:cs="Times New Roman"/>
          <w:sz w:val="24"/>
          <w:szCs w:val="24"/>
        </w:rPr>
        <w:t>...................................................</w:t>
      </w:r>
      <w:r w:rsidR="009A166F">
        <w:rPr>
          <w:rFonts w:ascii="Times New Roman" w:hAnsi="Times New Roman" w:cs="Times New Roman"/>
          <w:sz w:val="24"/>
          <w:szCs w:val="24"/>
        </w:rPr>
        <w:t>6</w:t>
      </w:r>
      <w:r w:rsidR="00E92B38">
        <w:rPr>
          <w:rFonts w:ascii="Times New Roman" w:hAnsi="Times New Roman" w:cs="Times New Roman"/>
          <w:sz w:val="24"/>
          <w:szCs w:val="24"/>
        </w:rPr>
        <w:t xml:space="preserve">  </w:t>
      </w:r>
    </w:p>
    <w:p w14:paraId="3AD943D5" w14:textId="0B68661D" w:rsidR="000D2567"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1.7.2 Review of American Authors</w:t>
      </w:r>
      <w:r>
        <w:rPr>
          <w:rFonts w:ascii="Times New Roman" w:hAnsi="Times New Roman" w:cs="Times New Roman"/>
          <w:sz w:val="24"/>
          <w:szCs w:val="24"/>
        </w:rPr>
        <w:t xml:space="preserve"> ................................</w:t>
      </w:r>
      <w:r w:rsidR="007B33B1">
        <w:rPr>
          <w:rFonts w:ascii="Times New Roman" w:hAnsi="Times New Roman" w:cs="Times New Roman"/>
          <w:sz w:val="24"/>
          <w:szCs w:val="24"/>
        </w:rPr>
        <w:t>.....................................................</w:t>
      </w:r>
      <w:r w:rsidR="006E13DF">
        <w:rPr>
          <w:rFonts w:ascii="Times New Roman" w:hAnsi="Times New Roman" w:cs="Times New Roman"/>
          <w:sz w:val="24"/>
          <w:szCs w:val="24"/>
        </w:rPr>
        <w:t>8</w:t>
      </w:r>
      <w:r w:rsidR="00AB610D">
        <w:rPr>
          <w:rFonts w:ascii="Times New Roman" w:hAnsi="Times New Roman" w:cs="Times New Roman"/>
          <w:sz w:val="24"/>
          <w:szCs w:val="24"/>
        </w:rPr>
        <w:t xml:space="preserve"> </w:t>
      </w:r>
    </w:p>
    <w:p w14:paraId="44B43F91" w14:textId="0026636C"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lastRenderedPageBreak/>
        <w:t>1.7.3 Review of Other Foreign Authors</w:t>
      </w:r>
      <w:r>
        <w:rPr>
          <w:rFonts w:ascii="Times New Roman" w:hAnsi="Times New Roman" w:cs="Times New Roman"/>
          <w:sz w:val="24"/>
          <w:szCs w:val="24"/>
        </w:rPr>
        <w:t xml:space="preserve"> ................................</w:t>
      </w:r>
      <w:r w:rsidR="00324EB7">
        <w:rPr>
          <w:rFonts w:ascii="Times New Roman" w:hAnsi="Times New Roman" w:cs="Times New Roman"/>
          <w:sz w:val="24"/>
          <w:szCs w:val="24"/>
        </w:rPr>
        <w:t>.............................................</w:t>
      </w:r>
      <w:r w:rsidR="006E13DF">
        <w:rPr>
          <w:rFonts w:ascii="Times New Roman" w:hAnsi="Times New Roman" w:cs="Times New Roman"/>
          <w:sz w:val="24"/>
          <w:szCs w:val="24"/>
        </w:rPr>
        <w:t>9</w:t>
      </w:r>
    </w:p>
    <w:p w14:paraId="1BBF8B00" w14:textId="77777777"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b/>
          <w:bCs/>
          <w:sz w:val="24"/>
          <w:szCs w:val="24"/>
        </w:rPr>
        <w:t>CHAPTER TWO</w:t>
      </w:r>
      <w:r w:rsidRPr="00C82E11">
        <w:rPr>
          <w:rFonts w:ascii="Times New Roman" w:hAnsi="Times New Roman" w:cs="Times New Roman"/>
          <w:sz w:val="24"/>
          <w:szCs w:val="24"/>
        </w:rPr>
        <w:t xml:space="preserve">: </w:t>
      </w:r>
      <w:r w:rsidRPr="00C82E11">
        <w:rPr>
          <w:rFonts w:ascii="Times New Roman" w:hAnsi="Times New Roman" w:cs="Times New Roman"/>
          <w:b/>
          <w:bCs/>
          <w:sz w:val="24"/>
          <w:szCs w:val="24"/>
        </w:rPr>
        <w:t>CONCEPTUAL AND THEORETICAL FRAMEWORK</w:t>
      </w:r>
    </w:p>
    <w:p w14:paraId="1E44486F" w14:textId="1127C463"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2.1. Conceptual</w:t>
      </w:r>
      <w:r w:rsidR="001120E9">
        <w:rPr>
          <w:rFonts w:ascii="Times New Roman" w:hAnsi="Times New Roman" w:cs="Times New Roman"/>
          <w:sz w:val="24"/>
          <w:szCs w:val="24"/>
        </w:rPr>
        <w:t xml:space="preserve"> Framework </w:t>
      </w:r>
      <w:r w:rsidR="00716921">
        <w:rPr>
          <w:rFonts w:ascii="Times New Roman" w:hAnsi="Times New Roman" w:cs="Times New Roman"/>
          <w:sz w:val="24"/>
          <w:szCs w:val="24"/>
        </w:rPr>
        <w:t xml:space="preserve"> ...</w:t>
      </w:r>
      <w:r>
        <w:rPr>
          <w:rFonts w:ascii="Times New Roman" w:hAnsi="Times New Roman" w:cs="Times New Roman"/>
          <w:sz w:val="24"/>
          <w:szCs w:val="24"/>
        </w:rPr>
        <w:t>....................................................</w:t>
      </w:r>
      <w:r w:rsidR="00324EB7">
        <w:rPr>
          <w:rFonts w:ascii="Times New Roman" w:hAnsi="Times New Roman" w:cs="Times New Roman"/>
          <w:sz w:val="24"/>
          <w:szCs w:val="24"/>
        </w:rPr>
        <w:t>.......................................</w:t>
      </w:r>
      <w:r w:rsidR="00AB610D">
        <w:rPr>
          <w:rFonts w:ascii="Times New Roman" w:hAnsi="Times New Roman" w:cs="Times New Roman"/>
          <w:sz w:val="24"/>
          <w:szCs w:val="24"/>
        </w:rPr>
        <w:t>1</w:t>
      </w:r>
      <w:r w:rsidR="006E13DF">
        <w:rPr>
          <w:rFonts w:ascii="Times New Roman" w:hAnsi="Times New Roman" w:cs="Times New Roman"/>
          <w:sz w:val="24"/>
          <w:szCs w:val="24"/>
        </w:rPr>
        <w:t>2</w:t>
      </w:r>
    </w:p>
    <w:p w14:paraId="3C9B7E1A" w14:textId="1C91F082"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 xml:space="preserve">2.1.1. Definition of Key Terms </w:t>
      </w:r>
      <w:r>
        <w:rPr>
          <w:rFonts w:ascii="Times New Roman" w:hAnsi="Times New Roman" w:cs="Times New Roman"/>
          <w:sz w:val="24"/>
          <w:szCs w:val="24"/>
        </w:rPr>
        <w:t>...................................................</w:t>
      </w:r>
      <w:r w:rsidR="00724D76">
        <w:rPr>
          <w:rFonts w:ascii="Times New Roman" w:hAnsi="Times New Roman" w:cs="Times New Roman"/>
          <w:sz w:val="24"/>
          <w:szCs w:val="24"/>
        </w:rPr>
        <w:t>.......................................</w:t>
      </w:r>
      <w:r w:rsidR="00AB610D">
        <w:rPr>
          <w:rFonts w:ascii="Times New Roman" w:hAnsi="Times New Roman" w:cs="Times New Roman"/>
          <w:sz w:val="24"/>
          <w:szCs w:val="24"/>
        </w:rPr>
        <w:t>1</w:t>
      </w:r>
      <w:r w:rsidR="006E13DF">
        <w:rPr>
          <w:rFonts w:ascii="Times New Roman" w:hAnsi="Times New Roman" w:cs="Times New Roman"/>
          <w:sz w:val="24"/>
          <w:szCs w:val="24"/>
        </w:rPr>
        <w:t>2</w:t>
      </w:r>
      <w:r w:rsidR="00AB610D">
        <w:rPr>
          <w:rFonts w:ascii="Times New Roman" w:hAnsi="Times New Roman" w:cs="Times New Roman"/>
          <w:sz w:val="24"/>
          <w:szCs w:val="24"/>
        </w:rPr>
        <w:t xml:space="preserve">           </w:t>
      </w:r>
    </w:p>
    <w:p w14:paraId="344172A1" w14:textId="7075F366"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 xml:space="preserve">2.1.2. Patients’ Rights </w:t>
      </w:r>
      <w:r>
        <w:rPr>
          <w:rFonts w:ascii="Times New Roman" w:hAnsi="Times New Roman" w:cs="Times New Roman"/>
          <w:sz w:val="24"/>
          <w:szCs w:val="24"/>
        </w:rPr>
        <w:t>......................................................</w:t>
      </w:r>
      <w:r w:rsidR="00724D76">
        <w:rPr>
          <w:rFonts w:ascii="Times New Roman" w:hAnsi="Times New Roman" w:cs="Times New Roman"/>
          <w:sz w:val="24"/>
          <w:szCs w:val="24"/>
        </w:rPr>
        <w:t>..................................................</w:t>
      </w:r>
      <w:r w:rsidR="00AB610D">
        <w:rPr>
          <w:rFonts w:ascii="Times New Roman" w:hAnsi="Times New Roman" w:cs="Times New Roman"/>
          <w:sz w:val="24"/>
          <w:szCs w:val="24"/>
        </w:rPr>
        <w:t>1</w:t>
      </w:r>
      <w:r w:rsidR="0081244A">
        <w:rPr>
          <w:rFonts w:ascii="Times New Roman" w:hAnsi="Times New Roman" w:cs="Times New Roman"/>
          <w:sz w:val="24"/>
          <w:szCs w:val="24"/>
        </w:rPr>
        <w:t>3</w:t>
      </w:r>
      <w:r w:rsidR="00AB610D">
        <w:rPr>
          <w:rFonts w:ascii="Times New Roman" w:hAnsi="Times New Roman" w:cs="Times New Roman"/>
          <w:sz w:val="24"/>
          <w:szCs w:val="24"/>
        </w:rPr>
        <w:t xml:space="preserve">     </w:t>
      </w:r>
    </w:p>
    <w:p w14:paraId="4DD75365" w14:textId="551C26F6"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 xml:space="preserve">2.1.3. Healthcare </w:t>
      </w:r>
      <w:r>
        <w:rPr>
          <w:rFonts w:ascii="Times New Roman" w:hAnsi="Times New Roman" w:cs="Times New Roman"/>
          <w:sz w:val="24"/>
          <w:szCs w:val="24"/>
        </w:rPr>
        <w:t>......................................................</w:t>
      </w:r>
      <w:r w:rsidR="00724D76">
        <w:rPr>
          <w:rFonts w:ascii="Times New Roman" w:hAnsi="Times New Roman" w:cs="Times New Roman"/>
          <w:sz w:val="24"/>
          <w:szCs w:val="24"/>
        </w:rPr>
        <w:t>..........................................................</w:t>
      </w:r>
      <w:r w:rsidR="002A310A">
        <w:rPr>
          <w:rFonts w:ascii="Times New Roman" w:hAnsi="Times New Roman" w:cs="Times New Roman"/>
          <w:sz w:val="24"/>
          <w:szCs w:val="24"/>
        </w:rPr>
        <w:t>1</w:t>
      </w:r>
      <w:r w:rsidR="0081244A">
        <w:rPr>
          <w:rFonts w:ascii="Times New Roman" w:hAnsi="Times New Roman" w:cs="Times New Roman"/>
          <w:sz w:val="24"/>
          <w:szCs w:val="24"/>
        </w:rPr>
        <w:t>4</w:t>
      </w:r>
    </w:p>
    <w:p w14:paraId="58A7196A" w14:textId="544D7EB7"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 xml:space="preserve">2.1.4. Informed Consent </w:t>
      </w:r>
      <w:r>
        <w:rPr>
          <w:rFonts w:ascii="Times New Roman" w:hAnsi="Times New Roman" w:cs="Times New Roman"/>
          <w:sz w:val="24"/>
          <w:szCs w:val="24"/>
        </w:rPr>
        <w:t>.......................................................</w:t>
      </w:r>
      <w:r w:rsidR="00FF3090">
        <w:rPr>
          <w:rFonts w:ascii="Times New Roman" w:hAnsi="Times New Roman" w:cs="Times New Roman"/>
          <w:sz w:val="24"/>
          <w:szCs w:val="24"/>
        </w:rPr>
        <w:t>.............................................</w:t>
      </w:r>
      <w:r w:rsidR="002A310A">
        <w:rPr>
          <w:rFonts w:ascii="Times New Roman" w:hAnsi="Times New Roman" w:cs="Times New Roman"/>
          <w:sz w:val="24"/>
          <w:szCs w:val="24"/>
        </w:rPr>
        <w:t>1</w:t>
      </w:r>
      <w:r w:rsidR="0081244A">
        <w:rPr>
          <w:rFonts w:ascii="Times New Roman" w:hAnsi="Times New Roman" w:cs="Times New Roman"/>
          <w:sz w:val="24"/>
          <w:szCs w:val="24"/>
        </w:rPr>
        <w:t>5</w:t>
      </w:r>
      <w:r w:rsidR="002A310A">
        <w:rPr>
          <w:rFonts w:ascii="Times New Roman" w:hAnsi="Times New Roman" w:cs="Times New Roman"/>
          <w:sz w:val="24"/>
          <w:szCs w:val="24"/>
        </w:rPr>
        <w:t xml:space="preserve">    </w:t>
      </w:r>
    </w:p>
    <w:p w14:paraId="1D86DB8A" w14:textId="5E1E9EE3"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 xml:space="preserve">2.1.5. </w:t>
      </w:r>
      <w:r w:rsidR="00AF64D8">
        <w:rPr>
          <w:rFonts w:ascii="Times New Roman" w:hAnsi="Times New Roman" w:cs="Times New Roman"/>
          <w:sz w:val="24"/>
          <w:szCs w:val="24"/>
        </w:rPr>
        <w:t xml:space="preserve">Medical </w:t>
      </w:r>
      <w:r w:rsidRPr="00C82E11">
        <w:rPr>
          <w:rFonts w:ascii="Times New Roman" w:hAnsi="Times New Roman" w:cs="Times New Roman"/>
          <w:sz w:val="24"/>
          <w:szCs w:val="24"/>
        </w:rPr>
        <w:t>Negligence</w:t>
      </w:r>
      <w:r>
        <w:rPr>
          <w:rFonts w:ascii="Times New Roman" w:hAnsi="Times New Roman" w:cs="Times New Roman"/>
          <w:sz w:val="24"/>
          <w:szCs w:val="24"/>
        </w:rPr>
        <w:t xml:space="preserve"> ......................................................</w:t>
      </w:r>
      <w:r w:rsidR="00FF3090">
        <w:rPr>
          <w:rFonts w:ascii="Times New Roman" w:hAnsi="Times New Roman" w:cs="Times New Roman"/>
          <w:sz w:val="24"/>
          <w:szCs w:val="24"/>
        </w:rPr>
        <w:t>...........................................</w:t>
      </w:r>
      <w:r w:rsidR="00523F29">
        <w:rPr>
          <w:rFonts w:ascii="Times New Roman" w:hAnsi="Times New Roman" w:cs="Times New Roman"/>
          <w:sz w:val="24"/>
          <w:szCs w:val="24"/>
        </w:rPr>
        <w:t>1</w:t>
      </w:r>
      <w:r w:rsidR="0081244A">
        <w:rPr>
          <w:rFonts w:ascii="Times New Roman" w:hAnsi="Times New Roman" w:cs="Times New Roman"/>
          <w:sz w:val="24"/>
          <w:szCs w:val="24"/>
        </w:rPr>
        <w:t>7</w:t>
      </w:r>
      <w:r w:rsidR="002A310A">
        <w:rPr>
          <w:rFonts w:ascii="Times New Roman" w:hAnsi="Times New Roman" w:cs="Times New Roman"/>
          <w:sz w:val="24"/>
          <w:szCs w:val="24"/>
        </w:rPr>
        <w:t xml:space="preserve"> </w:t>
      </w:r>
    </w:p>
    <w:p w14:paraId="59A1036A" w14:textId="16DC3D25"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2.2 Theor</w:t>
      </w:r>
      <w:r w:rsidR="004B5D66">
        <w:rPr>
          <w:rFonts w:ascii="Times New Roman" w:hAnsi="Times New Roman" w:cs="Times New Roman"/>
          <w:sz w:val="24"/>
          <w:szCs w:val="24"/>
        </w:rPr>
        <w:t>etical Framew</w:t>
      </w:r>
      <w:r w:rsidR="0049510A">
        <w:rPr>
          <w:rFonts w:ascii="Times New Roman" w:hAnsi="Times New Roman" w:cs="Times New Roman"/>
          <w:sz w:val="24"/>
          <w:szCs w:val="24"/>
        </w:rPr>
        <w:t xml:space="preserve">ork </w:t>
      </w:r>
      <w:r w:rsidRPr="00C82E11">
        <w:rPr>
          <w:rFonts w:ascii="Times New Roman" w:hAnsi="Times New Roman" w:cs="Times New Roman"/>
          <w:sz w:val="24"/>
          <w:szCs w:val="24"/>
        </w:rPr>
        <w:t>of</w:t>
      </w:r>
      <w:r w:rsidR="0049510A">
        <w:rPr>
          <w:rFonts w:ascii="Times New Roman" w:hAnsi="Times New Roman" w:cs="Times New Roman"/>
          <w:sz w:val="24"/>
          <w:szCs w:val="24"/>
        </w:rPr>
        <w:t xml:space="preserve"> </w:t>
      </w:r>
      <w:r w:rsidRPr="00C82E11">
        <w:rPr>
          <w:rFonts w:ascii="Times New Roman" w:hAnsi="Times New Roman" w:cs="Times New Roman"/>
          <w:sz w:val="24"/>
          <w:szCs w:val="24"/>
        </w:rPr>
        <w:t>Patients’ Rights</w:t>
      </w:r>
      <w:r>
        <w:rPr>
          <w:rFonts w:ascii="Times New Roman" w:hAnsi="Times New Roman" w:cs="Times New Roman"/>
          <w:sz w:val="24"/>
          <w:szCs w:val="24"/>
        </w:rPr>
        <w:t xml:space="preserve"> .......................................................</w:t>
      </w:r>
      <w:r w:rsidR="00FF3090">
        <w:rPr>
          <w:rFonts w:ascii="Times New Roman" w:hAnsi="Times New Roman" w:cs="Times New Roman"/>
          <w:sz w:val="24"/>
          <w:szCs w:val="24"/>
        </w:rPr>
        <w:t>..........</w:t>
      </w:r>
      <w:r w:rsidR="004B2083">
        <w:rPr>
          <w:rFonts w:ascii="Times New Roman" w:hAnsi="Times New Roman" w:cs="Times New Roman"/>
          <w:sz w:val="24"/>
          <w:szCs w:val="24"/>
        </w:rPr>
        <w:t>.</w:t>
      </w:r>
      <w:r w:rsidR="0081244A">
        <w:rPr>
          <w:rFonts w:ascii="Times New Roman" w:hAnsi="Times New Roman" w:cs="Times New Roman"/>
          <w:sz w:val="24"/>
          <w:szCs w:val="24"/>
        </w:rPr>
        <w:t>19</w:t>
      </w:r>
    </w:p>
    <w:p w14:paraId="110CE1E3" w14:textId="371C408B"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2.2.1 Autonomy Theory</w:t>
      </w:r>
      <w:r>
        <w:rPr>
          <w:rFonts w:ascii="Times New Roman" w:hAnsi="Times New Roman" w:cs="Times New Roman"/>
          <w:sz w:val="24"/>
          <w:szCs w:val="24"/>
        </w:rPr>
        <w:t xml:space="preserve"> ......................................................</w:t>
      </w:r>
      <w:r w:rsidR="00C33278">
        <w:rPr>
          <w:rFonts w:ascii="Times New Roman" w:hAnsi="Times New Roman" w:cs="Times New Roman"/>
          <w:sz w:val="24"/>
          <w:szCs w:val="24"/>
        </w:rPr>
        <w:t>...............................................</w:t>
      </w:r>
      <w:r w:rsidR="00E400BE">
        <w:rPr>
          <w:rFonts w:ascii="Times New Roman" w:hAnsi="Times New Roman" w:cs="Times New Roman"/>
          <w:sz w:val="24"/>
          <w:szCs w:val="24"/>
        </w:rPr>
        <w:t>19</w:t>
      </w:r>
    </w:p>
    <w:p w14:paraId="364275EA" w14:textId="1F13D8F6"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2.2.2 Human Rights–Based Theory</w:t>
      </w:r>
      <w:r>
        <w:rPr>
          <w:rFonts w:ascii="Times New Roman" w:hAnsi="Times New Roman" w:cs="Times New Roman"/>
          <w:sz w:val="24"/>
          <w:szCs w:val="24"/>
        </w:rPr>
        <w:t xml:space="preserve"> .......................................................</w:t>
      </w:r>
      <w:r w:rsidR="00C33278">
        <w:rPr>
          <w:rFonts w:ascii="Times New Roman" w:hAnsi="Times New Roman" w:cs="Times New Roman"/>
          <w:sz w:val="24"/>
          <w:szCs w:val="24"/>
        </w:rPr>
        <w:t>............................</w:t>
      </w:r>
      <w:r w:rsidR="00E400BE">
        <w:rPr>
          <w:rFonts w:ascii="Times New Roman" w:hAnsi="Times New Roman" w:cs="Times New Roman"/>
          <w:sz w:val="24"/>
          <w:szCs w:val="24"/>
        </w:rPr>
        <w:t>23</w:t>
      </w:r>
    </w:p>
    <w:p w14:paraId="2EB2718B" w14:textId="0CF71401"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2.2.3 Social Justice Theory</w:t>
      </w:r>
      <w:r>
        <w:rPr>
          <w:rFonts w:ascii="Times New Roman" w:hAnsi="Times New Roman" w:cs="Times New Roman"/>
          <w:sz w:val="24"/>
          <w:szCs w:val="24"/>
        </w:rPr>
        <w:t xml:space="preserve"> ......................................................</w:t>
      </w:r>
      <w:r w:rsidR="00C33278">
        <w:rPr>
          <w:rFonts w:ascii="Times New Roman" w:hAnsi="Times New Roman" w:cs="Times New Roman"/>
          <w:sz w:val="24"/>
          <w:szCs w:val="24"/>
        </w:rPr>
        <w:t>..........................................</w:t>
      </w:r>
      <w:r w:rsidR="002A310A">
        <w:rPr>
          <w:rFonts w:ascii="Times New Roman" w:hAnsi="Times New Roman" w:cs="Times New Roman"/>
          <w:sz w:val="24"/>
          <w:szCs w:val="24"/>
        </w:rPr>
        <w:t>2</w:t>
      </w:r>
      <w:r w:rsidR="00E400BE">
        <w:rPr>
          <w:rFonts w:ascii="Times New Roman" w:hAnsi="Times New Roman" w:cs="Times New Roman"/>
          <w:sz w:val="24"/>
          <w:szCs w:val="24"/>
        </w:rPr>
        <w:t>5</w:t>
      </w:r>
    </w:p>
    <w:p w14:paraId="0EBAABAE" w14:textId="7EB45E11"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2.2.4 Consumer Protection Theory</w:t>
      </w:r>
      <w:r>
        <w:rPr>
          <w:rFonts w:ascii="Times New Roman" w:hAnsi="Times New Roman" w:cs="Times New Roman"/>
          <w:sz w:val="24"/>
          <w:szCs w:val="24"/>
        </w:rPr>
        <w:t xml:space="preserve"> .......................................................</w:t>
      </w:r>
      <w:r w:rsidR="004B2083">
        <w:rPr>
          <w:rFonts w:ascii="Times New Roman" w:hAnsi="Times New Roman" w:cs="Times New Roman"/>
          <w:sz w:val="24"/>
          <w:szCs w:val="24"/>
        </w:rPr>
        <w:t>.............................</w:t>
      </w:r>
      <w:r w:rsidR="002C5362">
        <w:rPr>
          <w:rFonts w:ascii="Times New Roman" w:hAnsi="Times New Roman" w:cs="Times New Roman"/>
          <w:sz w:val="24"/>
          <w:szCs w:val="24"/>
        </w:rPr>
        <w:t>28</w:t>
      </w:r>
      <w:r w:rsidR="002A310A">
        <w:rPr>
          <w:rFonts w:ascii="Times New Roman" w:hAnsi="Times New Roman" w:cs="Times New Roman"/>
          <w:sz w:val="24"/>
          <w:szCs w:val="24"/>
        </w:rPr>
        <w:t xml:space="preserve">       </w:t>
      </w:r>
    </w:p>
    <w:p w14:paraId="2A58DEF2" w14:textId="581EEA78"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 xml:space="preserve">2.3 International Perspective on Theories of Patients’ </w:t>
      </w:r>
      <w:r>
        <w:rPr>
          <w:rFonts w:ascii="Times New Roman" w:hAnsi="Times New Roman" w:cs="Times New Roman"/>
          <w:sz w:val="24"/>
          <w:szCs w:val="24"/>
        </w:rPr>
        <w:t>Rights ……………………</w:t>
      </w:r>
      <w:r w:rsidR="004B2083">
        <w:rPr>
          <w:rFonts w:ascii="Times New Roman" w:hAnsi="Times New Roman" w:cs="Times New Roman"/>
          <w:sz w:val="24"/>
          <w:szCs w:val="24"/>
        </w:rPr>
        <w:t>………</w:t>
      </w:r>
      <w:r w:rsidR="00FA24A4">
        <w:rPr>
          <w:rFonts w:ascii="Times New Roman" w:hAnsi="Times New Roman" w:cs="Times New Roman"/>
          <w:sz w:val="24"/>
          <w:szCs w:val="24"/>
        </w:rPr>
        <w:t>31</w:t>
      </w:r>
    </w:p>
    <w:p w14:paraId="2E6DAE40" w14:textId="2D0217CB" w:rsidR="00C61614" w:rsidRPr="00D15AFB"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 xml:space="preserve">2.4 Relevance of These Theories to the Nigerian Healthcare </w:t>
      </w:r>
      <w:r>
        <w:rPr>
          <w:rFonts w:ascii="Times New Roman" w:hAnsi="Times New Roman" w:cs="Times New Roman"/>
          <w:sz w:val="24"/>
          <w:szCs w:val="24"/>
        </w:rPr>
        <w:t>System ..............................</w:t>
      </w:r>
      <w:r w:rsidR="00F76A19">
        <w:rPr>
          <w:rFonts w:ascii="Times New Roman" w:hAnsi="Times New Roman" w:cs="Times New Roman"/>
          <w:sz w:val="24"/>
          <w:szCs w:val="24"/>
        </w:rPr>
        <w:t xml:space="preserve"> </w:t>
      </w:r>
      <w:r w:rsidR="00FA24A4">
        <w:rPr>
          <w:rFonts w:ascii="Times New Roman" w:hAnsi="Times New Roman" w:cs="Times New Roman"/>
          <w:sz w:val="24"/>
          <w:szCs w:val="24"/>
        </w:rPr>
        <w:t>32</w:t>
      </w:r>
    </w:p>
    <w:p w14:paraId="40C299E7" w14:textId="34D5B6FB" w:rsidR="00C61614" w:rsidRPr="00C82E11" w:rsidRDefault="00C61614" w:rsidP="00C61614">
      <w:pPr>
        <w:spacing w:line="480" w:lineRule="auto"/>
        <w:rPr>
          <w:rFonts w:ascii="Times New Roman" w:hAnsi="Times New Roman" w:cs="Times New Roman"/>
          <w:b/>
          <w:bCs/>
          <w:sz w:val="24"/>
          <w:szCs w:val="24"/>
        </w:rPr>
      </w:pPr>
      <w:r w:rsidRPr="00C82E11">
        <w:rPr>
          <w:rFonts w:ascii="Times New Roman" w:hAnsi="Times New Roman" w:cs="Times New Roman"/>
          <w:b/>
          <w:bCs/>
          <w:sz w:val="24"/>
          <w:szCs w:val="24"/>
        </w:rPr>
        <w:t xml:space="preserve">CHAPTER THREE: LEGAL, </w:t>
      </w:r>
      <w:r w:rsidR="007B0354">
        <w:rPr>
          <w:rFonts w:ascii="Times New Roman" w:hAnsi="Times New Roman" w:cs="Times New Roman"/>
          <w:b/>
          <w:bCs/>
          <w:sz w:val="24"/>
          <w:szCs w:val="24"/>
        </w:rPr>
        <w:t>ETHICAL,</w:t>
      </w:r>
      <w:r w:rsidRPr="00C82E11">
        <w:rPr>
          <w:rFonts w:ascii="Times New Roman" w:hAnsi="Times New Roman" w:cs="Times New Roman"/>
          <w:b/>
          <w:bCs/>
          <w:sz w:val="24"/>
          <w:szCs w:val="24"/>
        </w:rPr>
        <w:t xml:space="preserve"> AND INSTITUTIONAL FRAMEWORK</w:t>
      </w:r>
      <w:r w:rsidR="00DF6D20">
        <w:rPr>
          <w:rFonts w:ascii="Times New Roman" w:hAnsi="Times New Roman" w:cs="Times New Roman"/>
          <w:b/>
          <w:bCs/>
          <w:sz w:val="24"/>
          <w:szCs w:val="24"/>
        </w:rPr>
        <w:t xml:space="preserve"> FOR PATIENTS</w:t>
      </w:r>
      <w:r w:rsidR="007B0354">
        <w:rPr>
          <w:rFonts w:ascii="Times New Roman" w:hAnsi="Times New Roman" w:cs="Times New Roman"/>
          <w:b/>
          <w:bCs/>
          <w:sz w:val="24"/>
          <w:szCs w:val="24"/>
        </w:rPr>
        <w:t>’ RIGHTS UNDER NIGERIAN LAWS</w:t>
      </w:r>
    </w:p>
    <w:p w14:paraId="049705CB" w14:textId="5060C406"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3.1 Legal Framework Protecting Patients’ Rights in Nigeria</w:t>
      </w:r>
      <w:r>
        <w:rPr>
          <w:rFonts w:ascii="Times New Roman" w:hAnsi="Times New Roman" w:cs="Times New Roman"/>
          <w:sz w:val="24"/>
          <w:szCs w:val="24"/>
        </w:rPr>
        <w:t xml:space="preserve"> .......................................</w:t>
      </w:r>
      <w:r w:rsidR="003F54FD">
        <w:rPr>
          <w:rFonts w:ascii="Times New Roman" w:hAnsi="Times New Roman" w:cs="Times New Roman"/>
          <w:sz w:val="24"/>
          <w:szCs w:val="24"/>
        </w:rPr>
        <w:t>......</w:t>
      </w:r>
      <w:r w:rsidR="00FA24A4">
        <w:rPr>
          <w:rFonts w:ascii="Times New Roman" w:hAnsi="Times New Roman" w:cs="Times New Roman"/>
          <w:sz w:val="24"/>
          <w:szCs w:val="24"/>
        </w:rPr>
        <w:t>35</w:t>
      </w:r>
    </w:p>
    <w:p w14:paraId="30C5EC2D" w14:textId="47BFF16E"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 xml:space="preserve">3.1.1 Constitution of the Federal Republic of </w:t>
      </w:r>
      <w:r>
        <w:rPr>
          <w:rFonts w:ascii="Times New Roman" w:hAnsi="Times New Roman" w:cs="Times New Roman"/>
          <w:sz w:val="24"/>
          <w:szCs w:val="24"/>
        </w:rPr>
        <w:t>Nigeria,</w:t>
      </w:r>
      <w:r w:rsidRPr="00C82E11">
        <w:rPr>
          <w:rFonts w:ascii="Times New Roman" w:hAnsi="Times New Roman" w:cs="Times New Roman"/>
          <w:sz w:val="24"/>
          <w:szCs w:val="24"/>
        </w:rPr>
        <w:t xml:space="preserve"> 1999</w:t>
      </w:r>
      <w:r>
        <w:rPr>
          <w:rFonts w:ascii="Times New Roman" w:hAnsi="Times New Roman" w:cs="Times New Roman"/>
          <w:sz w:val="24"/>
          <w:szCs w:val="24"/>
        </w:rPr>
        <w:t xml:space="preserve"> ..........................................</w:t>
      </w:r>
      <w:r w:rsidR="003F54FD">
        <w:rPr>
          <w:rFonts w:ascii="Times New Roman" w:hAnsi="Times New Roman" w:cs="Times New Roman"/>
          <w:sz w:val="24"/>
          <w:szCs w:val="24"/>
        </w:rPr>
        <w:t>....</w:t>
      </w:r>
      <w:r w:rsidR="00FA24A4">
        <w:rPr>
          <w:rFonts w:ascii="Times New Roman" w:hAnsi="Times New Roman" w:cs="Times New Roman"/>
          <w:sz w:val="24"/>
          <w:szCs w:val="24"/>
        </w:rPr>
        <w:t>35</w:t>
      </w:r>
    </w:p>
    <w:p w14:paraId="3402535D" w14:textId="1D409536"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3.1.2 National Health Act 2014</w:t>
      </w:r>
      <w:r>
        <w:rPr>
          <w:rFonts w:ascii="Times New Roman" w:hAnsi="Times New Roman" w:cs="Times New Roman"/>
          <w:sz w:val="24"/>
          <w:szCs w:val="24"/>
        </w:rPr>
        <w:t xml:space="preserve"> ....................................................</w:t>
      </w:r>
      <w:r w:rsidR="00646277">
        <w:rPr>
          <w:rFonts w:ascii="Times New Roman" w:hAnsi="Times New Roman" w:cs="Times New Roman"/>
          <w:sz w:val="24"/>
          <w:szCs w:val="24"/>
        </w:rPr>
        <w:t>......................................</w:t>
      </w:r>
      <w:r w:rsidR="00776C9D">
        <w:rPr>
          <w:rFonts w:ascii="Times New Roman" w:hAnsi="Times New Roman" w:cs="Times New Roman"/>
          <w:sz w:val="24"/>
          <w:szCs w:val="24"/>
        </w:rPr>
        <w:t>3</w:t>
      </w:r>
      <w:r w:rsidR="0061687A">
        <w:rPr>
          <w:rFonts w:ascii="Times New Roman" w:hAnsi="Times New Roman" w:cs="Times New Roman"/>
          <w:sz w:val="24"/>
          <w:szCs w:val="24"/>
        </w:rPr>
        <w:t>6</w:t>
      </w:r>
    </w:p>
    <w:p w14:paraId="5844E888" w14:textId="2596FF0F"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lastRenderedPageBreak/>
        <w:t>3.1.3 Consumer Protection Act / FCCPC Act</w:t>
      </w:r>
      <w:r>
        <w:rPr>
          <w:rFonts w:ascii="Times New Roman" w:hAnsi="Times New Roman" w:cs="Times New Roman"/>
          <w:sz w:val="24"/>
          <w:szCs w:val="24"/>
        </w:rPr>
        <w:t xml:space="preserve"> .................................................</w:t>
      </w:r>
      <w:r w:rsidR="006E4D35">
        <w:rPr>
          <w:rFonts w:ascii="Times New Roman" w:hAnsi="Times New Roman" w:cs="Times New Roman"/>
          <w:sz w:val="24"/>
          <w:szCs w:val="24"/>
        </w:rPr>
        <w:t>....................</w:t>
      </w:r>
      <w:r w:rsidR="0061687A">
        <w:rPr>
          <w:rFonts w:ascii="Times New Roman" w:hAnsi="Times New Roman" w:cs="Times New Roman"/>
          <w:sz w:val="24"/>
          <w:szCs w:val="24"/>
        </w:rPr>
        <w:t>39</w:t>
      </w:r>
    </w:p>
    <w:p w14:paraId="669989C3" w14:textId="67CE4616"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 xml:space="preserve">3.1.4 Medical and Dental Council of Nigeria </w:t>
      </w:r>
      <w:r>
        <w:rPr>
          <w:rFonts w:ascii="Times New Roman" w:hAnsi="Times New Roman" w:cs="Times New Roman"/>
          <w:sz w:val="24"/>
          <w:szCs w:val="24"/>
        </w:rPr>
        <w:t>Act .....................................................</w:t>
      </w:r>
      <w:r w:rsidR="006E4D35">
        <w:rPr>
          <w:rFonts w:ascii="Times New Roman" w:hAnsi="Times New Roman" w:cs="Times New Roman"/>
          <w:sz w:val="24"/>
          <w:szCs w:val="24"/>
        </w:rPr>
        <w:t>..........</w:t>
      </w:r>
      <w:r w:rsidR="009B1238">
        <w:rPr>
          <w:rFonts w:ascii="Times New Roman" w:hAnsi="Times New Roman" w:cs="Times New Roman"/>
          <w:sz w:val="24"/>
          <w:szCs w:val="24"/>
        </w:rPr>
        <w:t>4</w:t>
      </w:r>
      <w:r w:rsidR="0061687A">
        <w:rPr>
          <w:rFonts w:ascii="Times New Roman" w:hAnsi="Times New Roman" w:cs="Times New Roman"/>
          <w:sz w:val="24"/>
          <w:szCs w:val="24"/>
        </w:rPr>
        <w:t>0</w:t>
      </w:r>
    </w:p>
    <w:p w14:paraId="2B46EE4F" w14:textId="5AEBBB62" w:rsidR="00C61614"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 xml:space="preserve">3.1.5 </w:t>
      </w:r>
      <w:r>
        <w:rPr>
          <w:rFonts w:ascii="Times New Roman" w:hAnsi="Times New Roman" w:cs="Times New Roman"/>
          <w:sz w:val="24"/>
          <w:szCs w:val="24"/>
        </w:rPr>
        <w:t>Other Relevant Statutes …………………………………</w:t>
      </w:r>
      <w:r w:rsidR="003128FD">
        <w:rPr>
          <w:rFonts w:ascii="Times New Roman" w:hAnsi="Times New Roman" w:cs="Times New Roman"/>
          <w:sz w:val="24"/>
          <w:szCs w:val="24"/>
        </w:rPr>
        <w:t>…………………………..</w:t>
      </w:r>
      <w:r w:rsidR="00790002">
        <w:rPr>
          <w:rFonts w:ascii="Times New Roman" w:hAnsi="Times New Roman" w:cs="Times New Roman"/>
          <w:sz w:val="24"/>
          <w:szCs w:val="24"/>
        </w:rPr>
        <w:t>4</w:t>
      </w:r>
      <w:r w:rsidR="0061687A">
        <w:rPr>
          <w:rFonts w:ascii="Times New Roman" w:hAnsi="Times New Roman" w:cs="Times New Roman"/>
          <w:sz w:val="24"/>
          <w:szCs w:val="24"/>
        </w:rPr>
        <w:t>1</w:t>
      </w:r>
    </w:p>
    <w:p w14:paraId="5B3118D3" w14:textId="00286438" w:rsidR="00C61614" w:rsidRDefault="00C61614" w:rsidP="00C61614">
      <w:pPr>
        <w:spacing w:line="480" w:lineRule="auto"/>
        <w:rPr>
          <w:rFonts w:ascii="Times New Roman" w:hAnsi="Times New Roman" w:cs="Times New Roman"/>
          <w:sz w:val="24"/>
          <w:szCs w:val="24"/>
        </w:rPr>
      </w:pPr>
      <w:r>
        <w:rPr>
          <w:rFonts w:ascii="Times New Roman" w:hAnsi="Times New Roman" w:cs="Times New Roman"/>
          <w:sz w:val="24"/>
          <w:szCs w:val="24"/>
        </w:rPr>
        <w:t>3.1.5.1 Patients Bill of Rights (PBoR) ……………………………</w:t>
      </w:r>
      <w:r w:rsidR="003128FD">
        <w:rPr>
          <w:rFonts w:ascii="Times New Roman" w:hAnsi="Times New Roman" w:cs="Times New Roman"/>
          <w:sz w:val="24"/>
          <w:szCs w:val="24"/>
        </w:rPr>
        <w:t>…………</w:t>
      </w:r>
      <w:r w:rsidR="00E015B3">
        <w:rPr>
          <w:rFonts w:ascii="Times New Roman" w:hAnsi="Times New Roman" w:cs="Times New Roman"/>
          <w:sz w:val="24"/>
          <w:szCs w:val="24"/>
        </w:rPr>
        <w:t>……………</w:t>
      </w:r>
      <w:r w:rsidR="00EA7DD7">
        <w:rPr>
          <w:rFonts w:ascii="Times New Roman" w:hAnsi="Times New Roman" w:cs="Times New Roman"/>
          <w:sz w:val="24"/>
          <w:szCs w:val="24"/>
        </w:rPr>
        <w:t>4</w:t>
      </w:r>
      <w:r w:rsidR="0061687A">
        <w:rPr>
          <w:rFonts w:ascii="Times New Roman" w:hAnsi="Times New Roman" w:cs="Times New Roman"/>
          <w:sz w:val="24"/>
          <w:szCs w:val="24"/>
        </w:rPr>
        <w:t>1</w:t>
      </w:r>
    </w:p>
    <w:p w14:paraId="0592457A" w14:textId="22F21022" w:rsidR="00C61614" w:rsidRDefault="00C61614" w:rsidP="00C61614">
      <w:pPr>
        <w:spacing w:line="480" w:lineRule="auto"/>
        <w:rPr>
          <w:rFonts w:ascii="Times New Roman" w:hAnsi="Times New Roman" w:cs="Times New Roman"/>
          <w:sz w:val="24"/>
          <w:szCs w:val="24"/>
        </w:rPr>
      </w:pPr>
      <w:r>
        <w:rPr>
          <w:rFonts w:ascii="Times New Roman" w:hAnsi="Times New Roman" w:cs="Times New Roman"/>
          <w:sz w:val="24"/>
          <w:szCs w:val="24"/>
        </w:rPr>
        <w:t>3.1.5.2 National Health Insurance Act 2022 …………………………</w:t>
      </w:r>
      <w:r w:rsidR="00E015B3">
        <w:rPr>
          <w:rFonts w:ascii="Times New Roman" w:hAnsi="Times New Roman" w:cs="Times New Roman"/>
          <w:sz w:val="24"/>
          <w:szCs w:val="24"/>
        </w:rPr>
        <w:t>…………………...</w:t>
      </w:r>
      <w:r w:rsidR="00EA7DD7">
        <w:rPr>
          <w:rFonts w:ascii="Times New Roman" w:hAnsi="Times New Roman" w:cs="Times New Roman"/>
          <w:sz w:val="24"/>
          <w:szCs w:val="24"/>
        </w:rPr>
        <w:t>4</w:t>
      </w:r>
      <w:r w:rsidR="0061687A">
        <w:rPr>
          <w:rFonts w:ascii="Times New Roman" w:hAnsi="Times New Roman" w:cs="Times New Roman"/>
          <w:sz w:val="24"/>
          <w:szCs w:val="24"/>
        </w:rPr>
        <w:t>2</w:t>
      </w:r>
    </w:p>
    <w:p w14:paraId="577FFF3C" w14:textId="74BC254B" w:rsidR="00C61614" w:rsidRPr="00C82E11" w:rsidRDefault="00C61614" w:rsidP="00C61614">
      <w:pPr>
        <w:spacing w:line="480" w:lineRule="auto"/>
        <w:rPr>
          <w:rFonts w:ascii="Times New Roman" w:hAnsi="Times New Roman" w:cs="Times New Roman"/>
          <w:sz w:val="24"/>
          <w:szCs w:val="24"/>
        </w:rPr>
      </w:pPr>
      <w:r>
        <w:rPr>
          <w:rFonts w:ascii="Times New Roman" w:hAnsi="Times New Roman" w:cs="Times New Roman"/>
          <w:sz w:val="24"/>
          <w:szCs w:val="24"/>
        </w:rPr>
        <w:t xml:space="preserve">3.1.6 </w:t>
      </w:r>
      <w:r w:rsidRPr="00C82E11">
        <w:rPr>
          <w:rFonts w:ascii="Times New Roman" w:hAnsi="Times New Roman" w:cs="Times New Roman"/>
          <w:sz w:val="24"/>
          <w:szCs w:val="24"/>
        </w:rPr>
        <w:t xml:space="preserve">Judicial Protection of Patients’ Rights (Case Law: negligence, </w:t>
      </w:r>
      <w:r>
        <w:rPr>
          <w:rFonts w:ascii="Times New Roman" w:hAnsi="Times New Roman" w:cs="Times New Roman"/>
          <w:sz w:val="24"/>
          <w:szCs w:val="24"/>
        </w:rPr>
        <w:t>consent, and</w:t>
      </w:r>
      <w:r w:rsidR="00B931BE">
        <w:rPr>
          <w:rFonts w:ascii="Times New Roman" w:hAnsi="Times New Roman" w:cs="Times New Roman"/>
          <w:sz w:val="24"/>
          <w:szCs w:val="24"/>
        </w:rPr>
        <w:t xml:space="preserve"> </w:t>
      </w:r>
      <w:r w:rsidRPr="00C82E11">
        <w:rPr>
          <w:rFonts w:ascii="Times New Roman" w:hAnsi="Times New Roman" w:cs="Times New Roman"/>
          <w:sz w:val="24"/>
          <w:szCs w:val="24"/>
        </w:rPr>
        <w:t>confidentiality</w:t>
      </w:r>
      <w:r w:rsidR="00B931BE">
        <w:rPr>
          <w:rFonts w:ascii="Times New Roman" w:hAnsi="Times New Roman" w:cs="Times New Roman"/>
          <w:sz w:val="24"/>
          <w:szCs w:val="24"/>
        </w:rPr>
        <w:t>) ………………………………………………………………………</w:t>
      </w:r>
      <w:r w:rsidR="00D32004">
        <w:rPr>
          <w:rFonts w:ascii="Times New Roman" w:hAnsi="Times New Roman" w:cs="Times New Roman"/>
          <w:sz w:val="24"/>
          <w:szCs w:val="24"/>
        </w:rPr>
        <w:t>……</w:t>
      </w:r>
      <w:r w:rsidR="00AE65D2">
        <w:rPr>
          <w:rFonts w:ascii="Times New Roman" w:hAnsi="Times New Roman" w:cs="Times New Roman"/>
          <w:sz w:val="24"/>
          <w:szCs w:val="24"/>
        </w:rPr>
        <w:t>4</w:t>
      </w:r>
      <w:r w:rsidR="0011298E">
        <w:rPr>
          <w:rFonts w:ascii="Times New Roman" w:hAnsi="Times New Roman" w:cs="Times New Roman"/>
          <w:sz w:val="24"/>
          <w:szCs w:val="24"/>
        </w:rPr>
        <w:t>5</w:t>
      </w:r>
    </w:p>
    <w:p w14:paraId="646F7730" w14:textId="25AD2A09"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3.2 Ethical Framework</w:t>
      </w:r>
      <w:r>
        <w:rPr>
          <w:rFonts w:ascii="Times New Roman" w:hAnsi="Times New Roman" w:cs="Times New Roman"/>
          <w:sz w:val="24"/>
          <w:szCs w:val="24"/>
        </w:rPr>
        <w:t xml:space="preserve"> .......................................................</w:t>
      </w:r>
      <w:r w:rsidR="00D32004">
        <w:rPr>
          <w:rFonts w:ascii="Times New Roman" w:hAnsi="Times New Roman" w:cs="Times New Roman"/>
          <w:sz w:val="24"/>
          <w:szCs w:val="24"/>
        </w:rPr>
        <w:t>.................................................</w:t>
      </w:r>
      <w:r w:rsidR="004F7B11">
        <w:rPr>
          <w:rFonts w:ascii="Times New Roman" w:hAnsi="Times New Roman" w:cs="Times New Roman"/>
          <w:sz w:val="24"/>
          <w:szCs w:val="24"/>
        </w:rPr>
        <w:t>5</w:t>
      </w:r>
      <w:r w:rsidR="0011298E">
        <w:rPr>
          <w:rFonts w:ascii="Times New Roman" w:hAnsi="Times New Roman" w:cs="Times New Roman"/>
          <w:sz w:val="24"/>
          <w:szCs w:val="24"/>
        </w:rPr>
        <w:t>3</w:t>
      </w:r>
    </w:p>
    <w:p w14:paraId="233C56D6" w14:textId="347D551D"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3.2.</w:t>
      </w:r>
      <w:r>
        <w:rPr>
          <w:rFonts w:ascii="Times New Roman" w:hAnsi="Times New Roman" w:cs="Times New Roman"/>
          <w:sz w:val="24"/>
          <w:szCs w:val="24"/>
        </w:rPr>
        <w:t>1</w:t>
      </w:r>
      <w:r w:rsidRPr="00C82E11">
        <w:rPr>
          <w:rFonts w:ascii="Times New Roman" w:hAnsi="Times New Roman" w:cs="Times New Roman"/>
          <w:sz w:val="24"/>
          <w:szCs w:val="24"/>
        </w:rPr>
        <w:t xml:space="preserve"> Nurses and Midwives Council Ethics</w:t>
      </w:r>
      <w:r>
        <w:rPr>
          <w:rFonts w:ascii="Times New Roman" w:hAnsi="Times New Roman" w:cs="Times New Roman"/>
          <w:sz w:val="24"/>
          <w:szCs w:val="24"/>
        </w:rPr>
        <w:t xml:space="preserve"> .......................................................</w:t>
      </w:r>
      <w:r w:rsidR="00D32004">
        <w:rPr>
          <w:rFonts w:ascii="Times New Roman" w:hAnsi="Times New Roman" w:cs="Times New Roman"/>
          <w:sz w:val="24"/>
          <w:szCs w:val="24"/>
        </w:rPr>
        <w:t>.................</w:t>
      </w:r>
      <w:r w:rsidR="00B931BE">
        <w:rPr>
          <w:rFonts w:ascii="Times New Roman" w:hAnsi="Times New Roman" w:cs="Times New Roman"/>
          <w:sz w:val="24"/>
          <w:szCs w:val="24"/>
        </w:rPr>
        <w:t>5</w:t>
      </w:r>
      <w:r w:rsidR="0011298E">
        <w:rPr>
          <w:rFonts w:ascii="Times New Roman" w:hAnsi="Times New Roman" w:cs="Times New Roman"/>
          <w:sz w:val="24"/>
          <w:szCs w:val="24"/>
        </w:rPr>
        <w:t>3</w:t>
      </w:r>
    </w:p>
    <w:p w14:paraId="5CDC26E2" w14:textId="482085C4"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3.2.</w:t>
      </w:r>
      <w:r>
        <w:rPr>
          <w:rFonts w:ascii="Times New Roman" w:hAnsi="Times New Roman" w:cs="Times New Roman"/>
          <w:sz w:val="24"/>
          <w:szCs w:val="24"/>
        </w:rPr>
        <w:t>2</w:t>
      </w:r>
      <w:r w:rsidRPr="00C82E11">
        <w:rPr>
          <w:rFonts w:ascii="Times New Roman" w:hAnsi="Times New Roman" w:cs="Times New Roman"/>
          <w:sz w:val="24"/>
          <w:szCs w:val="24"/>
        </w:rPr>
        <w:t xml:space="preserve"> Professional Codes and Conduct</w:t>
      </w:r>
      <w:r>
        <w:rPr>
          <w:rFonts w:ascii="Times New Roman" w:hAnsi="Times New Roman" w:cs="Times New Roman"/>
          <w:sz w:val="24"/>
          <w:szCs w:val="24"/>
        </w:rPr>
        <w:t xml:space="preserve"> ......................................................</w:t>
      </w:r>
      <w:r w:rsidR="006D7D91">
        <w:rPr>
          <w:rFonts w:ascii="Times New Roman" w:hAnsi="Times New Roman" w:cs="Times New Roman"/>
          <w:sz w:val="24"/>
          <w:szCs w:val="24"/>
        </w:rPr>
        <w:t>.........................</w:t>
      </w:r>
      <w:r w:rsidR="002D7BF6">
        <w:rPr>
          <w:rFonts w:ascii="Times New Roman" w:hAnsi="Times New Roman" w:cs="Times New Roman"/>
          <w:sz w:val="24"/>
          <w:szCs w:val="24"/>
        </w:rPr>
        <w:t>5</w:t>
      </w:r>
      <w:r w:rsidR="0011298E">
        <w:rPr>
          <w:rFonts w:ascii="Times New Roman" w:hAnsi="Times New Roman" w:cs="Times New Roman"/>
          <w:sz w:val="24"/>
          <w:szCs w:val="24"/>
        </w:rPr>
        <w:t>4</w:t>
      </w:r>
    </w:p>
    <w:p w14:paraId="04CC8F76" w14:textId="0D3F266A"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3.3 Institutional Framework</w:t>
      </w:r>
      <w:r>
        <w:rPr>
          <w:rFonts w:ascii="Times New Roman" w:hAnsi="Times New Roman" w:cs="Times New Roman"/>
          <w:sz w:val="24"/>
          <w:szCs w:val="24"/>
        </w:rPr>
        <w:t xml:space="preserve"> ......................................................</w:t>
      </w:r>
      <w:r w:rsidR="006D7D91">
        <w:rPr>
          <w:rFonts w:ascii="Times New Roman" w:hAnsi="Times New Roman" w:cs="Times New Roman"/>
          <w:sz w:val="24"/>
          <w:szCs w:val="24"/>
        </w:rPr>
        <w:t>..........................................</w:t>
      </w:r>
      <w:r w:rsidR="002D7BF6">
        <w:rPr>
          <w:rFonts w:ascii="Times New Roman" w:hAnsi="Times New Roman" w:cs="Times New Roman"/>
          <w:sz w:val="24"/>
          <w:szCs w:val="24"/>
        </w:rPr>
        <w:t>5</w:t>
      </w:r>
      <w:r w:rsidR="00AF76C8">
        <w:rPr>
          <w:rFonts w:ascii="Times New Roman" w:hAnsi="Times New Roman" w:cs="Times New Roman"/>
          <w:sz w:val="24"/>
          <w:szCs w:val="24"/>
        </w:rPr>
        <w:t>5</w:t>
      </w:r>
    </w:p>
    <w:p w14:paraId="36A84FCD" w14:textId="7A455E10"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 xml:space="preserve">3.3.1 Role of </w:t>
      </w:r>
      <w:r>
        <w:rPr>
          <w:rFonts w:ascii="Times New Roman" w:hAnsi="Times New Roman" w:cs="Times New Roman"/>
          <w:sz w:val="24"/>
          <w:szCs w:val="24"/>
        </w:rPr>
        <w:t>the Federal</w:t>
      </w:r>
      <w:r w:rsidRPr="00C82E11">
        <w:rPr>
          <w:rFonts w:ascii="Times New Roman" w:hAnsi="Times New Roman" w:cs="Times New Roman"/>
          <w:sz w:val="24"/>
          <w:szCs w:val="24"/>
        </w:rPr>
        <w:t xml:space="preserve"> Competition and Consumer Protection Commission (FCCPC)</w:t>
      </w:r>
      <w:r w:rsidR="006D7D91">
        <w:rPr>
          <w:rFonts w:ascii="Times New Roman" w:hAnsi="Times New Roman" w:cs="Times New Roman"/>
          <w:sz w:val="24"/>
          <w:szCs w:val="24"/>
        </w:rPr>
        <w:t>…..</w:t>
      </w:r>
      <w:r w:rsidR="00E46AC3">
        <w:rPr>
          <w:rFonts w:ascii="Times New Roman" w:hAnsi="Times New Roman" w:cs="Times New Roman"/>
          <w:sz w:val="24"/>
          <w:szCs w:val="24"/>
        </w:rPr>
        <w:t>5</w:t>
      </w:r>
      <w:r w:rsidR="00AF76C8">
        <w:rPr>
          <w:rFonts w:ascii="Times New Roman" w:hAnsi="Times New Roman" w:cs="Times New Roman"/>
          <w:sz w:val="24"/>
          <w:szCs w:val="24"/>
        </w:rPr>
        <w:t>5</w:t>
      </w:r>
    </w:p>
    <w:p w14:paraId="720A2C35" w14:textId="106175E4"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3.3.2 Medical and Dental Council of Nigeria (MDCN)</w:t>
      </w:r>
      <w:r>
        <w:rPr>
          <w:rFonts w:ascii="Times New Roman" w:hAnsi="Times New Roman" w:cs="Times New Roman"/>
          <w:sz w:val="24"/>
          <w:szCs w:val="24"/>
        </w:rPr>
        <w:t xml:space="preserve"> .......................................................</w:t>
      </w:r>
      <w:r w:rsidR="001E7EE3">
        <w:rPr>
          <w:rFonts w:ascii="Times New Roman" w:hAnsi="Times New Roman" w:cs="Times New Roman"/>
          <w:sz w:val="24"/>
          <w:szCs w:val="24"/>
        </w:rPr>
        <w:t>5</w:t>
      </w:r>
      <w:r w:rsidR="00AF76C8">
        <w:rPr>
          <w:rFonts w:ascii="Times New Roman" w:hAnsi="Times New Roman" w:cs="Times New Roman"/>
          <w:sz w:val="24"/>
          <w:szCs w:val="24"/>
        </w:rPr>
        <w:t>6</w:t>
      </w:r>
    </w:p>
    <w:p w14:paraId="0B4EEB10" w14:textId="4F84AB04"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 xml:space="preserve">3.3.3 </w:t>
      </w:r>
      <w:r>
        <w:rPr>
          <w:rFonts w:ascii="Times New Roman" w:hAnsi="Times New Roman" w:cs="Times New Roman"/>
          <w:sz w:val="24"/>
          <w:szCs w:val="24"/>
        </w:rPr>
        <w:t>Hospitals’</w:t>
      </w:r>
      <w:r w:rsidRPr="00C82E11">
        <w:rPr>
          <w:rFonts w:ascii="Times New Roman" w:hAnsi="Times New Roman" w:cs="Times New Roman"/>
          <w:sz w:val="24"/>
          <w:szCs w:val="24"/>
        </w:rPr>
        <w:t xml:space="preserve"> Management Boards</w:t>
      </w:r>
      <w:r>
        <w:rPr>
          <w:rFonts w:ascii="Times New Roman" w:hAnsi="Times New Roman" w:cs="Times New Roman"/>
          <w:sz w:val="24"/>
          <w:szCs w:val="24"/>
        </w:rPr>
        <w:t xml:space="preserve"> ......................................................</w:t>
      </w:r>
      <w:r w:rsidR="00B17064">
        <w:rPr>
          <w:rFonts w:ascii="Times New Roman" w:hAnsi="Times New Roman" w:cs="Times New Roman"/>
          <w:sz w:val="24"/>
          <w:szCs w:val="24"/>
        </w:rPr>
        <w:t>.............................</w:t>
      </w:r>
      <w:r w:rsidR="00AF76C8">
        <w:rPr>
          <w:rFonts w:ascii="Times New Roman" w:hAnsi="Times New Roman" w:cs="Times New Roman"/>
          <w:sz w:val="24"/>
          <w:szCs w:val="24"/>
        </w:rPr>
        <w:t>57</w:t>
      </w:r>
    </w:p>
    <w:p w14:paraId="6D9C7763" w14:textId="7DC39C80"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3.3.4 Civil Society and Health Rights Groups</w:t>
      </w:r>
      <w:r>
        <w:rPr>
          <w:rFonts w:ascii="Times New Roman" w:hAnsi="Times New Roman" w:cs="Times New Roman"/>
          <w:sz w:val="24"/>
          <w:szCs w:val="24"/>
        </w:rPr>
        <w:t xml:space="preserve"> .............................................</w:t>
      </w:r>
      <w:r w:rsidR="00B17064">
        <w:rPr>
          <w:rFonts w:ascii="Times New Roman" w:hAnsi="Times New Roman" w:cs="Times New Roman"/>
          <w:sz w:val="24"/>
          <w:szCs w:val="24"/>
        </w:rPr>
        <w:t>.........................</w:t>
      </w:r>
      <w:r w:rsidR="00AF76C8">
        <w:rPr>
          <w:rFonts w:ascii="Times New Roman" w:hAnsi="Times New Roman" w:cs="Times New Roman"/>
          <w:sz w:val="24"/>
          <w:szCs w:val="24"/>
        </w:rPr>
        <w:t>58</w:t>
      </w:r>
      <w:r w:rsidR="00D267B9">
        <w:rPr>
          <w:rFonts w:ascii="Times New Roman" w:hAnsi="Times New Roman" w:cs="Times New Roman"/>
          <w:sz w:val="24"/>
          <w:szCs w:val="24"/>
        </w:rPr>
        <w:t xml:space="preserve">              </w:t>
      </w:r>
    </w:p>
    <w:p w14:paraId="269D021C" w14:textId="062A6B5D" w:rsidR="00C61614" w:rsidRPr="00C82E11" w:rsidRDefault="00C61614" w:rsidP="00C61614">
      <w:pPr>
        <w:spacing w:line="480" w:lineRule="auto"/>
        <w:rPr>
          <w:rFonts w:ascii="Times New Roman" w:hAnsi="Times New Roman" w:cs="Times New Roman"/>
          <w:b/>
          <w:bCs/>
          <w:sz w:val="24"/>
          <w:szCs w:val="24"/>
        </w:rPr>
      </w:pPr>
      <w:r w:rsidRPr="00C82E11">
        <w:rPr>
          <w:rFonts w:ascii="Times New Roman" w:hAnsi="Times New Roman" w:cs="Times New Roman"/>
          <w:b/>
          <w:bCs/>
          <w:sz w:val="24"/>
          <w:szCs w:val="24"/>
        </w:rPr>
        <w:t xml:space="preserve">CHAPTER FOUR: CONTEMPORARY ISSUES </w:t>
      </w:r>
      <w:r w:rsidRPr="00C82E11">
        <w:rPr>
          <w:rFonts w:ascii="Times New Roman" w:hAnsi="Times New Roman" w:cs="Times New Roman"/>
          <w:b/>
          <w:sz w:val="24"/>
          <w:szCs w:val="24"/>
        </w:rPr>
        <w:t>IN PATIENTS</w:t>
      </w:r>
      <w:r w:rsidR="00B17064">
        <w:rPr>
          <w:rFonts w:ascii="Times New Roman" w:hAnsi="Times New Roman" w:cs="Times New Roman"/>
          <w:b/>
          <w:sz w:val="24"/>
          <w:szCs w:val="24"/>
        </w:rPr>
        <w:t>’ RIGHTS:</w:t>
      </w:r>
      <w:r w:rsidRPr="00C82E11">
        <w:rPr>
          <w:rFonts w:ascii="Times New Roman" w:hAnsi="Times New Roman" w:cs="Times New Roman"/>
          <w:b/>
          <w:sz w:val="24"/>
          <w:szCs w:val="24"/>
        </w:rPr>
        <w:t xml:space="preserve"> CHALLENGES AND </w:t>
      </w:r>
      <w:r>
        <w:rPr>
          <w:rFonts w:ascii="Times New Roman" w:hAnsi="Times New Roman" w:cs="Times New Roman"/>
          <w:b/>
          <w:sz w:val="24"/>
          <w:szCs w:val="24"/>
        </w:rPr>
        <w:t>PROSPECTS</w:t>
      </w:r>
      <w:r w:rsidRPr="00C82E11">
        <w:rPr>
          <w:rFonts w:ascii="Times New Roman" w:hAnsi="Times New Roman" w:cs="Times New Roman"/>
          <w:b/>
          <w:sz w:val="24"/>
          <w:szCs w:val="24"/>
        </w:rPr>
        <w:t xml:space="preserve"> UNDER THE NIGERIAN LAW</w:t>
      </w:r>
    </w:p>
    <w:p w14:paraId="7066AA6F" w14:textId="5A7D8AEF"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4.1 Challenges in Enforcement of Patients’ Rights in Nigeria</w:t>
      </w:r>
      <w:r>
        <w:rPr>
          <w:rFonts w:ascii="Times New Roman" w:hAnsi="Times New Roman" w:cs="Times New Roman"/>
          <w:sz w:val="24"/>
          <w:szCs w:val="24"/>
        </w:rPr>
        <w:t xml:space="preserve"> ...........................................</w:t>
      </w:r>
      <w:r w:rsidR="008E0770">
        <w:rPr>
          <w:rFonts w:ascii="Times New Roman" w:hAnsi="Times New Roman" w:cs="Times New Roman"/>
          <w:sz w:val="24"/>
          <w:szCs w:val="24"/>
        </w:rPr>
        <w:t>....</w:t>
      </w:r>
      <w:r w:rsidR="00E12B52">
        <w:rPr>
          <w:rFonts w:ascii="Times New Roman" w:hAnsi="Times New Roman" w:cs="Times New Roman"/>
          <w:sz w:val="24"/>
          <w:szCs w:val="24"/>
        </w:rPr>
        <w:t>61</w:t>
      </w:r>
    </w:p>
    <w:p w14:paraId="2DA5625B" w14:textId="0F6F9FCA"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4.1.1. Institutional Challenges</w:t>
      </w:r>
      <w:r>
        <w:rPr>
          <w:rFonts w:ascii="Times New Roman" w:hAnsi="Times New Roman" w:cs="Times New Roman"/>
          <w:sz w:val="24"/>
          <w:szCs w:val="24"/>
        </w:rPr>
        <w:t xml:space="preserve"> ...............................................</w:t>
      </w:r>
      <w:r w:rsidR="008E0770">
        <w:rPr>
          <w:rFonts w:ascii="Times New Roman" w:hAnsi="Times New Roman" w:cs="Times New Roman"/>
          <w:sz w:val="24"/>
          <w:szCs w:val="24"/>
        </w:rPr>
        <w:t>.................................................</w:t>
      </w:r>
      <w:r w:rsidR="004732F0">
        <w:rPr>
          <w:rFonts w:ascii="Times New Roman" w:hAnsi="Times New Roman" w:cs="Times New Roman"/>
          <w:sz w:val="24"/>
          <w:szCs w:val="24"/>
        </w:rPr>
        <w:t>6</w:t>
      </w:r>
      <w:r w:rsidR="00E12B52">
        <w:rPr>
          <w:rFonts w:ascii="Times New Roman" w:hAnsi="Times New Roman" w:cs="Times New Roman"/>
          <w:sz w:val="24"/>
          <w:szCs w:val="24"/>
        </w:rPr>
        <w:t>2</w:t>
      </w:r>
    </w:p>
    <w:p w14:paraId="3CBB049E" w14:textId="4851BD22"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4.1.2. Inadequate Healthcare Infrastructure</w:t>
      </w:r>
      <w:r>
        <w:rPr>
          <w:rFonts w:ascii="Times New Roman" w:hAnsi="Times New Roman" w:cs="Times New Roman"/>
          <w:sz w:val="24"/>
          <w:szCs w:val="24"/>
        </w:rPr>
        <w:t xml:space="preserve"> ........................................</w:t>
      </w:r>
      <w:r w:rsidR="008E0770">
        <w:rPr>
          <w:rFonts w:ascii="Times New Roman" w:hAnsi="Times New Roman" w:cs="Times New Roman"/>
          <w:sz w:val="24"/>
          <w:szCs w:val="24"/>
        </w:rPr>
        <w:t>...................................</w:t>
      </w:r>
      <w:r w:rsidR="004732F0">
        <w:rPr>
          <w:rFonts w:ascii="Times New Roman" w:hAnsi="Times New Roman" w:cs="Times New Roman"/>
          <w:sz w:val="24"/>
          <w:szCs w:val="24"/>
        </w:rPr>
        <w:t>6</w:t>
      </w:r>
      <w:r w:rsidR="00E12B52">
        <w:rPr>
          <w:rFonts w:ascii="Times New Roman" w:hAnsi="Times New Roman" w:cs="Times New Roman"/>
          <w:sz w:val="24"/>
          <w:szCs w:val="24"/>
        </w:rPr>
        <w:t>2</w:t>
      </w:r>
    </w:p>
    <w:p w14:paraId="6DACE6C8" w14:textId="3D8380C0"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lastRenderedPageBreak/>
        <w:t>4.1.3. Human Resources Challenges</w:t>
      </w:r>
      <w:r>
        <w:rPr>
          <w:rFonts w:ascii="Times New Roman" w:hAnsi="Times New Roman" w:cs="Times New Roman"/>
          <w:sz w:val="24"/>
          <w:szCs w:val="24"/>
        </w:rPr>
        <w:t xml:space="preserve"> ...................................................</w:t>
      </w:r>
      <w:r w:rsidR="008E0770">
        <w:rPr>
          <w:rFonts w:ascii="Times New Roman" w:hAnsi="Times New Roman" w:cs="Times New Roman"/>
          <w:sz w:val="24"/>
          <w:szCs w:val="24"/>
        </w:rPr>
        <w:t>...................................</w:t>
      </w:r>
      <w:r w:rsidR="002B0F2D">
        <w:rPr>
          <w:rFonts w:ascii="Times New Roman" w:hAnsi="Times New Roman" w:cs="Times New Roman"/>
          <w:sz w:val="24"/>
          <w:szCs w:val="24"/>
        </w:rPr>
        <w:t>6</w:t>
      </w:r>
      <w:r w:rsidR="00E12B52">
        <w:rPr>
          <w:rFonts w:ascii="Times New Roman" w:hAnsi="Times New Roman" w:cs="Times New Roman"/>
          <w:sz w:val="24"/>
          <w:szCs w:val="24"/>
        </w:rPr>
        <w:t>4</w:t>
      </w:r>
    </w:p>
    <w:p w14:paraId="1D1E6824" w14:textId="07D29596"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4.2 Socio-economic and Cultural Barriers to Patients’ Rights</w:t>
      </w:r>
      <w:r>
        <w:rPr>
          <w:rFonts w:ascii="Times New Roman" w:hAnsi="Times New Roman" w:cs="Times New Roman"/>
          <w:sz w:val="24"/>
          <w:szCs w:val="24"/>
        </w:rPr>
        <w:t xml:space="preserve"> ..........................................</w:t>
      </w:r>
      <w:r w:rsidR="008E0770">
        <w:rPr>
          <w:rFonts w:ascii="Times New Roman" w:hAnsi="Times New Roman" w:cs="Times New Roman"/>
          <w:sz w:val="24"/>
          <w:szCs w:val="24"/>
        </w:rPr>
        <w:t>.....</w:t>
      </w:r>
      <w:r w:rsidR="00FF524F">
        <w:rPr>
          <w:rFonts w:ascii="Times New Roman" w:hAnsi="Times New Roman" w:cs="Times New Roman"/>
          <w:sz w:val="24"/>
          <w:szCs w:val="24"/>
        </w:rPr>
        <w:t>6</w:t>
      </w:r>
      <w:r w:rsidR="00E12B52">
        <w:rPr>
          <w:rFonts w:ascii="Times New Roman" w:hAnsi="Times New Roman" w:cs="Times New Roman"/>
          <w:sz w:val="24"/>
          <w:szCs w:val="24"/>
        </w:rPr>
        <w:t>4</w:t>
      </w:r>
    </w:p>
    <w:p w14:paraId="328DECB2" w14:textId="433A5ED3"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4.3. Limitations in Legal and Institutional Enforcement</w:t>
      </w:r>
      <w:r>
        <w:rPr>
          <w:rFonts w:ascii="Times New Roman" w:hAnsi="Times New Roman" w:cs="Times New Roman"/>
          <w:sz w:val="24"/>
          <w:szCs w:val="24"/>
        </w:rPr>
        <w:t xml:space="preserve"> ...........................................</w:t>
      </w:r>
      <w:r w:rsidR="008E0770">
        <w:rPr>
          <w:rFonts w:ascii="Times New Roman" w:hAnsi="Times New Roman" w:cs="Times New Roman"/>
          <w:sz w:val="24"/>
          <w:szCs w:val="24"/>
        </w:rPr>
        <w:t>.............</w:t>
      </w:r>
      <w:r w:rsidR="00941329">
        <w:rPr>
          <w:rFonts w:ascii="Times New Roman" w:hAnsi="Times New Roman" w:cs="Times New Roman"/>
          <w:sz w:val="24"/>
          <w:szCs w:val="24"/>
        </w:rPr>
        <w:t>66</w:t>
      </w:r>
      <w:r w:rsidR="009E6BDB">
        <w:rPr>
          <w:rFonts w:ascii="Times New Roman" w:hAnsi="Times New Roman" w:cs="Times New Roman"/>
          <w:sz w:val="24"/>
          <w:szCs w:val="24"/>
        </w:rPr>
        <w:t xml:space="preserve">             </w:t>
      </w:r>
    </w:p>
    <w:p w14:paraId="09BE2450" w14:textId="07B64DC3"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4.4 Contemporary Issues</w:t>
      </w:r>
      <w:r>
        <w:rPr>
          <w:rFonts w:ascii="Times New Roman" w:hAnsi="Times New Roman" w:cs="Times New Roman"/>
          <w:sz w:val="24"/>
          <w:szCs w:val="24"/>
        </w:rPr>
        <w:t xml:space="preserve"> </w:t>
      </w:r>
      <w:r w:rsidR="0017579A">
        <w:rPr>
          <w:rFonts w:ascii="Times New Roman" w:hAnsi="Times New Roman" w:cs="Times New Roman"/>
          <w:sz w:val="24"/>
          <w:szCs w:val="24"/>
        </w:rPr>
        <w:t>…………………………………………………………………….</w:t>
      </w:r>
      <w:r w:rsidR="00941329">
        <w:rPr>
          <w:rFonts w:ascii="Times New Roman" w:hAnsi="Times New Roman" w:cs="Times New Roman"/>
          <w:sz w:val="24"/>
          <w:szCs w:val="24"/>
        </w:rPr>
        <w:t>68</w:t>
      </w:r>
    </w:p>
    <w:p w14:paraId="5E83B4A7" w14:textId="2F0DC234"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4.4.1 Medical Negligence and Malpractice Trends</w:t>
      </w:r>
      <w:r>
        <w:rPr>
          <w:rFonts w:ascii="Times New Roman" w:hAnsi="Times New Roman" w:cs="Times New Roman"/>
          <w:sz w:val="24"/>
          <w:szCs w:val="24"/>
        </w:rPr>
        <w:t xml:space="preserve"> .................................................</w:t>
      </w:r>
      <w:r w:rsidR="0017579A">
        <w:rPr>
          <w:rFonts w:ascii="Times New Roman" w:hAnsi="Times New Roman" w:cs="Times New Roman"/>
          <w:sz w:val="24"/>
          <w:szCs w:val="24"/>
        </w:rPr>
        <w:t>................</w:t>
      </w:r>
      <w:r w:rsidR="00941329">
        <w:rPr>
          <w:rFonts w:ascii="Times New Roman" w:hAnsi="Times New Roman" w:cs="Times New Roman"/>
          <w:sz w:val="24"/>
          <w:szCs w:val="24"/>
        </w:rPr>
        <w:t>68</w:t>
      </w:r>
    </w:p>
    <w:p w14:paraId="7DB64F38" w14:textId="1EF8C4AA"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4.4.2 Telemedicine, Data Privacy &amp; Digital Health</w:t>
      </w:r>
      <w:r>
        <w:rPr>
          <w:rFonts w:ascii="Times New Roman" w:hAnsi="Times New Roman" w:cs="Times New Roman"/>
          <w:sz w:val="24"/>
          <w:szCs w:val="24"/>
        </w:rPr>
        <w:t xml:space="preserve"> ..............................................</w:t>
      </w:r>
      <w:r w:rsidR="0017579A">
        <w:rPr>
          <w:rFonts w:ascii="Times New Roman" w:hAnsi="Times New Roman" w:cs="Times New Roman"/>
          <w:sz w:val="24"/>
          <w:szCs w:val="24"/>
        </w:rPr>
        <w:t>..................</w:t>
      </w:r>
      <w:r w:rsidR="00941329">
        <w:rPr>
          <w:rFonts w:ascii="Times New Roman" w:hAnsi="Times New Roman" w:cs="Times New Roman"/>
          <w:sz w:val="24"/>
          <w:szCs w:val="24"/>
        </w:rPr>
        <w:t>71</w:t>
      </w:r>
    </w:p>
    <w:p w14:paraId="560A0E67" w14:textId="6F629546"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4.4.3 Informed Consent Challenges</w:t>
      </w:r>
      <w:r>
        <w:rPr>
          <w:rFonts w:ascii="Times New Roman" w:hAnsi="Times New Roman" w:cs="Times New Roman"/>
          <w:sz w:val="24"/>
          <w:szCs w:val="24"/>
        </w:rPr>
        <w:t xml:space="preserve"> ..................................................</w:t>
      </w:r>
      <w:r w:rsidR="0079352F">
        <w:rPr>
          <w:rFonts w:ascii="Times New Roman" w:hAnsi="Times New Roman" w:cs="Times New Roman"/>
          <w:sz w:val="24"/>
          <w:szCs w:val="24"/>
        </w:rPr>
        <w:t>......................................</w:t>
      </w:r>
      <w:r w:rsidR="00941329">
        <w:rPr>
          <w:rFonts w:ascii="Times New Roman" w:hAnsi="Times New Roman" w:cs="Times New Roman"/>
          <w:sz w:val="24"/>
          <w:szCs w:val="24"/>
        </w:rPr>
        <w:t>74</w:t>
      </w:r>
      <w:r w:rsidR="007F7F87">
        <w:rPr>
          <w:rFonts w:ascii="Times New Roman" w:hAnsi="Times New Roman" w:cs="Times New Roman"/>
          <w:sz w:val="24"/>
          <w:szCs w:val="24"/>
        </w:rPr>
        <w:t xml:space="preserve">  </w:t>
      </w:r>
    </w:p>
    <w:p w14:paraId="5AD77762" w14:textId="3BD90D3D"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4.4.4 Rights of Vulnerable Patients</w:t>
      </w:r>
      <w:r>
        <w:rPr>
          <w:rFonts w:ascii="Times New Roman" w:hAnsi="Times New Roman" w:cs="Times New Roman"/>
          <w:sz w:val="24"/>
          <w:szCs w:val="24"/>
        </w:rPr>
        <w:t xml:space="preserve"> ............................................</w:t>
      </w:r>
      <w:r w:rsidR="0079352F">
        <w:rPr>
          <w:rFonts w:ascii="Times New Roman" w:hAnsi="Times New Roman" w:cs="Times New Roman"/>
          <w:sz w:val="24"/>
          <w:szCs w:val="24"/>
        </w:rPr>
        <w:t>.............................................</w:t>
      </w:r>
      <w:r w:rsidR="00A25767">
        <w:rPr>
          <w:rFonts w:ascii="Times New Roman" w:hAnsi="Times New Roman" w:cs="Times New Roman"/>
          <w:sz w:val="24"/>
          <w:szCs w:val="24"/>
        </w:rPr>
        <w:t>75</w:t>
      </w:r>
    </w:p>
    <w:p w14:paraId="170BCF02" w14:textId="19966D59" w:rsidR="00C61614"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4.5 Emerging Global Trends and Lessons for Nigeria</w:t>
      </w:r>
      <w:r>
        <w:rPr>
          <w:rFonts w:ascii="Times New Roman" w:hAnsi="Times New Roman" w:cs="Times New Roman"/>
          <w:sz w:val="24"/>
          <w:szCs w:val="24"/>
        </w:rPr>
        <w:t xml:space="preserve"> .............................................</w:t>
      </w:r>
      <w:r w:rsidR="0079352F">
        <w:rPr>
          <w:rFonts w:ascii="Times New Roman" w:hAnsi="Times New Roman" w:cs="Times New Roman"/>
          <w:sz w:val="24"/>
          <w:szCs w:val="24"/>
        </w:rPr>
        <w:t>...............</w:t>
      </w:r>
      <w:r w:rsidR="00A25767">
        <w:rPr>
          <w:rFonts w:ascii="Times New Roman" w:hAnsi="Times New Roman" w:cs="Times New Roman"/>
          <w:sz w:val="24"/>
          <w:szCs w:val="24"/>
        </w:rPr>
        <w:t>76</w:t>
      </w:r>
      <w:r w:rsidR="007F7F87">
        <w:rPr>
          <w:rFonts w:ascii="Times New Roman" w:hAnsi="Times New Roman" w:cs="Times New Roman"/>
          <w:sz w:val="24"/>
          <w:szCs w:val="24"/>
        </w:rPr>
        <w:t xml:space="preserve"> </w:t>
      </w:r>
    </w:p>
    <w:p w14:paraId="19C178AE" w14:textId="77777777" w:rsidR="004A6527" w:rsidRDefault="00C61614" w:rsidP="00C61614">
      <w:pPr>
        <w:spacing w:line="480" w:lineRule="auto"/>
        <w:rPr>
          <w:rFonts w:ascii="Times New Roman" w:hAnsi="Times New Roman" w:cs="Times New Roman"/>
          <w:b/>
          <w:bCs/>
          <w:sz w:val="24"/>
          <w:szCs w:val="24"/>
        </w:rPr>
      </w:pPr>
      <w:r w:rsidRPr="00C82E11">
        <w:rPr>
          <w:rFonts w:ascii="Times New Roman" w:hAnsi="Times New Roman" w:cs="Times New Roman"/>
          <w:b/>
          <w:bCs/>
          <w:sz w:val="24"/>
          <w:szCs w:val="24"/>
        </w:rPr>
        <w:t>CHAPTER FIVE</w:t>
      </w:r>
    </w:p>
    <w:p w14:paraId="2030892F" w14:textId="66A3174B" w:rsidR="00C61614" w:rsidRPr="00C82E11" w:rsidRDefault="00C61614" w:rsidP="00C61614">
      <w:pPr>
        <w:spacing w:line="480" w:lineRule="auto"/>
        <w:rPr>
          <w:rFonts w:ascii="Times New Roman" w:hAnsi="Times New Roman" w:cs="Times New Roman"/>
          <w:b/>
          <w:bCs/>
          <w:sz w:val="24"/>
          <w:szCs w:val="24"/>
        </w:rPr>
      </w:pPr>
      <w:r w:rsidRPr="00C82E11">
        <w:rPr>
          <w:rFonts w:ascii="Times New Roman" w:hAnsi="Times New Roman" w:cs="Times New Roman"/>
          <w:b/>
          <w:bCs/>
          <w:sz w:val="24"/>
          <w:szCs w:val="24"/>
        </w:rPr>
        <w:t xml:space="preserve">SUMMARY, </w:t>
      </w:r>
      <w:r>
        <w:rPr>
          <w:rFonts w:ascii="Times New Roman" w:hAnsi="Times New Roman" w:cs="Times New Roman"/>
          <w:b/>
          <w:bCs/>
          <w:sz w:val="24"/>
          <w:szCs w:val="24"/>
        </w:rPr>
        <w:t>CONCLUSION,</w:t>
      </w:r>
      <w:r w:rsidRPr="00C82E11">
        <w:rPr>
          <w:rFonts w:ascii="Times New Roman" w:hAnsi="Times New Roman" w:cs="Times New Roman"/>
          <w:b/>
          <w:bCs/>
          <w:sz w:val="24"/>
          <w:szCs w:val="24"/>
        </w:rPr>
        <w:t xml:space="preserve"> AND RECOMMENDATION </w:t>
      </w:r>
    </w:p>
    <w:p w14:paraId="010B8667" w14:textId="118E6905"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5.1 Summary of Findings</w:t>
      </w:r>
      <w:r>
        <w:rPr>
          <w:rFonts w:ascii="Times New Roman" w:hAnsi="Times New Roman" w:cs="Times New Roman"/>
          <w:sz w:val="24"/>
          <w:szCs w:val="24"/>
        </w:rPr>
        <w:t xml:space="preserve"> ..............................................</w:t>
      </w:r>
      <w:r w:rsidR="0079352F">
        <w:rPr>
          <w:rFonts w:ascii="Times New Roman" w:hAnsi="Times New Roman" w:cs="Times New Roman"/>
          <w:sz w:val="24"/>
          <w:szCs w:val="24"/>
        </w:rPr>
        <w:t>........................................................</w:t>
      </w:r>
      <w:r w:rsidR="0084558A">
        <w:rPr>
          <w:rFonts w:ascii="Times New Roman" w:hAnsi="Times New Roman" w:cs="Times New Roman"/>
          <w:sz w:val="24"/>
          <w:szCs w:val="24"/>
        </w:rPr>
        <w:t>.</w:t>
      </w:r>
      <w:r w:rsidR="00A25767">
        <w:rPr>
          <w:rFonts w:ascii="Times New Roman" w:hAnsi="Times New Roman" w:cs="Times New Roman"/>
          <w:sz w:val="24"/>
          <w:szCs w:val="24"/>
        </w:rPr>
        <w:t>78</w:t>
      </w:r>
    </w:p>
    <w:p w14:paraId="322FC4FB" w14:textId="48BA2E52"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 xml:space="preserve">5.2 Recommendations </w:t>
      </w:r>
      <w:r>
        <w:rPr>
          <w:rFonts w:ascii="Times New Roman" w:hAnsi="Times New Roman" w:cs="Times New Roman"/>
          <w:sz w:val="24"/>
          <w:szCs w:val="24"/>
        </w:rPr>
        <w:t>....................................................</w:t>
      </w:r>
      <w:r w:rsidR="0084558A">
        <w:rPr>
          <w:rFonts w:ascii="Times New Roman" w:hAnsi="Times New Roman" w:cs="Times New Roman"/>
          <w:sz w:val="24"/>
          <w:szCs w:val="24"/>
        </w:rPr>
        <w:t>........................................................</w:t>
      </w:r>
      <w:r w:rsidR="00A25767">
        <w:rPr>
          <w:rFonts w:ascii="Times New Roman" w:hAnsi="Times New Roman" w:cs="Times New Roman"/>
          <w:sz w:val="24"/>
          <w:szCs w:val="24"/>
        </w:rPr>
        <w:t>79</w:t>
      </w:r>
    </w:p>
    <w:p w14:paraId="6DA4A76D" w14:textId="2B5197F3" w:rsidR="00C61614" w:rsidRPr="00C82E11" w:rsidRDefault="00C61614" w:rsidP="00C61614">
      <w:pPr>
        <w:spacing w:line="480" w:lineRule="auto"/>
        <w:rPr>
          <w:rFonts w:ascii="Times New Roman" w:hAnsi="Times New Roman" w:cs="Times New Roman"/>
          <w:sz w:val="24"/>
          <w:szCs w:val="24"/>
        </w:rPr>
      </w:pPr>
      <w:r w:rsidRPr="00C82E11">
        <w:rPr>
          <w:rFonts w:ascii="Times New Roman" w:hAnsi="Times New Roman" w:cs="Times New Roman"/>
          <w:sz w:val="24"/>
          <w:szCs w:val="24"/>
        </w:rPr>
        <w:t>5.3 Conclusion</w:t>
      </w:r>
      <w:r>
        <w:rPr>
          <w:rFonts w:ascii="Times New Roman" w:hAnsi="Times New Roman" w:cs="Times New Roman"/>
          <w:sz w:val="24"/>
          <w:szCs w:val="24"/>
        </w:rPr>
        <w:t xml:space="preserve"> ...................................................</w:t>
      </w:r>
      <w:r w:rsidR="0084558A">
        <w:rPr>
          <w:rFonts w:ascii="Times New Roman" w:hAnsi="Times New Roman" w:cs="Times New Roman"/>
          <w:sz w:val="24"/>
          <w:szCs w:val="24"/>
        </w:rPr>
        <w:t>.....................................................................</w:t>
      </w:r>
      <w:r w:rsidR="00A25767">
        <w:rPr>
          <w:rFonts w:ascii="Times New Roman" w:hAnsi="Times New Roman" w:cs="Times New Roman"/>
          <w:sz w:val="24"/>
          <w:szCs w:val="24"/>
        </w:rPr>
        <w:t>79</w:t>
      </w:r>
    </w:p>
    <w:p w14:paraId="60B7E88F" w14:textId="0C316AA4" w:rsidR="00C61614" w:rsidRDefault="00C61614" w:rsidP="00C61614">
      <w:pPr>
        <w:spacing w:line="480" w:lineRule="auto"/>
        <w:rPr>
          <w:rFonts w:ascii="Times New Roman" w:hAnsi="Times New Roman" w:cs="Times New Roman"/>
          <w:b/>
          <w:bCs/>
          <w:sz w:val="24"/>
          <w:szCs w:val="24"/>
        </w:rPr>
      </w:pPr>
      <w:r w:rsidRPr="00C82E11">
        <w:rPr>
          <w:rFonts w:ascii="Times New Roman" w:hAnsi="Times New Roman" w:cs="Times New Roman"/>
          <w:b/>
          <w:bCs/>
          <w:sz w:val="24"/>
          <w:szCs w:val="24"/>
        </w:rPr>
        <w:t>BIBLIOGRAPHY</w:t>
      </w:r>
      <w:r w:rsidR="006F52CD">
        <w:rPr>
          <w:rFonts w:ascii="Times New Roman" w:hAnsi="Times New Roman" w:cs="Times New Roman"/>
          <w:b/>
          <w:bCs/>
          <w:sz w:val="24"/>
          <w:szCs w:val="24"/>
        </w:rPr>
        <w:t xml:space="preserve"> </w:t>
      </w:r>
      <w:r w:rsidR="00E04B1B">
        <w:rPr>
          <w:rFonts w:ascii="Times New Roman" w:hAnsi="Times New Roman" w:cs="Times New Roman"/>
          <w:b/>
          <w:bCs/>
          <w:sz w:val="24"/>
          <w:szCs w:val="24"/>
        </w:rPr>
        <w:t>……………………………</w:t>
      </w:r>
      <w:r w:rsidR="0084558A">
        <w:rPr>
          <w:rFonts w:ascii="Times New Roman" w:hAnsi="Times New Roman" w:cs="Times New Roman"/>
          <w:b/>
          <w:bCs/>
          <w:sz w:val="24"/>
          <w:szCs w:val="24"/>
        </w:rPr>
        <w:t>…………………………………………….</w:t>
      </w:r>
      <w:r w:rsidR="00E04B1B">
        <w:rPr>
          <w:rFonts w:ascii="Times New Roman" w:hAnsi="Times New Roman" w:cs="Times New Roman"/>
          <w:b/>
          <w:bCs/>
          <w:sz w:val="24"/>
          <w:szCs w:val="24"/>
        </w:rPr>
        <w:t>8</w:t>
      </w:r>
      <w:r w:rsidR="00F97E16">
        <w:rPr>
          <w:rFonts w:ascii="Times New Roman" w:hAnsi="Times New Roman" w:cs="Times New Roman"/>
          <w:b/>
          <w:bCs/>
          <w:sz w:val="24"/>
          <w:szCs w:val="24"/>
        </w:rPr>
        <w:t>2</w:t>
      </w:r>
    </w:p>
    <w:p w14:paraId="0A61A406" w14:textId="77777777" w:rsidR="00C61614" w:rsidRDefault="00C61614" w:rsidP="00C61614">
      <w:pPr>
        <w:spacing w:line="480" w:lineRule="auto"/>
        <w:rPr>
          <w:rFonts w:ascii="Times New Roman" w:hAnsi="Times New Roman" w:cs="Times New Roman"/>
          <w:b/>
          <w:bCs/>
          <w:sz w:val="24"/>
          <w:szCs w:val="24"/>
        </w:rPr>
      </w:pPr>
    </w:p>
    <w:p w14:paraId="5EDE2723" w14:textId="77777777" w:rsidR="00C61614" w:rsidRDefault="00C61614" w:rsidP="00C61614">
      <w:pPr>
        <w:spacing w:line="480" w:lineRule="auto"/>
        <w:rPr>
          <w:rFonts w:ascii="Times New Roman" w:hAnsi="Times New Roman" w:cs="Times New Roman"/>
          <w:b/>
          <w:bCs/>
          <w:sz w:val="24"/>
          <w:szCs w:val="24"/>
        </w:rPr>
      </w:pPr>
    </w:p>
    <w:p w14:paraId="0B9042F5" w14:textId="77777777" w:rsidR="00C61614" w:rsidRDefault="00C61614" w:rsidP="00C61614">
      <w:pPr>
        <w:spacing w:line="480" w:lineRule="auto"/>
        <w:jc w:val="center"/>
        <w:rPr>
          <w:rFonts w:ascii="Times New Roman" w:hAnsi="Times New Roman" w:cs="Times New Roman"/>
          <w:b/>
          <w:bCs/>
          <w:sz w:val="24"/>
          <w:szCs w:val="24"/>
        </w:rPr>
      </w:pPr>
    </w:p>
    <w:p w14:paraId="46311C4F" w14:textId="77777777" w:rsidR="00C61614" w:rsidRDefault="00C61614" w:rsidP="00C448A6">
      <w:pPr>
        <w:spacing w:line="480" w:lineRule="auto"/>
        <w:rPr>
          <w:rFonts w:ascii="Times New Roman" w:hAnsi="Times New Roman" w:cs="Times New Roman"/>
          <w:sz w:val="24"/>
        </w:rPr>
      </w:pPr>
    </w:p>
    <w:p w14:paraId="0DC2416D" w14:textId="77777777" w:rsidR="00957E02" w:rsidRDefault="00957E02" w:rsidP="00C448A6">
      <w:pPr>
        <w:spacing w:line="480" w:lineRule="auto"/>
        <w:rPr>
          <w:rFonts w:ascii="Times New Roman" w:hAnsi="Times New Roman" w:cs="Times New Roman"/>
          <w:sz w:val="24"/>
        </w:rPr>
      </w:pPr>
    </w:p>
    <w:p w14:paraId="3F957AB1" w14:textId="784691D9" w:rsidR="00720B76" w:rsidRPr="00720B76" w:rsidRDefault="00720B76" w:rsidP="00720B76">
      <w:pPr>
        <w:spacing w:line="480" w:lineRule="auto"/>
        <w:jc w:val="center"/>
        <w:rPr>
          <w:rFonts w:ascii="Times New Roman" w:hAnsi="Times New Roman" w:cs="Times New Roman"/>
          <w:b/>
          <w:bCs/>
          <w:sz w:val="24"/>
        </w:rPr>
      </w:pPr>
      <w:r w:rsidRPr="00720B76">
        <w:rPr>
          <w:rFonts w:ascii="Times New Roman" w:hAnsi="Times New Roman" w:cs="Times New Roman"/>
          <w:b/>
          <w:bCs/>
          <w:sz w:val="24"/>
        </w:rPr>
        <w:lastRenderedPageBreak/>
        <w:t>LIST OF CASES</w:t>
      </w:r>
    </w:p>
    <w:p w14:paraId="4656242C" w14:textId="77777777" w:rsidR="00720B76" w:rsidRPr="00720B76" w:rsidRDefault="00720B76" w:rsidP="00720B76">
      <w:pPr>
        <w:spacing w:after="120" w:line="240" w:lineRule="auto"/>
        <w:ind w:left="720" w:hanging="720"/>
        <w:rPr>
          <w:rFonts w:ascii="Times New Roman" w:eastAsia="Times New Roman" w:hAnsi="Times New Roman" w:cs="Times New Roman"/>
          <w:kern w:val="0"/>
          <w:sz w:val="20"/>
          <w:szCs w:val="20"/>
          <w14:ligatures w14:val="none"/>
        </w:rPr>
      </w:pPr>
      <w:r w:rsidRPr="00720B76">
        <w:rPr>
          <w:rFonts w:ascii="Times New Roman" w:eastAsia="Times New Roman" w:hAnsi="Times New Roman" w:cs="Times New Roman"/>
          <w:i/>
          <w:iCs/>
          <w:kern w:val="0"/>
          <w:sz w:val="24"/>
          <w:szCs w:val="24"/>
          <w14:ligatures w14:val="none"/>
        </w:rPr>
        <w:t xml:space="preserve">A S Mittal v State of UP </w:t>
      </w:r>
      <w:r w:rsidRPr="00720B76">
        <w:rPr>
          <w:rFonts w:ascii="Times New Roman" w:eastAsia="Times New Roman" w:hAnsi="Times New Roman" w:cs="Times New Roman"/>
          <w:kern w:val="0"/>
          <w:sz w:val="24"/>
          <w:szCs w:val="24"/>
          <w14:ligatures w14:val="none"/>
        </w:rPr>
        <w:t>(1989) AIR SC 1570</w:t>
      </w:r>
    </w:p>
    <w:p w14:paraId="71B68CDD" w14:textId="77777777" w:rsidR="00720B76" w:rsidRPr="00720B76" w:rsidRDefault="00720B76" w:rsidP="00720B76">
      <w:pPr>
        <w:spacing w:after="120" w:line="240" w:lineRule="auto"/>
        <w:ind w:left="720" w:hanging="720"/>
        <w:rPr>
          <w:rFonts w:ascii="Times New Roman" w:eastAsia="Times New Roman" w:hAnsi="Times New Roman" w:cs="Times New Roman"/>
          <w:kern w:val="0"/>
          <w:sz w:val="20"/>
          <w:szCs w:val="20"/>
          <w14:ligatures w14:val="none"/>
        </w:rPr>
      </w:pPr>
      <w:r w:rsidRPr="00720B76">
        <w:rPr>
          <w:rFonts w:ascii="Times New Roman" w:eastAsia="Times New Roman" w:hAnsi="Times New Roman" w:cs="Times New Roman"/>
          <w:i/>
          <w:iCs/>
          <w:kern w:val="0"/>
          <w:sz w:val="24"/>
          <w:szCs w:val="24"/>
          <w14:ligatures w14:val="none"/>
        </w:rPr>
        <w:t xml:space="preserve">Akerele v R </w:t>
      </w:r>
      <w:r w:rsidRPr="00720B76">
        <w:rPr>
          <w:rFonts w:ascii="Times New Roman" w:eastAsia="Times New Roman" w:hAnsi="Times New Roman" w:cs="Times New Roman"/>
          <w:kern w:val="0"/>
          <w:sz w:val="24"/>
          <w:szCs w:val="24"/>
          <w14:ligatures w14:val="none"/>
        </w:rPr>
        <w:t>(1942) 8 WACA 5</w:t>
      </w:r>
    </w:p>
    <w:p w14:paraId="0346F52C" w14:textId="77777777" w:rsidR="00720B76" w:rsidRPr="00720B76" w:rsidRDefault="00720B76" w:rsidP="00720B76">
      <w:pPr>
        <w:spacing w:after="120" w:line="240" w:lineRule="auto"/>
        <w:ind w:left="720" w:hanging="720"/>
        <w:rPr>
          <w:rFonts w:ascii="Times New Roman" w:eastAsia="Times New Roman" w:hAnsi="Times New Roman" w:cs="Times New Roman"/>
          <w:kern w:val="0"/>
          <w:sz w:val="20"/>
          <w:szCs w:val="20"/>
          <w14:ligatures w14:val="none"/>
        </w:rPr>
      </w:pPr>
      <w:r w:rsidRPr="00720B76">
        <w:rPr>
          <w:rFonts w:ascii="Times New Roman" w:eastAsia="Times New Roman" w:hAnsi="Times New Roman" w:cs="Times New Roman"/>
          <w:i/>
          <w:iCs/>
          <w:kern w:val="0"/>
          <w:sz w:val="24"/>
          <w:szCs w:val="24"/>
          <w14:ligatures w14:val="none"/>
        </w:rPr>
        <w:t xml:space="preserve">Bolam v Friern Hospital Management Committee </w:t>
      </w:r>
      <w:r w:rsidRPr="00720B76">
        <w:rPr>
          <w:rFonts w:ascii="Times New Roman" w:eastAsia="Times New Roman" w:hAnsi="Times New Roman" w:cs="Times New Roman"/>
          <w:kern w:val="0"/>
          <w:sz w:val="24"/>
          <w:szCs w:val="24"/>
          <w14:ligatures w14:val="none"/>
        </w:rPr>
        <w:t>[1957] 1 WLR 582</w:t>
      </w:r>
    </w:p>
    <w:p w14:paraId="54384843" w14:textId="77777777" w:rsidR="00720B76" w:rsidRPr="00720B76" w:rsidRDefault="00720B76" w:rsidP="00720B76">
      <w:pPr>
        <w:spacing w:after="120" w:line="240" w:lineRule="auto"/>
        <w:ind w:left="720" w:hanging="720"/>
        <w:rPr>
          <w:rFonts w:ascii="Times New Roman" w:eastAsia="Times New Roman" w:hAnsi="Times New Roman" w:cs="Times New Roman"/>
          <w:kern w:val="0"/>
          <w:sz w:val="20"/>
          <w:szCs w:val="20"/>
          <w14:ligatures w14:val="none"/>
        </w:rPr>
      </w:pPr>
      <w:r w:rsidRPr="00720B76">
        <w:rPr>
          <w:rFonts w:ascii="Times New Roman" w:eastAsia="Times New Roman" w:hAnsi="Times New Roman" w:cs="Times New Roman"/>
          <w:i/>
          <w:iCs/>
          <w:kern w:val="0"/>
          <w:sz w:val="24"/>
          <w:szCs w:val="24"/>
          <w14:ligatures w14:val="none"/>
        </w:rPr>
        <w:t xml:space="preserve">Dr Laxman Balkrishna Joshi v Dr Trimbark Babu Godbole and Anor </w:t>
      </w:r>
      <w:r w:rsidRPr="00720B76">
        <w:rPr>
          <w:rFonts w:ascii="Times New Roman" w:eastAsia="Times New Roman" w:hAnsi="Times New Roman" w:cs="Times New Roman"/>
          <w:kern w:val="0"/>
          <w:sz w:val="24"/>
          <w:szCs w:val="24"/>
          <w14:ligatures w14:val="none"/>
        </w:rPr>
        <w:t>(1969) AIR SC 128</w:t>
      </w:r>
    </w:p>
    <w:p w14:paraId="0E3923C9" w14:textId="77777777" w:rsidR="00720B76" w:rsidRPr="00720B76" w:rsidRDefault="00720B76" w:rsidP="00720B76">
      <w:pPr>
        <w:spacing w:after="120" w:line="240" w:lineRule="auto"/>
        <w:ind w:left="720" w:hanging="720"/>
        <w:rPr>
          <w:rFonts w:ascii="Times New Roman" w:eastAsia="Times New Roman" w:hAnsi="Times New Roman" w:cs="Times New Roman"/>
          <w:kern w:val="0"/>
          <w:sz w:val="20"/>
          <w:szCs w:val="20"/>
          <w14:ligatures w14:val="none"/>
        </w:rPr>
      </w:pPr>
      <w:r w:rsidRPr="00720B76">
        <w:rPr>
          <w:rFonts w:ascii="Times New Roman" w:eastAsia="Times New Roman" w:hAnsi="Times New Roman" w:cs="Times New Roman"/>
          <w:i/>
          <w:iCs/>
          <w:kern w:val="0"/>
          <w:sz w:val="24"/>
          <w:szCs w:val="24"/>
          <w14:ligatures w14:val="none"/>
        </w:rPr>
        <w:t xml:space="preserve">Esabunor &amp; Anor v Faweya &amp; Ors </w:t>
      </w:r>
      <w:r w:rsidRPr="00720B76">
        <w:rPr>
          <w:rFonts w:ascii="Times New Roman" w:eastAsia="Times New Roman" w:hAnsi="Times New Roman" w:cs="Times New Roman"/>
          <w:kern w:val="0"/>
          <w:sz w:val="24"/>
          <w:szCs w:val="24"/>
          <w14:ligatures w14:val="none"/>
        </w:rPr>
        <w:t>(2019) LPELR 46961 (SC)</w:t>
      </w:r>
    </w:p>
    <w:p w14:paraId="411EA0A6" w14:textId="77777777" w:rsidR="00720B76" w:rsidRPr="00720B76" w:rsidRDefault="00720B76" w:rsidP="00720B76">
      <w:pPr>
        <w:spacing w:after="120" w:line="240" w:lineRule="auto"/>
        <w:ind w:left="720" w:hanging="720"/>
        <w:rPr>
          <w:rFonts w:ascii="Times New Roman" w:eastAsia="Times New Roman" w:hAnsi="Times New Roman" w:cs="Times New Roman"/>
          <w:kern w:val="0"/>
          <w:sz w:val="20"/>
          <w:szCs w:val="20"/>
          <w14:ligatures w14:val="none"/>
        </w:rPr>
      </w:pPr>
      <w:r w:rsidRPr="00720B76">
        <w:rPr>
          <w:rFonts w:ascii="Times New Roman" w:eastAsia="Times New Roman" w:hAnsi="Times New Roman" w:cs="Times New Roman"/>
          <w:i/>
          <w:iCs/>
          <w:kern w:val="0"/>
          <w:sz w:val="24"/>
          <w:szCs w:val="24"/>
          <w14:ligatures w14:val="none"/>
        </w:rPr>
        <w:t xml:space="preserve">Kim v State </w:t>
      </w:r>
      <w:r w:rsidRPr="00720B76">
        <w:rPr>
          <w:rFonts w:ascii="Times New Roman" w:eastAsia="Times New Roman" w:hAnsi="Times New Roman" w:cs="Times New Roman"/>
          <w:kern w:val="0"/>
          <w:sz w:val="24"/>
          <w:szCs w:val="24"/>
          <w14:ligatures w14:val="none"/>
        </w:rPr>
        <w:t>[1992] 4 NWLR (Pt 233) 17</w:t>
      </w:r>
    </w:p>
    <w:p w14:paraId="4F05D6D9" w14:textId="77777777" w:rsidR="00720B76" w:rsidRPr="00720B76" w:rsidRDefault="00720B76" w:rsidP="00720B76">
      <w:pPr>
        <w:spacing w:after="120" w:line="240" w:lineRule="auto"/>
        <w:ind w:left="720" w:hanging="720"/>
        <w:rPr>
          <w:rFonts w:ascii="Times New Roman" w:eastAsia="Times New Roman" w:hAnsi="Times New Roman" w:cs="Times New Roman"/>
          <w:kern w:val="0"/>
          <w:sz w:val="20"/>
          <w:szCs w:val="20"/>
          <w14:ligatures w14:val="none"/>
        </w:rPr>
      </w:pPr>
      <w:r w:rsidRPr="00720B76">
        <w:rPr>
          <w:rFonts w:ascii="Times New Roman" w:eastAsia="Times New Roman" w:hAnsi="Times New Roman" w:cs="Times New Roman"/>
          <w:i/>
          <w:iCs/>
          <w:kern w:val="0"/>
          <w:sz w:val="24"/>
          <w:szCs w:val="24"/>
          <w14:ligatures w14:val="none"/>
        </w:rPr>
        <w:t xml:space="preserve">Medical and Dental Practitioner Disciplinary Tribunal v Okonkwo </w:t>
      </w:r>
      <w:r w:rsidRPr="00720B76">
        <w:rPr>
          <w:rFonts w:ascii="Times New Roman" w:eastAsia="Times New Roman" w:hAnsi="Times New Roman" w:cs="Times New Roman"/>
          <w:kern w:val="0"/>
          <w:sz w:val="24"/>
          <w:szCs w:val="24"/>
          <w14:ligatures w14:val="none"/>
        </w:rPr>
        <w:t>[2001] 7 NWLR (Pt 711) 79</w:t>
      </w:r>
    </w:p>
    <w:p w14:paraId="2E1014CE" w14:textId="77777777" w:rsidR="00720B76" w:rsidRPr="00720B76" w:rsidRDefault="00720B76" w:rsidP="00720B76">
      <w:pPr>
        <w:spacing w:after="120" w:line="240" w:lineRule="auto"/>
        <w:ind w:left="720" w:hanging="720"/>
        <w:rPr>
          <w:rFonts w:ascii="Times New Roman" w:eastAsia="Times New Roman" w:hAnsi="Times New Roman" w:cs="Times New Roman"/>
          <w:kern w:val="0"/>
          <w:sz w:val="20"/>
          <w:szCs w:val="20"/>
          <w14:ligatures w14:val="none"/>
        </w:rPr>
      </w:pPr>
      <w:r w:rsidRPr="00720B76">
        <w:rPr>
          <w:rFonts w:ascii="Times New Roman" w:eastAsia="Times New Roman" w:hAnsi="Times New Roman" w:cs="Times New Roman"/>
          <w:i/>
          <w:iCs/>
          <w:kern w:val="0"/>
          <w:sz w:val="24"/>
          <w:szCs w:val="24"/>
          <w14:ligatures w14:val="none"/>
        </w:rPr>
        <w:t xml:space="preserve">Raimi Jenyo and F A Aderemi (Administrators of the Estate of Basiratu Raimi (Deceased)) v Akinsanmi Akinreti and Anor </w:t>
      </w:r>
      <w:r w:rsidRPr="00720B76">
        <w:rPr>
          <w:rFonts w:ascii="Times New Roman" w:eastAsia="Times New Roman" w:hAnsi="Times New Roman" w:cs="Times New Roman"/>
          <w:kern w:val="0"/>
          <w:sz w:val="24"/>
          <w:szCs w:val="24"/>
          <w14:ligatures w14:val="none"/>
        </w:rPr>
        <w:t>(1990) NWLR (Pt 135) 663</w:t>
      </w:r>
    </w:p>
    <w:p w14:paraId="39FAF1BC" w14:textId="77777777" w:rsidR="00720B76" w:rsidRPr="00720B76" w:rsidRDefault="00720B76" w:rsidP="00720B76">
      <w:pPr>
        <w:spacing w:after="120" w:line="240" w:lineRule="auto"/>
        <w:ind w:left="720" w:hanging="720"/>
        <w:rPr>
          <w:rFonts w:ascii="Times New Roman" w:eastAsia="Times New Roman" w:hAnsi="Times New Roman" w:cs="Times New Roman"/>
          <w:kern w:val="0"/>
          <w:sz w:val="20"/>
          <w:szCs w:val="20"/>
          <w14:ligatures w14:val="none"/>
        </w:rPr>
      </w:pPr>
      <w:r w:rsidRPr="00720B76">
        <w:rPr>
          <w:rFonts w:ascii="Times New Roman" w:eastAsia="Times New Roman" w:hAnsi="Times New Roman" w:cs="Times New Roman"/>
          <w:i/>
          <w:iCs/>
          <w:kern w:val="0"/>
          <w:sz w:val="24"/>
          <w:szCs w:val="24"/>
          <w14:ligatures w14:val="none"/>
        </w:rPr>
        <w:t xml:space="preserve">Wyatt v Stickney </w:t>
      </w:r>
      <w:r w:rsidRPr="00720B76">
        <w:rPr>
          <w:rFonts w:ascii="Times New Roman" w:eastAsia="Times New Roman" w:hAnsi="Times New Roman" w:cs="Times New Roman"/>
          <w:kern w:val="0"/>
          <w:sz w:val="24"/>
          <w:szCs w:val="24"/>
          <w14:ligatures w14:val="none"/>
        </w:rPr>
        <w:t>325 F Supp 781 (MD Ala 1971)</w:t>
      </w:r>
    </w:p>
    <w:p w14:paraId="678F1E28" w14:textId="77777777" w:rsidR="00C448A6" w:rsidRDefault="00C448A6" w:rsidP="00C448A6">
      <w:pPr>
        <w:spacing w:line="480" w:lineRule="auto"/>
        <w:rPr>
          <w:rFonts w:ascii="Times New Roman" w:hAnsi="Times New Roman" w:cs="Times New Roman"/>
          <w:sz w:val="24"/>
        </w:rPr>
      </w:pPr>
    </w:p>
    <w:p w14:paraId="182F9994" w14:textId="77777777" w:rsidR="0006076B" w:rsidRDefault="0006076B" w:rsidP="00C448A6">
      <w:pPr>
        <w:spacing w:line="480" w:lineRule="auto"/>
        <w:rPr>
          <w:rFonts w:ascii="Times New Roman" w:hAnsi="Times New Roman" w:cs="Times New Roman"/>
          <w:sz w:val="24"/>
        </w:rPr>
      </w:pPr>
    </w:p>
    <w:p w14:paraId="6E1427D4" w14:textId="77777777" w:rsidR="0006076B" w:rsidRDefault="0006076B" w:rsidP="00C448A6">
      <w:pPr>
        <w:spacing w:line="480" w:lineRule="auto"/>
        <w:rPr>
          <w:rFonts w:ascii="Times New Roman" w:hAnsi="Times New Roman" w:cs="Times New Roman"/>
          <w:sz w:val="24"/>
        </w:rPr>
      </w:pPr>
    </w:p>
    <w:p w14:paraId="05AD77AF" w14:textId="77777777" w:rsidR="0006076B" w:rsidRDefault="0006076B" w:rsidP="00C448A6">
      <w:pPr>
        <w:spacing w:line="480" w:lineRule="auto"/>
        <w:rPr>
          <w:rFonts w:ascii="Times New Roman" w:hAnsi="Times New Roman" w:cs="Times New Roman"/>
          <w:sz w:val="24"/>
        </w:rPr>
      </w:pPr>
    </w:p>
    <w:p w14:paraId="0D297B03" w14:textId="77777777" w:rsidR="0006076B" w:rsidRDefault="0006076B" w:rsidP="00C448A6">
      <w:pPr>
        <w:spacing w:line="480" w:lineRule="auto"/>
        <w:rPr>
          <w:rFonts w:ascii="Times New Roman" w:hAnsi="Times New Roman" w:cs="Times New Roman"/>
          <w:sz w:val="24"/>
        </w:rPr>
      </w:pPr>
    </w:p>
    <w:p w14:paraId="1DABA4D1" w14:textId="77777777" w:rsidR="0006076B" w:rsidRDefault="0006076B" w:rsidP="00C448A6">
      <w:pPr>
        <w:spacing w:line="480" w:lineRule="auto"/>
        <w:rPr>
          <w:rFonts w:ascii="Times New Roman" w:hAnsi="Times New Roman" w:cs="Times New Roman"/>
          <w:sz w:val="24"/>
        </w:rPr>
      </w:pPr>
    </w:p>
    <w:p w14:paraId="621A5CD0" w14:textId="77777777" w:rsidR="0006076B" w:rsidRDefault="0006076B" w:rsidP="00C448A6">
      <w:pPr>
        <w:spacing w:line="480" w:lineRule="auto"/>
        <w:rPr>
          <w:rFonts w:ascii="Times New Roman" w:hAnsi="Times New Roman" w:cs="Times New Roman"/>
          <w:sz w:val="24"/>
        </w:rPr>
      </w:pPr>
    </w:p>
    <w:p w14:paraId="26C36812" w14:textId="77777777" w:rsidR="0006076B" w:rsidRDefault="0006076B" w:rsidP="00C448A6">
      <w:pPr>
        <w:spacing w:line="480" w:lineRule="auto"/>
        <w:rPr>
          <w:rFonts w:ascii="Times New Roman" w:hAnsi="Times New Roman" w:cs="Times New Roman"/>
          <w:sz w:val="24"/>
        </w:rPr>
      </w:pPr>
    </w:p>
    <w:p w14:paraId="0654063B" w14:textId="77777777" w:rsidR="0006076B" w:rsidRDefault="0006076B" w:rsidP="00C448A6">
      <w:pPr>
        <w:spacing w:line="480" w:lineRule="auto"/>
        <w:rPr>
          <w:rFonts w:ascii="Times New Roman" w:hAnsi="Times New Roman" w:cs="Times New Roman"/>
          <w:sz w:val="24"/>
        </w:rPr>
      </w:pPr>
    </w:p>
    <w:p w14:paraId="1CDA6BDB" w14:textId="77777777" w:rsidR="0006076B" w:rsidRDefault="0006076B" w:rsidP="00C448A6">
      <w:pPr>
        <w:spacing w:line="480" w:lineRule="auto"/>
        <w:rPr>
          <w:rFonts w:ascii="Times New Roman" w:hAnsi="Times New Roman" w:cs="Times New Roman"/>
          <w:sz w:val="24"/>
        </w:rPr>
      </w:pPr>
    </w:p>
    <w:p w14:paraId="7CEBDB3E" w14:textId="77777777" w:rsidR="0006076B" w:rsidRDefault="0006076B" w:rsidP="00C448A6">
      <w:pPr>
        <w:spacing w:line="480" w:lineRule="auto"/>
        <w:rPr>
          <w:rFonts w:ascii="Times New Roman" w:hAnsi="Times New Roman" w:cs="Times New Roman"/>
          <w:sz w:val="24"/>
        </w:rPr>
      </w:pPr>
    </w:p>
    <w:p w14:paraId="5E0FC6BE" w14:textId="77777777" w:rsidR="0006076B" w:rsidRDefault="0006076B" w:rsidP="00C448A6">
      <w:pPr>
        <w:spacing w:line="480" w:lineRule="auto"/>
        <w:rPr>
          <w:rFonts w:ascii="Times New Roman" w:hAnsi="Times New Roman" w:cs="Times New Roman"/>
          <w:sz w:val="24"/>
        </w:rPr>
      </w:pPr>
    </w:p>
    <w:p w14:paraId="35E0AA9C" w14:textId="77777777" w:rsidR="0006076B" w:rsidRDefault="0006076B" w:rsidP="00C448A6">
      <w:pPr>
        <w:spacing w:line="480" w:lineRule="auto"/>
        <w:rPr>
          <w:rFonts w:ascii="Times New Roman" w:hAnsi="Times New Roman" w:cs="Times New Roman"/>
          <w:sz w:val="24"/>
        </w:rPr>
      </w:pPr>
    </w:p>
    <w:p w14:paraId="6383C45E" w14:textId="098853F4" w:rsidR="00FF2157" w:rsidRPr="00FF2157" w:rsidRDefault="0006076B" w:rsidP="00FF2157">
      <w:pPr>
        <w:spacing w:line="480" w:lineRule="auto"/>
        <w:jc w:val="center"/>
        <w:rPr>
          <w:rFonts w:ascii="Times New Roman" w:hAnsi="Times New Roman" w:cs="Times New Roman"/>
          <w:b/>
          <w:bCs/>
          <w:sz w:val="24"/>
        </w:rPr>
      </w:pPr>
      <w:r w:rsidRPr="0006076B">
        <w:rPr>
          <w:rFonts w:ascii="Times New Roman" w:hAnsi="Times New Roman" w:cs="Times New Roman"/>
          <w:b/>
          <w:bCs/>
          <w:sz w:val="24"/>
        </w:rPr>
        <w:lastRenderedPageBreak/>
        <w:t>LIST OF STATUTES</w:t>
      </w:r>
    </w:p>
    <w:p w14:paraId="5111410F" w14:textId="77777777" w:rsidR="00FF2157" w:rsidRPr="00FF2157" w:rsidRDefault="00FF2157" w:rsidP="00FF2157">
      <w:pPr>
        <w:spacing w:after="120" w:line="240" w:lineRule="auto"/>
        <w:ind w:left="720" w:hanging="720"/>
        <w:rPr>
          <w:rFonts w:ascii="Times New Roman" w:eastAsia="Times New Roman" w:hAnsi="Times New Roman" w:cs="Times New Roman"/>
          <w:kern w:val="0"/>
          <w:sz w:val="20"/>
          <w:szCs w:val="20"/>
          <w14:ligatures w14:val="none"/>
        </w:rPr>
      </w:pPr>
      <w:r w:rsidRPr="00FF2157">
        <w:rPr>
          <w:rFonts w:ascii="Times New Roman" w:eastAsia="Times New Roman" w:hAnsi="Times New Roman" w:cs="Times New Roman"/>
          <w:kern w:val="0"/>
          <w:sz w:val="24"/>
          <w:szCs w:val="24"/>
          <w14:ligatures w14:val="none"/>
        </w:rPr>
        <w:t>African Charter on Human and Peoples’ Rights 1981</w:t>
      </w:r>
    </w:p>
    <w:p w14:paraId="1DF9C068" w14:textId="77777777" w:rsidR="00FF2157" w:rsidRPr="00FF2157" w:rsidRDefault="00FF2157" w:rsidP="00FF2157">
      <w:pPr>
        <w:spacing w:after="120" w:line="240" w:lineRule="auto"/>
        <w:ind w:left="720" w:hanging="720"/>
        <w:rPr>
          <w:rFonts w:ascii="Times New Roman" w:eastAsia="Times New Roman" w:hAnsi="Times New Roman" w:cs="Times New Roman"/>
          <w:kern w:val="0"/>
          <w:sz w:val="20"/>
          <w:szCs w:val="20"/>
          <w14:ligatures w14:val="none"/>
        </w:rPr>
      </w:pPr>
      <w:r w:rsidRPr="00FF2157">
        <w:rPr>
          <w:rFonts w:ascii="Times New Roman" w:eastAsia="Times New Roman" w:hAnsi="Times New Roman" w:cs="Times New Roman"/>
          <w:kern w:val="0"/>
          <w:sz w:val="24"/>
          <w:szCs w:val="24"/>
          <w14:ligatures w14:val="none"/>
        </w:rPr>
        <w:t>Child Rights Act, Cap C50, LFN 2004</w:t>
      </w:r>
    </w:p>
    <w:p w14:paraId="11571519" w14:textId="77777777" w:rsidR="00FF2157" w:rsidRPr="00FF2157" w:rsidRDefault="00FF2157" w:rsidP="00FF2157">
      <w:pPr>
        <w:spacing w:after="120" w:line="240" w:lineRule="auto"/>
        <w:ind w:left="720" w:hanging="720"/>
        <w:rPr>
          <w:rFonts w:ascii="Times New Roman" w:eastAsia="Times New Roman" w:hAnsi="Times New Roman" w:cs="Times New Roman"/>
          <w:kern w:val="0"/>
          <w:sz w:val="20"/>
          <w:szCs w:val="20"/>
          <w14:ligatures w14:val="none"/>
        </w:rPr>
      </w:pPr>
      <w:r w:rsidRPr="00FF2157">
        <w:rPr>
          <w:rFonts w:ascii="Times New Roman" w:eastAsia="Times New Roman" w:hAnsi="Times New Roman" w:cs="Times New Roman"/>
          <w:kern w:val="0"/>
          <w:sz w:val="24"/>
          <w:szCs w:val="24"/>
          <w14:ligatures w14:val="none"/>
        </w:rPr>
        <w:t>Constitution of the Federal Republic of Nigeria 1999 (as amended)</w:t>
      </w:r>
    </w:p>
    <w:p w14:paraId="54D12637" w14:textId="77777777" w:rsidR="00FF2157" w:rsidRPr="00FF2157" w:rsidRDefault="00FF2157" w:rsidP="00FF2157">
      <w:pPr>
        <w:spacing w:after="120" w:line="240" w:lineRule="auto"/>
        <w:ind w:left="720" w:hanging="720"/>
        <w:rPr>
          <w:rFonts w:ascii="Times New Roman" w:eastAsia="Times New Roman" w:hAnsi="Times New Roman" w:cs="Times New Roman"/>
          <w:kern w:val="0"/>
          <w:sz w:val="20"/>
          <w:szCs w:val="20"/>
          <w14:ligatures w14:val="none"/>
        </w:rPr>
      </w:pPr>
      <w:r w:rsidRPr="00FF2157">
        <w:rPr>
          <w:rFonts w:ascii="Times New Roman" w:eastAsia="Times New Roman" w:hAnsi="Times New Roman" w:cs="Times New Roman"/>
          <w:kern w:val="0"/>
          <w:sz w:val="24"/>
          <w:szCs w:val="24"/>
          <w14:ligatures w14:val="none"/>
        </w:rPr>
        <w:t>Consumer Protection Council Act, Cap C25, LFN 2004</w:t>
      </w:r>
    </w:p>
    <w:p w14:paraId="76B3E66A" w14:textId="77777777" w:rsidR="00FF2157" w:rsidRPr="00FF2157" w:rsidRDefault="00FF2157" w:rsidP="00FF2157">
      <w:pPr>
        <w:spacing w:after="120" w:line="240" w:lineRule="auto"/>
        <w:ind w:left="720" w:hanging="720"/>
        <w:rPr>
          <w:rFonts w:ascii="Times New Roman" w:eastAsia="Times New Roman" w:hAnsi="Times New Roman" w:cs="Times New Roman"/>
          <w:kern w:val="0"/>
          <w:sz w:val="20"/>
          <w:szCs w:val="20"/>
          <w14:ligatures w14:val="none"/>
        </w:rPr>
      </w:pPr>
      <w:r w:rsidRPr="00FF2157">
        <w:rPr>
          <w:rFonts w:ascii="Times New Roman" w:eastAsia="Times New Roman" w:hAnsi="Times New Roman" w:cs="Times New Roman"/>
          <w:kern w:val="0"/>
          <w:sz w:val="24"/>
          <w:szCs w:val="24"/>
          <w14:ligatures w14:val="none"/>
        </w:rPr>
        <w:t>European Union Charter of Fundamental Rights 2000</w:t>
      </w:r>
    </w:p>
    <w:p w14:paraId="6E9B79EC" w14:textId="77777777" w:rsidR="00FF2157" w:rsidRPr="00FF2157" w:rsidRDefault="00FF2157" w:rsidP="00FF2157">
      <w:pPr>
        <w:spacing w:after="120" w:line="240" w:lineRule="auto"/>
        <w:ind w:left="720" w:hanging="720"/>
        <w:rPr>
          <w:rFonts w:ascii="Times New Roman" w:eastAsia="Times New Roman" w:hAnsi="Times New Roman" w:cs="Times New Roman"/>
          <w:kern w:val="0"/>
          <w:sz w:val="20"/>
          <w:szCs w:val="20"/>
          <w14:ligatures w14:val="none"/>
        </w:rPr>
      </w:pPr>
      <w:r w:rsidRPr="00FF2157">
        <w:rPr>
          <w:rFonts w:ascii="Times New Roman" w:eastAsia="Times New Roman" w:hAnsi="Times New Roman" w:cs="Times New Roman"/>
          <w:kern w:val="0"/>
          <w:sz w:val="24"/>
          <w:szCs w:val="24"/>
          <w14:ligatures w14:val="none"/>
        </w:rPr>
        <w:t>Federal Competition and Consumer Protection Act 2018</w:t>
      </w:r>
    </w:p>
    <w:p w14:paraId="5DA157E1" w14:textId="77777777" w:rsidR="00FF2157" w:rsidRPr="00FF2157" w:rsidRDefault="00FF2157" w:rsidP="00FF2157">
      <w:pPr>
        <w:spacing w:after="120" w:line="240" w:lineRule="auto"/>
        <w:ind w:left="720" w:hanging="720"/>
        <w:rPr>
          <w:rFonts w:ascii="Times New Roman" w:eastAsia="Times New Roman" w:hAnsi="Times New Roman" w:cs="Times New Roman"/>
          <w:kern w:val="0"/>
          <w:sz w:val="20"/>
          <w:szCs w:val="20"/>
          <w14:ligatures w14:val="none"/>
        </w:rPr>
      </w:pPr>
      <w:r w:rsidRPr="00FF2157">
        <w:rPr>
          <w:rFonts w:ascii="Times New Roman" w:eastAsia="Times New Roman" w:hAnsi="Times New Roman" w:cs="Times New Roman"/>
          <w:kern w:val="0"/>
          <w:sz w:val="24"/>
          <w:szCs w:val="24"/>
          <w14:ligatures w14:val="none"/>
        </w:rPr>
        <w:t>Freedom of Information Act 2011</w:t>
      </w:r>
    </w:p>
    <w:p w14:paraId="11B54A67" w14:textId="77777777" w:rsidR="00FF2157" w:rsidRPr="00FF2157" w:rsidRDefault="00FF2157" w:rsidP="00FF2157">
      <w:pPr>
        <w:spacing w:after="120" w:line="240" w:lineRule="auto"/>
        <w:ind w:left="720" w:hanging="720"/>
        <w:rPr>
          <w:rFonts w:ascii="Times New Roman" w:eastAsia="Times New Roman" w:hAnsi="Times New Roman" w:cs="Times New Roman"/>
          <w:kern w:val="0"/>
          <w:sz w:val="20"/>
          <w:szCs w:val="20"/>
          <w14:ligatures w14:val="none"/>
        </w:rPr>
      </w:pPr>
      <w:r w:rsidRPr="00FF2157">
        <w:rPr>
          <w:rFonts w:ascii="Times New Roman" w:eastAsia="Times New Roman" w:hAnsi="Times New Roman" w:cs="Times New Roman"/>
          <w:kern w:val="0"/>
          <w:sz w:val="24"/>
          <w:szCs w:val="24"/>
          <w14:ligatures w14:val="none"/>
        </w:rPr>
        <w:t>HIV and AIDS (Anti-Discrimination) Act 2004</w:t>
      </w:r>
    </w:p>
    <w:p w14:paraId="72F407F7" w14:textId="77777777" w:rsidR="00FF2157" w:rsidRPr="00FF2157" w:rsidRDefault="00FF2157" w:rsidP="00FF2157">
      <w:pPr>
        <w:spacing w:after="120" w:line="240" w:lineRule="auto"/>
        <w:ind w:left="720" w:hanging="720"/>
        <w:rPr>
          <w:rFonts w:ascii="Times New Roman" w:eastAsia="Times New Roman" w:hAnsi="Times New Roman" w:cs="Times New Roman"/>
          <w:kern w:val="0"/>
          <w:sz w:val="20"/>
          <w:szCs w:val="20"/>
          <w14:ligatures w14:val="none"/>
        </w:rPr>
      </w:pPr>
      <w:r w:rsidRPr="00FF2157">
        <w:rPr>
          <w:rFonts w:ascii="Times New Roman" w:eastAsia="Times New Roman" w:hAnsi="Times New Roman" w:cs="Times New Roman"/>
          <w:kern w:val="0"/>
          <w:sz w:val="24"/>
          <w:szCs w:val="24"/>
          <w14:ligatures w14:val="none"/>
        </w:rPr>
        <w:t>Medical and Dental Practitioners Act, Cap M8, LFN 2004</w:t>
      </w:r>
    </w:p>
    <w:p w14:paraId="16E27190" w14:textId="77777777" w:rsidR="00FF2157" w:rsidRPr="00FF2157" w:rsidRDefault="00FF2157" w:rsidP="00FF2157">
      <w:pPr>
        <w:spacing w:after="120" w:line="240" w:lineRule="auto"/>
        <w:ind w:left="720" w:hanging="720"/>
        <w:rPr>
          <w:rFonts w:ascii="Times New Roman" w:eastAsia="Times New Roman" w:hAnsi="Times New Roman" w:cs="Times New Roman"/>
          <w:kern w:val="0"/>
          <w:sz w:val="20"/>
          <w:szCs w:val="20"/>
          <w14:ligatures w14:val="none"/>
        </w:rPr>
      </w:pPr>
      <w:r w:rsidRPr="00FF2157">
        <w:rPr>
          <w:rFonts w:ascii="Times New Roman" w:eastAsia="Times New Roman" w:hAnsi="Times New Roman" w:cs="Times New Roman"/>
          <w:kern w:val="0"/>
          <w:sz w:val="24"/>
          <w:szCs w:val="24"/>
          <w14:ligatures w14:val="none"/>
        </w:rPr>
        <w:t>National Health Act 2014</w:t>
      </w:r>
    </w:p>
    <w:p w14:paraId="082B6B45" w14:textId="77777777" w:rsidR="00FF2157" w:rsidRPr="00FF2157" w:rsidRDefault="00FF2157" w:rsidP="00FF2157">
      <w:pPr>
        <w:spacing w:after="120" w:line="240" w:lineRule="auto"/>
        <w:ind w:left="720" w:hanging="720"/>
        <w:rPr>
          <w:rFonts w:ascii="Times New Roman" w:eastAsia="Times New Roman" w:hAnsi="Times New Roman" w:cs="Times New Roman"/>
          <w:kern w:val="0"/>
          <w:sz w:val="20"/>
          <w:szCs w:val="20"/>
          <w14:ligatures w14:val="none"/>
        </w:rPr>
      </w:pPr>
      <w:r w:rsidRPr="00FF2157">
        <w:rPr>
          <w:rFonts w:ascii="Times New Roman" w:eastAsia="Times New Roman" w:hAnsi="Times New Roman" w:cs="Times New Roman"/>
          <w:kern w:val="0"/>
          <w:sz w:val="24"/>
          <w:szCs w:val="24"/>
          <w14:ligatures w14:val="none"/>
        </w:rPr>
        <w:t>National Health Insurance Authority Act 2022</w:t>
      </w:r>
    </w:p>
    <w:p w14:paraId="04BEF443" w14:textId="77777777" w:rsidR="00FF2157" w:rsidRPr="00FF2157" w:rsidRDefault="00FF2157" w:rsidP="00FF2157">
      <w:pPr>
        <w:spacing w:after="120" w:line="240" w:lineRule="auto"/>
        <w:ind w:left="720" w:hanging="720"/>
        <w:rPr>
          <w:rFonts w:ascii="Times New Roman" w:eastAsia="Times New Roman" w:hAnsi="Times New Roman" w:cs="Times New Roman"/>
          <w:kern w:val="0"/>
          <w:sz w:val="20"/>
          <w:szCs w:val="20"/>
          <w14:ligatures w14:val="none"/>
        </w:rPr>
      </w:pPr>
      <w:r w:rsidRPr="00FF2157">
        <w:rPr>
          <w:rFonts w:ascii="Times New Roman" w:eastAsia="Times New Roman" w:hAnsi="Times New Roman" w:cs="Times New Roman"/>
          <w:kern w:val="0"/>
          <w:sz w:val="24"/>
          <w:szCs w:val="24"/>
          <w14:ligatures w14:val="none"/>
        </w:rPr>
        <w:t>National Health Insurance Scheme Act, Cap N42, LFN 2004</w:t>
      </w:r>
    </w:p>
    <w:p w14:paraId="2CAD58AD" w14:textId="77777777" w:rsidR="00FF2157" w:rsidRPr="00FF2157" w:rsidRDefault="00FF2157" w:rsidP="00FF2157">
      <w:pPr>
        <w:spacing w:after="120" w:line="240" w:lineRule="auto"/>
        <w:ind w:left="720" w:hanging="720"/>
        <w:rPr>
          <w:rFonts w:ascii="Times New Roman" w:eastAsia="Times New Roman" w:hAnsi="Times New Roman" w:cs="Times New Roman"/>
          <w:kern w:val="0"/>
          <w:sz w:val="20"/>
          <w:szCs w:val="20"/>
          <w14:ligatures w14:val="none"/>
        </w:rPr>
      </w:pPr>
      <w:r w:rsidRPr="00FF2157">
        <w:rPr>
          <w:rFonts w:ascii="Times New Roman" w:eastAsia="Times New Roman" w:hAnsi="Times New Roman" w:cs="Times New Roman"/>
          <w:kern w:val="0"/>
          <w:sz w:val="24"/>
          <w:szCs w:val="24"/>
          <w14:ligatures w14:val="none"/>
        </w:rPr>
        <w:t>United Nations International Covenant on Economic, Social and Cultural Rights 1966</w:t>
      </w:r>
    </w:p>
    <w:p w14:paraId="112FB061" w14:textId="77777777" w:rsidR="00FF2157" w:rsidRPr="00FF2157" w:rsidRDefault="00FF2157" w:rsidP="00FF2157">
      <w:pPr>
        <w:spacing w:after="120" w:line="240" w:lineRule="auto"/>
        <w:ind w:left="720" w:hanging="720"/>
        <w:rPr>
          <w:rFonts w:ascii="Times New Roman" w:eastAsia="Times New Roman" w:hAnsi="Times New Roman" w:cs="Times New Roman"/>
          <w:kern w:val="0"/>
          <w:sz w:val="20"/>
          <w:szCs w:val="20"/>
          <w14:ligatures w14:val="none"/>
        </w:rPr>
      </w:pPr>
      <w:r w:rsidRPr="00FF2157">
        <w:rPr>
          <w:rFonts w:ascii="Times New Roman" w:eastAsia="Times New Roman" w:hAnsi="Times New Roman" w:cs="Times New Roman"/>
          <w:kern w:val="0"/>
          <w:sz w:val="24"/>
          <w:szCs w:val="24"/>
          <w14:ligatures w14:val="none"/>
        </w:rPr>
        <w:t>Universal Declaration of Human Rights 1948</w:t>
      </w:r>
    </w:p>
    <w:p w14:paraId="6D8E304F" w14:textId="77777777" w:rsidR="00FF2157" w:rsidRPr="00FF2157" w:rsidRDefault="00FF2157" w:rsidP="00FF2157">
      <w:pPr>
        <w:spacing w:after="120" w:line="240" w:lineRule="auto"/>
        <w:ind w:left="720" w:hanging="720"/>
        <w:rPr>
          <w:rFonts w:ascii="Times New Roman" w:eastAsia="Times New Roman" w:hAnsi="Times New Roman" w:cs="Times New Roman"/>
          <w:kern w:val="0"/>
          <w:sz w:val="20"/>
          <w:szCs w:val="20"/>
          <w14:ligatures w14:val="none"/>
        </w:rPr>
      </w:pPr>
      <w:r w:rsidRPr="00FF2157">
        <w:rPr>
          <w:rFonts w:ascii="Times New Roman" w:eastAsia="Times New Roman" w:hAnsi="Times New Roman" w:cs="Times New Roman"/>
          <w:kern w:val="0"/>
          <w:sz w:val="24"/>
          <w:szCs w:val="24"/>
          <w14:ligatures w14:val="none"/>
        </w:rPr>
        <w:t>WHO Constitution 1946</w:t>
      </w:r>
    </w:p>
    <w:p w14:paraId="4EEE7058" w14:textId="77777777" w:rsidR="00FF2157" w:rsidRPr="0006076B" w:rsidRDefault="00FF2157" w:rsidP="00FF2157">
      <w:pPr>
        <w:spacing w:line="480" w:lineRule="auto"/>
        <w:rPr>
          <w:rFonts w:ascii="Times New Roman" w:hAnsi="Times New Roman" w:cs="Times New Roman"/>
          <w:b/>
          <w:bCs/>
          <w:sz w:val="24"/>
        </w:rPr>
      </w:pPr>
    </w:p>
    <w:p w14:paraId="1A53D3FC" w14:textId="77777777" w:rsidR="00C448A6" w:rsidRPr="0006076B" w:rsidRDefault="00C448A6" w:rsidP="00C448A6">
      <w:pPr>
        <w:spacing w:line="480" w:lineRule="auto"/>
        <w:rPr>
          <w:rFonts w:ascii="Times New Roman" w:hAnsi="Times New Roman" w:cs="Times New Roman"/>
          <w:sz w:val="24"/>
        </w:rPr>
      </w:pPr>
    </w:p>
    <w:p w14:paraId="60420740" w14:textId="77777777" w:rsidR="00C448A6" w:rsidRDefault="00C448A6" w:rsidP="006173ED">
      <w:pPr>
        <w:rPr>
          <w:rFonts w:ascii="Times New Roman" w:hAnsi="Times New Roman" w:cs="Times New Roman"/>
          <w:sz w:val="24"/>
        </w:rPr>
      </w:pPr>
    </w:p>
    <w:p w14:paraId="79E694FE" w14:textId="77777777" w:rsidR="0006076B" w:rsidRDefault="0006076B" w:rsidP="006173ED">
      <w:pPr>
        <w:rPr>
          <w:rFonts w:ascii="Times New Roman" w:hAnsi="Times New Roman" w:cs="Times New Roman"/>
          <w:sz w:val="24"/>
        </w:rPr>
      </w:pPr>
    </w:p>
    <w:p w14:paraId="6C1B37EE" w14:textId="77777777" w:rsidR="0006076B" w:rsidRDefault="0006076B" w:rsidP="006173ED">
      <w:pPr>
        <w:rPr>
          <w:rFonts w:ascii="Times New Roman" w:hAnsi="Times New Roman" w:cs="Times New Roman"/>
          <w:sz w:val="24"/>
        </w:rPr>
      </w:pPr>
    </w:p>
    <w:p w14:paraId="350C7352" w14:textId="77777777" w:rsidR="0006076B" w:rsidRDefault="0006076B" w:rsidP="006173ED">
      <w:pPr>
        <w:rPr>
          <w:rFonts w:ascii="Times New Roman" w:hAnsi="Times New Roman" w:cs="Times New Roman"/>
          <w:sz w:val="24"/>
        </w:rPr>
      </w:pPr>
    </w:p>
    <w:p w14:paraId="532BB3E7" w14:textId="77777777" w:rsidR="0006076B" w:rsidRDefault="0006076B" w:rsidP="006173ED">
      <w:pPr>
        <w:rPr>
          <w:rFonts w:ascii="Times New Roman" w:hAnsi="Times New Roman" w:cs="Times New Roman"/>
          <w:sz w:val="24"/>
        </w:rPr>
      </w:pPr>
    </w:p>
    <w:p w14:paraId="233B3927" w14:textId="77777777" w:rsidR="0006076B" w:rsidRDefault="0006076B" w:rsidP="006173ED">
      <w:pPr>
        <w:rPr>
          <w:rFonts w:ascii="Times New Roman" w:hAnsi="Times New Roman" w:cs="Times New Roman"/>
          <w:sz w:val="24"/>
        </w:rPr>
      </w:pPr>
    </w:p>
    <w:p w14:paraId="1DADEDDF" w14:textId="77777777" w:rsidR="0006076B" w:rsidRDefault="0006076B" w:rsidP="006173ED">
      <w:pPr>
        <w:rPr>
          <w:rFonts w:ascii="Times New Roman" w:hAnsi="Times New Roman" w:cs="Times New Roman"/>
          <w:sz w:val="24"/>
        </w:rPr>
      </w:pPr>
    </w:p>
    <w:p w14:paraId="5D7A7575" w14:textId="77777777" w:rsidR="0006076B" w:rsidRDefault="0006076B" w:rsidP="006173ED">
      <w:pPr>
        <w:rPr>
          <w:rFonts w:ascii="Times New Roman" w:hAnsi="Times New Roman" w:cs="Times New Roman"/>
          <w:sz w:val="24"/>
        </w:rPr>
      </w:pPr>
    </w:p>
    <w:p w14:paraId="1333163E" w14:textId="77777777" w:rsidR="0006076B" w:rsidRDefault="0006076B" w:rsidP="006173ED">
      <w:pPr>
        <w:rPr>
          <w:rFonts w:ascii="Times New Roman" w:hAnsi="Times New Roman" w:cs="Times New Roman"/>
          <w:sz w:val="24"/>
        </w:rPr>
      </w:pPr>
    </w:p>
    <w:p w14:paraId="56B1857A" w14:textId="77777777" w:rsidR="00C448A6" w:rsidRDefault="00C448A6" w:rsidP="006173ED">
      <w:pPr>
        <w:rPr>
          <w:rFonts w:ascii="Times New Roman" w:hAnsi="Times New Roman" w:cs="Times New Roman"/>
          <w:sz w:val="24"/>
        </w:rPr>
      </w:pPr>
    </w:p>
    <w:p w14:paraId="5956BB78" w14:textId="77777777" w:rsidR="00FF2157" w:rsidRDefault="00FF2157" w:rsidP="006173ED">
      <w:pPr>
        <w:rPr>
          <w:rFonts w:ascii="Times New Roman" w:hAnsi="Times New Roman" w:cs="Times New Roman"/>
          <w:sz w:val="24"/>
        </w:rPr>
      </w:pPr>
    </w:p>
    <w:p w14:paraId="09645652" w14:textId="77777777" w:rsidR="00516431" w:rsidRDefault="00516431" w:rsidP="006173ED">
      <w:pPr>
        <w:rPr>
          <w:rFonts w:ascii="Times New Roman" w:hAnsi="Times New Roman" w:cs="Times New Roman"/>
          <w:sz w:val="24"/>
        </w:rPr>
      </w:pPr>
    </w:p>
    <w:p w14:paraId="44CDBF15" w14:textId="77777777" w:rsidR="00516431" w:rsidRDefault="00516431" w:rsidP="006173ED">
      <w:pPr>
        <w:rPr>
          <w:rFonts w:ascii="Times New Roman" w:hAnsi="Times New Roman" w:cs="Times New Roman"/>
          <w:sz w:val="24"/>
        </w:rPr>
      </w:pPr>
    </w:p>
    <w:p w14:paraId="38BEFBF9" w14:textId="1739BE8A" w:rsidR="00F7064E" w:rsidRPr="00F7064E" w:rsidRDefault="00F7064E" w:rsidP="00F7064E">
      <w:pPr>
        <w:rPr>
          <w:rFonts w:ascii="Times New Roman" w:hAnsi="Times New Roman" w:cs="Times New Roman"/>
          <w:b/>
          <w:bCs/>
          <w:sz w:val="24"/>
        </w:rPr>
      </w:pPr>
      <w:r>
        <w:rPr>
          <w:rFonts w:ascii="Times New Roman" w:hAnsi="Times New Roman" w:cs="Times New Roman"/>
          <w:sz w:val="24"/>
        </w:rPr>
        <w:lastRenderedPageBreak/>
        <w:t xml:space="preserve">                                             </w:t>
      </w:r>
      <w:r w:rsidR="00663AE9">
        <w:rPr>
          <w:rFonts w:ascii="Times New Roman" w:hAnsi="Times New Roman" w:cs="Times New Roman"/>
          <w:sz w:val="24"/>
        </w:rPr>
        <w:t xml:space="preserve">     </w:t>
      </w:r>
      <w:r w:rsidRPr="00F7064E">
        <w:rPr>
          <w:rFonts w:ascii="Times New Roman" w:hAnsi="Times New Roman" w:cs="Times New Roman"/>
          <w:b/>
          <w:bCs/>
          <w:sz w:val="24"/>
        </w:rPr>
        <w:t>LIST OF ABBREVIATIONS</w:t>
      </w:r>
    </w:p>
    <w:p w14:paraId="11D55B8C" w14:textId="77777777" w:rsidR="00F7064E" w:rsidRPr="00F7064E" w:rsidRDefault="00F7064E" w:rsidP="00F7064E">
      <w:pPr>
        <w:rPr>
          <w:rFonts w:ascii="Times New Roman" w:hAnsi="Times New Roman" w:cs="Times New Roman"/>
          <w:b/>
          <w:bCs/>
          <w:sz w:val="24"/>
        </w:rPr>
      </w:pPr>
    </w:p>
    <w:p w14:paraId="4125C667" w14:textId="31A054AE"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AC</w:t>
      </w:r>
      <w:r w:rsidR="0044701C">
        <w:rPr>
          <w:rFonts w:ascii="Times New Roman" w:hAnsi="Times New Roman" w:cs="Times New Roman"/>
          <w:b/>
          <w:bCs/>
          <w:sz w:val="24"/>
        </w:rPr>
        <w:t xml:space="preserve">   </w:t>
      </w:r>
      <w:r w:rsidR="0047586A">
        <w:rPr>
          <w:rFonts w:ascii="Times New Roman" w:hAnsi="Times New Roman" w:cs="Times New Roman"/>
          <w:sz w:val="24"/>
        </w:rPr>
        <w:t xml:space="preserve"> </w:t>
      </w:r>
      <w:r w:rsidRPr="00F7064E">
        <w:rPr>
          <w:rFonts w:ascii="Times New Roman" w:hAnsi="Times New Roman" w:cs="Times New Roman"/>
          <w:sz w:val="24"/>
        </w:rPr>
        <w:t xml:space="preserve">Appeal Cases </w:t>
      </w:r>
    </w:p>
    <w:p w14:paraId="61392E44" w14:textId="6EDD6968"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ACHPR</w:t>
      </w:r>
      <w:r w:rsidR="0047586A">
        <w:rPr>
          <w:rFonts w:ascii="Times New Roman" w:hAnsi="Times New Roman" w:cs="Times New Roman"/>
          <w:sz w:val="24"/>
        </w:rPr>
        <w:t xml:space="preserve">  </w:t>
      </w:r>
      <w:r w:rsidR="0044701C">
        <w:rPr>
          <w:rFonts w:ascii="Times New Roman" w:hAnsi="Times New Roman" w:cs="Times New Roman"/>
          <w:sz w:val="24"/>
        </w:rPr>
        <w:t xml:space="preserve"> </w:t>
      </w:r>
      <w:r w:rsidRPr="00F7064E">
        <w:rPr>
          <w:rFonts w:ascii="Times New Roman" w:hAnsi="Times New Roman" w:cs="Times New Roman"/>
          <w:sz w:val="24"/>
        </w:rPr>
        <w:t>African Commission on Human and Peoples’ Rights</w:t>
      </w:r>
    </w:p>
    <w:p w14:paraId="69B0C02A"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AHA</w:t>
      </w:r>
      <w:r w:rsidRPr="00F7064E">
        <w:rPr>
          <w:rFonts w:ascii="Times New Roman" w:hAnsi="Times New Roman" w:cs="Times New Roman"/>
          <w:sz w:val="24"/>
        </w:rPr>
        <w:tab/>
        <w:t>American Hospital Association</w:t>
      </w:r>
    </w:p>
    <w:p w14:paraId="3CC906D1"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AIDS</w:t>
      </w:r>
      <w:r w:rsidRPr="00F7064E">
        <w:rPr>
          <w:rFonts w:ascii="Times New Roman" w:hAnsi="Times New Roman" w:cs="Times New Roman"/>
          <w:sz w:val="24"/>
        </w:rPr>
        <w:tab/>
        <w:t>Acquired Immune Deficiency Syndrome</w:t>
      </w:r>
    </w:p>
    <w:p w14:paraId="07174790"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AIR</w:t>
      </w:r>
      <w:r w:rsidRPr="00F7064E">
        <w:rPr>
          <w:rFonts w:ascii="Times New Roman" w:hAnsi="Times New Roman" w:cs="Times New Roman"/>
          <w:sz w:val="24"/>
        </w:rPr>
        <w:tab/>
        <w:t>All India Reports</w:t>
      </w:r>
    </w:p>
    <w:p w14:paraId="2321054E"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AMA</w:t>
      </w:r>
      <w:r w:rsidRPr="00F7064E">
        <w:rPr>
          <w:rFonts w:ascii="Times New Roman" w:hAnsi="Times New Roman" w:cs="Times New Roman"/>
          <w:sz w:val="24"/>
        </w:rPr>
        <w:tab/>
        <w:t>American Medical Association</w:t>
      </w:r>
    </w:p>
    <w:p w14:paraId="44D53855"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CA</w:t>
      </w:r>
      <w:r w:rsidRPr="00F7064E">
        <w:rPr>
          <w:rFonts w:ascii="Times New Roman" w:hAnsi="Times New Roman" w:cs="Times New Roman"/>
          <w:sz w:val="24"/>
        </w:rPr>
        <w:tab/>
        <w:t xml:space="preserve">Court of Appeal </w:t>
      </w:r>
    </w:p>
    <w:p w14:paraId="42DEFB28"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Cap</w:t>
      </w:r>
      <w:r w:rsidRPr="00F7064E">
        <w:rPr>
          <w:rFonts w:ascii="Times New Roman" w:hAnsi="Times New Roman" w:cs="Times New Roman"/>
          <w:sz w:val="24"/>
        </w:rPr>
        <w:tab/>
        <w:t>Chapter (Laws of the Federation of Nigeria)</w:t>
      </w:r>
    </w:p>
    <w:p w14:paraId="7F56050B" w14:textId="78CCF2B4"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CCPT</w:t>
      </w:r>
      <w:r w:rsidRPr="00F7064E">
        <w:rPr>
          <w:rFonts w:ascii="Times New Roman" w:hAnsi="Times New Roman" w:cs="Times New Roman"/>
          <w:sz w:val="24"/>
        </w:rPr>
        <w:tab/>
      </w:r>
      <w:r w:rsidR="0044701C">
        <w:rPr>
          <w:rFonts w:ascii="Times New Roman" w:hAnsi="Times New Roman" w:cs="Times New Roman"/>
          <w:sz w:val="24"/>
        </w:rPr>
        <w:t xml:space="preserve">   </w:t>
      </w:r>
      <w:r w:rsidRPr="00F7064E">
        <w:rPr>
          <w:rFonts w:ascii="Times New Roman" w:hAnsi="Times New Roman" w:cs="Times New Roman"/>
          <w:sz w:val="24"/>
        </w:rPr>
        <w:t>Competition and Consumer Protection Tribunal</w:t>
      </w:r>
    </w:p>
    <w:p w14:paraId="220C7D32" w14:textId="6A7A81A8"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CFRN</w:t>
      </w:r>
      <w:r w:rsidRPr="00F7064E">
        <w:rPr>
          <w:rFonts w:ascii="Times New Roman" w:hAnsi="Times New Roman" w:cs="Times New Roman"/>
          <w:sz w:val="24"/>
        </w:rPr>
        <w:tab/>
      </w:r>
      <w:r w:rsidR="0044701C">
        <w:rPr>
          <w:rFonts w:ascii="Times New Roman" w:hAnsi="Times New Roman" w:cs="Times New Roman"/>
          <w:sz w:val="24"/>
        </w:rPr>
        <w:t xml:space="preserve">   </w:t>
      </w:r>
      <w:r w:rsidRPr="00F7064E">
        <w:rPr>
          <w:rFonts w:ascii="Times New Roman" w:hAnsi="Times New Roman" w:cs="Times New Roman"/>
          <w:sz w:val="24"/>
        </w:rPr>
        <w:t>Constitution of the Federal Republic of Nigeria</w:t>
      </w:r>
    </w:p>
    <w:p w14:paraId="542BA6ED"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CISLAC</w:t>
      </w:r>
      <w:r w:rsidRPr="00F7064E">
        <w:rPr>
          <w:rFonts w:ascii="Times New Roman" w:hAnsi="Times New Roman" w:cs="Times New Roman"/>
          <w:sz w:val="24"/>
        </w:rPr>
        <w:tab/>
        <w:t>Civil Society Legislative Advocacy Centre</w:t>
      </w:r>
    </w:p>
    <w:p w14:paraId="29AFC20B"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COVID-19</w:t>
      </w:r>
      <w:r w:rsidRPr="00F7064E">
        <w:rPr>
          <w:rFonts w:ascii="Times New Roman" w:hAnsi="Times New Roman" w:cs="Times New Roman"/>
          <w:sz w:val="24"/>
        </w:rPr>
        <w:tab/>
        <w:t>Coronavirus Disease 2019</w:t>
      </w:r>
    </w:p>
    <w:p w14:paraId="56B3E1B5"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CPC</w:t>
      </w:r>
      <w:r w:rsidRPr="00F7064E">
        <w:rPr>
          <w:rFonts w:ascii="Times New Roman" w:hAnsi="Times New Roman" w:cs="Times New Roman"/>
          <w:sz w:val="24"/>
        </w:rPr>
        <w:tab/>
        <w:t>Consumer Protection Council</w:t>
      </w:r>
    </w:p>
    <w:p w14:paraId="4DE6C20E"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CSO(s)</w:t>
      </w:r>
      <w:r w:rsidRPr="00F7064E">
        <w:rPr>
          <w:rFonts w:ascii="Times New Roman" w:hAnsi="Times New Roman" w:cs="Times New Roman"/>
          <w:sz w:val="24"/>
        </w:rPr>
        <w:tab/>
        <w:t>Civil Society Organisation(s)</w:t>
      </w:r>
    </w:p>
    <w:p w14:paraId="28AF831B"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DLR</w:t>
      </w:r>
      <w:r w:rsidRPr="00F7064E">
        <w:rPr>
          <w:rFonts w:ascii="Times New Roman" w:hAnsi="Times New Roman" w:cs="Times New Roman"/>
          <w:sz w:val="24"/>
        </w:rPr>
        <w:tab/>
        <w:t>Dominion Law Reports (Canada)</w:t>
      </w:r>
    </w:p>
    <w:p w14:paraId="70456B7D"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EU</w:t>
      </w:r>
      <w:r w:rsidRPr="00F7064E">
        <w:rPr>
          <w:rFonts w:ascii="Times New Roman" w:hAnsi="Times New Roman" w:cs="Times New Roman"/>
          <w:sz w:val="24"/>
        </w:rPr>
        <w:tab/>
        <w:t>European Union</w:t>
      </w:r>
    </w:p>
    <w:p w14:paraId="32397B98"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F Supp</w:t>
      </w:r>
      <w:r w:rsidRPr="00F7064E">
        <w:rPr>
          <w:rFonts w:ascii="Times New Roman" w:hAnsi="Times New Roman" w:cs="Times New Roman"/>
          <w:sz w:val="24"/>
        </w:rPr>
        <w:tab/>
        <w:t>Federal Supplement (United States Reports)</w:t>
      </w:r>
    </w:p>
    <w:p w14:paraId="62474052"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FCCPA</w:t>
      </w:r>
      <w:r w:rsidRPr="00F7064E">
        <w:rPr>
          <w:rFonts w:ascii="Times New Roman" w:hAnsi="Times New Roman" w:cs="Times New Roman"/>
          <w:sz w:val="24"/>
        </w:rPr>
        <w:tab/>
        <w:t>Federal Competition and Consumer Protection Act 2018</w:t>
      </w:r>
    </w:p>
    <w:p w14:paraId="627B7C47"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FCCPC</w:t>
      </w:r>
      <w:r w:rsidRPr="00F7064E">
        <w:rPr>
          <w:rFonts w:ascii="Times New Roman" w:hAnsi="Times New Roman" w:cs="Times New Roman"/>
          <w:sz w:val="24"/>
        </w:rPr>
        <w:tab/>
        <w:t>Federal Competition and Consumer Protection Commission</w:t>
      </w:r>
    </w:p>
    <w:p w14:paraId="365B9E9D"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FCT</w:t>
      </w:r>
      <w:r w:rsidRPr="00F7064E">
        <w:rPr>
          <w:rFonts w:ascii="Times New Roman" w:hAnsi="Times New Roman" w:cs="Times New Roman"/>
          <w:sz w:val="24"/>
        </w:rPr>
        <w:tab/>
        <w:t>Federal Capital Territory</w:t>
      </w:r>
    </w:p>
    <w:p w14:paraId="73E0B94F"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HERFON</w:t>
      </w:r>
      <w:r w:rsidRPr="00F7064E">
        <w:rPr>
          <w:rFonts w:ascii="Times New Roman" w:hAnsi="Times New Roman" w:cs="Times New Roman"/>
          <w:sz w:val="24"/>
        </w:rPr>
        <w:tab/>
        <w:t>Health Reform Foundation of Nigeria</w:t>
      </w:r>
    </w:p>
    <w:p w14:paraId="0F320875"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HIPAA</w:t>
      </w:r>
      <w:r w:rsidRPr="00F7064E">
        <w:rPr>
          <w:rFonts w:ascii="Times New Roman" w:hAnsi="Times New Roman" w:cs="Times New Roman"/>
          <w:sz w:val="24"/>
        </w:rPr>
        <w:tab/>
        <w:t>Health Insurance Portability and Accountability Act (USA)</w:t>
      </w:r>
    </w:p>
    <w:p w14:paraId="0D7B349E"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HIV</w:t>
      </w:r>
      <w:r w:rsidRPr="00F7064E">
        <w:rPr>
          <w:rFonts w:ascii="Times New Roman" w:hAnsi="Times New Roman" w:cs="Times New Roman"/>
          <w:sz w:val="24"/>
        </w:rPr>
        <w:tab/>
        <w:t>Human Immunodeficiency Virus</w:t>
      </w:r>
    </w:p>
    <w:p w14:paraId="4A9E4925"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HIV/AIDS</w:t>
      </w:r>
      <w:r w:rsidRPr="00F7064E">
        <w:rPr>
          <w:rFonts w:ascii="Times New Roman" w:hAnsi="Times New Roman" w:cs="Times New Roman"/>
          <w:sz w:val="24"/>
        </w:rPr>
        <w:tab/>
        <w:t>Human Immunodeficiency Virus / Acquired Immune Deficiency Syndrome</w:t>
      </w:r>
    </w:p>
    <w:p w14:paraId="3568EFAD"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HMB</w:t>
      </w:r>
      <w:r w:rsidRPr="00F7064E">
        <w:rPr>
          <w:rFonts w:ascii="Times New Roman" w:hAnsi="Times New Roman" w:cs="Times New Roman"/>
          <w:sz w:val="24"/>
        </w:rPr>
        <w:tab/>
        <w:t>Hospital Management Board</w:t>
      </w:r>
    </w:p>
    <w:p w14:paraId="15BF9485"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HMO(s)</w:t>
      </w:r>
      <w:r w:rsidRPr="00F7064E">
        <w:rPr>
          <w:rFonts w:ascii="Times New Roman" w:hAnsi="Times New Roman" w:cs="Times New Roman"/>
          <w:sz w:val="24"/>
        </w:rPr>
        <w:tab/>
        <w:t>Health Maintenance Organisation(s)</w:t>
      </w:r>
    </w:p>
    <w:p w14:paraId="71B16F88"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HRBA</w:t>
      </w:r>
      <w:r w:rsidRPr="00F7064E">
        <w:rPr>
          <w:rFonts w:ascii="Times New Roman" w:hAnsi="Times New Roman" w:cs="Times New Roman"/>
          <w:sz w:val="24"/>
        </w:rPr>
        <w:tab/>
        <w:t>Human Rights-Based Approach</w:t>
      </w:r>
    </w:p>
    <w:p w14:paraId="3F109D9B"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HRM</w:t>
      </w:r>
      <w:r w:rsidRPr="00F7064E">
        <w:rPr>
          <w:rFonts w:ascii="Times New Roman" w:hAnsi="Times New Roman" w:cs="Times New Roman"/>
          <w:sz w:val="24"/>
        </w:rPr>
        <w:tab/>
        <w:t>Human Resource Management</w:t>
      </w:r>
    </w:p>
    <w:p w14:paraId="7B7B1E0B"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lastRenderedPageBreak/>
        <w:t>ICCPR</w:t>
      </w:r>
      <w:r w:rsidRPr="00F7064E">
        <w:rPr>
          <w:rFonts w:ascii="Times New Roman" w:hAnsi="Times New Roman" w:cs="Times New Roman"/>
          <w:sz w:val="24"/>
        </w:rPr>
        <w:tab/>
        <w:t>International Covenant on Civil and Political Rights</w:t>
      </w:r>
    </w:p>
    <w:p w14:paraId="3D3C8AED"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ICESCR</w:t>
      </w:r>
      <w:r w:rsidRPr="00F7064E">
        <w:rPr>
          <w:rFonts w:ascii="Times New Roman" w:hAnsi="Times New Roman" w:cs="Times New Roman"/>
          <w:sz w:val="24"/>
        </w:rPr>
        <w:tab/>
        <w:t>International Covenant on Economic, Social and Cultural Rights</w:t>
      </w:r>
    </w:p>
    <w:p w14:paraId="56AA748C"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JAMA</w:t>
      </w:r>
      <w:r w:rsidRPr="00F7064E">
        <w:rPr>
          <w:rFonts w:ascii="Times New Roman" w:hAnsi="Times New Roman" w:cs="Times New Roman"/>
          <w:sz w:val="24"/>
        </w:rPr>
        <w:tab/>
        <w:t>Journal of the American Medical Association</w:t>
      </w:r>
    </w:p>
    <w:p w14:paraId="6445FF84"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LFN</w:t>
      </w:r>
      <w:r w:rsidRPr="00F7064E">
        <w:rPr>
          <w:rFonts w:ascii="Times New Roman" w:hAnsi="Times New Roman" w:cs="Times New Roman"/>
          <w:sz w:val="24"/>
        </w:rPr>
        <w:tab/>
        <w:t>Laws of the Federation of Nigeria</w:t>
      </w:r>
    </w:p>
    <w:p w14:paraId="6C6850EE"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LPELR</w:t>
      </w:r>
      <w:r w:rsidRPr="00F7064E">
        <w:rPr>
          <w:rFonts w:ascii="Times New Roman" w:hAnsi="Times New Roman" w:cs="Times New Roman"/>
          <w:sz w:val="24"/>
        </w:rPr>
        <w:tab/>
        <w:t>Law Pavilion Electronic Law Reports</w:t>
      </w:r>
    </w:p>
    <w:p w14:paraId="78F59C77"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MD Ala</w:t>
      </w:r>
      <w:r w:rsidRPr="00F7064E">
        <w:rPr>
          <w:rFonts w:ascii="Times New Roman" w:hAnsi="Times New Roman" w:cs="Times New Roman"/>
          <w:sz w:val="24"/>
        </w:rPr>
        <w:tab/>
        <w:t>Middle District of Alabama (United States Federal Court)</w:t>
      </w:r>
    </w:p>
    <w:p w14:paraId="0180718D"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MDCN</w:t>
      </w:r>
      <w:r w:rsidRPr="00F7064E">
        <w:rPr>
          <w:rFonts w:ascii="Times New Roman" w:hAnsi="Times New Roman" w:cs="Times New Roman"/>
          <w:sz w:val="24"/>
        </w:rPr>
        <w:tab/>
        <w:t>Medical and Dental Council of Nigeria</w:t>
      </w:r>
    </w:p>
    <w:p w14:paraId="3790EC7D"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MHA(s)</w:t>
      </w:r>
      <w:r w:rsidRPr="00F7064E">
        <w:rPr>
          <w:rFonts w:ascii="Times New Roman" w:hAnsi="Times New Roman" w:cs="Times New Roman"/>
          <w:sz w:val="24"/>
        </w:rPr>
        <w:tab/>
        <w:t>Mutual Health Association(s)</w:t>
      </w:r>
    </w:p>
    <w:p w14:paraId="4DCD4F14"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NHA</w:t>
      </w:r>
      <w:r w:rsidRPr="00F7064E">
        <w:rPr>
          <w:rFonts w:ascii="Times New Roman" w:hAnsi="Times New Roman" w:cs="Times New Roman"/>
          <w:sz w:val="24"/>
        </w:rPr>
        <w:tab/>
        <w:t>National Health Act 2014</w:t>
      </w:r>
    </w:p>
    <w:p w14:paraId="585F8523"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NHIA</w:t>
      </w:r>
      <w:r w:rsidRPr="00F7064E">
        <w:rPr>
          <w:rFonts w:ascii="Times New Roman" w:hAnsi="Times New Roman" w:cs="Times New Roman"/>
          <w:sz w:val="24"/>
        </w:rPr>
        <w:tab/>
        <w:t>National Health Insurance Authority Act 2022</w:t>
      </w:r>
    </w:p>
    <w:p w14:paraId="63836582"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NHIS</w:t>
      </w:r>
      <w:r w:rsidRPr="00F7064E">
        <w:rPr>
          <w:rFonts w:ascii="Times New Roman" w:hAnsi="Times New Roman" w:cs="Times New Roman"/>
          <w:sz w:val="24"/>
        </w:rPr>
        <w:tab/>
        <w:t>National Health Insurance Scheme</w:t>
      </w:r>
    </w:p>
    <w:p w14:paraId="42DA053E"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NHS</w:t>
      </w:r>
      <w:r w:rsidRPr="00F7064E">
        <w:rPr>
          <w:rFonts w:ascii="Times New Roman" w:hAnsi="Times New Roman" w:cs="Times New Roman"/>
          <w:sz w:val="24"/>
        </w:rPr>
        <w:tab/>
        <w:t>National Health Service (United Kingdom)</w:t>
      </w:r>
    </w:p>
    <w:p w14:paraId="4107ED45"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NIALS</w:t>
      </w:r>
      <w:r w:rsidRPr="00F7064E">
        <w:rPr>
          <w:rFonts w:ascii="Times New Roman" w:hAnsi="Times New Roman" w:cs="Times New Roman"/>
          <w:sz w:val="24"/>
        </w:rPr>
        <w:tab/>
        <w:t>Nigerian Institute of Advanced Legal Studies</w:t>
      </w:r>
    </w:p>
    <w:p w14:paraId="6826506C"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NMA</w:t>
      </w:r>
      <w:r w:rsidRPr="00F7064E">
        <w:rPr>
          <w:rFonts w:ascii="Times New Roman" w:hAnsi="Times New Roman" w:cs="Times New Roman"/>
          <w:sz w:val="24"/>
        </w:rPr>
        <w:tab/>
        <w:t>Nigerian Medical Association</w:t>
      </w:r>
    </w:p>
    <w:p w14:paraId="20E82FB4"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NPHCDA</w:t>
      </w:r>
      <w:r w:rsidRPr="00F7064E">
        <w:rPr>
          <w:rFonts w:ascii="Times New Roman" w:hAnsi="Times New Roman" w:cs="Times New Roman"/>
          <w:sz w:val="24"/>
        </w:rPr>
        <w:tab/>
        <w:t>National Primary Health Care Development Agency</w:t>
      </w:r>
    </w:p>
    <w:p w14:paraId="067AD886"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NWLR</w:t>
      </w:r>
      <w:r w:rsidRPr="00F7064E">
        <w:rPr>
          <w:rFonts w:ascii="Times New Roman" w:hAnsi="Times New Roman" w:cs="Times New Roman"/>
          <w:sz w:val="24"/>
        </w:rPr>
        <w:tab/>
        <w:t>Nigerian Weekly Law Reports</w:t>
      </w:r>
    </w:p>
    <w:p w14:paraId="31D12EC6"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OHCHR</w:t>
      </w:r>
      <w:r w:rsidRPr="00F7064E">
        <w:rPr>
          <w:rFonts w:ascii="Times New Roman" w:hAnsi="Times New Roman" w:cs="Times New Roman"/>
          <w:sz w:val="24"/>
        </w:rPr>
        <w:tab/>
        <w:t>Office of the High Commissioner for Human Rights</w:t>
      </w:r>
    </w:p>
    <w:p w14:paraId="40FC2E35"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PBoR</w:t>
      </w:r>
      <w:r w:rsidRPr="00F7064E">
        <w:rPr>
          <w:rFonts w:ascii="Times New Roman" w:hAnsi="Times New Roman" w:cs="Times New Roman"/>
          <w:sz w:val="24"/>
        </w:rPr>
        <w:tab/>
        <w:t>Patients’ Bill of Rights</w:t>
      </w:r>
    </w:p>
    <w:p w14:paraId="25857DA6"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Pt</w:t>
      </w:r>
      <w:r w:rsidRPr="00F7064E">
        <w:rPr>
          <w:rFonts w:ascii="Times New Roman" w:hAnsi="Times New Roman" w:cs="Times New Roman"/>
          <w:sz w:val="24"/>
        </w:rPr>
        <w:tab/>
        <w:t>Part</w:t>
      </w:r>
    </w:p>
    <w:p w14:paraId="0D320D58"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SC</w:t>
      </w:r>
      <w:r w:rsidRPr="00F7064E">
        <w:rPr>
          <w:rFonts w:ascii="Times New Roman" w:hAnsi="Times New Roman" w:cs="Times New Roman"/>
          <w:sz w:val="24"/>
        </w:rPr>
        <w:tab/>
        <w:t>Supreme Court of Nigeria</w:t>
      </w:r>
    </w:p>
    <w:p w14:paraId="543699BF"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SCR</w:t>
      </w:r>
      <w:r w:rsidRPr="00F7064E">
        <w:rPr>
          <w:rFonts w:ascii="Times New Roman" w:hAnsi="Times New Roman" w:cs="Times New Roman"/>
          <w:sz w:val="24"/>
        </w:rPr>
        <w:tab/>
        <w:t>Supreme Court Reports (Canada)</w:t>
      </w:r>
    </w:p>
    <w:p w14:paraId="4DB517BE"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SOML-PforR</w:t>
      </w:r>
      <w:r w:rsidRPr="00F7064E">
        <w:rPr>
          <w:rFonts w:ascii="Times New Roman" w:hAnsi="Times New Roman" w:cs="Times New Roman"/>
          <w:sz w:val="24"/>
        </w:rPr>
        <w:tab/>
        <w:t>Saving One Million Lives Programme for Results</w:t>
      </w:r>
    </w:p>
    <w:p w14:paraId="375CA852"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SPA</w:t>
      </w:r>
      <w:r w:rsidRPr="00F7064E">
        <w:rPr>
          <w:rFonts w:ascii="Times New Roman" w:hAnsi="Times New Roman" w:cs="Times New Roman"/>
          <w:sz w:val="24"/>
        </w:rPr>
        <w:tab/>
        <w:t>SPA Ajibade &amp; Co (law firm citation)</w:t>
      </w:r>
    </w:p>
    <w:p w14:paraId="78B21286"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SSRN</w:t>
      </w:r>
      <w:r w:rsidRPr="00F7064E">
        <w:rPr>
          <w:rFonts w:ascii="Times New Roman" w:hAnsi="Times New Roman" w:cs="Times New Roman"/>
          <w:sz w:val="24"/>
        </w:rPr>
        <w:tab/>
        <w:t>Social Science Research Network</w:t>
      </w:r>
    </w:p>
    <w:p w14:paraId="627D9C7C"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TCD</w:t>
      </w:r>
      <w:r w:rsidRPr="00F7064E">
        <w:rPr>
          <w:rFonts w:ascii="Times New Roman" w:hAnsi="Times New Roman" w:cs="Times New Roman"/>
          <w:sz w:val="24"/>
        </w:rPr>
        <w:tab/>
        <w:t xml:space="preserve">Trinity College Dublin </w:t>
      </w:r>
    </w:p>
    <w:p w14:paraId="07E919FE"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TPA(s)</w:t>
      </w:r>
      <w:r w:rsidRPr="00F7064E">
        <w:rPr>
          <w:rFonts w:ascii="Times New Roman" w:hAnsi="Times New Roman" w:cs="Times New Roman"/>
          <w:sz w:val="24"/>
        </w:rPr>
        <w:tab/>
        <w:t>Third Party Administrator(s)</w:t>
      </w:r>
    </w:p>
    <w:p w14:paraId="1496C9B1"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UCH</w:t>
      </w:r>
      <w:r w:rsidRPr="00F7064E">
        <w:rPr>
          <w:rFonts w:ascii="Times New Roman" w:hAnsi="Times New Roman" w:cs="Times New Roman"/>
          <w:sz w:val="24"/>
        </w:rPr>
        <w:tab/>
        <w:t>University College Hospital, Ibadan</w:t>
      </w:r>
    </w:p>
    <w:p w14:paraId="77C4496A"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UDHR</w:t>
      </w:r>
      <w:r w:rsidRPr="00F7064E">
        <w:rPr>
          <w:rFonts w:ascii="Times New Roman" w:hAnsi="Times New Roman" w:cs="Times New Roman"/>
          <w:sz w:val="24"/>
        </w:rPr>
        <w:tab/>
        <w:t>Universal Declaration of Human Rights 1948</w:t>
      </w:r>
    </w:p>
    <w:p w14:paraId="4041579A"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UHC</w:t>
      </w:r>
      <w:r w:rsidRPr="00F7064E">
        <w:rPr>
          <w:rFonts w:ascii="Times New Roman" w:hAnsi="Times New Roman" w:cs="Times New Roman"/>
          <w:sz w:val="24"/>
        </w:rPr>
        <w:tab/>
        <w:t>Universal Health Coverage</w:t>
      </w:r>
    </w:p>
    <w:p w14:paraId="25CA7E99"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UN</w:t>
      </w:r>
      <w:r w:rsidRPr="00F7064E">
        <w:rPr>
          <w:rFonts w:ascii="Times New Roman" w:hAnsi="Times New Roman" w:cs="Times New Roman"/>
          <w:sz w:val="24"/>
        </w:rPr>
        <w:tab/>
        <w:t>United Nations</w:t>
      </w:r>
    </w:p>
    <w:p w14:paraId="64676A47"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lastRenderedPageBreak/>
        <w:t>WACA</w:t>
      </w:r>
      <w:r w:rsidRPr="00F7064E">
        <w:rPr>
          <w:rFonts w:ascii="Times New Roman" w:hAnsi="Times New Roman" w:cs="Times New Roman"/>
          <w:sz w:val="24"/>
        </w:rPr>
        <w:tab/>
        <w:t>West African Court of Appeal</w:t>
      </w:r>
    </w:p>
    <w:p w14:paraId="6E65168F"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WHO</w:t>
      </w:r>
      <w:r w:rsidRPr="00F7064E">
        <w:rPr>
          <w:rFonts w:ascii="Times New Roman" w:hAnsi="Times New Roman" w:cs="Times New Roman"/>
          <w:sz w:val="24"/>
        </w:rPr>
        <w:tab/>
        <w:t>World Health Organization</w:t>
      </w:r>
    </w:p>
    <w:p w14:paraId="371F53F3"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WLR</w:t>
      </w:r>
      <w:r w:rsidRPr="00F7064E">
        <w:rPr>
          <w:rFonts w:ascii="Times New Roman" w:hAnsi="Times New Roman" w:cs="Times New Roman"/>
          <w:sz w:val="24"/>
        </w:rPr>
        <w:tab/>
        <w:t>Weekly Law Reports (England &amp; Wales)</w:t>
      </w:r>
    </w:p>
    <w:p w14:paraId="47E46F9D"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WMA</w:t>
      </w:r>
      <w:r w:rsidRPr="00F7064E">
        <w:rPr>
          <w:rFonts w:ascii="Times New Roman" w:hAnsi="Times New Roman" w:cs="Times New Roman"/>
          <w:sz w:val="24"/>
        </w:rPr>
        <w:tab/>
        <w:t>World Medical Association</w:t>
      </w:r>
    </w:p>
    <w:p w14:paraId="219AA7D0" w14:textId="77777777" w:rsidR="00F7064E" w:rsidRPr="00F7064E" w:rsidRDefault="00F7064E" w:rsidP="00F7064E">
      <w:pPr>
        <w:rPr>
          <w:rFonts w:ascii="Times New Roman" w:hAnsi="Times New Roman" w:cs="Times New Roman"/>
          <w:sz w:val="24"/>
        </w:rPr>
      </w:pPr>
      <w:r w:rsidRPr="00F7064E">
        <w:rPr>
          <w:rFonts w:ascii="Times New Roman" w:hAnsi="Times New Roman" w:cs="Times New Roman"/>
          <w:b/>
          <w:bCs/>
          <w:sz w:val="24"/>
        </w:rPr>
        <w:t>WNLR</w:t>
      </w:r>
      <w:r w:rsidRPr="00F7064E">
        <w:rPr>
          <w:rFonts w:ascii="Times New Roman" w:hAnsi="Times New Roman" w:cs="Times New Roman"/>
          <w:sz w:val="24"/>
        </w:rPr>
        <w:tab/>
        <w:t>Western Nigeria Law Reports</w:t>
      </w:r>
    </w:p>
    <w:p w14:paraId="45249EDE" w14:textId="77777777" w:rsidR="00F7064E" w:rsidRPr="00F7064E" w:rsidRDefault="00F7064E" w:rsidP="00F7064E">
      <w:pPr>
        <w:rPr>
          <w:rFonts w:ascii="Times New Roman" w:hAnsi="Times New Roman" w:cs="Times New Roman"/>
          <w:b/>
          <w:bCs/>
          <w:sz w:val="24"/>
        </w:rPr>
      </w:pPr>
    </w:p>
    <w:p w14:paraId="28EF8F5B" w14:textId="77777777" w:rsidR="00F7064E" w:rsidRPr="00F7064E" w:rsidRDefault="00F7064E" w:rsidP="00F7064E">
      <w:pPr>
        <w:rPr>
          <w:rFonts w:ascii="Times New Roman" w:hAnsi="Times New Roman" w:cs="Times New Roman"/>
          <w:b/>
          <w:bCs/>
          <w:sz w:val="24"/>
        </w:rPr>
      </w:pPr>
    </w:p>
    <w:p w14:paraId="095B4E55" w14:textId="77777777" w:rsidR="00F7064E" w:rsidRPr="00F7064E" w:rsidRDefault="00F7064E" w:rsidP="00F7064E">
      <w:pPr>
        <w:rPr>
          <w:rFonts w:ascii="Times New Roman" w:hAnsi="Times New Roman" w:cs="Times New Roman"/>
          <w:b/>
          <w:bCs/>
          <w:sz w:val="24"/>
        </w:rPr>
      </w:pPr>
    </w:p>
    <w:p w14:paraId="0ED8D62B" w14:textId="77777777" w:rsidR="00F7064E" w:rsidRPr="00F7064E" w:rsidRDefault="00F7064E" w:rsidP="00F7064E">
      <w:pPr>
        <w:rPr>
          <w:rFonts w:ascii="Times New Roman" w:hAnsi="Times New Roman" w:cs="Times New Roman"/>
          <w:b/>
          <w:bCs/>
          <w:sz w:val="24"/>
        </w:rPr>
      </w:pPr>
    </w:p>
    <w:p w14:paraId="2F9CE772" w14:textId="77777777" w:rsidR="00F7064E" w:rsidRPr="00F7064E" w:rsidRDefault="00F7064E" w:rsidP="00F7064E">
      <w:pPr>
        <w:rPr>
          <w:rFonts w:ascii="Times New Roman" w:hAnsi="Times New Roman" w:cs="Times New Roman"/>
          <w:b/>
          <w:bCs/>
          <w:sz w:val="24"/>
        </w:rPr>
      </w:pPr>
    </w:p>
    <w:p w14:paraId="3167C041" w14:textId="77777777" w:rsidR="00F7064E" w:rsidRPr="00F7064E" w:rsidRDefault="00F7064E" w:rsidP="00F7064E">
      <w:pPr>
        <w:rPr>
          <w:rFonts w:ascii="Times New Roman" w:hAnsi="Times New Roman" w:cs="Times New Roman"/>
          <w:b/>
          <w:bCs/>
          <w:sz w:val="24"/>
        </w:rPr>
      </w:pPr>
    </w:p>
    <w:p w14:paraId="74474E29" w14:textId="77777777" w:rsidR="00F7064E" w:rsidRPr="00F7064E" w:rsidRDefault="00F7064E" w:rsidP="00F7064E">
      <w:pPr>
        <w:rPr>
          <w:rFonts w:ascii="Times New Roman" w:hAnsi="Times New Roman" w:cs="Times New Roman"/>
          <w:b/>
          <w:bCs/>
          <w:sz w:val="24"/>
        </w:rPr>
      </w:pPr>
    </w:p>
    <w:p w14:paraId="6E8E5ED9" w14:textId="77777777" w:rsidR="00F7064E" w:rsidRPr="00F7064E" w:rsidRDefault="00F7064E" w:rsidP="00F7064E">
      <w:pPr>
        <w:rPr>
          <w:rFonts w:ascii="Times New Roman" w:hAnsi="Times New Roman" w:cs="Times New Roman"/>
          <w:b/>
          <w:bCs/>
          <w:sz w:val="24"/>
        </w:rPr>
      </w:pPr>
    </w:p>
    <w:p w14:paraId="66D990A8" w14:textId="77777777" w:rsidR="00F7064E" w:rsidRPr="00F7064E" w:rsidRDefault="00F7064E" w:rsidP="00F7064E">
      <w:pPr>
        <w:rPr>
          <w:rFonts w:ascii="Times New Roman" w:hAnsi="Times New Roman" w:cs="Times New Roman"/>
          <w:b/>
          <w:bCs/>
          <w:sz w:val="24"/>
        </w:rPr>
      </w:pPr>
    </w:p>
    <w:p w14:paraId="438F778A" w14:textId="77777777" w:rsidR="00F7064E" w:rsidRPr="00F7064E" w:rsidRDefault="00F7064E" w:rsidP="00F7064E">
      <w:pPr>
        <w:rPr>
          <w:rFonts w:ascii="Times New Roman" w:hAnsi="Times New Roman" w:cs="Times New Roman"/>
          <w:b/>
          <w:bCs/>
          <w:sz w:val="24"/>
        </w:rPr>
      </w:pPr>
    </w:p>
    <w:p w14:paraId="71E9C24B" w14:textId="77777777" w:rsidR="00F7064E" w:rsidRPr="00F7064E" w:rsidRDefault="00F7064E" w:rsidP="00F7064E">
      <w:pPr>
        <w:rPr>
          <w:rFonts w:ascii="Times New Roman" w:hAnsi="Times New Roman" w:cs="Times New Roman"/>
          <w:b/>
          <w:bCs/>
          <w:sz w:val="24"/>
        </w:rPr>
      </w:pPr>
    </w:p>
    <w:p w14:paraId="2FCFBD4B" w14:textId="77777777" w:rsidR="00F7064E" w:rsidRPr="00F7064E" w:rsidRDefault="00F7064E" w:rsidP="00F7064E">
      <w:pPr>
        <w:rPr>
          <w:rFonts w:ascii="Times New Roman" w:hAnsi="Times New Roman" w:cs="Times New Roman"/>
          <w:b/>
          <w:bCs/>
          <w:sz w:val="24"/>
        </w:rPr>
      </w:pPr>
    </w:p>
    <w:p w14:paraId="4F9DBE70" w14:textId="77777777" w:rsidR="00F7064E" w:rsidRPr="00F7064E" w:rsidRDefault="00F7064E" w:rsidP="00F7064E">
      <w:pPr>
        <w:rPr>
          <w:rFonts w:ascii="Times New Roman" w:hAnsi="Times New Roman" w:cs="Times New Roman"/>
          <w:b/>
          <w:bCs/>
          <w:sz w:val="24"/>
        </w:rPr>
      </w:pPr>
    </w:p>
    <w:p w14:paraId="719FA082" w14:textId="77777777" w:rsidR="00F7064E" w:rsidRPr="00F7064E" w:rsidRDefault="00F7064E" w:rsidP="00F7064E">
      <w:pPr>
        <w:rPr>
          <w:rFonts w:ascii="Times New Roman" w:hAnsi="Times New Roman" w:cs="Times New Roman"/>
          <w:b/>
          <w:bCs/>
          <w:sz w:val="24"/>
        </w:rPr>
      </w:pPr>
    </w:p>
    <w:p w14:paraId="13DD828E" w14:textId="77777777" w:rsidR="00F7064E" w:rsidRPr="00F7064E" w:rsidRDefault="00F7064E" w:rsidP="00F7064E">
      <w:pPr>
        <w:rPr>
          <w:rFonts w:ascii="Times New Roman" w:hAnsi="Times New Roman" w:cs="Times New Roman"/>
          <w:b/>
          <w:bCs/>
          <w:sz w:val="24"/>
        </w:rPr>
      </w:pPr>
    </w:p>
    <w:p w14:paraId="5DA8128D" w14:textId="77777777" w:rsidR="00F7064E" w:rsidRDefault="00F7064E" w:rsidP="006173ED">
      <w:pPr>
        <w:rPr>
          <w:rFonts w:ascii="Times New Roman" w:hAnsi="Times New Roman" w:cs="Times New Roman"/>
          <w:b/>
          <w:bCs/>
          <w:sz w:val="24"/>
        </w:rPr>
      </w:pPr>
    </w:p>
    <w:p w14:paraId="075FDA3A" w14:textId="77777777" w:rsidR="00663AE9" w:rsidRDefault="00663AE9" w:rsidP="006173ED">
      <w:pPr>
        <w:rPr>
          <w:rFonts w:ascii="Times New Roman" w:hAnsi="Times New Roman" w:cs="Times New Roman"/>
          <w:sz w:val="24"/>
        </w:rPr>
      </w:pPr>
    </w:p>
    <w:p w14:paraId="0E766227" w14:textId="77777777" w:rsidR="00F7064E" w:rsidRDefault="00F7064E" w:rsidP="006173ED">
      <w:pPr>
        <w:rPr>
          <w:rFonts w:ascii="Times New Roman" w:hAnsi="Times New Roman" w:cs="Times New Roman"/>
          <w:sz w:val="24"/>
        </w:rPr>
      </w:pPr>
    </w:p>
    <w:p w14:paraId="0F3BAEDA" w14:textId="77777777" w:rsidR="00F7064E" w:rsidRDefault="00F7064E" w:rsidP="006173ED">
      <w:pPr>
        <w:rPr>
          <w:rFonts w:ascii="Times New Roman" w:hAnsi="Times New Roman" w:cs="Times New Roman"/>
          <w:sz w:val="24"/>
        </w:rPr>
      </w:pPr>
    </w:p>
    <w:p w14:paraId="0EB0931B" w14:textId="77777777" w:rsidR="00F7064E" w:rsidRDefault="00F7064E" w:rsidP="006173ED">
      <w:pPr>
        <w:rPr>
          <w:rFonts w:ascii="Times New Roman" w:hAnsi="Times New Roman" w:cs="Times New Roman"/>
          <w:sz w:val="24"/>
        </w:rPr>
      </w:pPr>
    </w:p>
    <w:p w14:paraId="01637128" w14:textId="77777777" w:rsidR="00F7064E" w:rsidRDefault="00F7064E" w:rsidP="006173ED">
      <w:pPr>
        <w:rPr>
          <w:rFonts w:ascii="Times New Roman" w:hAnsi="Times New Roman" w:cs="Times New Roman"/>
          <w:sz w:val="24"/>
        </w:rPr>
      </w:pPr>
    </w:p>
    <w:p w14:paraId="08F533B2" w14:textId="77777777" w:rsidR="00F7064E" w:rsidRDefault="00F7064E" w:rsidP="006173ED">
      <w:pPr>
        <w:rPr>
          <w:rFonts w:ascii="Times New Roman" w:hAnsi="Times New Roman" w:cs="Times New Roman"/>
          <w:sz w:val="24"/>
        </w:rPr>
      </w:pPr>
    </w:p>
    <w:p w14:paraId="6C398858" w14:textId="77777777" w:rsidR="00F7064E" w:rsidRDefault="00F7064E" w:rsidP="006173ED">
      <w:pPr>
        <w:rPr>
          <w:rFonts w:ascii="Times New Roman" w:hAnsi="Times New Roman" w:cs="Times New Roman"/>
          <w:sz w:val="24"/>
        </w:rPr>
      </w:pPr>
    </w:p>
    <w:p w14:paraId="3E39E51D" w14:textId="77777777" w:rsidR="00F7064E" w:rsidRDefault="00F7064E" w:rsidP="006173ED">
      <w:pPr>
        <w:rPr>
          <w:rFonts w:ascii="Times New Roman" w:hAnsi="Times New Roman" w:cs="Times New Roman"/>
          <w:sz w:val="24"/>
        </w:rPr>
      </w:pPr>
    </w:p>
    <w:p w14:paraId="7074C0C1" w14:textId="77777777" w:rsidR="00F7064E" w:rsidRDefault="00F7064E" w:rsidP="006173ED">
      <w:pPr>
        <w:rPr>
          <w:rFonts w:ascii="Times New Roman" w:hAnsi="Times New Roman" w:cs="Times New Roman"/>
          <w:sz w:val="24"/>
        </w:rPr>
      </w:pPr>
    </w:p>
    <w:p w14:paraId="3E7E4E6F" w14:textId="7BD6A63A" w:rsidR="00516431" w:rsidRDefault="003D628E" w:rsidP="00516431">
      <w:pPr>
        <w:jc w:val="center"/>
        <w:rPr>
          <w:rFonts w:ascii="Times New Roman" w:hAnsi="Times New Roman" w:cs="Times New Roman"/>
          <w:b/>
          <w:bCs/>
          <w:sz w:val="24"/>
        </w:rPr>
      </w:pPr>
      <w:r>
        <w:rPr>
          <w:rFonts w:ascii="Times New Roman" w:hAnsi="Times New Roman" w:cs="Times New Roman"/>
          <w:b/>
          <w:bCs/>
          <w:sz w:val="24"/>
        </w:rPr>
        <w:lastRenderedPageBreak/>
        <w:t>ABSTRACT</w:t>
      </w:r>
    </w:p>
    <w:p w14:paraId="1B00A95B" w14:textId="3731D493" w:rsidR="003D628E" w:rsidRPr="00E44904" w:rsidRDefault="00F826C6" w:rsidP="002A22EE">
      <w:pPr>
        <w:spacing w:line="240" w:lineRule="auto"/>
        <w:jc w:val="both"/>
        <w:rPr>
          <w:rFonts w:ascii="Times New Roman" w:hAnsi="Times New Roman" w:cs="Times New Roman"/>
          <w:sz w:val="24"/>
          <w:szCs w:val="24"/>
        </w:rPr>
      </w:pPr>
      <w:r w:rsidRPr="00F826C6">
        <w:rPr>
          <w:b/>
          <w:bCs/>
        </w:rPr>
        <w:br/>
      </w:r>
      <w:r w:rsidRPr="00F826C6">
        <w:rPr>
          <w:b/>
          <w:bCs/>
        </w:rPr>
        <w:br/>
      </w:r>
      <w:r w:rsidRPr="00E44904">
        <w:rPr>
          <w:rFonts w:ascii="Times New Roman" w:hAnsi="Times New Roman" w:cs="Times New Roman"/>
          <w:sz w:val="24"/>
          <w:szCs w:val="24"/>
        </w:rPr>
        <w:t>The nature, extent, and enforceability of the rights of patients in Nigeria have all been carefully analyzed in this work. Despite the presence of the National Health Act 2014, the Patients' Bill of Rights 2018, and even constitutional rights, the rights of patients in Nigeria remain unenforceable to date. The research highlights essential rights, such as emergency care, informed consent, confidentiality, and respect, while pointing out the weaknesses of their enforceability through the use of the doctrinal approach. Constitutional non-justiciable rights, institutional incapacity, sociocultural barriers, and lack of awareness, among others, form part of the major barriers. Just to name a few, a Patients' Rights Act, constitutional amendments, better enforcement methods, and awareness programs are some of the many changes recommended by the report. It is evident that without institutional and legal change, the gap between progressive legal rights of patients in Nigeria and their actual condition will continue.</w:t>
      </w:r>
    </w:p>
    <w:p w14:paraId="73B832C2" w14:textId="77777777" w:rsidR="00C448A6" w:rsidRPr="00F826C6" w:rsidRDefault="00C448A6" w:rsidP="002A22EE">
      <w:pPr>
        <w:spacing w:line="240" w:lineRule="auto"/>
        <w:jc w:val="both"/>
        <w:rPr>
          <w:b/>
          <w:bCs/>
          <w:sz w:val="24"/>
          <w:szCs w:val="24"/>
        </w:rPr>
      </w:pPr>
    </w:p>
    <w:p w14:paraId="5B631676" w14:textId="77777777" w:rsidR="00C448A6" w:rsidRDefault="00C448A6" w:rsidP="002A22EE">
      <w:pPr>
        <w:spacing w:line="240" w:lineRule="auto"/>
        <w:jc w:val="both"/>
        <w:rPr>
          <w:b/>
          <w:bCs/>
        </w:rPr>
      </w:pPr>
    </w:p>
    <w:p w14:paraId="404970A5" w14:textId="77777777" w:rsidR="00516431" w:rsidRDefault="00516431" w:rsidP="002A22EE">
      <w:pPr>
        <w:spacing w:line="240" w:lineRule="auto"/>
        <w:jc w:val="both"/>
        <w:rPr>
          <w:b/>
          <w:bCs/>
        </w:rPr>
      </w:pPr>
    </w:p>
    <w:p w14:paraId="4F12C946" w14:textId="77777777" w:rsidR="00516431" w:rsidRDefault="00516431" w:rsidP="002A22EE">
      <w:pPr>
        <w:spacing w:line="240" w:lineRule="auto"/>
        <w:jc w:val="both"/>
        <w:rPr>
          <w:b/>
          <w:bCs/>
        </w:rPr>
      </w:pPr>
    </w:p>
    <w:p w14:paraId="54AC1438" w14:textId="77777777" w:rsidR="00516431" w:rsidRDefault="00516431" w:rsidP="002A22EE">
      <w:pPr>
        <w:spacing w:line="240" w:lineRule="auto"/>
        <w:jc w:val="both"/>
        <w:rPr>
          <w:b/>
          <w:bCs/>
        </w:rPr>
      </w:pPr>
    </w:p>
    <w:p w14:paraId="0E1531C3" w14:textId="77777777" w:rsidR="00516431" w:rsidRDefault="00516431" w:rsidP="002A22EE">
      <w:pPr>
        <w:spacing w:line="240" w:lineRule="auto"/>
        <w:jc w:val="both"/>
        <w:rPr>
          <w:b/>
          <w:bCs/>
        </w:rPr>
      </w:pPr>
    </w:p>
    <w:p w14:paraId="76B31882" w14:textId="77777777" w:rsidR="00516431" w:rsidRDefault="00516431" w:rsidP="002A22EE">
      <w:pPr>
        <w:spacing w:line="240" w:lineRule="auto"/>
        <w:jc w:val="both"/>
        <w:rPr>
          <w:b/>
          <w:bCs/>
        </w:rPr>
      </w:pPr>
    </w:p>
    <w:p w14:paraId="2F5AD971" w14:textId="77777777" w:rsidR="00A8304F" w:rsidRDefault="00A8304F" w:rsidP="002A22EE">
      <w:pPr>
        <w:spacing w:line="240" w:lineRule="auto"/>
        <w:jc w:val="both"/>
        <w:rPr>
          <w:b/>
          <w:bCs/>
        </w:rPr>
      </w:pPr>
    </w:p>
    <w:p w14:paraId="0534C84B" w14:textId="77777777" w:rsidR="00A8304F" w:rsidRDefault="00A8304F" w:rsidP="002A22EE">
      <w:pPr>
        <w:spacing w:line="240" w:lineRule="auto"/>
        <w:jc w:val="both"/>
        <w:rPr>
          <w:b/>
          <w:bCs/>
        </w:rPr>
      </w:pPr>
    </w:p>
    <w:p w14:paraId="45EA2A82" w14:textId="77777777" w:rsidR="00A8304F" w:rsidRDefault="00A8304F" w:rsidP="006173ED">
      <w:pPr>
        <w:rPr>
          <w:b/>
          <w:bCs/>
        </w:rPr>
      </w:pPr>
    </w:p>
    <w:p w14:paraId="60294340" w14:textId="77777777" w:rsidR="00A8304F" w:rsidRDefault="00A8304F" w:rsidP="006173ED">
      <w:pPr>
        <w:rPr>
          <w:b/>
          <w:bCs/>
        </w:rPr>
      </w:pPr>
    </w:p>
    <w:p w14:paraId="369B79C8" w14:textId="436DA394" w:rsidR="00AF28CB" w:rsidRDefault="00AF28CB" w:rsidP="006173ED">
      <w:pPr>
        <w:rPr>
          <w:b/>
          <w:bCs/>
        </w:rPr>
      </w:pPr>
      <w:r>
        <w:rPr>
          <w:b/>
          <w:bCs/>
        </w:rPr>
        <w:t xml:space="preserve"> </w:t>
      </w:r>
    </w:p>
    <w:p w14:paraId="4DDCE82E" w14:textId="14CE3FAF" w:rsidR="00A8304F" w:rsidRDefault="00DA2C99" w:rsidP="00A110E3">
      <w:pPr>
        <w:spacing w:line="480" w:lineRule="auto"/>
        <w:rPr>
          <w:rFonts w:ascii="Times New Roman" w:hAnsi="Times New Roman" w:cs="Times New Roman"/>
          <w:b/>
          <w:bCs/>
          <w:sz w:val="24"/>
          <w:szCs w:val="24"/>
          <w:lang w:val="en-GB"/>
        </w:rPr>
      </w:pPr>
      <w:r w:rsidRPr="00DA2C99">
        <w:rPr>
          <w:rFonts w:ascii="Times New Roman" w:hAnsi="Times New Roman" w:cs="Times New Roman"/>
          <w:b/>
          <w:bCs/>
          <w:sz w:val="24"/>
          <w:szCs w:val="24"/>
          <w:lang w:val="en-GB"/>
        </w:rPr>
        <w:t xml:space="preserve">                                                 </w:t>
      </w:r>
    </w:p>
    <w:p w14:paraId="10B55BBF" w14:textId="77777777" w:rsidR="002A22EE" w:rsidRDefault="002A22EE" w:rsidP="00A110E3">
      <w:pPr>
        <w:spacing w:line="480" w:lineRule="auto"/>
        <w:rPr>
          <w:rFonts w:ascii="Times New Roman" w:hAnsi="Times New Roman" w:cs="Times New Roman"/>
          <w:b/>
          <w:bCs/>
          <w:sz w:val="24"/>
          <w:szCs w:val="24"/>
          <w:lang w:val="en-GB"/>
        </w:rPr>
      </w:pPr>
    </w:p>
    <w:p w14:paraId="38BEE265" w14:textId="77777777" w:rsidR="00BD2DDD" w:rsidRDefault="00BD2DDD" w:rsidP="00A110E3">
      <w:pPr>
        <w:spacing w:line="480" w:lineRule="auto"/>
        <w:rPr>
          <w:rFonts w:ascii="Times New Roman" w:hAnsi="Times New Roman" w:cs="Times New Roman"/>
          <w:b/>
          <w:bCs/>
          <w:sz w:val="24"/>
          <w:szCs w:val="24"/>
          <w:lang w:val="en-GB"/>
        </w:rPr>
        <w:sectPr w:rsidR="00BD2DDD" w:rsidSect="00BD2DDD">
          <w:pgSz w:w="11906" w:h="16838"/>
          <w:pgMar w:top="1440" w:right="1440" w:bottom="1440" w:left="1440" w:header="709" w:footer="709" w:gutter="0"/>
          <w:pgNumType w:fmt="lowerRoman" w:start="1"/>
          <w:cols w:space="708"/>
          <w:docGrid w:linePitch="360"/>
        </w:sectPr>
      </w:pPr>
    </w:p>
    <w:p w14:paraId="19869F06" w14:textId="77777777" w:rsidR="009A4A6F" w:rsidRPr="009A4A6F" w:rsidRDefault="009A4A6F" w:rsidP="00C102F1">
      <w:pPr>
        <w:spacing w:line="480" w:lineRule="auto"/>
        <w:jc w:val="center"/>
        <w:rPr>
          <w:rFonts w:ascii="Times New Roman" w:hAnsi="Times New Roman" w:cs="Times New Roman"/>
          <w:b/>
          <w:bCs/>
          <w:sz w:val="24"/>
          <w:szCs w:val="24"/>
          <w:lang w:val="en-GB"/>
        </w:rPr>
      </w:pPr>
      <w:r w:rsidRPr="009A4A6F">
        <w:rPr>
          <w:rFonts w:ascii="Times New Roman" w:hAnsi="Times New Roman" w:cs="Times New Roman"/>
          <w:b/>
          <w:bCs/>
          <w:sz w:val="24"/>
          <w:szCs w:val="24"/>
          <w:lang w:val="en-GB"/>
        </w:rPr>
        <w:lastRenderedPageBreak/>
        <w:t>CHAPTER ONE</w:t>
      </w:r>
    </w:p>
    <w:p w14:paraId="5C8F5CA7" w14:textId="77777777" w:rsidR="009A4A6F" w:rsidRPr="009A4A6F" w:rsidRDefault="009A4A6F" w:rsidP="00C102F1">
      <w:pPr>
        <w:spacing w:line="480" w:lineRule="auto"/>
        <w:jc w:val="center"/>
        <w:rPr>
          <w:rFonts w:ascii="Times New Roman" w:hAnsi="Times New Roman" w:cs="Times New Roman"/>
          <w:sz w:val="24"/>
          <w:szCs w:val="24"/>
          <w:lang w:val="en-GB"/>
        </w:rPr>
      </w:pPr>
      <w:r w:rsidRPr="009A4A6F">
        <w:rPr>
          <w:rFonts w:ascii="Times New Roman" w:hAnsi="Times New Roman" w:cs="Times New Roman"/>
          <w:b/>
          <w:bCs/>
          <w:sz w:val="24"/>
          <w:szCs w:val="24"/>
          <w:lang w:val="en-GB"/>
        </w:rPr>
        <w:t>INTRODUCTION</w:t>
      </w:r>
    </w:p>
    <w:p w14:paraId="02E26AB5" w14:textId="77777777" w:rsidR="009A4A6F" w:rsidRPr="009A4A6F" w:rsidRDefault="009A4A6F" w:rsidP="009A4A6F">
      <w:pPr>
        <w:spacing w:line="480" w:lineRule="auto"/>
        <w:jc w:val="both"/>
        <w:rPr>
          <w:rFonts w:ascii="Times New Roman" w:hAnsi="Times New Roman" w:cs="Times New Roman"/>
          <w:b/>
          <w:bCs/>
          <w:sz w:val="24"/>
          <w:szCs w:val="24"/>
          <w:lang w:val="en-GB"/>
        </w:rPr>
      </w:pPr>
      <w:r w:rsidRPr="009A4A6F">
        <w:rPr>
          <w:rFonts w:ascii="Times New Roman" w:hAnsi="Times New Roman" w:cs="Times New Roman"/>
          <w:sz w:val="24"/>
          <w:szCs w:val="24"/>
          <w:lang w:val="en-GB"/>
        </w:rPr>
        <w:t>1.</w:t>
      </w:r>
      <w:r w:rsidRPr="009A4A6F">
        <w:rPr>
          <w:rFonts w:ascii="Times New Roman" w:hAnsi="Times New Roman" w:cs="Times New Roman"/>
          <w:b/>
          <w:bCs/>
          <w:sz w:val="24"/>
          <w:szCs w:val="24"/>
          <w:lang w:val="en-GB"/>
        </w:rPr>
        <w:t>1 Background to the Study</w:t>
      </w:r>
    </w:p>
    <w:p w14:paraId="432454C8" w14:textId="661E6E58"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 xml:space="preserve">Patients’ rights as a concept are deeply linked with the broader idea that health and dignity are fundamental human rights. International instruments affirm that everyone has a right to enjoy “the highest attainable standard of </w:t>
      </w:r>
      <w:r w:rsidR="00C102F1">
        <w:rPr>
          <w:rFonts w:ascii="Times New Roman" w:hAnsi="Times New Roman" w:cs="Times New Roman"/>
          <w:sz w:val="24"/>
          <w:szCs w:val="24"/>
          <w:lang w:val="en-GB"/>
        </w:rPr>
        <w:t>health.”</w:t>
      </w:r>
      <w:r w:rsidRPr="009A4A6F">
        <w:rPr>
          <w:rFonts w:ascii="Times New Roman" w:hAnsi="Times New Roman" w:cs="Times New Roman"/>
          <w:sz w:val="24"/>
          <w:szCs w:val="24"/>
          <w:lang w:val="en-GB"/>
        </w:rPr>
        <w:t xml:space="preserve"> Article 16 of the African Charter on Human and Peoples’ Rights</w:t>
      </w:r>
      <w:r w:rsidRPr="009A4A6F">
        <w:rPr>
          <w:rFonts w:ascii="Times New Roman" w:hAnsi="Times New Roman" w:cs="Times New Roman"/>
          <w:sz w:val="24"/>
          <w:szCs w:val="24"/>
          <w:vertAlign w:val="superscript"/>
          <w:lang w:val="en-GB"/>
        </w:rPr>
        <w:footnoteReference w:id="2"/>
      </w:r>
      <w:r w:rsidRPr="009A4A6F">
        <w:rPr>
          <w:rFonts w:ascii="Times New Roman" w:hAnsi="Times New Roman" w:cs="Times New Roman"/>
          <w:sz w:val="24"/>
          <w:szCs w:val="24"/>
          <w:lang w:val="en-GB"/>
        </w:rPr>
        <w:t xml:space="preserve"> likewise guarantees “the right to enjoy the best attainable state of physical and mental health” and obliges </w:t>
      </w:r>
      <w:r w:rsidR="00C102F1">
        <w:rPr>
          <w:rFonts w:ascii="Times New Roman" w:hAnsi="Times New Roman" w:cs="Times New Roman"/>
          <w:sz w:val="24"/>
          <w:szCs w:val="24"/>
          <w:lang w:val="en-GB"/>
        </w:rPr>
        <w:t>states</w:t>
      </w:r>
      <w:r w:rsidRPr="009A4A6F">
        <w:rPr>
          <w:rFonts w:ascii="Times New Roman" w:hAnsi="Times New Roman" w:cs="Times New Roman"/>
          <w:sz w:val="24"/>
          <w:szCs w:val="24"/>
          <w:lang w:val="en-GB"/>
        </w:rPr>
        <w:t xml:space="preserve"> to ensure access to medical care. Although Nigeria’s 1999 Constitution does not expressly confer a justiciable “right to health,” it includes health-related policy objectives (Chapter </w:t>
      </w:r>
      <w:r w:rsidR="00C102F1">
        <w:rPr>
          <w:rFonts w:ascii="Times New Roman" w:hAnsi="Times New Roman" w:cs="Times New Roman"/>
          <w:sz w:val="24"/>
          <w:szCs w:val="24"/>
          <w:lang w:val="en-GB"/>
        </w:rPr>
        <w:t>II),</w:t>
      </w:r>
      <w:r w:rsidRPr="009A4A6F">
        <w:rPr>
          <w:rFonts w:ascii="Times New Roman" w:hAnsi="Times New Roman" w:cs="Times New Roman"/>
          <w:sz w:val="24"/>
          <w:szCs w:val="24"/>
          <w:lang w:val="en-GB"/>
        </w:rPr>
        <w:t xml:space="preserve"> and Nigeria is party to treaties </w:t>
      </w:r>
      <w:r w:rsidR="00C102F1">
        <w:rPr>
          <w:rFonts w:ascii="Times New Roman" w:hAnsi="Times New Roman" w:cs="Times New Roman"/>
          <w:sz w:val="24"/>
          <w:szCs w:val="24"/>
          <w:lang w:val="en-GB"/>
        </w:rPr>
        <w:t>(e.g.,</w:t>
      </w:r>
      <w:r w:rsidRPr="009A4A6F">
        <w:rPr>
          <w:rFonts w:ascii="Times New Roman" w:hAnsi="Times New Roman" w:cs="Times New Roman"/>
          <w:sz w:val="24"/>
          <w:szCs w:val="24"/>
          <w:lang w:val="en-GB"/>
        </w:rPr>
        <w:t xml:space="preserve"> ICESCR, African Charter) recognizing health as a right. In practice, Nigerian law contains provisions specific to patient protections. For example, Section 20 of the National Health Act 2014</w:t>
      </w:r>
      <w:r w:rsidRPr="009A4A6F">
        <w:rPr>
          <w:rFonts w:ascii="Times New Roman" w:hAnsi="Times New Roman" w:cs="Times New Roman"/>
          <w:sz w:val="24"/>
          <w:szCs w:val="24"/>
          <w:vertAlign w:val="superscript"/>
          <w:lang w:val="en-GB"/>
        </w:rPr>
        <w:footnoteReference w:id="3"/>
      </w:r>
      <w:r w:rsidRPr="009A4A6F">
        <w:rPr>
          <w:rFonts w:ascii="Times New Roman" w:hAnsi="Times New Roman" w:cs="Times New Roman"/>
          <w:sz w:val="24"/>
          <w:szCs w:val="24"/>
          <w:lang w:val="en-GB"/>
        </w:rPr>
        <w:t xml:space="preserve"> imposes a duty on healthcare providers to administer emergency treatment immediately and “without demanding </w:t>
      </w:r>
      <w:r w:rsidR="00FA3CC2">
        <w:rPr>
          <w:rFonts w:ascii="Times New Roman" w:hAnsi="Times New Roman" w:cs="Times New Roman"/>
          <w:sz w:val="24"/>
          <w:szCs w:val="24"/>
          <w:lang w:val="en-GB"/>
        </w:rPr>
        <w:t>payment.”</w:t>
      </w:r>
      <w:r w:rsidRPr="009A4A6F">
        <w:rPr>
          <w:rFonts w:ascii="Times New Roman" w:hAnsi="Times New Roman" w:cs="Times New Roman"/>
          <w:sz w:val="24"/>
          <w:szCs w:val="24"/>
          <w:lang w:val="en-GB"/>
        </w:rPr>
        <w:t xml:space="preserve"> Likewise, Nigeria’s Patients’ Bill of Rights (PBoR) launched in 2018 by the Consumer Protection Council</w:t>
      </w:r>
      <w:r w:rsidRPr="009A4A6F">
        <w:rPr>
          <w:rFonts w:ascii="Times New Roman" w:hAnsi="Times New Roman" w:cs="Times New Roman"/>
          <w:sz w:val="24"/>
          <w:szCs w:val="24"/>
          <w:vertAlign w:val="superscript"/>
          <w:lang w:val="en-GB"/>
        </w:rPr>
        <w:footnoteReference w:id="4"/>
      </w:r>
      <w:r w:rsidRPr="009A4A6F">
        <w:rPr>
          <w:rFonts w:ascii="Times New Roman" w:hAnsi="Times New Roman" w:cs="Times New Roman"/>
          <w:sz w:val="24"/>
          <w:szCs w:val="24"/>
          <w:lang w:val="en-GB"/>
        </w:rPr>
        <w:t xml:space="preserve"> aggregates patient entitlements already found in law and ethics. The PBoR explicitly enumerates rights such as access to relevant information, emergency care, a safe environment, privacy of records, respectful treatment, and the ability to refuse care.</w:t>
      </w:r>
    </w:p>
    <w:p w14:paraId="63D54AE2"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 xml:space="preserve">Despite these formal protections, scholars report a persistent gap between theory and reality in Nigeria. Olusegun and Odunsi observe that while patients’ rights are “enshrined in national and international legal instruments,” they “are not fully secured in Nigeria” due to systemic weaknesses. Inadequate funding, few healthcare workers, poor infrastructure, and low public awareness have hampered effective enforcement. </w:t>
      </w:r>
    </w:p>
    <w:p w14:paraId="08A6A2DC" w14:textId="77777777" w:rsidR="009A4A6F" w:rsidRPr="009A4A6F" w:rsidRDefault="009A4A6F" w:rsidP="009A4A6F">
      <w:pPr>
        <w:spacing w:line="480" w:lineRule="auto"/>
        <w:jc w:val="both"/>
        <w:rPr>
          <w:rFonts w:ascii="Times New Roman" w:hAnsi="Times New Roman" w:cs="Times New Roman"/>
          <w:b/>
          <w:bCs/>
          <w:sz w:val="24"/>
          <w:szCs w:val="24"/>
          <w:lang w:val="en-GB"/>
        </w:rPr>
      </w:pPr>
      <w:r w:rsidRPr="009A4A6F">
        <w:rPr>
          <w:rFonts w:ascii="Times New Roman" w:hAnsi="Times New Roman" w:cs="Times New Roman"/>
          <w:b/>
          <w:bCs/>
          <w:sz w:val="24"/>
          <w:szCs w:val="24"/>
          <w:lang w:val="en-GB"/>
        </w:rPr>
        <w:lastRenderedPageBreak/>
        <w:t>1.2 Statement of the Problem</w:t>
      </w:r>
    </w:p>
    <w:p w14:paraId="7BC294D4"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Although Nigerian law and policy nominally protect patient rights, in practice these rights are often disregarded. Empirical studies in Nigerian hospitals document that while most patients claim to know they have rights, few can identify the formal rights or the PBoR</w:t>
      </w:r>
      <w:r w:rsidRPr="009A4A6F">
        <w:rPr>
          <w:rFonts w:ascii="Times New Roman" w:hAnsi="Times New Roman" w:cs="Times New Roman"/>
          <w:sz w:val="24"/>
          <w:szCs w:val="24"/>
          <w:vertAlign w:val="superscript"/>
          <w:lang w:val="en-GB"/>
        </w:rPr>
        <w:footnoteReference w:id="5"/>
      </w:r>
      <w:r w:rsidRPr="009A4A6F">
        <w:rPr>
          <w:rFonts w:ascii="Times New Roman" w:hAnsi="Times New Roman" w:cs="Times New Roman"/>
          <w:sz w:val="24"/>
          <w:szCs w:val="24"/>
          <w:lang w:val="en-GB"/>
        </w:rPr>
        <w:t>.</w:t>
      </w:r>
      <w:r w:rsidRPr="009A4A6F">
        <w:rPr>
          <w:rFonts w:ascii="Times New Roman" w:hAnsi="Times New Roman" w:cs="Times New Roman"/>
          <w:sz w:val="24"/>
          <w:szCs w:val="24"/>
        </w:rPr>
        <w:t xml:space="preserve"> </w:t>
      </w:r>
      <w:r w:rsidRPr="009A4A6F">
        <w:rPr>
          <w:rFonts w:ascii="Times New Roman" w:hAnsi="Times New Roman" w:cs="Times New Roman"/>
          <w:sz w:val="24"/>
          <w:szCs w:val="24"/>
          <w:lang w:val="en-GB"/>
        </w:rPr>
        <w:t xml:space="preserve">This study therefore examines the nature and scope of patients’ rights under Nigerian law in order to clarify what protections should exist and why they often fail in </w:t>
      </w:r>
      <w:r w:rsidRPr="009A4A6F">
        <w:rPr>
          <w:rFonts w:ascii="Times New Roman" w:hAnsi="Times New Roman" w:cs="Times New Roman"/>
          <w:sz w:val="24"/>
          <w:szCs w:val="24"/>
        </w:rPr>
        <w:t>implementation</w:t>
      </w:r>
      <w:r w:rsidRPr="009A4A6F">
        <w:rPr>
          <w:rFonts w:ascii="Times New Roman" w:hAnsi="Times New Roman" w:cs="Times New Roman"/>
          <w:sz w:val="24"/>
          <w:szCs w:val="24"/>
          <w:lang w:val="en-GB"/>
        </w:rPr>
        <w:t xml:space="preserve">. </w:t>
      </w:r>
    </w:p>
    <w:p w14:paraId="72D49115" w14:textId="545D68CB"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 xml:space="preserve"> Most patients often have bad experiences like infringements, long waiting hours to receive treatments</w:t>
      </w:r>
      <w:r w:rsidRPr="009A4A6F">
        <w:rPr>
          <w:rFonts w:ascii="Times New Roman" w:hAnsi="Times New Roman" w:cs="Times New Roman"/>
          <w:sz w:val="24"/>
          <w:szCs w:val="24"/>
          <w:vertAlign w:val="superscript"/>
          <w:lang w:val="en-GB"/>
        </w:rPr>
        <w:footnoteReference w:id="6"/>
      </w:r>
      <w:r w:rsidRPr="009A4A6F">
        <w:rPr>
          <w:rFonts w:ascii="Times New Roman" w:hAnsi="Times New Roman" w:cs="Times New Roman"/>
          <w:sz w:val="24"/>
          <w:szCs w:val="24"/>
          <w:lang w:val="en-GB"/>
        </w:rPr>
        <w:t xml:space="preserve">, high and expensive medical costs </w:t>
      </w:r>
      <w:r w:rsidR="007D636D">
        <w:rPr>
          <w:rFonts w:ascii="Times New Roman" w:hAnsi="Times New Roman" w:cs="Times New Roman"/>
          <w:sz w:val="24"/>
          <w:szCs w:val="24"/>
          <w:lang w:val="en-GB"/>
        </w:rPr>
        <w:t>that</w:t>
      </w:r>
      <w:r w:rsidRPr="009A4A6F">
        <w:rPr>
          <w:rFonts w:ascii="Times New Roman" w:hAnsi="Times New Roman" w:cs="Times New Roman"/>
          <w:sz w:val="24"/>
          <w:szCs w:val="24"/>
          <w:lang w:val="en-GB"/>
        </w:rPr>
        <w:t xml:space="preserve"> are </w:t>
      </w:r>
      <w:r w:rsidR="007D636D">
        <w:rPr>
          <w:rFonts w:ascii="Times New Roman" w:hAnsi="Times New Roman" w:cs="Times New Roman"/>
          <w:sz w:val="24"/>
          <w:szCs w:val="24"/>
          <w:lang w:val="en-GB"/>
        </w:rPr>
        <w:t>undisclosed,</w:t>
      </w:r>
      <w:r w:rsidRPr="009A4A6F">
        <w:rPr>
          <w:rFonts w:ascii="Times New Roman" w:hAnsi="Times New Roman" w:cs="Times New Roman"/>
          <w:sz w:val="24"/>
          <w:szCs w:val="24"/>
          <w:lang w:val="en-GB"/>
        </w:rPr>
        <w:t xml:space="preserve"> and also being excluded from decisions without any proper recourse. These can be attributed to problems like:</w:t>
      </w:r>
    </w:p>
    <w:p w14:paraId="5FCECD6F" w14:textId="77777777" w:rsidR="009A4A6F" w:rsidRPr="009A4A6F" w:rsidRDefault="009A4A6F" w:rsidP="009A4A6F">
      <w:pPr>
        <w:numPr>
          <w:ilvl w:val="0"/>
          <w:numId w:val="2"/>
        </w:num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Legal and institutional gaps: The PBoR</w:t>
      </w:r>
      <w:r w:rsidRPr="009A4A6F">
        <w:rPr>
          <w:rFonts w:ascii="Times New Roman" w:hAnsi="Times New Roman" w:cs="Times New Roman"/>
          <w:sz w:val="24"/>
          <w:szCs w:val="24"/>
          <w:vertAlign w:val="superscript"/>
          <w:lang w:val="en-GB"/>
        </w:rPr>
        <w:footnoteReference w:id="7"/>
      </w:r>
      <w:r w:rsidRPr="009A4A6F">
        <w:rPr>
          <w:rFonts w:ascii="Times New Roman" w:hAnsi="Times New Roman" w:cs="Times New Roman"/>
          <w:sz w:val="24"/>
          <w:szCs w:val="24"/>
          <w:lang w:val="en-GB"/>
        </w:rPr>
        <w:t xml:space="preserve"> is only a guideline and not a law, so violations rarely attract sanctions. There is no single statute expressly granting patients a private right of action.</w:t>
      </w:r>
      <w:r w:rsidRPr="009A4A6F">
        <w:rPr>
          <w:rFonts w:ascii="Times New Roman" w:hAnsi="Times New Roman" w:cs="Times New Roman"/>
          <w:sz w:val="24"/>
          <w:szCs w:val="24"/>
          <w:vertAlign w:val="superscript"/>
          <w:lang w:val="en-GB"/>
        </w:rPr>
        <w:footnoteReference w:id="8"/>
      </w:r>
    </w:p>
    <w:p w14:paraId="1BAC1071" w14:textId="77777777" w:rsidR="009A4A6F" w:rsidRPr="009A4A6F" w:rsidRDefault="009A4A6F" w:rsidP="009A4A6F">
      <w:pPr>
        <w:numPr>
          <w:ilvl w:val="0"/>
          <w:numId w:val="2"/>
        </w:num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Low awareness and empowerment: Many patients and even some healthcare workers are unaware of the specific rights patients hold under law or policy. Without knowledge of rights, patients cannot claim them.</w:t>
      </w:r>
      <w:r w:rsidRPr="009A4A6F">
        <w:rPr>
          <w:rFonts w:ascii="Times New Roman" w:hAnsi="Times New Roman" w:cs="Times New Roman"/>
          <w:sz w:val="24"/>
          <w:szCs w:val="24"/>
          <w:vertAlign w:val="superscript"/>
          <w:lang w:val="en-GB"/>
        </w:rPr>
        <w:footnoteReference w:id="9"/>
      </w:r>
    </w:p>
    <w:p w14:paraId="32FF6EDB" w14:textId="77777777" w:rsidR="009A4A6F" w:rsidRPr="009A4A6F" w:rsidRDefault="009A4A6F" w:rsidP="009A4A6F">
      <w:pPr>
        <w:numPr>
          <w:ilvl w:val="0"/>
          <w:numId w:val="2"/>
        </w:num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Resource constraints: Chronic underfunding and workforce shortages mean hospitals lack the capacity to honor rights like prompt attention and quality care.</w:t>
      </w:r>
    </w:p>
    <w:p w14:paraId="0C4C9D0E" w14:textId="77777777" w:rsidR="009A4A6F" w:rsidRPr="009A4A6F" w:rsidRDefault="009A4A6F" w:rsidP="009A4A6F">
      <w:pPr>
        <w:numPr>
          <w:ilvl w:val="0"/>
          <w:numId w:val="2"/>
        </w:num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lastRenderedPageBreak/>
        <w:t xml:space="preserve">Cultural/paternalistic attitudes: A prevalent “doctor knows best” mindset undermines patient autonomy. Studies </w:t>
      </w:r>
      <w:r w:rsidRPr="009A4A6F">
        <w:rPr>
          <w:rFonts w:ascii="Times New Roman" w:hAnsi="Times New Roman" w:cs="Times New Roman"/>
          <w:sz w:val="24"/>
          <w:szCs w:val="24"/>
        </w:rPr>
        <w:t xml:space="preserve">note </w:t>
      </w:r>
      <w:r w:rsidRPr="009A4A6F">
        <w:rPr>
          <w:rFonts w:ascii="Times New Roman" w:hAnsi="Times New Roman" w:cs="Times New Roman"/>
          <w:sz w:val="24"/>
          <w:szCs w:val="24"/>
          <w:lang w:val="en-GB"/>
        </w:rPr>
        <w:t>that medical paternalism in Nigeria leads to routine failure to obtain valid informed consent.</w:t>
      </w:r>
      <w:r w:rsidRPr="009A4A6F">
        <w:rPr>
          <w:rFonts w:ascii="Times New Roman" w:hAnsi="Times New Roman" w:cs="Times New Roman"/>
          <w:sz w:val="24"/>
          <w:szCs w:val="24"/>
          <w:vertAlign w:val="superscript"/>
          <w:lang w:val="en-GB"/>
        </w:rPr>
        <w:footnoteReference w:id="10"/>
      </w:r>
      <w:r w:rsidRPr="009A4A6F">
        <w:rPr>
          <w:rFonts w:ascii="Times New Roman" w:hAnsi="Times New Roman" w:cs="Times New Roman"/>
          <w:sz w:val="24"/>
          <w:szCs w:val="24"/>
          <w:lang w:val="en-GB"/>
        </w:rPr>
        <w:t xml:space="preserve"> </w:t>
      </w:r>
    </w:p>
    <w:p w14:paraId="7231DF3A" w14:textId="77777777" w:rsidR="009A4A6F" w:rsidRPr="009A4A6F" w:rsidRDefault="009A4A6F" w:rsidP="009A4A6F">
      <w:pPr>
        <w:numPr>
          <w:ilvl w:val="0"/>
          <w:numId w:val="2"/>
        </w:num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Weak enforcement: There is no strong regulatory oversight or enforcement mechanism focused on patient rights. Complaints are rare and cumbersome, so rights violations often go unpunished.</w:t>
      </w:r>
      <w:r w:rsidRPr="009A4A6F">
        <w:rPr>
          <w:rFonts w:ascii="Times New Roman" w:hAnsi="Times New Roman" w:cs="Times New Roman"/>
          <w:sz w:val="24"/>
          <w:szCs w:val="24"/>
          <w:vertAlign w:val="superscript"/>
          <w:lang w:val="en-GB"/>
        </w:rPr>
        <w:footnoteReference w:id="11"/>
      </w:r>
    </w:p>
    <w:p w14:paraId="7E4D964C" w14:textId="77777777" w:rsidR="009A4A6F" w:rsidRPr="009A4A6F" w:rsidRDefault="009A4A6F" w:rsidP="009A4A6F">
      <w:pPr>
        <w:spacing w:line="480" w:lineRule="auto"/>
        <w:jc w:val="both"/>
        <w:rPr>
          <w:rFonts w:ascii="Times New Roman" w:hAnsi="Times New Roman" w:cs="Times New Roman"/>
          <w:b/>
          <w:bCs/>
          <w:sz w:val="24"/>
          <w:szCs w:val="24"/>
          <w:lang w:val="en-GB"/>
        </w:rPr>
      </w:pPr>
      <w:r w:rsidRPr="009A4A6F">
        <w:rPr>
          <w:rFonts w:ascii="Times New Roman" w:hAnsi="Times New Roman" w:cs="Times New Roman"/>
          <w:b/>
          <w:bCs/>
          <w:sz w:val="24"/>
          <w:szCs w:val="24"/>
          <w:lang w:val="en-GB"/>
        </w:rPr>
        <w:t>1.3 Research Questions</w:t>
      </w:r>
    </w:p>
    <w:p w14:paraId="018BE6E9" w14:textId="77777777" w:rsidR="009A4A6F" w:rsidRPr="009A4A6F" w:rsidRDefault="009A4A6F" w:rsidP="009A4A6F">
      <w:pPr>
        <w:numPr>
          <w:ilvl w:val="0"/>
          <w:numId w:val="18"/>
        </w:num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What legal sources establish and define patients’ rights in Nigeria?</w:t>
      </w:r>
    </w:p>
    <w:p w14:paraId="6F263183" w14:textId="77777777" w:rsidR="009A4A6F" w:rsidRPr="009A4A6F" w:rsidRDefault="009A4A6F" w:rsidP="009A4A6F">
      <w:pPr>
        <w:numPr>
          <w:ilvl w:val="0"/>
          <w:numId w:val="18"/>
        </w:num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What specific rights are recognized and what obligations do they impose on healthcare providers?</w:t>
      </w:r>
    </w:p>
    <w:p w14:paraId="274669A0" w14:textId="77777777" w:rsidR="009A4A6F" w:rsidRPr="009A4A6F" w:rsidRDefault="009A4A6F" w:rsidP="009A4A6F">
      <w:pPr>
        <w:numPr>
          <w:ilvl w:val="0"/>
          <w:numId w:val="18"/>
        </w:num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To what extent are these rights enforceable under current Nigerian law, and what enforcement mechanisms exist?</w:t>
      </w:r>
    </w:p>
    <w:p w14:paraId="534EE7E1" w14:textId="77777777" w:rsidR="009A4A6F" w:rsidRPr="009A4A6F" w:rsidRDefault="009A4A6F" w:rsidP="009A4A6F">
      <w:pPr>
        <w:numPr>
          <w:ilvl w:val="0"/>
          <w:numId w:val="18"/>
        </w:num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What are the major obstacles, institutional, social, and legal, that hinder the realisation of patients’ rights in Nigeria?</w:t>
      </w:r>
    </w:p>
    <w:p w14:paraId="15228AE4" w14:textId="77777777" w:rsidR="009A4A6F" w:rsidRPr="009A4A6F" w:rsidRDefault="009A4A6F" w:rsidP="009A4A6F">
      <w:pPr>
        <w:numPr>
          <w:ilvl w:val="0"/>
          <w:numId w:val="18"/>
        </w:num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rPr>
        <w:t>What are the possible reforms that can be modelled from other international jurisdictions towards patients` rights in Nigeria?</w:t>
      </w:r>
    </w:p>
    <w:p w14:paraId="693712BC" w14:textId="77777777" w:rsidR="009A4A6F" w:rsidRPr="009A4A6F" w:rsidRDefault="009A4A6F" w:rsidP="009A4A6F">
      <w:pPr>
        <w:spacing w:line="480" w:lineRule="auto"/>
        <w:jc w:val="both"/>
        <w:rPr>
          <w:rFonts w:ascii="Times New Roman" w:hAnsi="Times New Roman" w:cs="Times New Roman"/>
          <w:sz w:val="24"/>
          <w:szCs w:val="24"/>
          <w:lang w:val="en-GB"/>
        </w:rPr>
      </w:pPr>
    </w:p>
    <w:p w14:paraId="00D6A233" w14:textId="77777777" w:rsidR="009A4A6F" w:rsidRPr="009A4A6F" w:rsidRDefault="009A4A6F" w:rsidP="009A4A6F">
      <w:pPr>
        <w:spacing w:line="480" w:lineRule="auto"/>
        <w:jc w:val="both"/>
        <w:rPr>
          <w:rFonts w:ascii="Times New Roman" w:hAnsi="Times New Roman" w:cs="Times New Roman"/>
          <w:sz w:val="24"/>
          <w:szCs w:val="24"/>
          <w:lang w:val="en-GB"/>
        </w:rPr>
      </w:pPr>
    </w:p>
    <w:p w14:paraId="45192138" w14:textId="77777777" w:rsidR="009A4A6F" w:rsidRPr="009A4A6F" w:rsidRDefault="009A4A6F" w:rsidP="009A4A6F">
      <w:pPr>
        <w:spacing w:line="480" w:lineRule="auto"/>
        <w:jc w:val="both"/>
        <w:rPr>
          <w:rFonts w:ascii="Times New Roman" w:hAnsi="Times New Roman" w:cs="Times New Roman"/>
          <w:sz w:val="24"/>
          <w:szCs w:val="24"/>
          <w:lang w:val="en-GB"/>
        </w:rPr>
      </w:pPr>
    </w:p>
    <w:p w14:paraId="701C3F01"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lastRenderedPageBreak/>
        <w:t>1.4 Aim and Objectives of Research</w:t>
      </w:r>
    </w:p>
    <w:p w14:paraId="06A9F09E"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The aim of this research is to criticise the nature and scope of patients’ rights under Nigerian law. The aim and objectives are:</w:t>
      </w:r>
    </w:p>
    <w:p w14:paraId="40809C90" w14:textId="77777777" w:rsidR="009A4A6F" w:rsidRPr="009A4A6F" w:rsidRDefault="009A4A6F" w:rsidP="009A4A6F">
      <w:pPr>
        <w:numPr>
          <w:ilvl w:val="0"/>
          <w:numId w:val="19"/>
        </w:num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To identify and analyse the legal framework for patients’ rights in Nigeria, including the 1999 Constitution, the National Health Act 2014, the Consumer Protection Act, Medical/Dental Acts, and the Patients’ Bill of Rights 2018.</w:t>
      </w:r>
    </w:p>
    <w:p w14:paraId="21031EE0" w14:textId="77777777" w:rsidR="009A4A6F" w:rsidRPr="009A4A6F" w:rsidRDefault="009A4A6F" w:rsidP="009A4A6F">
      <w:pPr>
        <w:numPr>
          <w:ilvl w:val="0"/>
          <w:numId w:val="19"/>
        </w:num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To catalogue the key rights of patients under Nigerian law and explain their statutory or common-law basis.</w:t>
      </w:r>
    </w:p>
    <w:p w14:paraId="0FC433B2" w14:textId="77777777" w:rsidR="009A4A6F" w:rsidRPr="009A4A6F" w:rsidRDefault="009A4A6F" w:rsidP="009A4A6F">
      <w:pPr>
        <w:numPr>
          <w:ilvl w:val="0"/>
          <w:numId w:val="19"/>
        </w:num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To identify factors that undermine patients’ ability to exercise their rights, as noted in Nigerian scholarship and reports.</w:t>
      </w:r>
    </w:p>
    <w:p w14:paraId="74FFEF9B" w14:textId="77777777" w:rsidR="009A4A6F" w:rsidRPr="009A4A6F" w:rsidRDefault="009A4A6F" w:rsidP="009A4A6F">
      <w:pPr>
        <w:numPr>
          <w:ilvl w:val="0"/>
          <w:numId w:val="19"/>
        </w:num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To review comparative perspectives, drawing on U.S. and other international experiences with patients’ rights to contextualize Nigeria’s situation.</w:t>
      </w:r>
    </w:p>
    <w:p w14:paraId="1997F324" w14:textId="77777777" w:rsidR="009A4A6F" w:rsidRPr="009A4A6F" w:rsidRDefault="009A4A6F" w:rsidP="009A4A6F">
      <w:pPr>
        <w:numPr>
          <w:ilvl w:val="0"/>
          <w:numId w:val="19"/>
        </w:num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To propose recommendations for legal and policy reforms that would strengthen recognition and protection of patients’ rights in Nigeria.</w:t>
      </w:r>
    </w:p>
    <w:p w14:paraId="755759DB" w14:textId="77777777" w:rsidR="009A4A6F" w:rsidRPr="009A4A6F" w:rsidRDefault="009A4A6F" w:rsidP="009A4A6F">
      <w:pPr>
        <w:spacing w:line="480" w:lineRule="auto"/>
        <w:jc w:val="both"/>
        <w:rPr>
          <w:rFonts w:ascii="Times New Roman" w:hAnsi="Times New Roman" w:cs="Times New Roman"/>
          <w:b/>
          <w:bCs/>
          <w:sz w:val="24"/>
          <w:szCs w:val="24"/>
          <w:lang w:val="en-GB"/>
        </w:rPr>
      </w:pPr>
      <w:r w:rsidRPr="009A4A6F">
        <w:rPr>
          <w:rFonts w:ascii="Times New Roman" w:hAnsi="Times New Roman" w:cs="Times New Roman"/>
          <w:b/>
          <w:bCs/>
          <w:sz w:val="24"/>
          <w:szCs w:val="24"/>
          <w:lang w:val="en-GB"/>
        </w:rPr>
        <w:t>1.5 Research Methodology (Doctrinal)</w:t>
      </w:r>
    </w:p>
    <w:p w14:paraId="331F2616"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This research adopts a doctrinal legal methodology, which is appropriate for examining statutory and case law. It will involve comprehensive desk research of primary legal sources and authoritative commentary. Primary sources will include the 1999 Constitution (as amended), Nigeria’s National Health Act 2014</w:t>
      </w:r>
      <w:r w:rsidRPr="009A4A6F">
        <w:rPr>
          <w:rFonts w:ascii="Times New Roman" w:hAnsi="Times New Roman" w:cs="Times New Roman"/>
          <w:sz w:val="24"/>
          <w:szCs w:val="24"/>
          <w:vertAlign w:val="superscript"/>
          <w:lang w:val="en-GB"/>
        </w:rPr>
        <w:footnoteReference w:id="12"/>
      </w:r>
      <w:r w:rsidRPr="009A4A6F">
        <w:rPr>
          <w:rFonts w:ascii="Times New Roman" w:hAnsi="Times New Roman" w:cs="Times New Roman"/>
          <w:sz w:val="24"/>
          <w:szCs w:val="24"/>
          <w:lang w:val="en-GB"/>
        </w:rPr>
        <w:t>, the Federal Competition and Consumer Protection Act</w:t>
      </w:r>
      <w:r w:rsidRPr="009A4A6F">
        <w:rPr>
          <w:rFonts w:ascii="Times New Roman" w:hAnsi="Times New Roman" w:cs="Times New Roman"/>
          <w:sz w:val="24"/>
          <w:szCs w:val="24"/>
          <w:vertAlign w:val="superscript"/>
          <w:lang w:val="en-GB"/>
        </w:rPr>
        <w:footnoteReference w:id="13"/>
      </w:r>
      <w:r w:rsidRPr="009A4A6F">
        <w:rPr>
          <w:rFonts w:ascii="Times New Roman" w:hAnsi="Times New Roman" w:cs="Times New Roman"/>
          <w:sz w:val="24"/>
          <w:szCs w:val="24"/>
          <w:lang w:val="en-GB"/>
        </w:rPr>
        <w:t>, the Medical and Dental Practitioners Act</w:t>
      </w:r>
      <w:r w:rsidRPr="009A4A6F">
        <w:rPr>
          <w:rFonts w:ascii="Times New Roman" w:hAnsi="Times New Roman" w:cs="Times New Roman"/>
          <w:sz w:val="24"/>
          <w:szCs w:val="24"/>
          <w:vertAlign w:val="superscript"/>
          <w:lang w:val="en-GB"/>
        </w:rPr>
        <w:footnoteReference w:id="14"/>
      </w:r>
      <w:r w:rsidRPr="009A4A6F">
        <w:rPr>
          <w:rFonts w:ascii="Times New Roman" w:hAnsi="Times New Roman" w:cs="Times New Roman"/>
          <w:sz w:val="24"/>
          <w:szCs w:val="24"/>
          <w:lang w:val="en-GB"/>
        </w:rPr>
        <w:t xml:space="preserve">, and other relevant legislations and statutes. It will also analyze policy documents like the Patients’ Bill of Rights 2018 (a </w:t>
      </w:r>
      <w:r w:rsidRPr="009A4A6F">
        <w:rPr>
          <w:rFonts w:ascii="Times New Roman" w:hAnsi="Times New Roman" w:cs="Times New Roman"/>
          <w:sz w:val="24"/>
          <w:szCs w:val="24"/>
          <w:lang w:val="en-GB"/>
        </w:rPr>
        <w:lastRenderedPageBreak/>
        <w:t>publication of the Consumer Protection Council) and codes of medical ethics. Secondary sources will include law review articles, books, and theses by Nigerian and foreign authors on patient rights and health law. The doctrinal method entails interpreting these texts to elucidate the content and scope of the law and identify gaps or contradictions. Comparative analysis will be used only to the extent of understanding international norms and foreign charters (such as the AMA Code of Ethics or EU patients’ charters) to inform the discussion. No empirical field work is planned, as the focus is on legal analysis.</w:t>
      </w:r>
    </w:p>
    <w:p w14:paraId="4D04F9D3" w14:textId="77777777" w:rsidR="009A4A6F" w:rsidRPr="009A4A6F" w:rsidRDefault="009A4A6F" w:rsidP="009A4A6F">
      <w:pPr>
        <w:numPr>
          <w:ilvl w:val="1"/>
          <w:numId w:val="5"/>
        </w:numPr>
        <w:spacing w:line="480" w:lineRule="auto"/>
        <w:jc w:val="both"/>
        <w:rPr>
          <w:rFonts w:ascii="Times New Roman" w:hAnsi="Times New Roman" w:cs="Times New Roman"/>
          <w:b/>
          <w:bCs/>
          <w:sz w:val="24"/>
          <w:szCs w:val="24"/>
          <w:lang w:val="en-GB"/>
        </w:rPr>
      </w:pPr>
      <w:r w:rsidRPr="009A4A6F">
        <w:rPr>
          <w:rFonts w:ascii="Times New Roman" w:hAnsi="Times New Roman" w:cs="Times New Roman"/>
          <w:b/>
          <w:bCs/>
          <w:sz w:val="24"/>
          <w:szCs w:val="24"/>
          <w:lang w:val="en-GB"/>
        </w:rPr>
        <w:t xml:space="preserve">Scope </w:t>
      </w:r>
      <w:r w:rsidRPr="009A4A6F">
        <w:rPr>
          <w:rFonts w:ascii="Times New Roman" w:hAnsi="Times New Roman" w:cs="Times New Roman"/>
          <w:b/>
          <w:bCs/>
          <w:sz w:val="24"/>
          <w:szCs w:val="24"/>
        </w:rPr>
        <w:t xml:space="preserve">and Limitations </w:t>
      </w:r>
      <w:r w:rsidRPr="009A4A6F">
        <w:rPr>
          <w:rFonts w:ascii="Times New Roman" w:hAnsi="Times New Roman" w:cs="Times New Roman"/>
          <w:b/>
          <w:bCs/>
          <w:sz w:val="24"/>
          <w:szCs w:val="24"/>
          <w:lang w:val="en-GB"/>
        </w:rPr>
        <w:t>of the Study</w:t>
      </w:r>
    </w:p>
    <w:p w14:paraId="52F0F9B4"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The</w:t>
      </w:r>
      <w:r w:rsidRPr="009A4A6F">
        <w:rPr>
          <w:rFonts w:ascii="Times New Roman" w:hAnsi="Times New Roman" w:cs="Times New Roman"/>
          <w:sz w:val="24"/>
          <w:szCs w:val="24"/>
        </w:rPr>
        <w:t xml:space="preserve"> scope of this undergraduate project</w:t>
      </w:r>
      <w:r w:rsidRPr="009A4A6F">
        <w:rPr>
          <w:rFonts w:ascii="Times New Roman" w:hAnsi="Times New Roman" w:cs="Times New Roman"/>
          <w:sz w:val="24"/>
          <w:szCs w:val="24"/>
          <w:lang w:val="en-GB"/>
        </w:rPr>
        <w:t xml:space="preserve"> is </w:t>
      </w:r>
      <w:r w:rsidRPr="009A4A6F">
        <w:rPr>
          <w:rFonts w:ascii="Times New Roman" w:hAnsi="Times New Roman" w:cs="Times New Roman"/>
          <w:sz w:val="24"/>
          <w:szCs w:val="24"/>
        </w:rPr>
        <w:t xml:space="preserve">strictly </w:t>
      </w:r>
      <w:r w:rsidRPr="009A4A6F">
        <w:rPr>
          <w:rFonts w:ascii="Times New Roman" w:hAnsi="Times New Roman" w:cs="Times New Roman"/>
          <w:sz w:val="24"/>
          <w:szCs w:val="24"/>
          <w:lang w:val="en-GB"/>
        </w:rPr>
        <w:t>limited to Nigeria. A</w:t>
      </w:r>
      <w:r w:rsidRPr="009A4A6F">
        <w:rPr>
          <w:rFonts w:ascii="Times New Roman" w:hAnsi="Times New Roman" w:cs="Times New Roman"/>
          <w:sz w:val="24"/>
          <w:szCs w:val="24"/>
        </w:rPr>
        <w:t xml:space="preserve"> majority of the</w:t>
      </w:r>
      <w:r w:rsidRPr="009A4A6F">
        <w:rPr>
          <w:rFonts w:ascii="Times New Roman" w:hAnsi="Times New Roman" w:cs="Times New Roman"/>
          <w:sz w:val="24"/>
          <w:szCs w:val="24"/>
          <w:lang w:val="en-GB"/>
        </w:rPr>
        <w:t xml:space="preserve"> legal materials </w:t>
      </w:r>
      <w:r w:rsidRPr="009A4A6F">
        <w:rPr>
          <w:rFonts w:ascii="Times New Roman" w:hAnsi="Times New Roman" w:cs="Times New Roman"/>
          <w:sz w:val="24"/>
          <w:szCs w:val="24"/>
        </w:rPr>
        <w:t>for this undergraduate project will be derived</w:t>
      </w:r>
      <w:r w:rsidRPr="009A4A6F">
        <w:rPr>
          <w:rFonts w:ascii="Times New Roman" w:hAnsi="Times New Roman" w:cs="Times New Roman"/>
          <w:sz w:val="24"/>
          <w:szCs w:val="24"/>
          <w:lang w:val="en-GB"/>
        </w:rPr>
        <w:t xml:space="preserve"> from federal statutes, laws, legislation, and policies in Nigeria.</w:t>
      </w:r>
      <w:r w:rsidRPr="009A4A6F">
        <w:rPr>
          <w:rFonts w:ascii="Times New Roman" w:hAnsi="Times New Roman" w:cs="Times New Roman"/>
          <w:sz w:val="24"/>
          <w:szCs w:val="24"/>
        </w:rPr>
        <w:t xml:space="preserve"> Notwithstanding that a majority of the laws will be focused on Nigerian laws, some international laws and materials will be borrowed for comparative analysis.</w:t>
      </w:r>
      <w:r w:rsidRPr="009A4A6F">
        <w:rPr>
          <w:rFonts w:ascii="Times New Roman" w:hAnsi="Times New Roman" w:cs="Times New Roman"/>
          <w:sz w:val="24"/>
          <w:szCs w:val="24"/>
          <w:lang w:val="en-GB"/>
        </w:rPr>
        <w:t xml:space="preserve"> The focus is strictly on the legal rights of patients within the</w:t>
      </w:r>
      <w:r w:rsidRPr="009A4A6F">
        <w:rPr>
          <w:rFonts w:ascii="Times New Roman" w:hAnsi="Times New Roman" w:cs="Times New Roman"/>
          <w:sz w:val="24"/>
          <w:szCs w:val="24"/>
        </w:rPr>
        <w:t xml:space="preserve"> context of</w:t>
      </w:r>
      <w:r w:rsidRPr="009A4A6F">
        <w:rPr>
          <w:rFonts w:ascii="Times New Roman" w:hAnsi="Times New Roman" w:cs="Times New Roman"/>
          <w:sz w:val="24"/>
          <w:szCs w:val="24"/>
          <w:lang w:val="en-GB"/>
        </w:rPr>
        <w:t xml:space="preserve"> healthcare provisions. It examines statutory rights, constitutional principles, case law, and recognized ethical obligations. It covers both public and private healthcare providers as regulated by law.</w:t>
      </w:r>
    </w:p>
    <w:p w14:paraId="01A8575F"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Contemporary law is examined, especially developments since the 1999 Constitution (as amended) and including recent acts (e.g. National Health Act 2014) and policies</w:t>
      </w:r>
      <w:r w:rsidRPr="009A4A6F">
        <w:rPr>
          <w:rFonts w:ascii="Times New Roman" w:hAnsi="Times New Roman" w:cs="Times New Roman"/>
          <w:sz w:val="24"/>
          <w:szCs w:val="24"/>
        </w:rPr>
        <w:t xml:space="preserve"> </w:t>
      </w:r>
      <w:r w:rsidRPr="009A4A6F">
        <w:rPr>
          <w:rFonts w:ascii="Times New Roman" w:hAnsi="Times New Roman" w:cs="Times New Roman"/>
          <w:sz w:val="24"/>
          <w:szCs w:val="24"/>
          <w:lang w:val="en-GB"/>
        </w:rPr>
        <w:t>(Patients’ Bill of Rights 2018). Historical background is provided only for context.</w:t>
      </w:r>
      <w:r w:rsidRPr="009A4A6F">
        <w:rPr>
          <w:rFonts w:ascii="Times New Roman" w:hAnsi="Times New Roman" w:cs="Times New Roman"/>
          <w:sz w:val="24"/>
          <w:szCs w:val="24"/>
        </w:rPr>
        <w:t xml:space="preserve"> </w:t>
      </w:r>
      <w:r w:rsidRPr="009A4A6F">
        <w:rPr>
          <w:rFonts w:ascii="Times New Roman" w:hAnsi="Times New Roman" w:cs="Times New Roman"/>
          <w:sz w:val="24"/>
          <w:szCs w:val="24"/>
          <w:lang w:val="en-GB"/>
        </w:rPr>
        <w:t xml:space="preserve">Analysis of all legal instruments that pertain to patient protections (for example, freedom of information rules for medical records, consumer protection provisions, etc.), as well as scholarly writings on these topics. </w:t>
      </w:r>
    </w:p>
    <w:p w14:paraId="322C76FC" w14:textId="77777777" w:rsidR="009A4A6F" w:rsidRPr="009A4A6F" w:rsidRDefault="009A4A6F" w:rsidP="009A4A6F">
      <w:pPr>
        <w:spacing w:line="480" w:lineRule="auto"/>
        <w:jc w:val="both"/>
        <w:rPr>
          <w:rFonts w:ascii="Times New Roman" w:hAnsi="Times New Roman" w:cs="Times New Roman"/>
          <w:sz w:val="24"/>
          <w:szCs w:val="24"/>
          <w:lang w:val="en-GB"/>
        </w:rPr>
      </w:pPr>
    </w:p>
    <w:p w14:paraId="6EDD601C" w14:textId="77777777" w:rsidR="009A4A6F" w:rsidRPr="009A4A6F" w:rsidRDefault="009A4A6F" w:rsidP="009A4A6F">
      <w:pPr>
        <w:spacing w:line="480" w:lineRule="auto"/>
        <w:jc w:val="both"/>
        <w:rPr>
          <w:rFonts w:ascii="Times New Roman" w:hAnsi="Times New Roman" w:cs="Times New Roman"/>
          <w:sz w:val="24"/>
          <w:szCs w:val="24"/>
          <w:lang w:val="en-GB"/>
        </w:rPr>
      </w:pPr>
    </w:p>
    <w:p w14:paraId="350F18F0" w14:textId="77777777" w:rsidR="007D636D" w:rsidRDefault="007D636D" w:rsidP="009A4A6F">
      <w:pPr>
        <w:spacing w:line="480" w:lineRule="auto"/>
        <w:jc w:val="both"/>
        <w:rPr>
          <w:rFonts w:ascii="Times New Roman" w:hAnsi="Times New Roman" w:cs="Times New Roman"/>
          <w:sz w:val="24"/>
          <w:szCs w:val="24"/>
          <w:lang w:val="en-GB"/>
        </w:rPr>
      </w:pPr>
    </w:p>
    <w:p w14:paraId="3DBD1137" w14:textId="1E8A273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lastRenderedPageBreak/>
        <w:t>1.7 Literature Review</w:t>
      </w:r>
    </w:p>
    <w:p w14:paraId="194A3097" w14:textId="77777777" w:rsidR="009A4A6F" w:rsidRPr="009A4A6F" w:rsidRDefault="009A4A6F" w:rsidP="009A4A6F">
      <w:pPr>
        <w:spacing w:line="480" w:lineRule="auto"/>
        <w:jc w:val="both"/>
        <w:rPr>
          <w:rFonts w:ascii="Times New Roman" w:hAnsi="Times New Roman" w:cs="Times New Roman"/>
          <w:b/>
          <w:bCs/>
          <w:sz w:val="24"/>
          <w:szCs w:val="24"/>
          <w:lang w:val="en-GB"/>
        </w:rPr>
      </w:pPr>
      <w:r w:rsidRPr="009A4A6F">
        <w:rPr>
          <w:rFonts w:ascii="Times New Roman" w:hAnsi="Times New Roman" w:cs="Times New Roman"/>
          <w:b/>
          <w:bCs/>
          <w:sz w:val="24"/>
          <w:szCs w:val="24"/>
          <w:lang w:val="en-GB"/>
        </w:rPr>
        <w:t>1.7.1 Review of Nigerian Authors</w:t>
      </w:r>
    </w:p>
    <w:p w14:paraId="4E36E0E1" w14:textId="77777777" w:rsidR="009A4A6F" w:rsidRPr="009A4A6F" w:rsidRDefault="009A4A6F" w:rsidP="009A4A6F">
      <w:pPr>
        <w:numPr>
          <w:ilvl w:val="0"/>
          <w:numId w:val="6"/>
        </w:num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Olusegun &amp; Odunsi</w:t>
      </w:r>
      <w:r w:rsidRPr="009A4A6F">
        <w:rPr>
          <w:rFonts w:ascii="Times New Roman" w:hAnsi="Times New Roman" w:cs="Times New Roman"/>
          <w:sz w:val="24"/>
          <w:szCs w:val="24"/>
          <w:vertAlign w:val="superscript"/>
          <w:lang w:val="en-GB"/>
        </w:rPr>
        <w:footnoteReference w:id="15"/>
      </w:r>
      <w:r w:rsidRPr="009A4A6F">
        <w:rPr>
          <w:rFonts w:ascii="Times New Roman" w:hAnsi="Times New Roman" w:cs="Times New Roman"/>
          <w:sz w:val="24"/>
          <w:szCs w:val="24"/>
        </w:rPr>
        <w:t>:</w:t>
      </w:r>
      <w:r w:rsidRPr="009A4A6F">
        <w:rPr>
          <w:rFonts w:ascii="Times New Roman" w:hAnsi="Times New Roman" w:cs="Times New Roman"/>
          <w:sz w:val="24"/>
          <w:szCs w:val="24"/>
          <w:lang w:val="en-GB"/>
        </w:rPr>
        <w:t xml:space="preserve"> These scholars analyse Nigeria’s Patients’ Bill of Rights and broader legal framework. They observe that Nigerian patients’ rights are nominally recognized in law and international agreements, but “not fully secured” in practice. Their study highlights the rights listed in the PBoR and notes enforcement challenges similar to those found in the health system.</w:t>
      </w:r>
    </w:p>
    <w:p w14:paraId="2A5DF147" w14:textId="77777777" w:rsidR="009A4A6F" w:rsidRPr="009A4A6F" w:rsidRDefault="009A4A6F" w:rsidP="009A4A6F">
      <w:pPr>
        <w:numPr>
          <w:ilvl w:val="0"/>
          <w:numId w:val="6"/>
        </w:num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Bello</w:t>
      </w:r>
      <w:r w:rsidRPr="009A4A6F">
        <w:rPr>
          <w:rFonts w:ascii="Times New Roman" w:hAnsi="Times New Roman" w:cs="Times New Roman"/>
          <w:sz w:val="24"/>
          <w:szCs w:val="24"/>
          <w:vertAlign w:val="superscript"/>
          <w:lang w:val="en-GB"/>
        </w:rPr>
        <w:footnoteReference w:id="16"/>
      </w:r>
      <w:r w:rsidRPr="009A4A6F">
        <w:rPr>
          <w:rFonts w:ascii="Times New Roman" w:hAnsi="Times New Roman" w:cs="Times New Roman"/>
          <w:sz w:val="24"/>
          <w:szCs w:val="24"/>
          <w:lang w:val="en-GB"/>
        </w:rPr>
        <w:t xml:space="preserve"> focusing on emergency care</w:t>
      </w:r>
      <w:r w:rsidRPr="009A4A6F">
        <w:rPr>
          <w:rFonts w:ascii="Times New Roman" w:hAnsi="Times New Roman" w:cs="Times New Roman"/>
          <w:sz w:val="24"/>
          <w:szCs w:val="24"/>
          <w:vertAlign w:val="superscript"/>
          <w:lang w:val="en-GB"/>
        </w:rPr>
        <w:footnoteReference w:id="17"/>
      </w:r>
      <w:r w:rsidRPr="009A4A6F">
        <w:rPr>
          <w:rFonts w:ascii="Times New Roman" w:hAnsi="Times New Roman" w:cs="Times New Roman"/>
          <w:sz w:val="24"/>
          <w:szCs w:val="24"/>
          <w:lang w:val="en-GB"/>
        </w:rPr>
        <w:t xml:space="preserve"> emphasizes that while the</w:t>
      </w:r>
      <w:r w:rsidRPr="009A4A6F">
        <w:rPr>
          <w:rFonts w:ascii="Times New Roman" w:hAnsi="Times New Roman" w:cs="Times New Roman"/>
          <w:sz w:val="24"/>
          <w:szCs w:val="24"/>
        </w:rPr>
        <w:t xml:space="preserve"> </w:t>
      </w:r>
      <w:r w:rsidRPr="009A4A6F">
        <w:rPr>
          <w:rFonts w:ascii="Times New Roman" w:hAnsi="Times New Roman" w:cs="Times New Roman"/>
          <w:sz w:val="24"/>
          <w:szCs w:val="24"/>
          <w:lang w:val="en-GB"/>
        </w:rPr>
        <w:t xml:space="preserve">law clearly obligates providers to deliver immediate emergency treatment, enforcement is weak and also contextualizes Section 20 </w:t>
      </w:r>
      <w:r w:rsidRPr="009A4A6F">
        <w:rPr>
          <w:rFonts w:ascii="Times New Roman" w:hAnsi="Times New Roman" w:cs="Times New Roman"/>
          <w:sz w:val="24"/>
          <w:szCs w:val="24"/>
        </w:rPr>
        <w:t xml:space="preserve">of NHA </w:t>
      </w:r>
      <w:r w:rsidRPr="009A4A6F">
        <w:rPr>
          <w:rFonts w:ascii="Times New Roman" w:hAnsi="Times New Roman" w:cs="Times New Roman"/>
          <w:sz w:val="24"/>
          <w:szCs w:val="24"/>
          <w:lang w:val="en-GB"/>
        </w:rPr>
        <w:t>within Nigeria’s constitutional framework and discusses ethical duties of doctors. Bello’s broader work on patient rights aligns with other authors in identifying gaps between law and delivery.</w:t>
      </w:r>
    </w:p>
    <w:p w14:paraId="70FE0CF4" w14:textId="77777777" w:rsidR="009A4A6F" w:rsidRPr="009A4A6F" w:rsidRDefault="009A4A6F" w:rsidP="009A4A6F">
      <w:pPr>
        <w:numPr>
          <w:ilvl w:val="0"/>
          <w:numId w:val="6"/>
        </w:num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 xml:space="preserve">Onyi </w:t>
      </w:r>
      <w:r w:rsidRPr="009A4A6F">
        <w:rPr>
          <w:rFonts w:ascii="Times New Roman" w:hAnsi="Times New Roman" w:cs="Times New Roman"/>
          <w:sz w:val="24"/>
          <w:szCs w:val="24"/>
        </w:rPr>
        <w:t>and others</w:t>
      </w:r>
      <w:r w:rsidRPr="009A4A6F">
        <w:rPr>
          <w:rFonts w:ascii="Times New Roman" w:hAnsi="Times New Roman" w:cs="Times New Roman"/>
          <w:sz w:val="24"/>
          <w:szCs w:val="24"/>
          <w:vertAlign w:val="superscript"/>
          <w:lang w:val="en-GB"/>
        </w:rPr>
        <w:footnoteReference w:id="18"/>
      </w:r>
      <w:r w:rsidRPr="009A4A6F">
        <w:rPr>
          <w:rFonts w:ascii="Times New Roman" w:hAnsi="Times New Roman" w:cs="Times New Roman"/>
          <w:sz w:val="24"/>
          <w:szCs w:val="24"/>
          <w:lang w:val="en-GB"/>
        </w:rPr>
        <w:t>: Conducting a survey in Anambra State, Onyi and colleagues report high general awareness of basic rights but low awareness of the formal Patients’ Bill of Rights. They find that despite legal provisions, many patients experience infringements. They also tend to suggest the enactment of a clear and fair law in relation to patient rights, while citing that the current laws and protections are available in different settings but are poorly known and not fully enforced.</w:t>
      </w:r>
    </w:p>
    <w:p w14:paraId="5D43D683" w14:textId="77777777" w:rsidR="009A4A6F" w:rsidRPr="009A4A6F" w:rsidRDefault="009A4A6F" w:rsidP="009A4A6F">
      <w:pPr>
        <w:numPr>
          <w:ilvl w:val="0"/>
          <w:numId w:val="6"/>
        </w:numPr>
        <w:spacing w:line="480" w:lineRule="auto"/>
        <w:jc w:val="both"/>
        <w:rPr>
          <w:rFonts w:ascii="Times New Roman" w:hAnsi="Times New Roman" w:cs="Times New Roman"/>
          <w:b/>
          <w:bCs/>
          <w:sz w:val="24"/>
          <w:szCs w:val="24"/>
          <w:lang w:val="en-GB"/>
        </w:rPr>
      </w:pPr>
      <w:r w:rsidRPr="009A4A6F">
        <w:rPr>
          <w:rFonts w:ascii="Times New Roman" w:hAnsi="Times New Roman" w:cs="Times New Roman"/>
          <w:sz w:val="24"/>
          <w:szCs w:val="24"/>
          <w:lang w:val="en-GB"/>
        </w:rPr>
        <w:lastRenderedPageBreak/>
        <w:t>Ola</w:t>
      </w:r>
      <w:r w:rsidRPr="009A4A6F">
        <w:rPr>
          <w:rFonts w:ascii="Times New Roman" w:hAnsi="Times New Roman" w:cs="Times New Roman"/>
          <w:sz w:val="24"/>
          <w:szCs w:val="24"/>
        </w:rPr>
        <w:t>n</w:t>
      </w:r>
      <w:r w:rsidRPr="009A4A6F">
        <w:rPr>
          <w:rFonts w:ascii="Times New Roman" w:hAnsi="Times New Roman" w:cs="Times New Roman"/>
          <w:sz w:val="24"/>
          <w:szCs w:val="24"/>
          <w:lang w:val="en-GB"/>
        </w:rPr>
        <w:t>iy</w:t>
      </w:r>
      <w:r w:rsidRPr="009A4A6F">
        <w:rPr>
          <w:rFonts w:ascii="Times New Roman" w:hAnsi="Times New Roman" w:cs="Times New Roman"/>
          <w:sz w:val="24"/>
          <w:szCs w:val="24"/>
        </w:rPr>
        <w:t>n</w:t>
      </w:r>
      <w:r w:rsidRPr="009A4A6F">
        <w:rPr>
          <w:rFonts w:ascii="Times New Roman" w:hAnsi="Times New Roman" w:cs="Times New Roman"/>
          <w:sz w:val="24"/>
          <w:szCs w:val="24"/>
          <w:lang w:val="en-GB"/>
        </w:rPr>
        <w:t>a</w:t>
      </w:r>
      <w:r w:rsidRPr="009A4A6F">
        <w:rPr>
          <w:rFonts w:ascii="Times New Roman" w:hAnsi="Times New Roman" w:cs="Times New Roman"/>
          <w:sz w:val="24"/>
          <w:szCs w:val="24"/>
          <w:vertAlign w:val="superscript"/>
          <w:lang w:val="en-GB"/>
        </w:rPr>
        <w:footnoteReference w:id="19"/>
      </w:r>
      <w:r w:rsidRPr="009A4A6F">
        <w:rPr>
          <w:rFonts w:ascii="Times New Roman" w:hAnsi="Times New Roman" w:cs="Times New Roman"/>
          <w:sz w:val="24"/>
          <w:szCs w:val="24"/>
        </w:rPr>
        <w:t>:</w:t>
      </w:r>
      <w:r w:rsidRPr="009A4A6F">
        <w:rPr>
          <w:rFonts w:ascii="Times New Roman" w:hAnsi="Times New Roman" w:cs="Times New Roman"/>
          <w:sz w:val="24"/>
          <w:szCs w:val="24"/>
          <w:lang w:val="en-GB"/>
        </w:rPr>
        <w:t xml:space="preserve"> Ola</w:t>
      </w:r>
      <w:r w:rsidRPr="009A4A6F">
        <w:rPr>
          <w:rFonts w:ascii="Times New Roman" w:hAnsi="Times New Roman" w:cs="Times New Roman"/>
          <w:sz w:val="24"/>
          <w:szCs w:val="24"/>
        </w:rPr>
        <w:t>n</w:t>
      </w:r>
      <w:r w:rsidRPr="009A4A6F">
        <w:rPr>
          <w:rFonts w:ascii="Times New Roman" w:hAnsi="Times New Roman" w:cs="Times New Roman"/>
          <w:sz w:val="24"/>
          <w:szCs w:val="24"/>
          <w:lang w:val="en-GB"/>
        </w:rPr>
        <w:t>iya</w:t>
      </w:r>
      <w:r w:rsidRPr="009A4A6F">
        <w:rPr>
          <w:rFonts w:ascii="Times New Roman" w:hAnsi="Times New Roman" w:cs="Times New Roman"/>
          <w:sz w:val="24"/>
          <w:szCs w:val="24"/>
        </w:rPr>
        <w:t>n</w:t>
      </w:r>
      <w:r w:rsidRPr="009A4A6F">
        <w:rPr>
          <w:rFonts w:ascii="Times New Roman" w:hAnsi="Times New Roman" w:cs="Times New Roman"/>
          <w:sz w:val="24"/>
          <w:szCs w:val="24"/>
          <w:lang w:val="en-GB"/>
        </w:rPr>
        <w:t>’s thesis examines patient rights in the context of medical negligence. He critiques the “deficiency” in informed consent practice and links human rights violations to gaps in Nigerian law. He argues that the rights of patients to be informed about treatment and consequences are often ignored, worsening malpractice issues. His recommendations echo calls for stronger legal accountability.</w:t>
      </w:r>
    </w:p>
    <w:p w14:paraId="0E8952C2"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 xml:space="preserve">Despite a growing body of Nigerian scholars on patient rights, the existing literature shares a common limitation; it </w:t>
      </w:r>
      <w:r w:rsidRPr="009A4A6F">
        <w:rPr>
          <w:rFonts w:ascii="Times New Roman" w:hAnsi="Times New Roman" w:cs="Times New Roman"/>
          <w:bCs/>
          <w:sz w:val="24"/>
          <w:szCs w:val="24"/>
          <w:lang w:val="en-GB"/>
        </w:rPr>
        <w:t>diagnoses the problem without prescribing a solution</w:t>
      </w:r>
      <w:r w:rsidRPr="009A4A6F">
        <w:rPr>
          <w:rFonts w:ascii="Times New Roman" w:hAnsi="Times New Roman" w:cs="Times New Roman"/>
          <w:b/>
          <w:sz w:val="24"/>
          <w:szCs w:val="24"/>
          <w:lang w:val="en-GB"/>
        </w:rPr>
        <w:t>.</w:t>
      </w:r>
      <w:r w:rsidRPr="009A4A6F">
        <w:rPr>
          <w:rFonts w:ascii="Times New Roman" w:hAnsi="Times New Roman" w:cs="Times New Roman"/>
          <w:sz w:val="24"/>
          <w:szCs w:val="24"/>
          <w:lang w:val="en-GB"/>
        </w:rPr>
        <w:t xml:space="preserve"> Olusegun and Odunsi, Bello, Onyi and others, and Olaniyan each confirm that patient rights in Nigeria are legally recognised but practically unenforceable, yet none proposes a concrete, comprehensive legislative remedy.</w:t>
      </w:r>
      <w:r w:rsidRPr="009A4A6F">
        <w:rPr>
          <w:rFonts w:ascii="Times New Roman" w:hAnsi="Times New Roman" w:cs="Times New Roman"/>
          <w:sz w:val="24"/>
          <w:szCs w:val="24"/>
        </w:rPr>
        <w:t xml:space="preserve"> </w:t>
      </w:r>
      <w:r w:rsidRPr="009A4A6F">
        <w:rPr>
          <w:rFonts w:ascii="Times New Roman" w:hAnsi="Times New Roman" w:cs="Times New Roman"/>
          <w:sz w:val="24"/>
          <w:szCs w:val="24"/>
          <w:lang w:val="en-GB"/>
        </w:rPr>
        <w:t>Beyond this overarching gap, five specific deficiencies emerge from the reviewed works:</w:t>
      </w:r>
      <w:r w:rsidRPr="009A4A6F">
        <w:rPr>
          <w:rFonts w:ascii="Times New Roman" w:hAnsi="Times New Roman" w:cs="Times New Roman"/>
          <w:sz w:val="24"/>
          <w:szCs w:val="24"/>
        </w:rPr>
        <w:t xml:space="preserve"> i) </w:t>
      </w:r>
      <w:r w:rsidRPr="009A4A6F">
        <w:rPr>
          <w:rFonts w:ascii="Times New Roman" w:hAnsi="Times New Roman" w:cs="Times New Roman"/>
          <w:sz w:val="24"/>
          <w:szCs w:val="24"/>
          <w:lang w:val="en-GB"/>
        </w:rPr>
        <w:t xml:space="preserve">The literature is </w:t>
      </w:r>
      <w:r w:rsidRPr="009A4A6F">
        <w:rPr>
          <w:rFonts w:ascii="Times New Roman" w:hAnsi="Times New Roman" w:cs="Times New Roman"/>
          <w:bCs/>
          <w:sz w:val="24"/>
          <w:szCs w:val="24"/>
          <w:lang w:val="en-GB"/>
        </w:rPr>
        <w:t>thematically narrow</w:t>
      </w:r>
      <w:r w:rsidRPr="009A4A6F">
        <w:rPr>
          <w:rFonts w:ascii="Times New Roman" w:hAnsi="Times New Roman" w:cs="Times New Roman"/>
          <w:sz w:val="24"/>
          <w:szCs w:val="24"/>
          <w:lang w:val="en-GB"/>
        </w:rPr>
        <w:t xml:space="preserve">, with studies confined to single provisions, single sectors, or single states rather than addressing the Nigerian healthcare system as a whole. </w:t>
      </w:r>
      <w:r w:rsidRPr="009A4A6F">
        <w:rPr>
          <w:rFonts w:ascii="Times New Roman" w:hAnsi="Times New Roman" w:cs="Times New Roman"/>
          <w:sz w:val="24"/>
          <w:szCs w:val="24"/>
        </w:rPr>
        <w:t xml:space="preserve">ii) </w:t>
      </w:r>
      <w:r w:rsidRPr="009A4A6F">
        <w:rPr>
          <w:rFonts w:ascii="Times New Roman" w:hAnsi="Times New Roman" w:cs="Times New Roman"/>
          <w:sz w:val="24"/>
          <w:szCs w:val="24"/>
          <w:lang w:val="en-GB"/>
        </w:rPr>
        <w:t xml:space="preserve">The </w:t>
      </w:r>
      <w:r w:rsidRPr="009A4A6F">
        <w:rPr>
          <w:rFonts w:ascii="Times New Roman" w:hAnsi="Times New Roman" w:cs="Times New Roman"/>
          <w:bCs/>
          <w:sz w:val="24"/>
          <w:szCs w:val="24"/>
          <w:lang w:val="en-GB"/>
        </w:rPr>
        <w:t>non-binding status of the PBoR</w:t>
      </w:r>
      <w:r w:rsidRPr="009A4A6F">
        <w:rPr>
          <w:rFonts w:ascii="Times New Roman" w:hAnsi="Times New Roman" w:cs="Times New Roman"/>
          <w:sz w:val="24"/>
          <w:szCs w:val="24"/>
          <w:lang w:val="en-GB"/>
        </w:rPr>
        <w:t xml:space="preserve"> is noted but never subjected to rigorous constitutional analysis. </w:t>
      </w:r>
      <w:r w:rsidRPr="009A4A6F">
        <w:rPr>
          <w:rFonts w:ascii="Times New Roman" w:hAnsi="Times New Roman" w:cs="Times New Roman"/>
          <w:sz w:val="24"/>
          <w:szCs w:val="24"/>
        </w:rPr>
        <w:t xml:space="preserve">iii) The </w:t>
      </w:r>
      <w:r w:rsidRPr="009A4A6F">
        <w:rPr>
          <w:rFonts w:ascii="Times New Roman" w:hAnsi="Times New Roman" w:cs="Times New Roman"/>
          <w:bCs/>
          <w:sz w:val="24"/>
          <w:szCs w:val="24"/>
          <w:lang w:val="en-GB"/>
        </w:rPr>
        <w:t>patient's lived experience</w:t>
      </w:r>
      <w:r w:rsidRPr="009A4A6F">
        <w:rPr>
          <w:rFonts w:ascii="Times New Roman" w:hAnsi="Times New Roman" w:cs="Times New Roman"/>
          <w:sz w:val="24"/>
          <w:szCs w:val="24"/>
          <w:lang w:val="en-GB"/>
        </w:rPr>
        <w:t xml:space="preserve"> is largely absent, leaving legal analysis disconnected from practical reality. </w:t>
      </w:r>
      <w:r w:rsidRPr="009A4A6F">
        <w:rPr>
          <w:rFonts w:ascii="Times New Roman" w:hAnsi="Times New Roman" w:cs="Times New Roman"/>
          <w:sz w:val="24"/>
          <w:szCs w:val="24"/>
        </w:rPr>
        <w:t>iv) Comparative</w:t>
      </w:r>
      <w:r w:rsidRPr="009A4A6F">
        <w:rPr>
          <w:rFonts w:ascii="Times New Roman" w:hAnsi="Times New Roman" w:cs="Times New Roman"/>
          <w:bCs/>
          <w:sz w:val="24"/>
          <w:szCs w:val="24"/>
          <w:lang w:val="en-GB"/>
        </w:rPr>
        <w:t xml:space="preserve"> engagement</w:t>
      </w:r>
      <w:r w:rsidRPr="009A4A6F">
        <w:rPr>
          <w:rFonts w:ascii="Times New Roman" w:hAnsi="Times New Roman" w:cs="Times New Roman"/>
          <w:sz w:val="24"/>
          <w:szCs w:val="24"/>
          <w:lang w:val="en-GB"/>
        </w:rPr>
        <w:t xml:space="preserve"> with more developed patient rights models from other jurisdictions is minimal or entirely absent, and </w:t>
      </w:r>
      <w:r w:rsidRPr="009A4A6F">
        <w:rPr>
          <w:rFonts w:ascii="Times New Roman" w:hAnsi="Times New Roman" w:cs="Times New Roman"/>
          <w:sz w:val="24"/>
          <w:szCs w:val="24"/>
        </w:rPr>
        <w:t xml:space="preserve">v) </w:t>
      </w:r>
      <w:r w:rsidRPr="009A4A6F">
        <w:rPr>
          <w:rFonts w:ascii="Times New Roman" w:hAnsi="Times New Roman" w:cs="Times New Roman"/>
          <w:sz w:val="24"/>
          <w:szCs w:val="24"/>
          <w:lang w:val="en-GB"/>
        </w:rPr>
        <w:t xml:space="preserve">while all authors call for reform, </w:t>
      </w:r>
      <w:r w:rsidRPr="009A4A6F">
        <w:rPr>
          <w:rFonts w:ascii="Times New Roman" w:hAnsi="Times New Roman" w:cs="Times New Roman"/>
          <w:bCs/>
          <w:sz w:val="24"/>
          <w:szCs w:val="24"/>
          <w:lang w:val="en-GB"/>
        </w:rPr>
        <w:t>none specifies what a reformed framework should look like</w:t>
      </w:r>
      <w:r w:rsidRPr="009A4A6F">
        <w:rPr>
          <w:rFonts w:ascii="Times New Roman" w:hAnsi="Times New Roman" w:cs="Times New Roman"/>
          <w:b/>
          <w:sz w:val="24"/>
          <w:szCs w:val="24"/>
          <w:lang w:val="en-GB"/>
        </w:rPr>
        <w:t>.</w:t>
      </w:r>
    </w:p>
    <w:p w14:paraId="453896EC"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 xml:space="preserve">The present study fills these gaps by; i) Providing a </w:t>
      </w:r>
      <w:r w:rsidRPr="009A4A6F">
        <w:rPr>
          <w:rFonts w:ascii="Times New Roman" w:hAnsi="Times New Roman" w:cs="Times New Roman"/>
          <w:bCs/>
          <w:sz w:val="24"/>
          <w:szCs w:val="24"/>
          <w:lang w:val="en-GB"/>
        </w:rPr>
        <w:t>comprehensive legal analysis</w:t>
      </w:r>
      <w:r w:rsidRPr="009A4A6F">
        <w:rPr>
          <w:rFonts w:ascii="Times New Roman" w:hAnsi="Times New Roman" w:cs="Times New Roman"/>
          <w:sz w:val="24"/>
          <w:szCs w:val="24"/>
          <w:lang w:val="en-GB"/>
        </w:rPr>
        <w:t xml:space="preserve"> of all instruments governing patient rights in Nigeria, considered together; ii) </w:t>
      </w:r>
      <w:r w:rsidRPr="009A4A6F">
        <w:rPr>
          <w:rFonts w:ascii="Times New Roman" w:hAnsi="Times New Roman" w:cs="Times New Roman"/>
          <w:bCs/>
          <w:sz w:val="24"/>
          <w:szCs w:val="24"/>
          <w:lang w:val="en-GB"/>
        </w:rPr>
        <w:t>Theorising the enforcement gap</w:t>
      </w:r>
      <w:r w:rsidRPr="009A4A6F">
        <w:rPr>
          <w:rFonts w:ascii="Times New Roman" w:hAnsi="Times New Roman" w:cs="Times New Roman"/>
          <w:sz w:val="24"/>
          <w:szCs w:val="24"/>
          <w:lang w:val="en-GB"/>
        </w:rPr>
        <w:t xml:space="preserve"> and its constitutional causes; iii) Developing a </w:t>
      </w:r>
      <w:r w:rsidRPr="009A4A6F">
        <w:rPr>
          <w:rFonts w:ascii="Times New Roman" w:hAnsi="Times New Roman" w:cs="Times New Roman"/>
          <w:bCs/>
          <w:sz w:val="24"/>
          <w:szCs w:val="24"/>
          <w:lang w:val="en-GB"/>
        </w:rPr>
        <w:t>concrete legislative reform proposal</w:t>
      </w:r>
      <w:r w:rsidRPr="009A4A6F">
        <w:rPr>
          <w:rFonts w:ascii="Times New Roman" w:hAnsi="Times New Roman" w:cs="Times New Roman"/>
          <w:sz w:val="24"/>
          <w:szCs w:val="24"/>
          <w:lang w:val="en-GB"/>
        </w:rPr>
        <w:t xml:space="preserve"> with specified content and institutional mechanisms; iv) Situating Nigeria within a </w:t>
      </w:r>
      <w:r w:rsidRPr="009A4A6F">
        <w:rPr>
          <w:rFonts w:ascii="Times New Roman" w:hAnsi="Times New Roman" w:cs="Times New Roman"/>
          <w:bCs/>
          <w:sz w:val="24"/>
          <w:szCs w:val="24"/>
          <w:lang w:val="en-GB"/>
        </w:rPr>
        <w:lastRenderedPageBreak/>
        <w:t>comparative framework,</w:t>
      </w:r>
      <w:r w:rsidRPr="009A4A6F">
        <w:rPr>
          <w:rFonts w:ascii="Times New Roman" w:hAnsi="Times New Roman" w:cs="Times New Roman"/>
          <w:sz w:val="24"/>
          <w:szCs w:val="24"/>
          <w:lang w:val="en-GB"/>
        </w:rPr>
        <w:t xml:space="preserve"> and v) Grounding legal analysis in </w:t>
      </w:r>
      <w:r w:rsidRPr="009A4A6F">
        <w:rPr>
          <w:rFonts w:ascii="Times New Roman" w:hAnsi="Times New Roman" w:cs="Times New Roman"/>
          <w:bCs/>
          <w:sz w:val="24"/>
          <w:szCs w:val="24"/>
          <w:lang w:val="en-GB"/>
        </w:rPr>
        <w:t>patient experience</w:t>
      </w:r>
      <w:r w:rsidRPr="009A4A6F">
        <w:rPr>
          <w:rFonts w:ascii="Times New Roman" w:hAnsi="Times New Roman" w:cs="Times New Roman"/>
          <w:sz w:val="24"/>
          <w:szCs w:val="24"/>
          <w:lang w:val="en-GB"/>
        </w:rPr>
        <w:t xml:space="preserve"> to ensure practical relevance.</w:t>
      </w:r>
    </w:p>
    <w:p w14:paraId="2702A949" w14:textId="77777777" w:rsidR="009A4A6F" w:rsidRPr="009A4A6F" w:rsidRDefault="009A4A6F" w:rsidP="009A4A6F">
      <w:pPr>
        <w:spacing w:line="480" w:lineRule="auto"/>
        <w:jc w:val="both"/>
        <w:rPr>
          <w:rFonts w:ascii="Times New Roman" w:hAnsi="Times New Roman" w:cs="Times New Roman"/>
          <w:b/>
          <w:bCs/>
          <w:sz w:val="24"/>
          <w:szCs w:val="24"/>
          <w:lang w:val="en-GB"/>
        </w:rPr>
      </w:pPr>
      <w:r w:rsidRPr="009A4A6F">
        <w:rPr>
          <w:rFonts w:ascii="Times New Roman" w:hAnsi="Times New Roman" w:cs="Times New Roman"/>
          <w:b/>
          <w:bCs/>
          <w:sz w:val="24"/>
          <w:szCs w:val="24"/>
          <w:lang w:val="en-GB"/>
        </w:rPr>
        <w:t xml:space="preserve"> 1.7.2 Review of American Authors</w:t>
      </w:r>
    </w:p>
    <w:p w14:paraId="2C252F49" w14:textId="77777777" w:rsidR="009A4A6F" w:rsidRPr="009A4A6F" w:rsidRDefault="009A4A6F" w:rsidP="009A4A6F">
      <w:pPr>
        <w:numPr>
          <w:ilvl w:val="0"/>
          <w:numId w:val="7"/>
        </w:num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American Hospital Association (AHA) and Congressional Studies: U.S. scholarship traces the patient-rights movement to the 1970s. Parker and others</w:t>
      </w:r>
      <w:r w:rsidRPr="009A4A6F">
        <w:rPr>
          <w:rFonts w:ascii="Times New Roman" w:hAnsi="Times New Roman" w:cs="Times New Roman"/>
          <w:sz w:val="24"/>
          <w:szCs w:val="24"/>
          <w:vertAlign w:val="superscript"/>
          <w:lang w:val="en-GB"/>
        </w:rPr>
        <w:footnoteReference w:id="20"/>
      </w:r>
      <w:r w:rsidRPr="009A4A6F">
        <w:rPr>
          <w:rFonts w:ascii="Times New Roman" w:hAnsi="Times New Roman" w:cs="Times New Roman"/>
          <w:sz w:val="24"/>
          <w:szCs w:val="24"/>
          <w:lang w:val="en-GB"/>
        </w:rPr>
        <w:t xml:space="preserve"> note that the AHA’s first Patient Bill of Rights (1973) introduced themes such as the right to respectful care, informed decision-making, and confidentiality. Subsequent revisions and accreditation standards (Joint Commission) reinforced those themes. In the U.S., patient rights evolved through a mix of ethical codes and legislation that emphasize autonomy and access to information.</w:t>
      </w:r>
      <w:r w:rsidRPr="009A4A6F">
        <w:rPr>
          <w:rFonts w:ascii="Times New Roman" w:hAnsi="Times New Roman" w:cs="Times New Roman"/>
          <w:sz w:val="24"/>
          <w:szCs w:val="24"/>
          <w:vertAlign w:val="superscript"/>
          <w:lang w:val="en-GB"/>
        </w:rPr>
        <w:footnoteReference w:id="21"/>
      </w:r>
      <w:r w:rsidRPr="009A4A6F">
        <w:rPr>
          <w:rFonts w:ascii="Times New Roman" w:hAnsi="Times New Roman" w:cs="Times New Roman"/>
          <w:sz w:val="24"/>
          <w:szCs w:val="24"/>
          <w:lang w:val="en-GB"/>
        </w:rPr>
        <w:t xml:space="preserve"> </w:t>
      </w:r>
    </w:p>
    <w:p w14:paraId="2993CE3A" w14:textId="77777777" w:rsidR="009A4A6F" w:rsidRPr="009A4A6F" w:rsidRDefault="009A4A6F" w:rsidP="009A4A6F">
      <w:pPr>
        <w:numPr>
          <w:ilvl w:val="0"/>
          <w:numId w:val="7"/>
        </w:num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AMA Code of Medical Ethics: The American Medical Association explicitly articulates patient rights in its ethics code.</w:t>
      </w:r>
      <w:r w:rsidRPr="009A4A6F">
        <w:rPr>
          <w:rFonts w:ascii="Times New Roman" w:hAnsi="Times New Roman" w:cs="Times New Roman"/>
          <w:sz w:val="24"/>
          <w:szCs w:val="24"/>
          <w:vertAlign w:val="superscript"/>
          <w:lang w:val="en-GB"/>
        </w:rPr>
        <w:footnoteReference w:id="22"/>
      </w:r>
      <w:r w:rsidRPr="009A4A6F">
        <w:rPr>
          <w:rFonts w:ascii="Times New Roman" w:hAnsi="Times New Roman" w:cs="Times New Roman"/>
          <w:sz w:val="24"/>
          <w:szCs w:val="24"/>
          <w:lang w:val="en-GB"/>
        </w:rPr>
        <w:t xml:space="preserve"> The AMA lists rights including (1) courtesy, respect, and dignity;</w:t>
      </w:r>
      <w:r w:rsidRPr="009A4A6F">
        <w:rPr>
          <w:rFonts w:ascii="Times New Roman" w:hAnsi="Times New Roman" w:cs="Times New Roman"/>
          <w:sz w:val="24"/>
          <w:szCs w:val="24"/>
          <w:vertAlign w:val="superscript"/>
          <w:lang w:val="en-GB"/>
        </w:rPr>
        <w:footnoteReference w:id="23"/>
      </w:r>
      <w:r w:rsidRPr="009A4A6F">
        <w:rPr>
          <w:rFonts w:ascii="Times New Roman" w:hAnsi="Times New Roman" w:cs="Times New Roman"/>
          <w:sz w:val="24"/>
          <w:szCs w:val="24"/>
          <w:lang w:val="en-GB"/>
        </w:rPr>
        <w:t xml:space="preserve"> (2) receipt of complete information about treatments</w:t>
      </w:r>
      <w:r w:rsidRPr="009A4A6F">
        <w:rPr>
          <w:rFonts w:ascii="Times New Roman" w:hAnsi="Times New Roman" w:cs="Times New Roman"/>
          <w:sz w:val="24"/>
          <w:szCs w:val="24"/>
          <w:vertAlign w:val="superscript"/>
          <w:lang w:val="en-GB"/>
        </w:rPr>
        <w:footnoteReference w:id="24"/>
      </w:r>
      <w:r w:rsidRPr="009A4A6F">
        <w:rPr>
          <w:rFonts w:ascii="Times New Roman" w:hAnsi="Times New Roman" w:cs="Times New Roman"/>
          <w:sz w:val="24"/>
          <w:szCs w:val="24"/>
          <w:lang w:val="en-GB"/>
        </w:rPr>
        <w:t>, (3) the ability to ask questions; (4) making decisions (accepting or refusing treatment)</w:t>
      </w:r>
      <w:r w:rsidRPr="009A4A6F">
        <w:rPr>
          <w:rFonts w:ascii="Times New Roman" w:hAnsi="Times New Roman" w:cs="Times New Roman"/>
          <w:sz w:val="24"/>
          <w:szCs w:val="24"/>
          <w:vertAlign w:val="superscript"/>
          <w:lang w:val="en-GB"/>
        </w:rPr>
        <w:footnoteReference w:id="25"/>
      </w:r>
      <w:r w:rsidRPr="009A4A6F">
        <w:rPr>
          <w:rFonts w:ascii="Times New Roman" w:hAnsi="Times New Roman" w:cs="Times New Roman"/>
          <w:sz w:val="24"/>
          <w:szCs w:val="24"/>
          <w:lang w:val="en-GB"/>
        </w:rPr>
        <w:t>, (5) privacy and confidentiality of records</w:t>
      </w:r>
      <w:r w:rsidRPr="009A4A6F">
        <w:rPr>
          <w:rFonts w:ascii="Times New Roman" w:hAnsi="Times New Roman" w:cs="Times New Roman"/>
          <w:sz w:val="24"/>
          <w:szCs w:val="24"/>
          <w:vertAlign w:val="superscript"/>
          <w:lang w:val="en-GB"/>
        </w:rPr>
        <w:footnoteReference w:id="26"/>
      </w:r>
      <w:r w:rsidRPr="009A4A6F">
        <w:rPr>
          <w:rFonts w:ascii="Times New Roman" w:hAnsi="Times New Roman" w:cs="Times New Roman"/>
          <w:sz w:val="24"/>
          <w:szCs w:val="24"/>
          <w:lang w:val="en-GB"/>
        </w:rPr>
        <w:t>, (6) access to medical records; and others.</w:t>
      </w:r>
      <w:r w:rsidRPr="009A4A6F">
        <w:rPr>
          <w:rFonts w:ascii="Times New Roman" w:hAnsi="Times New Roman" w:cs="Times New Roman"/>
          <w:sz w:val="24"/>
          <w:szCs w:val="24"/>
          <w:vertAlign w:val="superscript"/>
          <w:lang w:val="en-GB"/>
        </w:rPr>
        <w:footnoteReference w:id="27"/>
      </w:r>
      <w:r w:rsidRPr="009A4A6F">
        <w:rPr>
          <w:rFonts w:ascii="Times New Roman" w:hAnsi="Times New Roman" w:cs="Times New Roman"/>
          <w:sz w:val="24"/>
          <w:szCs w:val="24"/>
          <w:lang w:val="en-GB"/>
        </w:rPr>
        <w:t xml:space="preserve"> These principles underscore that patients should be active partners in their care.</w:t>
      </w:r>
      <w:r w:rsidRPr="009A4A6F">
        <w:rPr>
          <w:rFonts w:ascii="Times New Roman" w:hAnsi="Times New Roman" w:cs="Times New Roman"/>
          <w:sz w:val="24"/>
          <w:szCs w:val="24"/>
          <w:vertAlign w:val="superscript"/>
          <w:lang w:val="en-GB"/>
        </w:rPr>
        <w:footnoteReference w:id="28"/>
      </w:r>
      <w:r w:rsidRPr="009A4A6F">
        <w:rPr>
          <w:rFonts w:ascii="Times New Roman" w:hAnsi="Times New Roman" w:cs="Times New Roman"/>
          <w:sz w:val="24"/>
          <w:szCs w:val="24"/>
          <w:lang w:val="en-GB"/>
        </w:rPr>
        <w:t xml:space="preserve"> While U.S. law differs from Nigeria’s, such ethical guidelines illustrate the scope of rights that patient-centered care implies.</w:t>
      </w:r>
    </w:p>
    <w:p w14:paraId="265B3E38" w14:textId="77777777" w:rsidR="009A4A6F" w:rsidRPr="009A4A6F" w:rsidRDefault="009A4A6F" w:rsidP="009A4A6F">
      <w:pPr>
        <w:numPr>
          <w:ilvl w:val="0"/>
          <w:numId w:val="7"/>
        </w:num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lastRenderedPageBreak/>
        <w:t>Other U.S. Sources: Studdert’s</w:t>
      </w:r>
      <w:r w:rsidRPr="009A4A6F">
        <w:rPr>
          <w:rFonts w:ascii="Times New Roman" w:hAnsi="Times New Roman" w:cs="Times New Roman"/>
          <w:sz w:val="24"/>
          <w:szCs w:val="24"/>
          <w:vertAlign w:val="superscript"/>
          <w:lang w:val="en-GB"/>
        </w:rPr>
        <w:footnoteReference w:id="29"/>
      </w:r>
      <w:r w:rsidRPr="009A4A6F">
        <w:rPr>
          <w:rFonts w:ascii="Times New Roman" w:hAnsi="Times New Roman" w:cs="Times New Roman"/>
          <w:sz w:val="24"/>
          <w:szCs w:val="24"/>
          <w:lang w:val="en-GB"/>
        </w:rPr>
        <w:t xml:space="preserve"> study also shows that many U.S. states have enacted</w:t>
      </w:r>
      <w:r w:rsidRPr="009A4A6F">
        <w:rPr>
          <w:rFonts w:ascii="Times New Roman" w:hAnsi="Times New Roman" w:cs="Times New Roman"/>
          <w:sz w:val="24"/>
          <w:szCs w:val="24"/>
        </w:rPr>
        <w:t xml:space="preserve"> </w:t>
      </w:r>
      <w:r w:rsidRPr="009A4A6F">
        <w:rPr>
          <w:rFonts w:ascii="Times New Roman" w:hAnsi="Times New Roman" w:cs="Times New Roman"/>
          <w:sz w:val="24"/>
          <w:szCs w:val="24"/>
          <w:lang w:val="en-GB"/>
        </w:rPr>
        <w:t>Patient Bill of Rights statutes addressing some or most AHA themes. U.S. literature often focuses on specific issues, e.g., informed consent law and privacy law, but all affirm that patients have enforceable legal entitlements in healthcare. These American works generally portray a healthcare system where patient autonomy and recourse are more entrenched than in Nigeria, highlighting the importance of clear legal rights.</w:t>
      </w:r>
      <w:r w:rsidRPr="009A4A6F">
        <w:rPr>
          <w:rFonts w:ascii="Times New Roman" w:hAnsi="Times New Roman" w:cs="Times New Roman"/>
          <w:sz w:val="24"/>
          <w:szCs w:val="24"/>
          <w:vertAlign w:val="superscript"/>
          <w:lang w:val="en-GB"/>
        </w:rPr>
        <w:footnoteReference w:id="30"/>
      </w:r>
    </w:p>
    <w:p w14:paraId="156EB832"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lang w:val="en-GB"/>
        </w:rPr>
        <w:t>The development of patient rights frameworks in the United States offers instructive comparative context for understanding the gaps that persist in Nigeria's legal and institutional landscape. Although the American legislative model is not directly transposable to Nigeria's constitutional and statutory framework, it demonstrates that the principles of informed consent and patient autonomy can be given binding legal effect when there is sufficient institutional will. This is particularly relevant to the present study, which identifies the non-binding character of Nigeria's Patients' Bill of Rights 2018 as a central obstacle to effective enforcement.</w:t>
      </w:r>
      <w:r w:rsidRPr="009A4A6F">
        <w:rPr>
          <w:rFonts w:ascii="Times New Roman" w:hAnsi="Times New Roman" w:cs="Times New Roman"/>
          <w:sz w:val="24"/>
          <w:szCs w:val="24"/>
        </w:rPr>
        <w:t xml:space="preserve"> T</w:t>
      </w:r>
      <w:r w:rsidRPr="009A4A6F">
        <w:rPr>
          <w:rFonts w:ascii="Times New Roman" w:hAnsi="Times New Roman" w:cs="Times New Roman"/>
          <w:sz w:val="24"/>
          <w:szCs w:val="24"/>
          <w:lang w:val="en-GB"/>
        </w:rPr>
        <w:t xml:space="preserve">he AMA framework is instructive for the present study because it demonstrates the minimum content that a rights-based approach to healthcare should contain. </w:t>
      </w:r>
    </w:p>
    <w:p w14:paraId="539D2570" w14:textId="77777777" w:rsidR="009A4A6F" w:rsidRPr="009A4A6F" w:rsidRDefault="009A4A6F" w:rsidP="009A4A6F">
      <w:pPr>
        <w:numPr>
          <w:ilvl w:val="2"/>
          <w:numId w:val="8"/>
        </w:numPr>
        <w:spacing w:line="480" w:lineRule="auto"/>
        <w:jc w:val="both"/>
        <w:rPr>
          <w:rFonts w:ascii="Times New Roman" w:hAnsi="Times New Roman" w:cs="Times New Roman"/>
          <w:b/>
          <w:bCs/>
          <w:sz w:val="24"/>
          <w:szCs w:val="24"/>
          <w:lang w:val="en-GB"/>
        </w:rPr>
      </w:pPr>
      <w:r w:rsidRPr="009A4A6F">
        <w:rPr>
          <w:rFonts w:ascii="Times New Roman" w:hAnsi="Times New Roman" w:cs="Times New Roman"/>
          <w:b/>
          <w:bCs/>
          <w:sz w:val="24"/>
          <w:szCs w:val="24"/>
          <w:lang w:val="en-GB"/>
        </w:rPr>
        <w:t>Review of Other Foreign Authors</w:t>
      </w:r>
    </w:p>
    <w:p w14:paraId="4EB21A45" w14:textId="77777777" w:rsidR="009A4A6F" w:rsidRPr="009A4A6F" w:rsidRDefault="009A4A6F" w:rsidP="009A4A6F">
      <w:pPr>
        <w:numPr>
          <w:ilvl w:val="0"/>
          <w:numId w:val="9"/>
        </w:num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World Health Organization (WHO): The WHO Constitution</w:t>
      </w:r>
      <w:r w:rsidRPr="009A4A6F">
        <w:rPr>
          <w:rFonts w:ascii="Times New Roman" w:hAnsi="Times New Roman" w:cs="Times New Roman"/>
          <w:sz w:val="24"/>
          <w:szCs w:val="24"/>
          <w:vertAlign w:val="superscript"/>
          <w:lang w:val="en-GB"/>
        </w:rPr>
        <w:footnoteReference w:id="31"/>
      </w:r>
      <w:r w:rsidRPr="009A4A6F">
        <w:rPr>
          <w:rFonts w:ascii="Times New Roman" w:hAnsi="Times New Roman" w:cs="Times New Roman"/>
          <w:sz w:val="24"/>
          <w:szCs w:val="24"/>
          <w:lang w:val="en-GB"/>
        </w:rPr>
        <w:t xml:space="preserve"> explicitly declares that “the</w:t>
      </w:r>
      <w:r w:rsidRPr="009A4A6F">
        <w:rPr>
          <w:rFonts w:ascii="Times New Roman" w:hAnsi="Times New Roman" w:cs="Times New Roman"/>
          <w:sz w:val="24"/>
          <w:szCs w:val="24"/>
        </w:rPr>
        <w:t xml:space="preserve"> </w:t>
      </w:r>
      <w:r w:rsidRPr="009A4A6F">
        <w:rPr>
          <w:rFonts w:ascii="Times New Roman" w:hAnsi="Times New Roman" w:cs="Times New Roman"/>
          <w:sz w:val="24"/>
          <w:szCs w:val="24"/>
          <w:lang w:val="en-GB"/>
        </w:rPr>
        <w:t>enjoyment of the highest attainable standard of health is one of the fundamental rights of every human being.” WHO publications and reports have further defined patient rights (e.g., the 2006 “Patients for Patient Safety” movement). These texts provide a global standard that patient rights are integral to human rights.</w:t>
      </w:r>
    </w:p>
    <w:p w14:paraId="21A6A814" w14:textId="77777777" w:rsidR="009A4A6F" w:rsidRPr="009A4A6F" w:rsidRDefault="009A4A6F" w:rsidP="009A4A6F">
      <w:pPr>
        <w:numPr>
          <w:ilvl w:val="0"/>
          <w:numId w:val="9"/>
        </w:num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lastRenderedPageBreak/>
        <w:t>African Commission on Human and Peoples’ Rights: The 2008 ACHPR Resolution on Access to</w:t>
      </w:r>
      <w:r w:rsidRPr="009A4A6F">
        <w:rPr>
          <w:rFonts w:ascii="Times New Roman" w:hAnsi="Times New Roman" w:cs="Times New Roman"/>
          <w:sz w:val="24"/>
          <w:szCs w:val="24"/>
        </w:rPr>
        <w:t xml:space="preserve"> </w:t>
      </w:r>
      <w:r w:rsidRPr="009A4A6F">
        <w:rPr>
          <w:rFonts w:ascii="Times New Roman" w:hAnsi="Times New Roman" w:cs="Times New Roman"/>
          <w:sz w:val="24"/>
          <w:szCs w:val="24"/>
          <w:lang w:val="en-GB"/>
        </w:rPr>
        <w:t>Health emphasised in Article 16</w:t>
      </w:r>
      <w:r w:rsidRPr="009A4A6F">
        <w:rPr>
          <w:rFonts w:ascii="Times New Roman" w:hAnsi="Times New Roman" w:cs="Times New Roman"/>
          <w:sz w:val="24"/>
          <w:szCs w:val="24"/>
          <w:vertAlign w:val="superscript"/>
          <w:lang w:val="en-GB"/>
        </w:rPr>
        <w:footnoteReference w:id="32"/>
      </w:r>
      <w:r w:rsidRPr="009A4A6F">
        <w:rPr>
          <w:rFonts w:ascii="Times New Roman" w:hAnsi="Times New Roman" w:cs="Times New Roman"/>
          <w:sz w:val="24"/>
          <w:szCs w:val="24"/>
          <w:lang w:val="en-GB"/>
        </w:rPr>
        <w:t xml:space="preserve"> guarantee</w:t>
      </w:r>
      <w:r w:rsidRPr="009A4A6F">
        <w:rPr>
          <w:rFonts w:ascii="Times New Roman" w:hAnsi="Times New Roman" w:cs="Times New Roman"/>
          <w:sz w:val="24"/>
          <w:szCs w:val="24"/>
        </w:rPr>
        <w:t>s</w:t>
      </w:r>
      <w:r w:rsidRPr="009A4A6F">
        <w:rPr>
          <w:rFonts w:ascii="Times New Roman" w:hAnsi="Times New Roman" w:cs="Times New Roman"/>
          <w:sz w:val="24"/>
          <w:szCs w:val="24"/>
          <w:lang w:val="en-GB"/>
        </w:rPr>
        <w:t xml:space="preserve"> health and access to care. African jurists and scholars often cite this when discussing Nigeria, since Nigeria is a Charter signatory. It reinforces that state obligations include ensuring medical care for all, a principle supporting patient entitlements.</w:t>
      </w:r>
    </w:p>
    <w:p w14:paraId="118AC708" w14:textId="77777777" w:rsidR="009A4A6F" w:rsidRPr="009A4A6F" w:rsidRDefault="009A4A6F" w:rsidP="009A4A6F">
      <w:pPr>
        <w:numPr>
          <w:ilvl w:val="0"/>
          <w:numId w:val="9"/>
        </w:num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European Charter of Fundamental Rights: Article 35</w:t>
      </w:r>
      <w:r w:rsidRPr="009A4A6F">
        <w:rPr>
          <w:rFonts w:ascii="Times New Roman" w:hAnsi="Times New Roman" w:cs="Times New Roman"/>
          <w:sz w:val="24"/>
          <w:szCs w:val="24"/>
          <w:vertAlign w:val="superscript"/>
          <w:lang w:val="en-GB"/>
        </w:rPr>
        <w:footnoteReference w:id="33"/>
      </w:r>
      <w:r w:rsidRPr="009A4A6F">
        <w:rPr>
          <w:rFonts w:ascii="Times New Roman" w:hAnsi="Times New Roman" w:cs="Times New Roman"/>
          <w:sz w:val="24"/>
          <w:szCs w:val="24"/>
          <w:lang w:val="en-GB"/>
        </w:rPr>
        <w:t xml:space="preserve"> guarantees a “right of</w:t>
      </w:r>
      <w:r w:rsidRPr="009A4A6F">
        <w:rPr>
          <w:rFonts w:ascii="Times New Roman" w:hAnsi="Times New Roman" w:cs="Times New Roman"/>
          <w:sz w:val="24"/>
          <w:szCs w:val="24"/>
        </w:rPr>
        <w:t xml:space="preserve"> </w:t>
      </w:r>
      <w:r w:rsidRPr="009A4A6F">
        <w:rPr>
          <w:rFonts w:ascii="Times New Roman" w:hAnsi="Times New Roman" w:cs="Times New Roman"/>
          <w:sz w:val="24"/>
          <w:szCs w:val="24"/>
          <w:lang w:val="en-GB"/>
        </w:rPr>
        <w:t>access to preventive health care and the right to benefit from medical treatment under the conditions established by national laws.” Though not directly binding in Nigeria, such foreign charters influence international norms. They affirm that at least access and quality of care are human rights.</w:t>
      </w:r>
    </w:p>
    <w:p w14:paraId="1402477D"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rPr>
        <w:t xml:space="preserve">The contributions of the above literature reviews by different authors towards the study of this project and what they aim to </w:t>
      </w:r>
      <w:r w:rsidRPr="009A4A6F">
        <w:rPr>
          <w:rFonts w:ascii="Times New Roman" w:hAnsi="Times New Roman" w:cs="Times New Roman"/>
          <w:sz w:val="24"/>
          <w:szCs w:val="24"/>
          <w:lang w:val="en-GB"/>
        </w:rPr>
        <w:t>add to the research project on patient rights in Nigeria:.</w:t>
      </w:r>
    </w:p>
    <w:p w14:paraId="367D4820" w14:textId="77777777" w:rsidR="009A4A6F" w:rsidRPr="009A4A6F" w:rsidRDefault="009A4A6F" w:rsidP="009A4A6F">
      <w:pPr>
        <w:numPr>
          <w:ilvl w:val="0"/>
          <w:numId w:val="10"/>
        </w:numPr>
        <w:spacing w:line="480" w:lineRule="auto"/>
        <w:jc w:val="both"/>
        <w:rPr>
          <w:rFonts w:ascii="Times New Roman" w:hAnsi="Times New Roman" w:cs="Times New Roman"/>
          <w:sz w:val="24"/>
          <w:szCs w:val="24"/>
          <w:lang w:val="en-GB"/>
        </w:rPr>
      </w:pPr>
      <w:r w:rsidRPr="009A4A6F">
        <w:rPr>
          <w:rFonts w:ascii="Times New Roman" w:hAnsi="Times New Roman" w:cs="Times New Roman"/>
          <w:b/>
          <w:bCs/>
          <w:sz w:val="24"/>
          <w:szCs w:val="24"/>
          <w:lang w:val="en-GB"/>
        </w:rPr>
        <w:t>Building a Legal Framework:</w:t>
      </w:r>
      <w:r w:rsidRPr="009A4A6F">
        <w:rPr>
          <w:rFonts w:ascii="Times New Roman" w:hAnsi="Times New Roman" w:cs="Times New Roman"/>
          <w:sz w:val="24"/>
          <w:szCs w:val="24"/>
          <w:lang w:val="en-GB"/>
        </w:rPr>
        <w:t xml:space="preserve"> It maps the key laws and instruments relevant to the subject, the NHA, the Constitution, and the Patients' Bill of Rights, giving the project a solid legislative foundation to work from.</w:t>
      </w:r>
    </w:p>
    <w:p w14:paraId="7F44B290" w14:textId="77777777" w:rsidR="009A4A6F" w:rsidRPr="009A4A6F" w:rsidRDefault="009A4A6F" w:rsidP="009A4A6F">
      <w:pPr>
        <w:numPr>
          <w:ilvl w:val="0"/>
          <w:numId w:val="10"/>
        </w:numPr>
        <w:spacing w:line="480" w:lineRule="auto"/>
        <w:jc w:val="both"/>
        <w:rPr>
          <w:rFonts w:ascii="Times New Roman" w:hAnsi="Times New Roman" w:cs="Times New Roman"/>
          <w:sz w:val="24"/>
          <w:szCs w:val="24"/>
          <w:lang w:val="en-GB"/>
        </w:rPr>
      </w:pPr>
      <w:r w:rsidRPr="009A4A6F">
        <w:rPr>
          <w:rFonts w:ascii="Times New Roman" w:hAnsi="Times New Roman" w:cs="Times New Roman"/>
          <w:b/>
          <w:bCs/>
          <w:sz w:val="24"/>
          <w:szCs w:val="24"/>
          <w:lang w:val="en-GB"/>
        </w:rPr>
        <w:t>Identifying Research Gaps:</w:t>
      </w:r>
      <w:r w:rsidRPr="009A4A6F">
        <w:rPr>
          <w:rFonts w:ascii="Times New Roman" w:hAnsi="Times New Roman" w:cs="Times New Roman"/>
          <w:sz w:val="24"/>
          <w:szCs w:val="24"/>
          <w:lang w:val="en-GB"/>
        </w:rPr>
        <w:t xml:space="preserve"> Authors like Olaniyan and Onyi and others point to specific weaknesses such as poor informed consent practices, low patient awareness, and weak enforcement. These gaps give the project clear angles to investigate or argue around.</w:t>
      </w:r>
    </w:p>
    <w:p w14:paraId="09832E55" w14:textId="77777777" w:rsidR="009A4A6F" w:rsidRPr="009A4A6F" w:rsidRDefault="009A4A6F" w:rsidP="009A4A6F">
      <w:pPr>
        <w:numPr>
          <w:ilvl w:val="0"/>
          <w:numId w:val="10"/>
        </w:numPr>
        <w:spacing w:line="480" w:lineRule="auto"/>
        <w:jc w:val="both"/>
        <w:rPr>
          <w:rFonts w:ascii="Times New Roman" w:hAnsi="Times New Roman" w:cs="Times New Roman"/>
          <w:sz w:val="24"/>
          <w:szCs w:val="24"/>
          <w:lang w:val="en-GB"/>
        </w:rPr>
      </w:pPr>
      <w:r w:rsidRPr="009A4A6F">
        <w:rPr>
          <w:rFonts w:ascii="Times New Roman" w:hAnsi="Times New Roman" w:cs="Times New Roman"/>
          <w:b/>
          <w:bCs/>
          <w:sz w:val="24"/>
          <w:szCs w:val="24"/>
          <w:lang w:val="en-GB"/>
        </w:rPr>
        <w:t>Providing Comparative Benchmarks:</w:t>
      </w:r>
      <w:r w:rsidRPr="009A4A6F">
        <w:rPr>
          <w:rFonts w:ascii="Times New Roman" w:hAnsi="Times New Roman" w:cs="Times New Roman"/>
          <w:sz w:val="24"/>
          <w:szCs w:val="24"/>
          <w:lang w:val="en-GB"/>
        </w:rPr>
        <w:t xml:space="preserve"> The American and international sources (AHA, AMA, WHO, and ACHPR) set global standards against which Nigeria's system </w:t>
      </w:r>
      <w:r w:rsidRPr="009A4A6F">
        <w:rPr>
          <w:rFonts w:ascii="Times New Roman" w:hAnsi="Times New Roman" w:cs="Times New Roman"/>
          <w:sz w:val="24"/>
          <w:szCs w:val="24"/>
          <w:lang w:val="en-GB"/>
        </w:rPr>
        <w:lastRenderedPageBreak/>
        <w:t>can be measured. This strengthens any argument that Nigeria’s health system falls short of what is internationally accepted.</w:t>
      </w:r>
    </w:p>
    <w:p w14:paraId="08953BA3" w14:textId="77777777" w:rsidR="009A4A6F" w:rsidRPr="009A4A6F" w:rsidRDefault="009A4A6F" w:rsidP="009A4A6F">
      <w:pPr>
        <w:numPr>
          <w:ilvl w:val="0"/>
          <w:numId w:val="10"/>
        </w:numPr>
        <w:spacing w:line="480" w:lineRule="auto"/>
        <w:jc w:val="both"/>
        <w:rPr>
          <w:rFonts w:ascii="Times New Roman" w:hAnsi="Times New Roman" w:cs="Times New Roman"/>
          <w:sz w:val="24"/>
          <w:szCs w:val="24"/>
          <w:lang w:val="en-GB"/>
        </w:rPr>
      </w:pPr>
      <w:r w:rsidRPr="009A4A6F">
        <w:rPr>
          <w:rFonts w:ascii="Times New Roman" w:hAnsi="Times New Roman" w:cs="Times New Roman"/>
          <w:b/>
          <w:bCs/>
          <w:sz w:val="24"/>
          <w:szCs w:val="24"/>
          <w:lang w:val="en-GB"/>
        </w:rPr>
        <w:t>Avoiding Repetition:</w:t>
      </w:r>
      <w:r w:rsidRPr="009A4A6F">
        <w:rPr>
          <w:rFonts w:ascii="Times New Roman" w:hAnsi="Times New Roman" w:cs="Times New Roman"/>
          <w:sz w:val="24"/>
          <w:szCs w:val="24"/>
          <w:lang w:val="en-GB"/>
        </w:rPr>
        <w:t xml:space="preserve"> By showing what has already been studied, the review signals what this project is </w:t>
      </w:r>
      <w:r w:rsidRPr="009A4A6F">
        <w:rPr>
          <w:rFonts w:ascii="Times New Roman" w:hAnsi="Times New Roman" w:cs="Times New Roman"/>
          <w:iCs/>
          <w:sz w:val="24"/>
          <w:szCs w:val="24"/>
          <w:lang w:val="en-GB"/>
        </w:rPr>
        <w:t>not</w:t>
      </w:r>
      <w:r w:rsidRPr="009A4A6F">
        <w:rPr>
          <w:rFonts w:ascii="Times New Roman" w:hAnsi="Times New Roman" w:cs="Times New Roman"/>
          <w:sz w:val="24"/>
          <w:szCs w:val="24"/>
          <w:lang w:val="en-GB"/>
        </w:rPr>
        <w:t xml:space="preserve"> doing and helps position this research contribution as new and more focused.</w:t>
      </w:r>
    </w:p>
    <w:p w14:paraId="601D9E00"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 xml:space="preserve">In summary, the literature reviews contextualise the problems, justify the research, and build the intellectual scaffolding the rest of the project rests on. </w:t>
      </w:r>
    </w:p>
    <w:p w14:paraId="6B435245" w14:textId="77777777" w:rsidR="009A4A6F" w:rsidRPr="009A4A6F" w:rsidRDefault="009A4A6F" w:rsidP="009A4A6F">
      <w:pPr>
        <w:spacing w:line="480" w:lineRule="auto"/>
        <w:jc w:val="both"/>
        <w:rPr>
          <w:rFonts w:ascii="Times New Roman" w:hAnsi="Times New Roman" w:cs="Times New Roman"/>
          <w:sz w:val="24"/>
          <w:szCs w:val="24"/>
          <w:lang w:val="en-GB"/>
        </w:rPr>
      </w:pPr>
    </w:p>
    <w:p w14:paraId="10B80CF7" w14:textId="77777777" w:rsidR="009A4A6F" w:rsidRPr="009A4A6F" w:rsidRDefault="009A4A6F" w:rsidP="009A4A6F">
      <w:pPr>
        <w:spacing w:line="480" w:lineRule="auto"/>
        <w:jc w:val="both"/>
        <w:rPr>
          <w:rFonts w:ascii="Times New Roman" w:hAnsi="Times New Roman" w:cs="Times New Roman"/>
          <w:sz w:val="24"/>
          <w:szCs w:val="24"/>
          <w:lang w:val="en-GB"/>
        </w:rPr>
      </w:pPr>
    </w:p>
    <w:p w14:paraId="7FD628C8" w14:textId="77777777" w:rsidR="009A4A6F" w:rsidRPr="009A4A6F" w:rsidRDefault="009A4A6F" w:rsidP="009A4A6F">
      <w:pPr>
        <w:spacing w:line="480" w:lineRule="auto"/>
        <w:jc w:val="both"/>
        <w:rPr>
          <w:rFonts w:ascii="Times New Roman" w:hAnsi="Times New Roman" w:cs="Times New Roman"/>
          <w:sz w:val="24"/>
          <w:szCs w:val="24"/>
          <w:lang w:val="en-GB"/>
        </w:rPr>
      </w:pPr>
    </w:p>
    <w:p w14:paraId="55E784AE" w14:textId="77777777" w:rsidR="009A4A6F" w:rsidRPr="009A4A6F" w:rsidRDefault="009A4A6F" w:rsidP="009A4A6F">
      <w:pPr>
        <w:spacing w:line="480" w:lineRule="auto"/>
        <w:jc w:val="both"/>
        <w:rPr>
          <w:rFonts w:ascii="Times New Roman" w:hAnsi="Times New Roman" w:cs="Times New Roman"/>
          <w:sz w:val="24"/>
          <w:szCs w:val="24"/>
          <w:lang w:val="en-GB"/>
        </w:rPr>
      </w:pPr>
    </w:p>
    <w:p w14:paraId="2DD9E326" w14:textId="77777777" w:rsidR="009A4A6F" w:rsidRPr="009A4A6F" w:rsidRDefault="009A4A6F" w:rsidP="009A4A6F">
      <w:pPr>
        <w:spacing w:line="480" w:lineRule="auto"/>
        <w:jc w:val="both"/>
        <w:rPr>
          <w:rFonts w:ascii="Times New Roman" w:hAnsi="Times New Roman" w:cs="Times New Roman"/>
          <w:sz w:val="24"/>
          <w:szCs w:val="24"/>
          <w:lang w:val="en-GB"/>
        </w:rPr>
      </w:pPr>
    </w:p>
    <w:p w14:paraId="1AEBFDC7" w14:textId="77777777" w:rsidR="009A4A6F" w:rsidRPr="009A4A6F" w:rsidRDefault="009A4A6F" w:rsidP="009A4A6F">
      <w:pPr>
        <w:spacing w:line="480" w:lineRule="auto"/>
        <w:jc w:val="both"/>
        <w:rPr>
          <w:rFonts w:ascii="Times New Roman" w:hAnsi="Times New Roman" w:cs="Times New Roman"/>
          <w:sz w:val="24"/>
          <w:szCs w:val="24"/>
          <w:lang w:val="en-GB"/>
        </w:rPr>
      </w:pPr>
    </w:p>
    <w:p w14:paraId="6A736E04" w14:textId="77777777" w:rsidR="009A4A6F" w:rsidRPr="009A4A6F" w:rsidRDefault="009A4A6F" w:rsidP="009A4A6F">
      <w:pPr>
        <w:spacing w:line="480" w:lineRule="auto"/>
        <w:jc w:val="both"/>
        <w:rPr>
          <w:rFonts w:ascii="Times New Roman" w:hAnsi="Times New Roman" w:cs="Times New Roman"/>
          <w:sz w:val="24"/>
          <w:szCs w:val="24"/>
          <w:lang w:val="en-GB"/>
        </w:rPr>
      </w:pPr>
    </w:p>
    <w:p w14:paraId="69508E88" w14:textId="77777777" w:rsidR="009A4A6F" w:rsidRPr="009A4A6F" w:rsidRDefault="009A4A6F" w:rsidP="009A4A6F">
      <w:pPr>
        <w:spacing w:line="480" w:lineRule="auto"/>
        <w:jc w:val="both"/>
        <w:rPr>
          <w:rFonts w:ascii="Times New Roman" w:hAnsi="Times New Roman" w:cs="Times New Roman"/>
          <w:sz w:val="24"/>
          <w:szCs w:val="24"/>
          <w:lang w:val="en-GB"/>
        </w:rPr>
      </w:pPr>
    </w:p>
    <w:p w14:paraId="5278D3A4" w14:textId="77777777" w:rsidR="009A4A6F" w:rsidRPr="009A4A6F" w:rsidRDefault="009A4A6F" w:rsidP="009A4A6F">
      <w:pPr>
        <w:spacing w:line="480" w:lineRule="auto"/>
        <w:jc w:val="both"/>
        <w:rPr>
          <w:rFonts w:ascii="Times New Roman" w:hAnsi="Times New Roman" w:cs="Times New Roman"/>
          <w:sz w:val="24"/>
          <w:szCs w:val="24"/>
          <w:lang w:val="en-GB"/>
        </w:rPr>
      </w:pPr>
    </w:p>
    <w:p w14:paraId="005C2B6D" w14:textId="77777777" w:rsidR="009A4A6F" w:rsidRPr="009A4A6F" w:rsidRDefault="009A4A6F" w:rsidP="009A4A6F">
      <w:pPr>
        <w:spacing w:line="480" w:lineRule="auto"/>
        <w:jc w:val="both"/>
        <w:rPr>
          <w:rFonts w:ascii="Times New Roman" w:hAnsi="Times New Roman" w:cs="Times New Roman"/>
          <w:sz w:val="24"/>
          <w:szCs w:val="24"/>
          <w:lang w:val="en-GB"/>
        </w:rPr>
      </w:pPr>
    </w:p>
    <w:p w14:paraId="6AFA96D6" w14:textId="77777777" w:rsidR="009A4A6F" w:rsidRPr="009A4A6F" w:rsidRDefault="009A4A6F" w:rsidP="009A4A6F">
      <w:pPr>
        <w:spacing w:line="480" w:lineRule="auto"/>
        <w:jc w:val="both"/>
        <w:rPr>
          <w:rFonts w:ascii="Times New Roman" w:hAnsi="Times New Roman" w:cs="Times New Roman"/>
          <w:sz w:val="24"/>
          <w:szCs w:val="24"/>
          <w:lang w:val="en-GB"/>
        </w:rPr>
      </w:pPr>
    </w:p>
    <w:p w14:paraId="2A799052" w14:textId="77777777" w:rsidR="009A4A6F" w:rsidRPr="009A4A6F" w:rsidRDefault="009A4A6F" w:rsidP="009A4A6F">
      <w:pPr>
        <w:spacing w:line="480" w:lineRule="auto"/>
        <w:jc w:val="both"/>
        <w:rPr>
          <w:rFonts w:ascii="Times New Roman" w:hAnsi="Times New Roman" w:cs="Times New Roman"/>
          <w:sz w:val="24"/>
          <w:szCs w:val="24"/>
          <w:lang w:val="en-GB"/>
        </w:rPr>
      </w:pPr>
    </w:p>
    <w:p w14:paraId="2F3654F3" w14:textId="77777777" w:rsidR="00647E7A" w:rsidRDefault="00647E7A" w:rsidP="009A4A6F">
      <w:pPr>
        <w:spacing w:line="480" w:lineRule="auto"/>
        <w:jc w:val="both"/>
        <w:rPr>
          <w:rFonts w:ascii="Times New Roman" w:hAnsi="Times New Roman" w:cs="Times New Roman"/>
          <w:b/>
          <w:sz w:val="24"/>
          <w:szCs w:val="24"/>
        </w:rPr>
      </w:pPr>
    </w:p>
    <w:p w14:paraId="20DE5092" w14:textId="77777777" w:rsidR="00647E7A" w:rsidRDefault="00647E7A" w:rsidP="009A4A6F">
      <w:pPr>
        <w:spacing w:line="480" w:lineRule="auto"/>
        <w:jc w:val="both"/>
        <w:rPr>
          <w:rFonts w:ascii="Times New Roman" w:hAnsi="Times New Roman" w:cs="Times New Roman"/>
          <w:b/>
          <w:sz w:val="24"/>
          <w:szCs w:val="24"/>
        </w:rPr>
      </w:pPr>
    </w:p>
    <w:p w14:paraId="14A27654" w14:textId="5265A7AC" w:rsidR="009A4A6F" w:rsidRPr="009A4A6F" w:rsidRDefault="009A4A6F" w:rsidP="00647E7A">
      <w:pPr>
        <w:spacing w:line="480" w:lineRule="auto"/>
        <w:jc w:val="center"/>
        <w:rPr>
          <w:rFonts w:ascii="Times New Roman" w:hAnsi="Times New Roman" w:cs="Times New Roman"/>
          <w:b/>
          <w:sz w:val="24"/>
          <w:szCs w:val="24"/>
        </w:rPr>
      </w:pPr>
      <w:r w:rsidRPr="009A4A6F">
        <w:rPr>
          <w:rFonts w:ascii="Times New Roman" w:hAnsi="Times New Roman" w:cs="Times New Roman"/>
          <w:b/>
          <w:sz w:val="24"/>
          <w:szCs w:val="24"/>
        </w:rPr>
        <w:lastRenderedPageBreak/>
        <w:t>CHAPTER TWO</w:t>
      </w:r>
    </w:p>
    <w:p w14:paraId="37A23481" w14:textId="77777777" w:rsidR="009A4A6F" w:rsidRPr="009A4A6F" w:rsidRDefault="009A4A6F" w:rsidP="00647E7A">
      <w:pPr>
        <w:spacing w:line="480" w:lineRule="auto"/>
        <w:jc w:val="center"/>
        <w:rPr>
          <w:rFonts w:ascii="Times New Roman" w:hAnsi="Times New Roman" w:cs="Times New Roman"/>
          <w:b/>
          <w:sz w:val="24"/>
          <w:szCs w:val="24"/>
        </w:rPr>
      </w:pPr>
      <w:r w:rsidRPr="009A4A6F">
        <w:rPr>
          <w:rFonts w:ascii="Times New Roman" w:hAnsi="Times New Roman" w:cs="Times New Roman"/>
          <w:b/>
          <w:sz w:val="24"/>
          <w:szCs w:val="24"/>
        </w:rPr>
        <w:t>CONCEPTUAL AND THEORETICAL FRAMEWORK</w:t>
      </w:r>
    </w:p>
    <w:p w14:paraId="64C51759"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t>2.1. Conceptual Framework</w:t>
      </w:r>
    </w:p>
    <w:p w14:paraId="781D8D0B"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2.1.1. Definition of Key Terms</w:t>
      </w:r>
    </w:p>
    <w:p w14:paraId="20B8C56D" w14:textId="77777777" w:rsidR="009A4A6F" w:rsidRPr="009A4A6F" w:rsidRDefault="009A4A6F" w:rsidP="009A4A6F">
      <w:pPr>
        <w:numPr>
          <w:ilvl w:val="0"/>
          <w:numId w:val="20"/>
        </w:num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Patient: An individual seeking or receiving healthcare services from a licensed healthcare provider.</w:t>
      </w:r>
      <w:r w:rsidRPr="009A4A6F">
        <w:rPr>
          <w:rFonts w:ascii="Times New Roman" w:hAnsi="Times New Roman" w:cs="Times New Roman"/>
          <w:sz w:val="24"/>
          <w:szCs w:val="24"/>
          <w:vertAlign w:val="superscript"/>
          <w:lang w:val="en-GB"/>
        </w:rPr>
        <w:footnoteReference w:id="34"/>
      </w:r>
    </w:p>
    <w:p w14:paraId="6B7AA5C3" w14:textId="77777777" w:rsidR="009A4A6F" w:rsidRPr="009A4A6F" w:rsidRDefault="009A4A6F" w:rsidP="009A4A6F">
      <w:pPr>
        <w:numPr>
          <w:ilvl w:val="0"/>
          <w:numId w:val="20"/>
        </w:num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Patient’s Rights: The set of legal and ethical entitlements of a patient during healthcare. This typically includes rights to informed consent, confidentiality of medical records, access to information about one’s health, respectful and non-discriminatory care, and emergency attention.</w:t>
      </w:r>
      <w:r w:rsidRPr="009A4A6F">
        <w:rPr>
          <w:rFonts w:ascii="Times New Roman" w:hAnsi="Times New Roman" w:cs="Times New Roman"/>
          <w:sz w:val="24"/>
          <w:szCs w:val="24"/>
          <w:vertAlign w:val="superscript"/>
          <w:lang w:val="en-GB"/>
        </w:rPr>
        <w:footnoteReference w:id="35"/>
      </w:r>
    </w:p>
    <w:p w14:paraId="5B360866" w14:textId="77777777" w:rsidR="009A4A6F" w:rsidRPr="009A4A6F" w:rsidRDefault="009A4A6F" w:rsidP="009A4A6F">
      <w:pPr>
        <w:numPr>
          <w:ilvl w:val="0"/>
          <w:numId w:val="20"/>
        </w:num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Nature of Rights: The character or foundation of patients’ rights, e.g., whether they are conceived as fundamental human rights, statutory obligations, or ethical duties. This term reflects what kind of claims patients have.</w:t>
      </w:r>
      <w:r w:rsidRPr="009A4A6F">
        <w:rPr>
          <w:rFonts w:ascii="Times New Roman" w:hAnsi="Times New Roman" w:cs="Times New Roman"/>
          <w:sz w:val="24"/>
          <w:szCs w:val="24"/>
          <w:vertAlign w:val="superscript"/>
          <w:lang w:val="en-GB"/>
        </w:rPr>
        <w:footnoteReference w:id="36"/>
      </w:r>
    </w:p>
    <w:p w14:paraId="42ED13E3" w14:textId="77777777" w:rsidR="009A4A6F" w:rsidRPr="009A4A6F" w:rsidRDefault="009A4A6F" w:rsidP="009A4A6F">
      <w:pPr>
        <w:numPr>
          <w:ilvl w:val="0"/>
          <w:numId w:val="20"/>
        </w:num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Scope of Rights: The extent or coverage of patients’ rights. It refers to which specific rights are included, to whom they apply, and in what situations they must be honoured. For instance, scope covers whether rights apply to all patients equally and whether they cover only treatment decisions or broader aspects of healthcare.</w:t>
      </w:r>
      <w:r w:rsidRPr="009A4A6F">
        <w:rPr>
          <w:rFonts w:ascii="Times New Roman" w:hAnsi="Times New Roman" w:cs="Times New Roman"/>
          <w:sz w:val="24"/>
          <w:szCs w:val="24"/>
          <w:vertAlign w:val="superscript"/>
          <w:lang w:val="en-GB"/>
        </w:rPr>
        <w:footnoteReference w:id="37"/>
      </w:r>
    </w:p>
    <w:p w14:paraId="1C20B559" w14:textId="77777777" w:rsidR="009A4A6F" w:rsidRPr="009A4A6F" w:rsidRDefault="009A4A6F" w:rsidP="009A4A6F">
      <w:pPr>
        <w:numPr>
          <w:ilvl w:val="0"/>
          <w:numId w:val="20"/>
        </w:num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 xml:space="preserve">Nigerian Law: For this study, “Nigerian law” encompasses the Constitution of the Federal Republic of Nigeria, federal statutes (e.g., the National Health Act 2014), regulations </w:t>
      </w:r>
      <w:r w:rsidRPr="009A4A6F">
        <w:rPr>
          <w:rFonts w:ascii="Times New Roman" w:hAnsi="Times New Roman" w:cs="Times New Roman"/>
          <w:sz w:val="24"/>
          <w:szCs w:val="24"/>
          <w:lang w:val="en-GB"/>
        </w:rPr>
        <w:lastRenderedPageBreak/>
        <w:t>made under those laws, and Nigerian case law, as well as ratified international treaties. It is the binding legal framework that regulates healthcare and patient protections in Nigeria.</w:t>
      </w:r>
      <w:r w:rsidRPr="009A4A6F">
        <w:rPr>
          <w:rFonts w:ascii="Times New Roman" w:hAnsi="Times New Roman" w:cs="Times New Roman"/>
          <w:sz w:val="24"/>
          <w:szCs w:val="24"/>
          <w:vertAlign w:val="superscript"/>
          <w:lang w:val="en-GB"/>
        </w:rPr>
        <w:footnoteReference w:id="38"/>
      </w:r>
    </w:p>
    <w:p w14:paraId="2DD9CE8E"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t>2.1.2. Patients Right</w:t>
      </w:r>
    </w:p>
    <w:p w14:paraId="17D5F268"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Throughout history, the concept of patients' rights has been firmly established on the foundation of acknowledging the dignity of every individual and their equal and inalienable rights, as exemplified in the Universal Declaration of Human Rights (UDHR) and various international legal sources.</w:t>
      </w:r>
      <w:r w:rsidRPr="009A4A6F">
        <w:rPr>
          <w:rFonts w:ascii="Times New Roman" w:hAnsi="Times New Roman" w:cs="Times New Roman"/>
          <w:sz w:val="24"/>
          <w:szCs w:val="24"/>
          <w:vertAlign w:val="superscript"/>
          <w:lang w:val="en-GB"/>
        </w:rPr>
        <w:footnoteReference w:id="39"/>
      </w:r>
      <w:r w:rsidRPr="009A4A6F">
        <w:rPr>
          <w:rFonts w:ascii="Times New Roman" w:hAnsi="Times New Roman" w:cs="Times New Roman"/>
          <w:sz w:val="24"/>
          <w:szCs w:val="24"/>
          <w:lang w:val="en-GB"/>
        </w:rPr>
        <w:t xml:space="preserve"> Patient rights are a subset of human rights. Patient rights encompass fundamental principles governing the interactions between patients and healthcare providers, as well as the organizations and individuals that provide healthcare services. Patient rights represent a fundamental declaration embraced by the majority of healthcare practitioners, encompassing topics like the right to receive care, preservation of patient dignity, safeguarding confidentiality, and obtaining informed consent for treatments.</w:t>
      </w:r>
      <w:r w:rsidRPr="009A4A6F">
        <w:rPr>
          <w:rFonts w:ascii="Times New Roman" w:hAnsi="Times New Roman" w:cs="Times New Roman"/>
          <w:sz w:val="24"/>
          <w:szCs w:val="24"/>
          <w:vertAlign w:val="superscript"/>
          <w:lang w:val="en-GB"/>
        </w:rPr>
        <w:footnoteReference w:id="40"/>
      </w:r>
    </w:p>
    <w:p w14:paraId="05C14AF0"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Pin extends the definition of patient's rights to encompass both legal and ethical aspects within the provider-patient relationship. This includes an individual's entitlement to privacy, the right to receive high-quality medical care without bias, the right to make well-informed decisions regarding their care and treatment options, and the right to refuse treatment when deemed necessary.</w:t>
      </w:r>
      <w:r w:rsidRPr="009A4A6F">
        <w:rPr>
          <w:rFonts w:ascii="Times New Roman" w:hAnsi="Times New Roman" w:cs="Times New Roman"/>
          <w:sz w:val="24"/>
          <w:szCs w:val="24"/>
          <w:vertAlign w:val="superscript"/>
          <w:lang w:val="en-GB"/>
        </w:rPr>
        <w:footnoteReference w:id="41"/>
      </w:r>
    </w:p>
    <w:p w14:paraId="636493C8"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 xml:space="preserve">This work posits that patients’ rights are the basic, fair, and important principles or guarantees that ensure people who are receiving medical care are treated well and have certain protections. </w:t>
      </w:r>
      <w:r w:rsidRPr="009A4A6F">
        <w:rPr>
          <w:rFonts w:ascii="Times New Roman" w:hAnsi="Times New Roman" w:cs="Times New Roman"/>
          <w:sz w:val="24"/>
          <w:szCs w:val="24"/>
          <w:lang w:val="en-GB"/>
        </w:rPr>
        <w:lastRenderedPageBreak/>
        <w:t>These rights include rights like; “the right to make informed decisions about your own treatment, the right to privacy, and the right to be informed about your medical condition and treatment options or alternatives, among others. Essentially, Patient’s Rights is a declaration of the various rights that are bestowed on patients or users of healthcare services to prevent them from wrongful treatment while receiving medical care.”</w:t>
      </w:r>
      <w:r w:rsidRPr="009A4A6F">
        <w:rPr>
          <w:rFonts w:ascii="Times New Roman" w:hAnsi="Times New Roman" w:cs="Times New Roman"/>
          <w:sz w:val="24"/>
          <w:szCs w:val="24"/>
          <w:vertAlign w:val="superscript"/>
          <w:lang w:val="en-GB"/>
        </w:rPr>
        <w:footnoteReference w:id="42"/>
      </w:r>
    </w:p>
    <w:p w14:paraId="24863B25"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Patient rights are fundamental in the journey toward empowering individuals and transitioning to healthcare systems that prioritize person-centered care.</w:t>
      </w:r>
      <w:r w:rsidRPr="009A4A6F">
        <w:rPr>
          <w:rFonts w:ascii="Times New Roman" w:hAnsi="Times New Roman" w:cs="Times New Roman"/>
          <w:sz w:val="24"/>
          <w:szCs w:val="24"/>
          <w:vertAlign w:val="superscript"/>
          <w:lang w:val="en-GB"/>
        </w:rPr>
        <w:footnoteReference w:id="43"/>
      </w:r>
      <w:r w:rsidRPr="009A4A6F">
        <w:rPr>
          <w:rFonts w:ascii="Times New Roman" w:hAnsi="Times New Roman" w:cs="Times New Roman"/>
          <w:sz w:val="24"/>
          <w:szCs w:val="24"/>
          <w:lang w:val="en-GB"/>
        </w:rPr>
        <w:t xml:space="preserve"> These rights establish the basis for regarding citizens as active participants who have control over the delivery of their healthcare services. A fundamental aspect of successful doctor-patient communication is established when patients possess knowledge about their medical conditions and rights.</w:t>
      </w:r>
      <w:r w:rsidRPr="009A4A6F">
        <w:rPr>
          <w:rFonts w:ascii="Times New Roman" w:hAnsi="Times New Roman" w:cs="Times New Roman"/>
          <w:sz w:val="24"/>
          <w:szCs w:val="24"/>
          <w:vertAlign w:val="superscript"/>
          <w:lang w:val="en-GB"/>
        </w:rPr>
        <w:footnoteReference w:id="44"/>
      </w:r>
      <w:r w:rsidRPr="009A4A6F">
        <w:rPr>
          <w:rFonts w:ascii="Times New Roman" w:hAnsi="Times New Roman" w:cs="Times New Roman"/>
          <w:sz w:val="24"/>
          <w:szCs w:val="24"/>
          <w:lang w:val="en-GB"/>
        </w:rPr>
        <w:t xml:space="preserve"> Well-informed patients have a deeper understanding of their illnesses, treatments, and healthcare, making it essential to encourage their active involvement in their own care.</w:t>
      </w:r>
      <w:r w:rsidRPr="009A4A6F">
        <w:rPr>
          <w:rFonts w:ascii="Times New Roman" w:hAnsi="Times New Roman" w:cs="Times New Roman"/>
          <w:sz w:val="24"/>
          <w:szCs w:val="24"/>
          <w:vertAlign w:val="superscript"/>
          <w:lang w:val="en-GB"/>
        </w:rPr>
        <w:footnoteReference w:id="45"/>
      </w:r>
      <w:r w:rsidRPr="009A4A6F">
        <w:rPr>
          <w:rFonts w:ascii="Times New Roman" w:hAnsi="Times New Roman" w:cs="Times New Roman"/>
          <w:sz w:val="24"/>
          <w:szCs w:val="24"/>
          <w:lang w:val="en-GB"/>
        </w:rPr>
        <w:t xml:space="preserve"> Patient rights in the realm of healthcare delivery include privacy, access to information, the right to life, and the receipt of high-quality care.</w:t>
      </w:r>
      <w:r w:rsidRPr="009A4A6F">
        <w:rPr>
          <w:rFonts w:ascii="Times New Roman" w:hAnsi="Times New Roman" w:cs="Times New Roman"/>
          <w:sz w:val="24"/>
          <w:szCs w:val="24"/>
          <w:vertAlign w:val="superscript"/>
          <w:lang w:val="en-GB"/>
        </w:rPr>
        <w:footnoteReference w:id="46"/>
      </w:r>
      <w:r w:rsidRPr="009A4A6F">
        <w:rPr>
          <w:rFonts w:ascii="Times New Roman" w:hAnsi="Times New Roman" w:cs="Times New Roman"/>
          <w:sz w:val="24"/>
          <w:szCs w:val="24"/>
          <w:lang w:val="en-GB"/>
        </w:rPr>
        <w:t xml:space="preserve"> Furthermore, they encompass freedom from discrimination and torture, as well as any cruel, inhumane, or degrading treatment. Patients also have the right to receive care that is considerate and respectful in response to their requests for services, while maintaining continuity in their care.</w:t>
      </w:r>
      <w:r w:rsidRPr="009A4A6F">
        <w:rPr>
          <w:rFonts w:ascii="Times New Roman" w:hAnsi="Times New Roman" w:cs="Times New Roman"/>
          <w:sz w:val="24"/>
          <w:szCs w:val="24"/>
          <w:vertAlign w:val="superscript"/>
          <w:lang w:val="en-GB"/>
        </w:rPr>
        <w:footnoteReference w:id="47"/>
      </w:r>
    </w:p>
    <w:p w14:paraId="4C97CBF7"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2.1.3. Healthcare</w:t>
      </w:r>
    </w:p>
    <w:p w14:paraId="76788E2E"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bCs/>
          <w:sz w:val="24"/>
          <w:szCs w:val="24"/>
          <w:lang w:val="en-GB"/>
        </w:rPr>
        <w:t>Healthcare</w:t>
      </w:r>
      <w:r w:rsidRPr="009A4A6F">
        <w:rPr>
          <w:rFonts w:ascii="Times New Roman" w:hAnsi="Times New Roman" w:cs="Times New Roman"/>
          <w:sz w:val="24"/>
          <w:szCs w:val="24"/>
          <w:lang w:val="en-GB"/>
        </w:rPr>
        <w:t xml:space="preserve"> is the improvement or maintenance of </w:t>
      </w:r>
      <w:hyperlink r:id="rId11" w:tooltip="Health" w:history="1">
        <w:r w:rsidRPr="009A4A6F">
          <w:rPr>
            <w:rStyle w:val="Hyperlink"/>
            <w:rFonts w:ascii="Times New Roman" w:hAnsi="Times New Roman" w:cs="Times New Roman"/>
            <w:sz w:val="24"/>
            <w:szCs w:val="24"/>
            <w:u w:val="none"/>
            <w:lang w:val="en-GB"/>
          </w:rPr>
          <w:t>health</w:t>
        </w:r>
      </w:hyperlink>
      <w:r w:rsidRPr="009A4A6F">
        <w:rPr>
          <w:rFonts w:ascii="Times New Roman" w:hAnsi="Times New Roman" w:cs="Times New Roman"/>
          <w:sz w:val="24"/>
          <w:szCs w:val="24"/>
          <w:lang w:val="en-GB"/>
        </w:rPr>
        <w:t> via the </w:t>
      </w:r>
      <w:hyperlink r:id="rId12" w:tooltip="Preventive healthcare" w:history="1">
        <w:r w:rsidRPr="009A4A6F">
          <w:rPr>
            <w:rStyle w:val="Hyperlink"/>
            <w:rFonts w:ascii="Times New Roman" w:hAnsi="Times New Roman" w:cs="Times New Roman"/>
            <w:sz w:val="24"/>
            <w:szCs w:val="24"/>
            <w:u w:val="none"/>
            <w:lang w:val="en-GB"/>
          </w:rPr>
          <w:t>prevention</w:t>
        </w:r>
      </w:hyperlink>
      <w:r w:rsidRPr="009A4A6F">
        <w:rPr>
          <w:rFonts w:ascii="Times New Roman" w:hAnsi="Times New Roman" w:cs="Times New Roman"/>
          <w:sz w:val="24"/>
          <w:szCs w:val="24"/>
          <w:lang w:val="en-GB"/>
        </w:rPr>
        <w:t>, </w:t>
      </w:r>
      <w:hyperlink r:id="rId13" w:tooltip="Diagnosis" w:history="1">
        <w:r w:rsidRPr="009A4A6F">
          <w:rPr>
            <w:rStyle w:val="Hyperlink"/>
            <w:rFonts w:ascii="Times New Roman" w:hAnsi="Times New Roman" w:cs="Times New Roman"/>
            <w:sz w:val="24"/>
            <w:szCs w:val="24"/>
            <w:u w:val="none"/>
            <w:lang w:val="en-GB"/>
          </w:rPr>
          <w:t>diagnosis</w:t>
        </w:r>
      </w:hyperlink>
      <w:r w:rsidRPr="009A4A6F">
        <w:rPr>
          <w:rFonts w:ascii="Times New Roman" w:hAnsi="Times New Roman" w:cs="Times New Roman"/>
          <w:sz w:val="24"/>
          <w:szCs w:val="24"/>
          <w:lang w:val="en-GB"/>
        </w:rPr>
        <w:t>, </w:t>
      </w:r>
      <w:hyperlink r:id="rId14" w:tooltip="Therapy" w:history="1">
        <w:r w:rsidRPr="009A4A6F">
          <w:rPr>
            <w:rStyle w:val="Hyperlink"/>
            <w:rFonts w:ascii="Times New Roman" w:hAnsi="Times New Roman" w:cs="Times New Roman"/>
            <w:sz w:val="24"/>
            <w:szCs w:val="24"/>
            <w:u w:val="none"/>
            <w:lang w:val="en-GB"/>
          </w:rPr>
          <w:t>treatment</w:t>
        </w:r>
      </w:hyperlink>
      <w:r w:rsidRPr="009A4A6F">
        <w:rPr>
          <w:rFonts w:ascii="Times New Roman" w:hAnsi="Times New Roman" w:cs="Times New Roman"/>
          <w:sz w:val="24"/>
          <w:szCs w:val="24"/>
          <w:lang w:val="en-GB"/>
        </w:rPr>
        <w:t>, </w:t>
      </w:r>
      <w:hyperlink r:id="rId15" w:tooltip="wikt:amelioration" w:history="1">
        <w:r w:rsidRPr="009A4A6F">
          <w:rPr>
            <w:rStyle w:val="Hyperlink"/>
            <w:rFonts w:ascii="Times New Roman" w:hAnsi="Times New Roman" w:cs="Times New Roman"/>
            <w:sz w:val="24"/>
            <w:szCs w:val="24"/>
            <w:u w:val="none"/>
            <w:lang w:val="en-GB"/>
          </w:rPr>
          <w:t>amelioration,</w:t>
        </w:r>
      </w:hyperlink>
      <w:r w:rsidRPr="009A4A6F">
        <w:rPr>
          <w:rFonts w:ascii="Times New Roman" w:hAnsi="Times New Roman" w:cs="Times New Roman"/>
          <w:sz w:val="24"/>
          <w:szCs w:val="24"/>
          <w:lang w:val="en-GB"/>
        </w:rPr>
        <w:t> or </w:t>
      </w:r>
      <w:hyperlink r:id="rId16" w:tooltip="Cure" w:history="1">
        <w:r w:rsidRPr="009A4A6F">
          <w:rPr>
            <w:rStyle w:val="Hyperlink"/>
            <w:rFonts w:ascii="Times New Roman" w:hAnsi="Times New Roman" w:cs="Times New Roman"/>
            <w:sz w:val="24"/>
            <w:szCs w:val="24"/>
            <w:u w:val="none"/>
            <w:lang w:val="en-GB"/>
          </w:rPr>
          <w:t>cure</w:t>
        </w:r>
      </w:hyperlink>
      <w:r w:rsidRPr="009A4A6F">
        <w:rPr>
          <w:rFonts w:ascii="Times New Roman" w:hAnsi="Times New Roman" w:cs="Times New Roman"/>
          <w:sz w:val="24"/>
          <w:szCs w:val="24"/>
          <w:lang w:val="en-GB"/>
        </w:rPr>
        <w:t> of </w:t>
      </w:r>
      <w:hyperlink r:id="rId17" w:tooltip="Disease" w:history="1">
        <w:r w:rsidRPr="009A4A6F">
          <w:rPr>
            <w:rStyle w:val="Hyperlink"/>
            <w:rFonts w:ascii="Times New Roman" w:hAnsi="Times New Roman" w:cs="Times New Roman"/>
            <w:sz w:val="24"/>
            <w:szCs w:val="24"/>
            <w:u w:val="none"/>
            <w:lang w:val="en-GB"/>
          </w:rPr>
          <w:t>disease</w:t>
        </w:r>
      </w:hyperlink>
      <w:r w:rsidRPr="009A4A6F">
        <w:rPr>
          <w:rFonts w:ascii="Times New Roman" w:hAnsi="Times New Roman" w:cs="Times New Roman"/>
          <w:sz w:val="24"/>
          <w:szCs w:val="24"/>
          <w:lang w:val="en-GB"/>
        </w:rPr>
        <w:t>, </w:t>
      </w:r>
      <w:hyperlink r:id="rId18" w:tooltip="Illness" w:history="1">
        <w:r w:rsidRPr="009A4A6F">
          <w:rPr>
            <w:rStyle w:val="Hyperlink"/>
            <w:rFonts w:ascii="Times New Roman" w:hAnsi="Times New Roman" w:cs="Times New Roman"/>
            <w:sz w:val="24"/>
            <w:szCs w:val="24"/>
            <w:u w:val="none"/>
            <w:lang w:val="en-GB"/>
          </w:rPr>
          <w:t>illness</w:t>
        </w:r>
      </w:hyperlink>
      <w:r w:rsidRPr="009A4A6F">
        <w:rPr>
          <w:rFonts w:ascii="Times New Roman" w:hAnsi="Times New Roman" w:cs="Times New Roman"/>
          <w:sz w:val="24"/>
          <w:szCs w:val="24"/>
          <w:lang w:val="en-GB"/>
        </w:rPr>
        <w:t>, </w:t>
      </w:r>
      <w:hyperlink r:id="rId19" w:tooltip="Injury" w:history="1">
        <w:r w:rsidRPr="009A4A6F">
          <w:rPr>
            <w:rStyle w:val="Hyperlink"/>
            <w:rFonts w:ascii="Times New Roman" w:hAnsi="Times New Roman" w:cs="Times New Roman"/>
            <w:sz w:val="24"/>
            <w:szCs w:val="24"/>
            <w:u w:val="none"/>
            <w:lang w:val="en-GB"/>
          </w:rPr>
          <w:t>injury,</w:t>
        </w:r>
      </w:hyperlink>
      <w:r w:rsidRPr="009A4A6F">
        <w:rPr>
          <w:rFonts w:ascii="Times New Roman" w:hAnsi="Times New Roman" w:cs="Times New Roman"/>
          <w:sz w:val="24"/>
          <w:szCs w:val="24"/>
          <w:lang w:val="en-GB"/>
        </w:rPr>
        <w:t xml:space="preserve"> and </w:t>
      </w:r>
      <w:r w:rsidRPr="009A4A6F">
        <w:rPr>
          <w:rFonts w:ascii="Times New Roman" w:hAnsi="Times New Roman" w:cs="Times New Roman"/>
          <w:sz w:val="24"/>
          <w:szCs w:val="24"/>
          <w:lang w:val="en-GB"/>
        </w:rPr>
        <w:lastRenderedPageBreak/>
        <w:t>other </w:t>
      </w:r>
      <w:hyperlink r:id="rId20" w:tooltip="Disability" w:history="1">
        <w:r w:rsidRPr="009A4A6F">
          <w:rPr>
            <w:rStyle w:val="Hyperlink"/>
            <w:rFonts w:ascii="Times New Roman" w:hAnsi="Times New Roman" w:cs="Times New Roman"/>
            <w:sz w:val="24"/>
            <w:szCs w:val="24"/>
            <w:u w:val="none"/>
            <w:lang w:val="en-GB"/>
          </w:rPr>
          <w:t>physical and mental impairments</w:t>
        </w:r>
      </w:hyperlink>
      <w:r w:rsidRPr="009A4A6F">
        <w:rPr>
          <w:rFonts w:ascii="Times New Roman" w:hAnsi="Times New Roman" w:cs="Times New Roman"/>
          <w:sz w:val="24"/>
          <w:szCs w:val="24"/>
          <w:lang w:val="en-GB"/>
        </w:rPr>
        <w:t> in people. Healthcare is delivered by; “</w:t>
      </w:r>
      <w:hyperlink r:id="rId21" w:tooltip="Health professional" w:history="1">
        <w:r w:rsidRPr="009A4A6F">
          <w:rPr>
            <w:rStyle w:val="Hyperlink"/>
            <w:rFonts w:ascii="Times New Roman" w:hAnsi="Times New Roman" w:cs="Times New Roman"/>
            <w:sz w:val="24"/>
            <w:szCs w:val="24"/>
            <w:u w:val="none"/>
            <w:lang w:val="en-GB"/>
          </w:rPr>
          <w:t>health professionals</w:t>
        </w:r>
      </w:hyperlink>
      <w:r w:rsidRPr="009A4A6F">
        <w:rPr>
          <w:rFonts w:ascii="Times New Roman" w:hAnsi="Times New Roman" w:cs="Times New Roman"/>
          <w:sz w:val="24"/>
          <w:szCs w:val="24"/>
          <w:lang w:val="en-GB"/>
        </w:rPr>
        <w:t> and </w:t>
      </w:r>
      <w:hyperlink r:id="rId22" w:tooltip="Allied health professions" w:history="1">
        <w:r w:rsidRPr="009A4A6F">
          <w:rPr>
            <w:rStyle w:val="Hyperlink"/>
            <w:rFonts w:ascii="Times New Roman" w:hAnsi="Times New Roman" w:cs="Times New Roman"/>
            <w:sz w:val="24"/>
            <w:szCs w:val="24"/>
            <w:u w:val="none"/>
            <w:lang w:val="en-GB"/>
          </w:rPr>
          <w:t>allied health fields</w:t>
        </w:r>
      </w:hyperlink>
      <w:r w:rsidRPr="009A4A6F">
        <w:rPr>
          <w:rFonts w:ascii="Times New Roman" w:hAnsi="Times New Roman" w:cs="Times New Roman"/>
          <w:sz w:val="24"/>
          <w:szCs w:val="24"/>
          <w:lang w:val="en-GB"/>
        </w:rPr>
        <w:t>. Access to health care may vary across countries, communities, and individuals, influenced by social and economic conditions and </w:t>
      </w:r>
      <w:hyperlink r:id="rId23" w:tooltip="Health policy" w:history="1">
        <w:r w:rsidRPr="009A4A6F">
          <w:rPr>
            <w:rStyle w:val="Hyperlink"/>
            <w:rFonts w:ascii="Times New Roman" w:hAnsi="Times New Roman" w:cs="Times New Roman"/>
            <w:sz w:val="24"/>
            <w:szCs w:val="24"/>
            <w:u w:val="none"/>
            <w:lang w:val="en-GB"/>
          </w:rPr>
          <w:t>health policies</w:t>
        </w:r>
      </w:hyperlink>
      <w:r w:rsidRPr="009A4A6F">
        <w:rPr>
          <w:rFonts w:ascii="Times New Roman" w:hAnsi="Times New Roman" w:cs="Times New Roman"/>
          <w:sz w:val="24"/>
          <w:szCs w:val="24"/>
          <w:lang w:val="en-GB"/>
        </w:rPr>
        <w:t>. Providing health care services means the timely use of personal health services to achieve the best possible health outcomes.</w:t>
      </w:r>
      <w:r w:rsidRPr="009A4A6F">
        <w:rPr>
          <w:rFonts w:ascii="Times New Roman" w:hAnsi="Times New Roman" w:cs="Times New Roman"/>
          <w:sz w:val="24"/>
          <w:szCs w:val="24"/>
          <w:vertAlign w:val="superscript"/>
          <w:lang w:val="en-GB"/>
        </w:rPr>
        <w:footnoteReference w:id="48"/>
      </w:r>
      <w:r w:rsidRPr="009A4A6F">
        <w:rPr>
          <w:rFonts w:ascii="Times New Roman" w:hAnsi="Times New Roman" w:cs="Times New Roman"/>
          <w:sz w:val="24"/>
          <w:szCs w:val="24"/>
          <w:lang w:val="en-GB"/>
        </w:rPr>
        <w:t> Factors to consider in terms of health care access include financial limitations such as insurance coverage, </w:t>
      </w:r>
      <w:hyperlink r:id="rId24" w:tooltip="Geography" w:history="1">
        <w:r w:rsidRPr="009A4A6F">
          <w:rPr>
            <w:rStyle w:val="Hyperlink"/>
            <w:rFonts w:ascii="Times New Roman" w:hAnsi="Times New Roman" w:cs="Times New Roman"/>
            <w:sz w:val="24"/>
            <w:szCs w:val="24"/>
            <w:u w:val="none"/>
            <w:lang w:val="en-GB"/>
          </w:rPr>
          <w:t>geographical</w:t>
        </w:r>
      </w:hyperlink>
      <w:r w:rsidRPr="009A4A6F">
        <w:rPr>
          <w:rFonts w:ascii="Times New Roman" w:hAnsi="Times New Roman" w:cs="Times New Roman"/>
          <w:sz w:val="24"/>
          <w:szCs w:val="24"/>
          <w:lang w:val="en-GB"/>
        </w:rPr>
        <w:t> and </w:t>
      </w:r>
      <w:hyperlink r:id="rId25" w:tooltip="Logistics" w:history="1">
        <w:r w:rsidRPr="009A4A6F">
          <w:rPr>
            <w:rStyle w:val="Hyperlink"/>
            <w:rFonts w:ascii="Times New Roman" w:hAnsi="Times New Roman" w:cs="Times New Roman"/>
            <w:sz w:val="24"/>
            <w:szCs w:val="24"/>
            <w:u w:val="none"/>
            <w:lang w:val="en-GB"/>
          </w:rPr>
          <w:t>logistical</w:t>
        </w:r>
      </w:hyperlink>
      <w:r w:rsidRPr="009A4A6F">
        <w:rPr>
          <w:rFonts w:ascii="Times New Roman" w:hAnsi="Times New Roman" w:cs="Times New Roman"/>
          <w:sz w:val="24"/>
          <w:szCs w:val="24"/>
          <w:lang w:val="en-GB"/>
        </w:rPr>
        <w:t> barriers such as additional transportation costs and the ability to take paid time off work to use such services, </w:t>
      </w:r>
      <w:hyperlink r:id="rId26" w:tooltip="Sociocultural" w:history="1">
        <w:r w:rsidRPr="009A4A6F">
          <w:rPr>
            <w:rStyle w:val="Hyperlink"/>
            <w:rFonts w:ascii="Times New Roman" w:hAnsi="Times New Roman" w:cs="Times New Roman"/>
            <w:sz w:val="24"/>
            <w:szCs w:val="24"/>
            <w:u w:val="none"/>
            <w:lang w:val="en-GB"/>
          </w:rPr>
          <w:t>sociocultural</w:t>
        </w:r>
      </w:hyperlink>
      <w:r w:rsidRPr="009A4A6F">
        <w:rPr>
          <w:rFonts w:ascii="Times New Roman" w:hAnsi="Times New Roman" w:cs="Times New Roman"/>
          <w:sz w:val="24"/>
          <w:szCs w:val="24"/>
          <w:lang w:val="en-GB"/>
        </w:rPr>
        <w:t> expectations, and personal limitations (lack of ability to communicate with health care providers, poor </w:t>
      </w:r>
      <w:hyperlink r:id="rId27" w:tooltip="Health literacy" w:history="1">
        <w:r w:rsidRPr="009A4A6F">
          <w:rPr>
            <w:rStyle w:val="Hyperlink"/>
            <w:rFonts w:ascii="Times New Roman" w:hAnsi="Times New Roman" w:cs="Times New Roman"/>
            <w:sz w:val="24"/>
            <w:szCs w:val="24"/>
            <w:u w:val="none"/>
            <w:lang w:val="en-GB"/>
          </w:rPr>
          <w:t>health literacy</w:t>
        </w:r>
      </w:hyperlink>
      <w:r w:rsidRPr="009A4A6F">
        <w:rPr>
          <w:rFonts w:ascii="Times New Roman" w:hAnsi="Times New Roman" w:cs="Times New Roman"/>
          <w:sz w:val="24"/>
          <w:szCs w:val="24"/>
          <w:lang w:val="en-GB"/>
        </w:rPr>
        <w:t>, low income). Limitations to health care services affect negatively the use of medical services, the efficacy of treatments, and overall outcomes (well-being and mortality rates).”</w:t>
      </w:r>
      <w:r w:rsidRPr="009A4A6F">
        <w:rPr>
          <w:rFonts w:ascii="Times New Roman" w:hAnsi="Times New Roman" w:cs="Times New Roman"/>
          <w:sz w:val="24"/>
          <w:szCs w:val="24"/>
          <w:vertAlign w:val="superscript"/>
          <w:lang w:val="en-GB"/>
        </w:rPr>
        <w:footnoteReference w:id="49"/>
      </w:r>
    </w:p>
    <w:p w14:paraId="09F3778C"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2.1.4. Informed Consent</w:t>
      </w:r>
    </w:p>
    <w:p w14:paraId="5C3DDAA6"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Informed consent as defined by Black's Law Dictionary</w:t>
      </w:r>
      <w:r w:rsidRPr="009A4A6F">
        <w:rPr>
          <w:rFonts w:ascii="Times New Roman" w:hAnsi="Times New Roman" w:cs="Times New Roman"/>
          <w:sz w:val="24"/>
          <w:szCs w:val="24"/>
          <w:vertAlign w:val="superscript"/>
          <w:lang w:val="en-GB"/>
        </w:rPr>
        <w:footnoteReference w:id="50"/>
      </w:r>
      <w:r w:rsidRPr="009A4A6F">
        <w:rPr>
          <w:rFonts w:ascii="Times New Roman" w:hAnsi="Times New Roman" w:cs="Times New Roman"/>
          <w:sz w:val="24"/>
          <w:szCs w:val="24"/>
          <w:lang w:val="en-GB"/>
        </w:rPr>
        <w:t xml:space="preserve"> entails an individual's voluntary agreement to a medical procedure after being fully informed about the associated risks and available alternatives. The patient's consent is the essential authorization required for the administration of any treatment or medical procedure.</w:t>
      </w:r>
      <w:r w:rsidRPr="009A4A6F">
        <w:rPr>
          <w:rFonts w:ascii="Times New Roman" w:hAnsi="Times New Roman" w:cs="Times New Roman"/>
          <w:sz w:val="24"/>
          <w:szCs w:val="24"/>
          <w:vertAlign w:val="superscript"/>
          <w:lang w:val="en-GB"/>
        </w:rPr>
        <w:footnoteReference w:id="51"/>
      </w:r>
      <w:r w:rsidRPr="009A4A6F">
        <w:rPr>
          <w:rFonts w:ascii="Times New Roman" w:hAnsi="Times New Roman" w:cs="Times New Roman"/>
          <w:sz w:val="24"/>
          <w:szCs w:val="24"/>
          <w:lang w:val="en-GB"/>
        </w:rPr>
        <w:t xml:space="preserve"> In medical cases, the required consent is held to a high standard, similar to the consent mandated by international human rights instruments concerning indigenous rights.</w:t>
      </w:r>
      <w:r w:rsidRPr="009A4A6F">
        <w:rPr>
          <w:rFonts w:ascii="Times New Roman" w:hAnsi="Times New Roman" w:cs="Times New Roman"/>
          <w:sz w:val="24"/>
          <w:szCs w:val="24"/>
          <w:vertAlign w:val="superscript"/>
          <w:lang w:val="en-GB"/>
        </w:rPr>
        <w:footnoteReference w:id="52"/>
      </w:r>
      <w:r w:rsidRPr="009A4A6F">
        <w:rPr>
          <w:rFonts w:ascii="Times New Roman" w:hAnsi="Times New Roman" w:cs="Times New Roman"/>
          <w:sz w:val="24"/>
          <w:szCs w:val="24"/>
          <w:lang w:val="en-GB"/>
        </w:rPr>
        <w:t xml:space="preserve"> </w:t>
      </w:r>
    </w:p>
    <w:p w14:paraId="4BF9F343"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 xml:space="preserve">This consent must meet specific criteria: it should be freely given without manipulation or coercion, be granted by a legally capable patient, be obtained in advance of medical actions, and be based on comprehensive and legally accurate information disclosure about the proposed </w:t>
      </w:r>
      <w:r w:rsidRPr="009A4A6F">
        <w:rPr>
          <w:rFonts w:ascii="Times New Roman" w:hAnsi="Times New Roman" w:cs="Times New Roman"/>
          <w:sz w:val="24"/>
          <w:szCs w:val="24"/>
          <w:lang w:val="en-GB"/>
        </w:rPr>
        <w:lastRenderedPageBreak/>
        <w:t>medical procedure, encompassing its nature, scope, duration, potential risks, and foreseeable consequences.</w:t>
      </w:r>
      <w:r w:rsidRPr="009A4A6F">
        <w:rPr>
          <w:rFonts w:ascii="Times New Roman" w:hAnsi="Times New Roman" w:cs="Times New Roman"/>
          <w:sz w:val="24"/>
          <w:szCs w:val="24"/>
          <w:vertAlign w:val="superscript"/>
          <w:lang w:val="en-GB"/>
        </w:rPr>
        <w:footnoteReference w:id="53"/>
      </w:r>
      <w:r w:rsidRPr="009A4A6F">
        <w:rPr>
          <w:rFonts w:ascii="Times New Roman" w:hAnsi="Times New Roman" w:cs="Times New Roman"/>
          <w:sz w:val="24"/>
          <w:szCs w:val="24"/>
          <w:lang w:val="en-GB"/>
        </w:rPr>
        <w:t>Physicians are responsible for providing patients with all the necessary information regarding any planned medical procedure or treatment.</w:t>
      </w:r>
      <w:r w:rsidRPr="009A4A6F">
        <w:rPr>
          <w:rFonts w:ascii="Times New Roman" w:hAnsi="Times New Roman" w:cs="Times New Roman"/>
          <w:sz w:val="24"/>
          <w:szCs w:val="24"/>
          <w:vertAlign w:val="superscript"/>
          <w:lang w:val="en-GB"/>
        </w:rPr>
        <w:footnoteReference w:id="54"/>
      </w:r>
    </w:p>
    <w:p w14:paraId="4EF62CD4"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 xml:space="preserve">In </w:t>
      </w:r>
      <w:r w:rsidRPr="009A4A6F">
        <w:rPr>
          <w:rFonts w:ascii="Times New Roman" w:hAnsi="Times New Roman" w:cs="Times New Roman"/>
          <w:i/>
          <w:sz w:val="24"/>
          <w:szCs w:val="24"/>
          <w:lang w:val="en-GB"/>
        </w:rPr>
        <w:t>Medical and Dental Practitioner Disciplinary Tribunal v Okonkwo</w:t>
      </w:r>
      <w:r w:rsidRPr="009A4A6F">
        <w:rPr>
          <w:rFonts w:ascii="Times New Roman" w:hAnsi="Times New Roman" w:cs="Times New Roman"/>
          <w:sz w:val="24"/>
          <w:szCs w:val="24"/>
          <w:vertAlign w:val="superscript"/>
          <w:lang w:val="en-GB"/>
        </w:rPr>
        <w:footnoteReference w:id="55"/>
      </w:r>
      <w:r w:rsidRPr="009A4A6F">
        <w:rPr>
          <w:rFonts w:ascii="Times New Roman" w:hAnsi="Times New Roman" w:cs="Times New Roman"/>
          <w:sz w:val="24"/>
          <w:szCs w:val="24"/>
          <w:lang w:val="en-GB"/>
        </w:rPr>
        <w:t>, the Nigerian Supreme Court underscored the significance of consent, thus: “The patient’s consent is paramount…the patient’s relationship with a doctor is based on consensus…the choice of an adult patient with a sound mind to refuse informed consent to medical treatment, barring state intervention through judicial process, leaves the practitioner helpless to impose a treatment on the patient.”</w:t>
      </w:r>
      <w:r w:rsidRPr="009A4A6F">
        <w:rPr>
          <w:rFonts w:ascii="Times New Roman" w:hAnsi="Times New Roman" w:cs="Times New Roman"/>
          <w:sz w:val="24"/>
          <w:szCs w:val="24"/>
          <w:vertAlign w:val="superscript"/>
          <w:lang w:val="en-GB"/>
        </w:rPr>
        <w:footnoteReference w:id="56"/>
      </w:r>
    </w:p>
    <w:p w14:paraId="55229289"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In medical practice, there are exceptions to the requirement of obtaining informed consent from patients.</w:t>
      </w:r>
      <w:r w:rsidRPr="009A4A6F">
        <w:rPr>
          <w:rFonts w:ascii="Times New Roman" w:hAnsi="Times New Roman" w:cs="Times New Roman"/>
          <w:sz w:val="24"/>
          <w:szCs w:val="24"/>
          <w:vertAlign w:val="superscript"/>
          <w:lang w:val="en-GB"/>
        </w:rPr>
        <w:footnoteReference w:id="57"/>
      </w:r>
      <w:r w:rsidRPr="009A4A6F">
        <w:rPr>
          <w:rFonts w:ascii="Times New Roman" w:hAnsi="Times New Roman" w:cs="Times New Roman"/>
          <w:sz w:val="24"/>
          <w:szCs w:val="24"/>
          <w:lang w:val="en-GB"/>
        </w:rPr>
        <w:t xml:space="preserve"> These exceptions include cases of genuine emergencies, situations where patients possess comprehensive knowledge about the procedure and its risks, scenarios with only one viable treatment option and instances where the proposed procedure carries no significant risk.</w:t>
      </w:r>
      <w:r w:rsidRPr="009A4A6F">
        <w:rPr>
          <w:rFonts w:ascii="Times New Roman" w:hAnsi="Times New Roman" w:cs="Times New Roman"/>
          <w:sz w:val="24"/>
          <w:szCs w:val="24"/>
          <w:vertAlign w:val="superscript"/>
          <w:lang w:val="en-GB"/>
        </w:rPr>
        <w:footnoteReference w:id="58"/>
      </w:r>
      <w:r w:rsidRPr="009A4A6F">
        <w:rPr>
          <w:rFonts w:ascii="Times New Roman" w:hAnsi="Times New Roman" w:cs="Times New Roman"/>
          <w:sz w:val="24"/>
          <w:szCs w:val="24"/>
          <w:lang w:val="en-GB"/>
        </w:rPr>
        <w:t xml:space="preserve"> </w:t>
      </w:r>
    </w:p>
    <w:p w14:paraId="2A5C8396"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In Nigeria, the effective implementation of the principle of free, prior, and informed consent in medical practice faces several challenges.</w:t>
      </w:r>
      <w:r w:rsidRPr="009A4A6F">
        <w:rPr>
          <w:rFonts w:ascii="Times New Roman" w:hAnsi="Times New Roman" w:cs="Times New Roman"/>
          <w:sz w:val="24"/>
          <w:szCs w:val="24"/>
          <w:vertAlign w:val="superscript"/>
          <w:lang w:val="en-GB"/>
        </w:rPr>
        <w:footnoteReference w:id="59"/>
      </w:r>
      <w:r w:rsidRPr="009A4A6F">
        <w:rPr>
          <w:rFonts w:ascii="Times New Roman" w:hAnsi="Times New Roman" w:cs="Times New Roman"/>
          <w:sz w:val="24"/>
          <w:szCs w:val="24"/>
          <w:lang w:val="en-GB"/>
        </w:rPr>
        <w:t xml:space="preserve"> Firstly, a significant issue is the low literacy levels among patients in the country, leading to a heavy reliance on the physician's judgment. Secondly, the enforcement of the right to informed consent is notably weak, and there are limited legal remedies available for patients whose informed consent rights have been violated.</w:t>
      </w:r>
      <w:r w:rsidRPr="009A4A6F">
        <w:rPr>
          <w:rFonts w:ascii="Times New Roman" w:hAnsi="Times New Roman" w:cs="Times New Roman"/>
          <w:sz w:val="24"/>
          <w:szCs w:val="24"/>
          <w:vertAlign w:val="superscript"/>
          <w:lang w:val="en-GB"/>
        </w:rPr>
        <w:footnoteReference w:id="60"/>
      </w:r>
      <w:r w:rsidRPr="009A4A6F">
        <w:rPr>
          <w:rFonts w:ascii="Times New Roman" w:hAnsi="Times New Roman" w:cs="Times New Roman"/>
          <w:sz w:val="24"/>
          <w:szCs w:val="24"/>
          <w:lang w:val="en-GB"/>
        </w:rPr>
        <w:t xml:space="preserve"> Moreover, bureaucratic obstacles hinder the mechanisms for upholding the right to informed consent. As a result, even where legal and ethical frameworks exist, administrative </w:t>
      </w:r>
      <w:r w:rsidRPr="009A4A6F">
        <w:rPr>
          <w:rFonts w:ascii="Times New Roman" w:hAnsi="Times New Roman" w:cs="Times New Roman"/>
          <w:sz w:val="24"/>
          <w:szCs w:val="24"/>
          <w:lang w:val="en-GB"/>
        </w:rPr>
        <w:lastRenderedPageBreak/>
        <w:t>inefficiencies and inaccessible complaint mechanisms render the right to informed consent largely ineffective in practice.</w:t>
      </w:r>
      <w:r w:rsidRPr="009A4A6F">
        <w:rPr>
          <w:rFonts w:ascii="Times New Roman" w:hAnsi="Times New Roman" w:cs="Times New Roman"/>
          <w:sz w:val="24"/>
          <w:szCs w:val="24"/>
          <w:vertAlign w:val="superscript"/>
          <w:lang w:val="en-GB"/>
        </w:rPr>
        <w:footnoteReference w:id="61"/>
      </w:r>
      <w:r w:rsidRPr="009A4A6F">
        <w:rPr>
          <w:rFonts w:ascii="Times New Roman" w:hAnsi="Times New Roman" w:cs="Times New Roman"/>
          <w:sz w:val="24"/>
          <w:szCs w:val="24"/>
          <w:lang w:val="en-GB"/>
        </w:rPr>
        <w:t xml:space="preserve"> In essence, Nigeria's legal framework concerning informed consent in healthcare falls short of meeting the required standards.</w:t>
      </w:r>
      <w:r w:rsidRPr="009A4A6F">
        <w:rPr>
          <w:rFonts w:ascii="Times New Roman" w:hAnsi="Times New Roman" w:cs="Times New Roman"/>
          <w:sz w:val="24"/>
          <w:szCs w:val="24"/>
          <w:vertAlign w:val="superscript"/>
          <w:lang w:val="en-GB"/>
        </w:rPr>
        <w:footnoteReference w:id="62"/>
      </w:r>
    </w:p>
    <w:p w14:paraId="3A30E7F6"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2.1.5. Medical Negligence</w:t>
      </w:r>
    </w:p>
    <w:p w14:paraId="013F9360"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Generally, negligence is a breach of a legal duty to take care which results in damage to the claimant.</w:t>
      </w:r>
      <w:r w:rsidRPr="009A4A6F">
        <w:rPr>
          <w:rFonts w:ascii="Times New Roman" w:hAnsi="Times New Roman" w:cs="Times New Roman"/>
          <w:sz w:val="24"/>
          <w:szCs w:val="24"/>
          <w:vertAlign w:val="superscript"/>
          <w:lang w:val="en-GB"/>
        </w:rPr>
        <w:footnoteReference w:id="63"/>
      </w:r>
      <w:r w:rsidRPr="009A4A6F">
        <w:rPr>
          <w:rFonts w:ascii="Times New Roman" w:hAnsi="Times New Roman" w:cs="Times New Roman"/>
          <w:sz w:val="24"/>
          <w:szCs w:val="24"/>
          <w:lang w:val="en-GB"/>
        </w:rPr>
        <w:t xml:space="preserve"> Medical negligence is therefore; “a breach of a duty of care by a person in the medical profession, to a patient, which results in damage to the patient.</w:t>
      </w:r>
      <w:r w:rsidRPr="009A4A6F">
        <w:rPr>
          <w:rFonts w:ascii="Times New Roman" w:hAnsi="Times New Roman" w:cs="Times New Roman"/>
          <w:sz w:val="24"/>
          <w:szCs w:val="24"/>
          <w:vertAlign w:val="superscript"/>
          <w:lang w:val="en-GB"/>
        </w:rPr>
        <w:footnoteReference w:id="64"/>
      </w:r>
      <w:r w:rsidRPr="009A4A6F">
        <w:rPr>
          <w:rFonts w:ascii="Times New Roman" w:hAnsi="Times New Roman" w:cs="Times New Roman"/>
          <w:sz w:val="24"/>
          <w:szCs w:val="24"/>
          <w:lang w:val="en-GB"/>
        </w:rPr>
        <w:t xml:space="preserve"> Criminal or civil proceedings may be instituted against health care providers for negligence in the performance of their duties.</w:t>
      </w:r>
      <w:r w:rsidRPr="009A4A6F">
        <w:rPr>
          <w:rFonts w:ascii="Times New Roman" w:hAnsi="Times New Roman" w:cs="Times New Roman"/>
          <w:sz w:val="24"/>
          <w:szCs w:val="24"/>
          <w:vertAlign w:val="superscript"/>
          <w:lang w:val="en-GB"/>
        </w:rPr>
        <w:footnoteReference w:id="65"/>
      </w:r>
      <w:r w:rsidRPr="009A4A6F">
        <w:rPr>
          <w:rFonts w:ascii="Times New Roman" w:hAnsi="Times New Roman" w:cs="Times New Roman"/>
          <w:sz w:val="24"/>
          <w:szCs w:val="24"/>
          <w:lang w:val="en-GB"/>
        </w:rPr>
        <w:t xml:space="preserve"> These health care providers could be said to be those who are qualified and appropriately registered (where necessary), to practice.” The existence of this relationship between the provider and his patient gives rise to duty of care, the breach of which makes the provider liable where the breach is unjustifiable.</w:t>
      </w:r>
      <w:r w:rsidRPr="009A4A6F">
        <w:rPr>
          <w:rFonts w:ascii="Times New Roman" w:hAnsi="Times New Roman" w:cs="Times New Roman"/>
          <w:sz w:val="24"/>
          <w:szCs w:val="24"/>
          <w:vertAlign w:val="superscript"/>
          <w:lang w:val="en-GB"/>
        </w:rPr>
        <w:footnoteReference w:id="66"/>
      </w:r>
      <w:r w:rsidRPr="009A4A6F">
        <w:rPr>
          <w:rFonts w:ascii="Times New Roman" w:hAnsi="Times New Roman" w:cs="Times New Roman"/>
          <w:sz w:val="24"/>
          <w:szCs w:val="24"/>
          <w:lang w:val="en-GB"/>
        </w:rPr>
        <w:t xml:space="preserve"> </w:t>
      </w:r>
    </w:p>
    <w:p w14:paraId="7F057687"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Thus; “any individual who has been injured by the wrongful act of such a health care provider has the right to institute civil action against him or her in order to be compensated for the injury suffered and on the other hand, the State can institute criminal proceedings against such health care provider, in order to push him for the offence he committed.”</w:t>
      </w:r>
      <w:r w:rsidRPr="009A4A6F">
        <w:rPr>
          <w:rFonts w:ascii="Times New Roman" w:hAnsi="Times New Roman" w:cs="Times New Roman"/>
          <w:sz w:val="24"/>
          <w:szCs w:val="24"/>
          <w:vertAlign w:val="superscript"/>
          <w:lang w:val="en-GB"/>
        </w:rPr>
        <w:footnoteReference w:id="67"/>
      </w:r>
      <w:r w:rsidRPr="009A4A6F">
        <w:rPr>
          <w:rFonts w:ascii="Times New Roman" w:hAnsi="Times New Roman" w:cs="Times New Roman"/>
          <w:sz w:val="24"/>
          <w:szCs w:val="24"/>
          <w:lang w:val="en-GB"/>
        </w:rPr>
        <w:t xml:space="preserve"> “A medical doctor who has performed an operation and negligently left scissors in the patient’s abdomen, thereby causing the death of the patient, may be sued in a civil action for damages, and he may also be prosecuted and convicted for committing the crime of manslaughter. Therefore, both civil and </w:t>
      </w:r>
      <w:r w:rsidRPr="009A4A6F">
        <w:rPr>
          <w:rFonts w:ascii="Times New Roman" w:hAnsi="Times New Roman" w:cs="Times New Roman"/>
          <w:sz w:val="24"/>
          <w:szCs w:val="24"/>
          <w:lang w:val="en-GB"/>
        </w:rPr>
        <w:lastRenderedPageBreak/>
        <w:t>criminal proceedings may be taken out against such negligent health care provider for the same wrongful act.”</w:t>
      </w:r>
      <w:r w:rsidRPr="009A4A6F">
        <w:rPr>
          <w:rFonts w:ascii="Times New Roman" w:hAnsi="Times New Roman" w:cs="Times New Roman"/>
          <w:sz w:val="24"/>
          <w:szCs w:val="24"/>
          <w:vertAlign w:val="superscript"/>
          <w:lang w:val="en-GB"/>
        </w:rPr>
        <w:footnoteReference w:id="68"/>
      </w:r>
    </w:p>
    <w:p w14:paraId="0FA12324"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Black's Law Dictionary</w:t>
      </w:r>
      <w:r w:rsidRPr="009A4A6F">
        <w:rPr>
          <w:rFonts w:ascii="Times New Roman" w:hAnsi="Times New Roman" w:cs="Times New Roman"/>
          <w:sz w:val="24"/>
          <w:szCs w:val="24"/>
          <w:vertAlign w:val="superscript"/>
          <w:lang w:val="en-GB"/>
        </w:rPr>
        <w:footnoteReference w:id="69"/>
      </w:r>
      <w:r w:rsidRPr="009A4A6F">
        <w:rPr>
          <w:rFonts w:ascii="Times New Roman" w:hAnsi="Times New Roman" w:cs="Times New Roman"/>
          <w:sz w:val="24"/>
          <w:szCs w:val="24"/>
          <w:lang w:val="en-GB"/>
        </w:rPr>
        <w:t xml:space="preserve"> defines negligence per se as “conduct, whether of action or omission, which may be declared and treated as negligence without any argument or proof as to the particular surrounding circumstances, either because it is in violation of statute or valid Municipal ordinance or because it is so palpably opposed to the dictates of common prudence that it can be said without hesitation or doubt that no careful person would have been guilty of it. As a general rule, the violation of a public duty, enjoined by law for the protection of person or property, so constitutes.” </w:t>
      </w:r>
    </w:p>
    <w:p w14:paraId="33CDD21A"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 xml:space="preserve">Consequently, for criminal liability, the degree of negligence required of health care providers is that it should be gross and not mere negligence. In </w:t>
      </w:r>
      <w:r w:rsidRPr="009A4A6F">
        <w:rPr>
          <w:rFonts w:ascii="Times New Roman" w:hAnsi="Times New Roman" w:cs="Times New Roman"/>
          <w:i/>
          <w:sz w:val="24"/>
          <w:szCs w:val="24"/>
          <w:lang w:val="en-GB"/>
        </w:rPr>
        <w:t>Kim v State</w:t>
      </w:r>
      <w:r w:rsidRPr="009A4A6F">
        <w:rPr>
          <w:rFonts w:ascii="Times New Roman" w:hAnsi="Times New Roman" w:cs="Times New Roman"/>
          <w:sz w:val="24"/>
          <w:szCs w:val="24"/>
          <w:vertAlign w:val="superscript"/>
          <w:lang w:val="en-GB"/>
        </w:rPr>
        <w:footnoteReference w:id="70"/>
      </w:r>
      <w:r w:rsidRPr="009A4A6F">
        <w:rPr>
          <w:rFonts w:ascii="Times New Roman" w:hAnsi="Times New Roman" w:cs="Times New Roman"/>
          <w:sz w:val="24"/>
          <w:szCs w:val="24"/>
          <w:lang w:val="en-GB"/>
        </w:rPr>
        <w:t xml:space="preserve">, the Supreme Court held; “that the degree of negligence required in the medical profession to render a practitioner liable for negligence is that it should be gross and not mere negligence, and that the court cannot however, transform negligence of a lesser degree into gross negligence by giving it that appellation.” The court referred to and followed the case of </w:t>
      </w:r>
      <w:r w:rsidRPr="009A4A6F">
        <w:rPr>
          <w:rFonts w:ascii="Times New Roman" w:hAnsi="Times New Roman" w:cs="Times New Roman"/>
          <w:i/>
          <w:sz w:val="24"/>
          <w:szCs w:val="24"/>
          <w:lang w:val="en-GB"/>
        </w:rPr>
        <w:t>Akerele v R.</w:t>
      </w:r>
      <w:r w:rsidRPr="009A4A6F">
        <w:rPr>
          <w:rFonts w:ascii="Times New Roman" w:hAnsi="Times New Roman" w:cs="Times New Roman"/>
          <w:sz w:val="24"/>
          <w:szCs w:val="24"/>
          <w:vertAlign w:val="superscript"/>
          <w:lang w:val="en-GB"/>
        </w:rPr>
        <w:footnoteReference w:id="71"/>
      </w:r>
      <w:r w:rsidRPr="009A4A6F">
        <w:rPr>
          <w:rFonts w:ascii="Times New Roman" w:hAnsi="Times New Roman" w:cs="Times New Roman"/>
          <w:sz w:val="24"/>
          <w:szCs w:val="24"/>
          <w:lang w:val="en-GB"/>
        </w:rPr>
        <w:t xml:space="preserve"> Here; “the accused, a qualified medical practitioner administered injections of a drug known as Sobita to children as a cure for yaws. A number of children died, and he was charged with manslaughter of one of the children. The case of the prosecution was to the effect that the accused had concocted too strong a mixture and thereby administered an overdose to the deceased, amounting to gross negligence. He was found guilty of manslaughter and sentenced to imprisonment for 3 years. WACA upheld the conviction, but the accused further appealed to the Privy Council which held that the negligence of the accused did not amount to gross negligence and allowed the appeal.” </w:t>
      </w:r>
      <w:r w:rsidRPr="009A4A6F">
        <w:rPr>
          <w:rFonts w:ascii="Times New Roman" w:hAnsi="Times New Roman" w:cs="Times New Roman"/>
          <w:sz w:val="24"/>
          <w:szCs w:val="24"/>
          <w:lang w:val="en-GB"/>
        </w:rPr>
        <w:lastRenderedPageBreak/>
        <w:t>According to the court, “It must be remembered that the degree of negligence required is that it should be gross, and that neither a jury nor a court can transform negligence of a lesser degree into gross negligence by giving it that appellation.”</w:t>
      </w:r>
    </w:p>
    <w:p w14:paraId="7A0207DC"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 xml:space="preserve">In </w:t>
      </w:r>
      <w:r w:rsidRPr="009A4A6F">
        <w:rPr>
          <w:rFonts w:ascii="Times New Roman" w:hAnsi="Times New Roman" w:cs="Times New Roman"/>
          <w:i/>
          <w:sz w:val="24"/>
          <w:szCs w:val="24"/>
          <w:lang w:val="en-GB"/>
        </w:rPr>
        <w:t>Dr. Laxman Balkrishna Joshi </w:t>
      </w:r>
      <w:r w:rsidRPr="009A4A6F">
        <w:rPr>
          <w:rFonts w:ascii="Times New Roman" w:hAnsi="Times New Roman" w:cs="Times New Roman"/>
          <w:iCs/>
          <w:sz w:val="24"/>
          <w:szCs w:val="24"/>
          <w:lang w:val="en-GB"/>
        </w:rPr>
        <w:t>vs</w:t>
      </w:r>
      <w:r w:rsidRPr="009A4A6F">
        <w:rPr>
          <w:rFonts w:ascii="Times New Roman" w:hAnsi="Times New Roman" w:cs="Times New Roman"/>
          <w:i/>
          <w:sz w:val="24"/>
          <w:szCs w:val="24"/>
          <w:lang w:val="en-GB"/>
        </w:rPr>
        <w:t>. Dr. Trimbark Babu Godbole and Anor.</w:t>
      </w:r>
      <w:r w:rsidRPr="009A4A6F">
        <w:rPr>
          <w:rFonts w:ascii="Times New Roman" w:hAnsi="Times New Roman" w:cs="Times New Roman"/>
          <w:sz w:val="24"/>
          <w:szCs w:val="24"/>
          <w:vertAlign w:val="superscript"/>
          <w:lang w:val="en-GB"/>
        </w:rPr>
        <w:footnoteReference w:id="72"/>
      </w:r>
      <w:r w:rsidRPr="009A4A6F">
        <w:rPr>
          <w:rFonts w:ascii="Times New Roman" w:hAnsi="Times New Roman" w:cs="Times New Roman"/>
          <w:sz w:val="24"/>
          <w:szCs w:val="24"/>
          <w:lang w:val="en-GB"/>
        </w:rPr>
        <w:t xml:space="preserve">, and </w:t>
      </w:r>
      <w:r w:rsidRPr="009A4A6F">
        <w:rPr>
          <w:rFonts w:ascii="Times New Roman" w:hAnsi="Times New Roman" w:cs="Times New Roman"/>
          <w:i/>
          <w:sz w:val="24"/>
          <w:szCs w:val="24"/>
          <w:lang w:val="en-GB"/>
        </w:rPr>
        <w:t>A.S.Mittal v. State of U.P.</w:t>
      </w:r>
      <w:r w:rsidRPr="009A4A6F">
        <w:rPr>
          <w:rFonts w:ascii="Times New Roman" w:hAnsi="Times New Roman" w:cs="Times New Roman"/>
          <w:i/>
          <w:sz w:val="24"/>
          <w:szCs w:val="24"/>
          <w:vertAlign w:val="superscript"/>
          <w:lang w:val="en-GB"/>
        </w:rPr>
        <w:footnoteReference w:id="73"/>
      </w:r>
      <w:r w:rsidRPr="009A4A6F">
        <w:rPr>
          <w:rFonts w:ascii="Times New Roman" w:hAnsi="Times New Roman" w:cs="Times New Roman"/>
          <w:sz w:val="24"/>
          <w:szCs w:val="24"/>
          <w:lang w:val="en-GB"/>
        </w:rPr>
        <w:t>, it was laid down that; “when a doctor is consulted by a patient, the doctor owes to his patient certain duties which are: (a) duty of care in deciding whether to undertake the case, (b) duty of care in deciding what treatment to give, and (c) duty of care in the administration of that treatment. A breach of any of the above duties may give a cause of action for negligence and the patient may on that basis recover damages from his doctor.” In the aforementioned case, the apex court inter alia observed that; “negligence has many manifestations, it may be active negligence, collateral negligence, comparative negligence, concurrent negligence, continued negligence, criminal negligence, gross negligence, hazardous negligence, active and passive negligence, wilful or reckless negligence, or negligence per se.</w:t>
      </w:r>
      <w:r w:rsidRPr="009A4A6F">
        <w:rPr>
          <w:rFonts w:ascii="Times New Roman" w:hAnsi="Times New Roman" w:cs="Times New Roman"/>
          <w:sz w:val="24"/>
          <w:szCs w:val="24"/>
          <w:vertAlign w:val="superscript"/>
          <w:lang w:val="en-GB"/>
        </w:rPr>
        <w:footnoteReference w:id="74"/>
      </w:r>
      <w:r w:rsidRPr="009A4A6F">
        <w:rPr>
          <w:rFonts w:ascii="Times New Roman" w:hAnsi="Times New Roman" w:cs="Times New Roman"/>
          <w:sz w:val="24"/>
          <w:szCs w:val="24"/>
          <w:lang w:val="en-GB"/>
        </w:rPr>
        <w:t>.”</w:t>
      </w:r>
    </w:p>
    <w:p w14:paraId="3AF469A6"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 xml:space="preserve">2.2. Theoretical Framework of Patient`s Rights </w:t>
      </w:r>
    </w:p>
    <w:p w14:paraId="4D85E058"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2.2.1. Autonomy Theory</w:t>
      </w:r>
    </w:p>
    <w:p w14:paraId="23FC5E0C"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The healthcare system's position on this principle is supported by Kant, Frankl, and others who believe that because people have unconditional worth and should be given respect, they also deserve self-determination.</w:t>
      </w:r>
      <w:r w:rsidRPr="009A4A6F">
        <w:rPr>
          <w:rFonts w:ascii="Times New Roman" w:hAnsi="Times New Roman" w:cs="Times New Roman"/>
          <w:sz w:val="24"/>
          <w:szCs w:val="24"/>
          <w:vertAlign w:val="superscript"/>
          <w:lang w:val="en-GB"/>
        </w:rPr>
        <w:footnoteReference w:id="75"/>
      </w:r>
      <w:r w:rsidRPr="009A4A6F">
        <w:rPr>
          <w:rFonts w:ascii="Times New Roman" w:hAnsi="Times New Roman" w:cs="Times New Roman"/>
          <w:sz w:val="24"/>
          <w:szCs w:val="24"/>
          <w:lang w:val="en-GB"/>
        </w:rPr>
        <w:t xml:space="preserve"> To be applied, the principle of autonomy must assume that; “you are free from the control of others and have the capacity to make your own life choices. You </w:t>
      </w:r>
      <w:r w:rsidRPr="009A4A6F">
        <w:rPr>
          <w:rFonts w:ascii="Times New Roman" w:hAnsi="Times New Roman" w:cs="Times New Roman"/>
          <w:sz w:val="24"/>
          <w:szCs w:val="24"/>
          <w:lang w:val="en-GB"/>
        </w:rPr>
        <w:lastRenderedPageBreak/>
        <w:t>also must have the right to hold views that are incongruent with those of the healthcare establishment.</w:t>
      </w:r>
      <w:r w:rsidRPr="009A4A6F">
        <w:rPr>
          <w:rFonts w:ascii="Times New Roman" w:hAnsi="Times New Roman" w:cs="Times New Roman"/>
          <w:sz w:val="24"/>
          <w:szCs w:val="24"/>
          <w:vertAlign w:val="superscript"/>
          <w:lang w:val="en-GB"/>
        </w:rPr>
        <w:footnoteReference w:id="76"/>
      </w:r>
      <w:r w:rsidRPr="009A4A6F">
        <w:rPr>
          <w:rFonts w:ascii="Times New Roman" w:hAnsi="Times New Roman" w:cs="Times New Roman"/>
          <w:sz w:val="24"/>
          <w:szCs w:val="24"/>
          <w:lang w:val="en-GB"/>
        </w:rPr>
        <w:t xml:space="preserve"> For example, if you are a Jehovah's Witness and do not believe in blood transfusions, you have the right to refuse such treatment even when your physician recommends it.” The word "choice" is a key element in this principle and how does this relate to your position in health care? “As an administrator, you must understand that people should be free to choose whether to be compliant with their physician's instructions or not.</w:t>
      </w:r>
      <w:r w:rsidRPr="009A4A6F">
        <w:rPr>
          <w:rFonts w:ascii="Times New Roman" w:hAnsi="Times New Roman" w:cs="Times New Roman"/>
          <w:sz w:val="24"/>
          <w:szCs w:val="24"/>
          <w:vertAlign w:val="superscript"/>
          <w:lang w:val="en-GB"/>
        </w:rPr>
        <w:footnoteReference w:id="77"/>
      </w:r>
      <w:r w:rsidRPr="009A4A6F">
        <w:rPr>
          <w:rFonts w:ascii="Times New Roman" w:hAnsi="Times New Roman" w:cs="Times New Roman"/>
          <w:sz w:val="24"/>
          <w:szCs w:val="24"/>
          <w:lang w:val="en-GB"/>
        </w:rPr>
        <w:t xml:space="preserve"> They must also be able to make informed decisions about signing consent forms for surgery or other procedures without undue influence or punitive repercussions from medical staff.</w:t>
      </w:r>
      <w:r w:rsidRPr="009A4A6F">
        <w:rPr>
          <w:rFonts w:ascii="Times New Roman" w:hAnsi="Times New Roman" w:cs="Times New Roman"/>
          <w:sz w:val="24"/>
          <w:szCs w:val="24"/>
          <w:vertAlign w:val="superscript"/>
          <w:lang w:val="en-GB"/>
        </w:rPr>
        <w:footnoteReference w:id="78"/>
      </w:r>
    </w:p>
    <w:p w14:paraId="23B0B02D"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Through case law and legislation, informed consent has come to be seen as the duty of physicians or their designees to obtain the patient's permission for treatment. This permission should be given only after the patient understands the treatment and supports its implementation.</w:t>
      </w:r>
      <w:r w:rsidRPr="009A4A6F">
        <w:rPr>
          <w:rFonts w:ascii="Times New Roman" w:hAnsi="Times New Roman" w:cs="Times New Roman"/>
          <w:sz w:val="24"/>
          <w:szCs w:val="24"/>
          <w:vertAlign w:val="superscript"/>
          <w:lang w:val="en-GB"/>
        </w:rPr>
        <w:footnoteReference w:id="79"/>
      </w:r>
      <w:r w:rsidRPr="009A4A6F">
        <w:rPr>
          <w:rFonts w:ascii="Times New Roman" w:hAnsi="Times New Roman" w:cs="Times New Roman"/>
          <w:sz w:val="24"/>
          <w:szCs w:val="24"/>
          <w:lang w:val="en-GB"/>
        </w:rPr>
        <w:t xml:space="preserve"> Failure to obtain permission can constitute negligence or even lead to medical malpractice actions.” </w:t>
      </w:r>
    </w:p>
    <w:p w14:paraId="4C638291"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Autonomous consent is implied through a person's actions. For example; “if you make an appointment with your dentist and keep that appointment, it is implied that you consent to treatment however, if a procedure must be used that is not routine, then there is an ethical and often legal duty to obtain specific written consent.”</w:t>
      </w:r>
      <w:r w:rsidRPr="009A4A6F">
        <w:rPr>
          <w:rFonts w:ascii="Times New Roman" w:hAnsi="Times New Roman" w:cs="Times New Roman"/>
          <w:sz w:val="24"/>
          <w:szCs w:val="24"/>
          <w:vertAlign w:val="superscript"/>
          <w:lang w:val="en-GB"/>
        </w:rPr>
        <w:footnoteReference w:id="80"/>
      </w:r>
      <w:r w:rsidRPr="009A4A6F">
        <w:rPr>
          <w:rFonts w:ascii="Times New Roman" w:hAnsi="Times New Roman" w:cs="Times New Roman"/>
          <w:sz w:val="24"/>
          <w:szCs w:val="24"/>
          <w:lang w:val="en-GB"/>
        </w:rPr>
        <w:br/>
        <w:t xml:space="preserve"> Beauchamp and Childress</w:t>
      </w:r>
      <w:r w:rsidRPr="009A4A6F">
        <w:rPr>
          <w:rFonts w:ascii="Times New Roman" w:hAnsi="Times New Roman" w:cs="Times New Roman"/>
          <w:sz w:val="24"/>
          <w:szCs w:val="24"/>
          <w:vertAlign w:val="superscript"/>
          <w:lang w:val="en-GB"/>
        </w:rPr>
        <w:footnoteReference w:id="81"/>
      </w:r>
      <w:r w:rsidRPr="009A4A6F">
        <w:rPr>
          <w:rFonts w:ascii="Times New Roman" w:hAnsi="Times New Roman" w:cs="Times New Roman"/>
          <w:sz w:val="24"/>
          <w:szCs w:val="24"/>
          <w:lang w:val="en-GB"/>
        </w:rPr>
        <w:t xml:space="preserve"> present a model that; “clarifies this term and serves as a basis for discussion. This type of permission to treat contains the preconditions of competence on the part of the patient to understand the treatment, and voluntariness in his or her decision-</w:t>
      </w:r>
      <w:r w:rsidRPr="009A4A6F">
        <w:rPr>
          <w:rFonts w:ascii="Times New Roman" w:hAnsi="Times New Roman" w:cs="Times New Roman"/>
          <w:sz w:val="24"/>
          <w:szCs w:val="24"/>
          <w:lang w:val="en-GB"/>
        </w:rPr>
        <w:lastRenderedPageBreak/>
        <w:t>making.</w:t>
      </w:r>
      <w:r w:rsidRPr="009A4A6F">
        <w:rPr>
          <w:rFonts w:ascii="Times New Roman" w:hAnsi="Times New Roman" w:cs="Times New Roman"/>
          <w:sz w:val="24"/>
          <w:szCs w:val="24"/>
          <w:vertAlign w:val="superscript"/>
          <w:lang w:val="en-GB"/>
        </w:rPr>
        <w:footnoteReference w:id="82"/>
      </w:r>
      <w:r w:rsidRPr="009A4A6F">
        <w:rPr>
          <w:rFonts w:ascii="Times New Roman" w:hAnsi="Times New Roman" w:cs="Times New Roman"/>
          <w:sz w:val="24"/>
          <w:szCs w:val="24"/>
          <w:lang w:val="en-GB"/>
        </w:rPr>
        <w:t xml:space="preserve"> It also requires disclosure on the part of the physician of material information including the recommended treatment plan. Finally, consent means that the patient is in favor of the plan and gives his or her authorization to proceed.</w:t>
      </w:r>
      <w:r w:rsidRPr="009A4A6F">
        <w:rPr>
          <w:rFonts w:ascii="Times New Roman" w:hAnsi="Times New Roman" w:cs="Times New Roman"/>
          <w:sz w:val="24"/>
          <w:szCs w:val="24"/>
          <w:lang w:val="en-GB"/>
        </w:rPr>
        <w:br/>
        <w:t>The idea of competence is not a simple one in health care.</w:t>
      </w:r>
      <w:r w:rsidRPr="009A4A6F">
        <w:rPr>
          <w:rFonts w:ascii="Times New Roman" w:hAnsi="Times New Roman" w:cs="Times New Roman"/>
          <w:sz w:val="24"/>
          <w:szCs w:val="24"/>
          <w:vertAlign w:val="superscript"/>
          <w:lang w:val="en-GB"/>
        </w:rPr>
        <w:footnoteReference w:id="83"/>
      </w:r>
      <w:r w:rsidRPr="009A4A6F">
        <w:rPr>
          <w:rFonts w:ascii="Times New Roman" w:hAnsi="Times New Roman" w:cs="Times New Roman"/>
          <w:sz w:val="24"/>
          <w:szCs w:val="24"/>
          <w:lang w:val="en-GB"/>
        </w:rPr>
        <w:t xml:space="preserve"> Competence in the sense that certain adults are not fit to make decisions about their health but that children are not. However, adults can be in situations where they are not deemed competent.”</w:t>
      </w:r>
      <w:r w:rsidRPr="009A4A6F">
        <w:rPr>
          <w:rFonts w:ascii="Times New Roman" w:hAnsi="Times New Roman" w:cs="Times New Roman"/>
          <w:sz w:val="24"/>
          <w:szCs w:val="24"/>
          <w:vertAlign w:val="superscript"/>
          <w:lang w:val="en-GB"/>
        </w:rPr>
        <w:footnoteReference w:id="84"/>
      </w:r>
      <w:r w:rsidRPr="009A4A6F">
        <w:rPr>
          <w:rFonts w:ascii="Times New Roman" w:hAnsi="Times New Roman" w:cs="Times New Roman"/>
          <w:sz w:val="24"/>
          <w:szCs w:val="24"/>
          <w:lang w:val="en-GB"/>
        </w:rPr>
        <w:t xml:space="preserve"> This includes; “incidents when they are unconscious, mentally ill, or under the influence of drugs. There are exceptions to the child rule, too.</w:t>
      </w:r>
      <w:r w:rsidRPr="009A4A6F">
        <w:rPr>
          <w:rFonts w:ascii="Times New Roman" w:hAnsi="Times New Roman" w:cs="Times New Roman"/>
          <w:sz w:val="24"/>
          <w:szCs w:val="24"/>
          <w:vertAlign w:val="superscript"/>
          <w:lang w:val="en-GB"/>
        </w:rPr>
        <w:footnoteReference w:id="85"/>
      </w:r>
      <w:r w:rsidRPr="009A4A6F">
        <w:rPr>
          <w:rFonts w:ascii="Times New Roman" w:hAnsi="Times New Roman" w:cs="Times New Roman"/>
          <w:sz w:val="24"/>
          <w:szCs w:val="24"/>
          <w:lang w:val="en-GB"/>
        </w:rPr>
        <w:t xml:space="preserve"> Children can be deemed competent when they are legally emancipated from their parents. In these non-routine circumstances, healthcare professionals can need additional guidance about informed consent and the physician's responsibilities through policies, procedures, and training programs that are provided by the institution in which they practice.”</w:t>
      </w:r>
      <w:r w:rsidRPr="009A4A6F">
        <w:rPr>
          <w:rFonts w:ascii="Times New Roman" w:hAnsi="Times New Roman" w:cs="Times New Roman"/>
          <w:sz w:val="24"/>
          <w:szCs w:val="24"/>
          <w:vertAlign w:val="superscript"/>
          <w:lang w:val="en-GB"/>
        </w:rPr>
        <w:footnoteReference w:id="86"/>
      </w:r>
      <w:r w:rsidRPr="009A4A6F">
        <w:rPr>
          <w:rFonts w:ascii="Times New Roman" w:hAnsi="Times New Roman" w:cs="Times New Roman"/>
          <w:sz w:val="24"/>
          <w:szCs w:val="24"/>
          <w:lang w:val="en-GB"/>
        </w:rPr>
        <w:t xml:space="preserve"> </w:t>
      </w:r>
    </w:p>
    <w:p w14:paraId="2094D4D0"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Beauchamp and Childress</w:t>
      </w:r>
      <w:r w:rsidRPr="009A4A6F">
        <w:rPr>
          <w:rFonts w:ascii="Times New Roman" w:hAnsi="Times New Roman" w:cs="Times New Roman"/>
          <w:sz w:val="24"/>
          <w:szCs w:val="24"/>
          <w:vertAlign w:val="superscript"/>
          <w:lang w:val="en-GB"/>
        </w:rPr>
        <w:footnoteReference w:id="87"/>
      </w:r>
      <w:r w:rsidRPr="009A4A6F">
        <w:rPr>
          <w:rFonts w:ascii="Times New Roman" w:hAnsi="Times New Roman" w:cs="Times New Roman"/>
          <w:sz w:val="24"/>
          <w:szCs w:val="24"/>
          <w:lang w:val="en-GB"/>
        </w:rPr>
        <w:t xml:space="preserve"> describe two core dimensions of autonomy: </w:t>
      </w:r>
      <w:r w:rsidRPr="009A4A6F">
        <w:rPr>
          <w:rFonts w:ascii="Times New Roman" w:hAnsi="Times New Roman" w:cs="Times New Roman"/>
          <w:iCs/>
          <w:sz w:val="24"/>
          <w:szCs w:val="24"/>
          <w:lang w:val="en-GB"/>
        </w:rPr>
        <w:t>autonomous choice</w:t>
      </w:r>
      <w:r w:rsidRPr="009A4A6F">
        <w:rPr>
          <w:rFonts w:ascii="Times New Roman" w:hAnsi="Times New Roman" w:cs="Times New Roman"/>
          <w:sz w:val="24"/>
          <w:szCs w:val="24"/>
          <w:lang w:val="en-GB"/>
        </w:rPr>
        <w:t xml:space="preserve"> (the act of deciding) and </w:t>
      </w:r>
      <w:r w:rsidRPr="009A4A6F">
        <w:rPr>
          <w:rFonts w:ascii="Times New Roman" w:hAnsi="Times New Roman" w:cs="Times New Roman"/>
          <w:iCs/>
          <w:sz w:val="24"/>
          <w:szCs w:val="24"/>
          <w:lang w:val="en-GB"/>
        </w:rPr>
        <w:t>autonomous person</w:t>
      </w:r>
      <w:r w:rsidRPr="009A4A6F">
        <w:rPr>
          <w:rFonts w:ascii="Times New Roman" w:hAnsi="Times New Roman" w:cs="Times New Roman"/>
          <w:sz w:val="24"/>
          <w:szCs w:val="24"/>
          <w:lang w:val="en-GB"/>
        </w:rPr>
        <w:t xml:space="preserve"> (someone with the capacity to decide). This distinction matters because not every patient can exercise full autonomy at all times; think of unconscious patients, young children, or individuals with severe cognitive impairments.</w:t>
      </w:r>
    </w:p>
    <w:p w14:paraId="08B4E4C4"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Autonomy also extends to how a patient's information is handled. The patient should have control over who knows about their health status. Violations of this even with good intentions undermine the patient's sense of agency and dignity.</w:t>
      </w:r>
      <w:r w:rsidRPr="009A4A6F">
        <w:rPr>
          <w:rFonts w:ascii="Times New Roman" w:hAnsi="Times New Roman" w:cs="Times New Roman"/>
          <w:sz w:val="24"/>
          <w:szCs w:val="24"/>
          <w:vertAlign w:val="superscript"/>
          <w:lang w:val="en-GB"/>
        </w:rPr>
        <w:footnoteReference w:id="88"/>
      </w:r>
      <w:r w:rsidRPr="009A4A6F">
        <w:rPr>
          <w:rFonts w:ascii="Times New Roman" w:hAnsi="Times New Roman" w:cs="Times New Roman"/>
          <w:sz w:val="24"/>
          <w:szCs w:val="24"/>
          <w:lang w:val="en-GB"/>
        </w:rPr>
        <w:t xml:space="preserve"> Recognizing that autonomy doesn't stop </w:t>
      </w:r>
      <w:r w:rsidRPr="009A4A6F">
        <w:rPr>
          <w:rFonts w:ascii="Times New Roman" w:hAnsi="Times New Roman" w:cs="Times New Roman"/>
          <w:sz w:val="24"/>
          <w:szCs w:val="24"/>
          <w:lang w:val="en-GB"/>
        </w:rPr>
        <w:lastRenderedPageBreak/>
        <w:t>when someone loses the ability to speak for themselves, the healthcare system has developed tools like living wills, durable powers of attorney, and advance directives for healthcare. These allow patients to document their preferences in advance, ensuring their voice is heard even in incapacity.</w:t>
      </w:r>
      <w:r w:rsidRPr="009A4A6F">
        <w:rPr>
          <w:rFonts w:ascii="Times New Roman" w:hAnsi="Times New Roman" w:cs="Times New Roman"/>
          <w:sz w:val="24"/>
          <w:szCs w:val="24"/>
          <w:vertAlign w:val="superscript"/>
          <w:lang w:val="en-GB"/>
        </w:rPr>
        <w:footnoteReference w:id="89"/>
      </w:r>
    </w:p>
    <w:p w14:paraId="1EB8E555"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bCs/>
          <w:sz w:val="24"/>
          <w:szCs w:val="24"/>
          <w:lang w:val="en-GB"/>
        </w:rPr>
        <w:t>Onora</w:t>
      </w:r>
      <w:r w:rsidRPr="009A4A6F">
        <w:rPr>
          <w:rFonts w:ascii="Times New Roman" w:hAnsi="Times New Roman" w:cs="Times New Roman"/>
          <w:b/>
          <w:bCs/>
          <w:sz w:val="24"/>
          <w:szCs w:val="24"/>
          <w:vertAlign w:val="superscript"/>
          <w:lang w:val="en-GB"/>
        </w:rPr>
        <w:footnoteReference w:id="90"/>
      </w:r>
      <w:r w:rsidRPr="009A4A6F">
        <w:rPr>
          <w:rFonts w:ascii="Times New Roman" w:hAnsi="Times New Roman" w:cs="Times New Roman"/>
          <w:sz w:val="24"/>
          <w:szCs w:val="24"/>
          <w:lang w:val="en-GB"/>
        </w:rPr>
        <w:t xml:space="preserve"> offers a nuanced critique, arguing that autonomy in healthcare is sometimes misunderstood as simply giving patients whatever they want. True respect for autonomy, she argues, requires ensuring that choices are genuinely informed and not manipulated, which places a positive obligation on healthcare providers to educate, clarify, and communicate. This is what ethicists call the difference between </w:t>
      </w:r>
      <w:r w:rsidRPr="009A4A6F">
        <w:rPr>
          <w:rFonts w:ascii="Times New Roman" w:hAnsi="Times New Roman" w:cs="Times New Roman"/>
          <w:iCs/>
          <w:sz w:val="24"/>
          <w:szCs w:val="24"/>
          <w:lang w:val="en-GB"/>
        </w:rPr>
        <w:t>negative autonomy</w:t>
      </w:r>
      <w:r w:rsidRPr="009A4A6F">
        <w:rPr>
          <w:rFonts w:ascii="Times New Roman" w:hAnsi="Times New Roman" w:cs="Times New Roman"/>
          <w:sz w:val="24"/>
          <w:szCs w:val="24"/>
          <w:lang w:val="en-GB"/>
        </w:rPr>
        <w:t xml:space="preserve"> and </w:t>
      </w:r>
      <w:r w:rsidRPr="009A4A6F">
        <w:rPr>
          <w:rFonts w:ascii="Times New Roman" w:hAnsi="Times New Roman" w:cs="Times New Roman"/>
          <w:iCs/>
          <w:sz w:val="24"/>
          <w:szCs w:val="24"/>
          <w:lang w:val="en-GB"/>
        </w:rPr>
        <w:t>positive autonomy</w:t>
      </w:r>
      <w:r w:rsidRPr="009A4A6F">
        <w:rPr>
          <w:rFonts w:ascii="Times New Roman" w:hAnsi="Times New Roman" w:cs="Times New Roman"/>
          <w:sz w:val="24"/>
          <w:szCs w:val="24"/>
          <w:lang w:val="en-GB"/>
        </w:rPr>
        <w:t>.</w:t>
      </w:r>
      <w:r w:rsidRPr="009A4A6F">
        <w:rPr>
          <w:rFonts w:ascii="Times New Roman" w:hAnsi="Times New Roman" w:cs="Times New Roman"/>
          <w:sz w:val="24"/>
          <w:szCs w:val="24"/>
          <w:vertAlign w:val="superscript"/>
          <w:lang w:val="en-GB"/>
        </w:rPr>
        <w:footnoteReference w:id="91"/>
      </w:r>
    </w:p>
    <w:p w14:paraId="3642B536"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One of the most challenging expressions of autonomy, especially for healthcare workers, is the patient's right to refuse treatment, even when that refusal may result in serious harm or death. This right has been upheld repeatedly in legal systems around the world. Autonomy does not disappear when a person loses consciousness or mental capacity.</w:t>
      </w:r>
      <w:r w:rsidRPr="009A4A6F">
        <w:rPr>
          <w:rFonts w:ascii="Times New Roman" w:hAnsi="Times New Roman" w:cs="Times New Roman"/>
          <w:sz w:val="24"/>
          <w:szCs w:val="24"/>
          <w:vertAlign w:val="superscript"/>
          <w:lang w:val="en-GB"/>
        </w:rPr>
        <w:footnoteReference w:id="92"/>
      </w:r>
      <w:r w:rsidRPr="009A4A6F">
        <w:rPr>
          <w:rFonts w:ascii="Times New Roman" w:hAnsi="Times New Roman" w:cs="Times New Roman"/>
          <w:sz w:val="24"/>
          <w:szCs w:val="24"/>
          <w:lang w:val="en-GB"/>
        </w:rPr>
        <w:t xml:space="preserve"> Through advance directives, legal documents in which patients record their wishes about future medical care, people can ensure that their values and preferences continue to guide their treatment even when they can no longer speak for themselves.</w:t>
      </w:r>
      <w:r w:rsidRPr="009A4A6F">
        <w:rPr>
          <w:rFonts w:ascii="Times New Roman" w:hAnsi="Times New Roman" w:cs="Times New Roman"/>
          <w:sz w:val="24"/>
          <w:szCs w:val="24"/>
          <w:vertAlign w:val="superscript"/>
          <w:lang w:val="en-GB"/>
        </w:rPr>
        <w:footnoteReference w:id="93"/>
      </w:r>
      <w:r w:rsidRPr="009A4A6F">
        <w:rPr>
          <w:rFonts w:ascii="Times New Roman" w:hAnsi="Times New Roman" w:cs="Times New Roman"/>
          <w:sz w:val="24"/>
          <w:szCs w:val="24"/>
          <w:lang w:val="en-GB"/>
        </w:rPr>
        <w:t xml:space="preserve"> Autonomy becomes genuinely complicated when the person in question lacks the mental capacity to make decisions, whether due to age, illness, </w:t>
      </w:r>
      <w:r w:rsidRPr="009A4A6F">
        <w:rPr>
          <w:rFonts w:ascii="Times New Roman" w:hAnsi="Times New Roman" w:cs="Times New Roman"/>
          <w:sz w:val="24"/>
          <w:szCs w:val="24"/>
          <w:lang w:val="en-GB"/>
        </w:rPr>
        <w:lastRenderedPageBreak/>
        <w:t>unconsciousness, or cognitive impairment. Healthcare systems have developed legal and ethical frameworks to navigate this carefully.</w:t>
      </w:r>
      <w:r w:rsidRPr="009A4A6F">
        <w:rPr>
          <w:rFonts w:ascii="Times New Roman" w:hAnsi="Times New Roman" w:cs="Times New Roman"/>
          <w:sz w:val="24"/>
          <w:szCs w:val="24"/>
          <w:vertAlign w:val="superscript"/>
          <w:lang w:val="en-GB"/>
        </w:rPr>
        <w:footnoteReference w:id="94"/>
      </w:r>
    </w:p>
    <w:p w14:paraId="382EAF76"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2.2.2. Human Rights-Based Theory</w:t>
      </w:r>
    </w:p>
    <w:p w14:paraId="720E0959"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There is no single, universally agreed definition of a human rights-based approach, let alone its application to the right to health. Authors use the terms ‘human rights’, ‘human rights-based approach,’ and ‘right to health’ to import a raft of legal implications, or none at all. “Authors and readers often approach the issues from different disciplinary perspectives. Confusion arises because although these terms often have different meanings for authors and readers from different disciplines, this is not commonly acknowledged, and authors rarely clarify their perspectives.”</w:t>
      </w:r>
    </w:p>
    <w:p w14:paraId="1F89801D"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Since the creation of the United Nations in 1945; “and the adoption of the Universal Declaration of Human Rights (UDHR) in 1948, the international human rights framework has been extended and consolidated at both UN and regional levels through treaties and their interpretation by UN and regional treaty bodies. In 1986, the UN General Assembly adopted the Declaration on the Right to Development. A broad enquiry into human rights-based approaches to development followed. In the early 2000s ambiguity about human rights among development agencies persisted, particularly in the application of human rights-based approaches.”</w:t>
      </w:r>
    </w:p>
    <w:p w14:paraId="790497D9"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 xml:space="preserve">The Human Rights-Based Approach to Development [HRBA] is; “a conceptual framework for the process of sustainable development that is normatively based on international human rights standards and principles and operationally directed to promoting and protecting human rights. Under the HRBA, the plans, policies, and processes of development are anchored in a system of rights and corresponding obligations established by international law, including all civil, </w:t>
      </w:r>
      <w:r w:rsidRPr="009A4A6F">
        <w:rPr>
          <w:rFonts w:ascii="Times New Roman" w:hAnsi="Times New Roman" w:cs="Times New Roman"/>
          <w:sz w:val="24"/>
          <w:szCs w:val="24"/>
          <w:lang w:val="en-GB"/>
        </w:rPr>
        <w:lastRenderedPageBreak/>
        <w:t>cultural, economic, political, and social rights and the right to development. HRBA requires human rights principles (equality and non-discrimination, participation, and accountability) to guide UN development cooperation and focus on capacity development of both duty-bearers to meet their obligations and rights-holders to claim their rights.” The UDHR</w:t>
      </w:r>
      <w:r w:rsidRPr="009A4A6F">
        <w:rPr>
          <w:rFonts w:ascii="Times New Roman" w:hAnsi="Times New Roman" w:cs="Times New Roman"/>
          <w:sz w:val="24"/>
          <w:szCs w:val="24"/>
          <w:vertAlign w:val="superscript"/>
          <w:lang w:val="en-GB"/>
        </w:rPr>
        <w:footnoteReference w:id="95"/>
      </w:r>
      <w:r w:rsidRPr="009A4A6F">
        <w:rPr>
          <w:rFonts w:ascii="Times New Roman" w:hAnsi="Times New Roman" w:cs="Times New Roman"/>
          <w:sz w:val="24"/>
          <w:szCs w:val="24"/>
          <w:lang w:val="en-GB"/>
        </w:rPr>
        <w:t xml:space="preserve"> states, ‘Everyone has the right to a standard of living adequate for the health and well-being of himself and his family.’ The right to health was first codified in 1966 in Article 12 of the UN International Covenant on Economic, Social, and Cultural Rights (ICESCR), and later in multiple other UN and regional human rights treaties.</w:t>
      </w:r>
    </w:p>
    <w:p w14:paraId="40424C54"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In 2010, it was noted that; “skepticism about rights-based approaches to health among UN agencies, major governmental bilateral organizations, and international NGOs active in health. It was also observed that, while the public health community has come to a largely shared perspective on the value of a human rights lens on health, development actors still struggled with how to operationalize a rights-based approach to health</w:t>
      </w:r>
      <w:r w:rsidRPr="009A4A6F">
        <w:rPr>
          <w:rFonts w:ascii="Times New Roman" w:hAnsi="Times New Roman" w:cs="Times New Roman"/>
          <w:sz w:val="24"/>
          <w:szCs w:val="24"/>
          <w:vertAlign w:val="superscript"/>
          <w:lang w:val="en-GB"/>
        </w:rPr>
        <w:footnoteReference w:id="96"/>
      </w:r>
      <w:r w:rsidRPr="009A4A6F">
        <w:rPr>
          <w:rFonts w:ascii="Times New Roman" w:hAnsi="Times New Roman" w:cs="Times New Roman"/>
          <w:sz w:val="24"/>
          <w:szCs w:val="24"/>
          <w:lang w:val="en-GB"/>
        </w:rPr>
        <w:t>. In 2011, it was suggested that litigation to advance the right to health (for example regarding access to medicines for HIV and AIDS) may be perceived as ‘distorting governance for public health’ and produce a backlash against the rights-based approach.”</w:t>
      </w:r>
      <w:r w:rsidRPr="009A4A6F">
        <w:rPr>
          <w:rFonts w:ascii="Times New Roman" w:hAnsi="Times New Roman" w:cs="Times New Roman"/>
          <w:sz w:val="24"/>
          <w:szCs w:val="24"/>
          <w:vertAlign w:val="superscript"/>
          <w:lang w:val="en-GB"/>
        </w:rPr>
        <w:footnoteReference w:id="97"/>
      </w:r>
    </w:p>
    <w:p w14:paraId="4A770CF4"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They advised further research and advocacy to understand the connection between human rights litigation and public health promotion</w:t>
      </w:r>
      <w:r w:rsidRPr="009A4A6F">
        <w:rPr>
          <w:rFonts w:ascii="Times New Roman" w:hAnsi="Times New Roman" w:cs="Times New Roman"/>
          <w:sz w:val="24"/>
          <w:szCs w:val="24"/>
          <w:vertAlign w:val="superscript"/>
          <w:lang w:val="en-GB"/>
        </w:rPr>
        <w:footnoteReference w:id="98"/>
      </w:r>
      <w:r w:rsidRPr="009A4A6F">
        <w:rPr>
          <w:rFonts w:ascii="Times New Roman" w:hAnsi="Times New Roman" w:cs="Times New Roman"/>
          <w:sz w:val="24"/>
          <w:szCs w:val="24"/>
          <w:lang w:val="en-GB"/>
        </w:rPr>
        <w:t>. In 2012, Dowler and O’Connor</w:t>
      </w:r>
      <w:r w:rsidRPr="009A4A6F">
        <w:rPr>
          <w:rFonts w:ascii="Times New Roman" w:hAnsi="Times New Roman" w:cs="Times New Roman"/>
          <w:sz w:val="24"/>
          <w:szCs w:val="24"/>
          <w:vertAlign w:val="superscript"/>
          <w:lang w:val="en-GB"/>
        </w:rPr>
        <w:footnoteReference w:id="99"/>
      </w:r>
      <w:r w:rsidRPr="009A4A6F">
        <w:rPr>
          <w:rFonts w:ascii="Times New Roman" w:hAnsi="Times New Roman" w:cs="Times New Roman"/>
          <w:sz w:val="24"/>
          <w:szCs w:val="24"/>
          <w:lang w:val="en-GB"/>
        </w:rPr>
        <w:t xml:space="preserve"> explored rights-based approaches to food poverty in two high income countries as a right to health issue. The authors note ‘wariness among anti-poverty activists, who see rights-based approaches as </w:t>
      </w:r>
      <w:r w:rsidRPr="009A4A6F">
        <w:rPr>
          <w:rFonts w:ascii="Times New Roman" w:hAnsi="Times New Roman" w:cs="Times New Roman"/>
          <w:sz w:val="24"/>
          <w:szCs w:val="24"/>
          <w:lang w:val="en-GB"/>
        </w:rPr>
        <w:lastRenderedPageBreak/>
        <w:t>inaccessible or potentially adversarial, despite the possibilities of reframing familiar issues towards social justice and entitlement.</w:t>
      </w:r>
      <w:r w:rsidRPr="009A4A6F">
        <w:rPr>
          <w:rFonts w:ascii="Times New Roman" w:hAnsi="Times New Roman" w:cs="Times New Roman"/>
          <w:sz w:val="24"/>
          <w:szCs w:val="24"/>
          <w:vertAlign w:val="superscript"/>
          <w:lang w:val="en-GB"/>
        </w:rPr>
        <w:footnoteReference w:id="100"/>
      </w:r>
    </w:p>
    <w:p w14:paraId="5438CFB2"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These criticisms deserve careful consideration; however, none is fatal to human rights based approaches to health, which are evolving in response. Early criticisms expressed by development actors regarding the operationalization of the right to health are in part addressed by the detailed OHCHR guidance on the application of HRBA to maternal mortality and morbidity and the application of this guidance to other health challenges. By 2016, the UN and several other major multilateral and bilateral development agencies had referenced human rights in their development cooperation frameworks and were developing practical guidance for their application.</w:t>
      </w:r>
    </w:p>
    <w:p w14:paraId="2284BE73"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The relation of the above to this study is that it supports the patients rights in Nigeria by defending human rights based approaches to health as valid and evolving. HBRA offers conceptual justification, practical guidance and international backings to strengthen patients rights in the Nigeria Health care system.</w:t>
      </w:r>
    </w:p>
    <w:p w14:paraId="598B1300" w14:textId="77777777" w:rsidR="009A4A6F" w:rsidRPr="009A4A6F" w:rsidRDefault="009A4A6F" w:rsidP="009A4A6F">
      <w:pPr>
        <w:spacing w:line="480" w:lineRule="auto"/>
        <w:jc w:val="both"/>
        <w:rPr>
          <w:rFonts w:ascii="Times New Roman" w:hAnsi="Times New Roman" w:cs="Times New Roman"/>
          <w:sz w:val="24"/>
          <w:szCs w:val="24"/>
          <w:lang w:val="en-GB"/>
        </w:rPr>
      </w:pPr>
    </w:p>
    <w:p w14:paraId="4764BCF1"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2.2.3. Social Justice Theory</w:t>
      </w:r>
    </w:p>
    <w:p w14:paraId="7EB15080"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Social justice is defined as equal access to quality healthcare and the universal right to health. This theory recognises, along with the Declaration of Alma-Ata, identified more than 30 years ago that gross inequalities in health status are politically, socially and economically unacceptable, and that health is a fundamental human right.</w:t>
      </w:r>
      <w:r w:rsidRPr="009A4A6F">
        <w:rPr>
          <w:rFonts w:ascii="Times New Roman" w:hAnsi="Times New Roman" w:cs="Times New Roman"/>
          <w:sz w:val="24"/>
          <w:szCs w:val="24"/>
          <w:vertAlign w:val="superscript"/>
          <w:lang w:val="en-GB"/>
        </w:rPr>
        <w:footnoteReference w:id="101"/>
      </w:r>
      <w:r w:rsidRPr="009A4A6F">
        <w:rPr>
          <w:rFonts w:ascii="Times New Roman" w:hAnsi="Times New Roman" w:cs="Times New Roman"/>
          <w:sz w:val="24"/>
          <w:szCs w:val="24"/>
          <w:lang w:val="en-GB"/>
        </w:rPr>
        <w:t xml:space="preserve"> Social determinants of health have long been embedded in medical education. For example, medical schools’ commitment to neutrality and objectivity, which are important values, nonetheless, discussions of social </w:t>
      </w:r>
      <w:r w:rsidRPr="009A4A6F">
        <w:rPr>
          <w:rFonts w:ascii="Times New Roman" w:hAnsi="Times New Roman" w:cs="Times New Roman"/>
          <w:sz w:val="24"/>
          <w:szCs w:val="24"/>
          <w:lang w:val="en-GB"/>
        </w:rPr>
        <w:lastRenderedPageBreak/>
        <w:t>justice are often seen as ‘too political’ or elicit discomfort.</w:t>
      </w:r>
      <w:r w:rsidRPr="009A4A6F">
        <w:rPr>
          <w:rFonts w:ascii="Times New Roman" w:hAnsi="Times New Roman" w:cs="Times New Roman"/>
          <w:sz w:val="24"/>
          <w:szCs w:val="24"/>
          <w:vertAlign w:val="superscript"/>
          <w:lang w:val="en-GB"/>
        </w:rPr>
        <w:footnoteReference w:id="102"/>
      </w:r>
      <w:r w:rsidRPr="009A4A6F">
        <w:rPr>
          <w:rFonts w:ascii="Times New Roman" w:hAnsi="Times New Roman" w:cs="Times New Roman"/>
          <w:sz w:val="24"/>
          <w:szCs w:val="24"/>
          <w:lang w:val="en-GB"/>
        </w:rPr>
        <w:t xml:space="preserve"> These negative reactions should be resisted because educating doctors who can help reduce health disparities requires medical students to confront the social, political and economic realities which adversely impact health.</w:t>
      </w:r>
      <w:r w:rsidRPr="009A4A6F">
        <w:rPr>
          <w:rFonts w:ascii="Times New Roman" w:hAnsi="Times New Roman" w:cs="Times New Roman"/>
          <w:sz w:val="24"/>
          <w:szCs w:val="24"/>
          <w:vertAlign w:val="superscript"/>
          <w:lang w:val="en-GB"/>
        </w:rPr>
        <w:footnoteReference w:id="103"/>
      </w:r>
    </w:p>
    <w:p w14:paraId="736A2E5D"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Social justice encompasses fairness, equity, and the protection of rights within a society. It aims to ensure that all individuals and groups receive fair treatment and an equitable share of the benefits of society, regardless of their background or circumstances. Social justice involves addressing issues such as inequality, discrimination, and injustice, promoting policies and practices that uphold human dignity and equality.</w:t>
      </w:r>
      <w:r w:rsidRPr="009A4A6F">
        <w:rPr>
          <w:rFonts w:ascii="Times New Roman" w:hAnsi="Times New Roman" w:cs="Times New Roman"/>
          <w:sz w:val="24"/>
          <w:szCs w:val="24"/>
          <w:vertAlign w:val="superscript"/>
          <w:lang w:val="en-GB"/>
        </w:rPr>
        <w:footnoteReference w:id="104"/>
      </w:r>
      <w:r w:rsidRPr="009A4A6F">
        <w:rPr>
          <w:rFonts w:ascii="Times New Roman" w:hAnsi="Times New Roman" w:cs="Times New Roman"/>
          <w:sz w:val="24"/>
          <w:szCs w:val="24"/>
          <w:lang w:val="en-GB"/>
        </w:rPr>
        <w:t xml:space="preserve"> Social justice is a vital concept that seeks to create a fair and equitable society where all individuals and groups are treated with dignity and respect. It encompasses principles of equality, equity, rights, participation, and redistribution, addressing a wide range of contemporary issues such as economic inequality, discrimination, gender equality, and environmental justice.</w:t>
      </w:r>
      <w:r w:rsidRPr="009A4A6F">
        <w:rPr>
          <w:rFonts w:ascii="Times New Roman" w:hAnsi="Times New Roman" w:cs="Times New Roman"/>
          <w:sz w:val="24"/>
          <w:szCs w:val="24"/>
          <w:vertAlign w:val="superscript"/>
          <w:lang w:val="en-GB"/>
        </w:rPr>
        <w:footnoteReference w:id="105"/>
      </w:r>
      <w:r w:rsidRPr="009A4A6F">
        <w:rPr>
          <w:rFonts w:ascii="Times New Roman" w:hAnsi="Times New Roman" w:cs="Times New Roman"/>
          <w:sz w:val="24"/>
          <w:szCs w:val="24"/>
          <w:lang w:val="en-GB"/>
        </w:rPr>
        <w:t xml:space="preserve"> To achieve social justice, it requires collective efforts through advocacy, education, policy reforms, and community engagement. </w:t>
      </w:r>
    </w:p>
    <w:p w14:paraId="4B81AD54"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Access to healthcare is a fundamental aspect of social justice, as it ensures that all individuals have the opportunity to live healthy and productive lives.</w:t>
      </w:r>
      <w:r w:rsidRPr="009A4A6F">
        <w:rPr>
          <w:rFonts w:ascii="Times New Roman" w:hAnsi="Times New Roman" w:cs="Times New Roman"/>
          <w:sz w:val="24"/>
          <w:szCs w:val="24"/>
          <w:vertAlign w:val="superscript"/>
          <w:lang w:val="en-GB"/>
        </w:rPr>
        <w:footnoteReference w:id="106"/>
      </w:r>
      <w:r w:rsidRPr="009A4A6F">
        <w:rPr>
          <w:rFonts w:ascii="Times New Roman" w:hAnsi="Times New Roman" w:cs="Times New Roman"/>
          <w:sz w:val="24"/>
          <w:szCs w:val="24"/>
          <w:lang w:val="en-GB"/>
        </w:rPr>
        <w:t xml:space="preserve"> The National Health Insurance Authority (NHIA) aims to provide affordable and accessible healthcare services to all Nigerians through health insurance coverage. By subsidizing healthcare costs and expanding coverage to rural and low-income communities, the NHIA seeks to reduce health disparities and improve </w:t>
      </w:r>
      <w:r w:rsidRPr="009A4A6F">
        <w:rPr>
          <w:rFonts w:ascii="Times New Roman" w:hAnsi="Times New Roman" w:cs="Times New Roman"/>
          <w:sz w:val="24"/>
          <w:szCs w:val="24"/>
          <w:lang w:val="en-GB"/>
        </w:rPr>
        <w:lastRenderedPageBreak/>
        <w:t>overall health outcomes.</w:t>
      </w:r>
      <w:r w:rsidRPr="009A4A6F">
        <w:rPr>
          <w:rFonts w:ascii="Times New Roman" w:hAnsi="Times New Roman" w:cs="Times New Roman"/>
          <w:sz w:val="24"/>
          <w:szCs w:val="24"/>
          <w:vertAlign w:val="superscript"/>
          <w:lang w:val="en-GB"/>
        </w:rPr>
        <w:footnoteReference w:id="107"/>
      </w:r>
      <w:r w:rsidRPr="009A4A6F">
        <w:rPr>
          <w:rFonts w:ascii="Times New Roman" w:hAnsi="Times New Roman" w:cs="Times New Roman"/>
          <w:sz w:val="24"/>
          <w:szCs w:val="24"/>
          <w:lang w:val="en-GB"/>
        </w:rPr>
        <w:t xml:space="preserve"> Investments in primary healthcare infrastructure and services are crucial for addressing health inequities. The National Primary Health Care Development Agency (NPHCDA) works to improve the delivery of essential health services, such as immunizations, maternal and child health care, and disease prevention, particularly in rural and underserved areas.</w:t>
      </w:r>
      <w:r w:rsidRPr="009A4A6F">
        <w:rPr>
          <w:rFonts w:ascii="Times New Roman" w:hAnsi="Times New Roman" w:cs="Times New Roman"/>
          <w:sz w:val="24"/>
          <w:szCs w:val="24"/>
          <w:vertAlign w:val="superscript"/>
          <w:lang w:val="en-GB"/>
        </w:rPr>
        <w:footnoteReference w:id="108"/>
      </w:r>
    </w:p>
    <w:p w14:paraId="48E35FFC"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Curricular change often involves; “improving the structure of the teaching/learning environment, for example, seminars or problem-based learning groups instead of lectures, the content of courses and clerkships (the core set of knowledge, skills and attitudes that should be learnt), and how student learning of knowledge and skills is evaluated, in the sense that evaluation can help drive the curriculum.”</w:t>
      </w:r>
      <w:r w:rsidRPr="009A4A6F">
        <w:rPr>
          <w:rFonts w:ascii="Times New Roman" w:hAnsi="Times New Roman" w:cs="Times New Roman"/>
          <w:sz w:val="24"/>
          <w:szCs w:val="24"/>
          <w:vertAlign w:val="superscript"/>
          <w:lang w:val="en-GB"/>
        </w:rPr>
        <w:footnoteReference w:id="109"/>
      </w:r>
      <w:r w:rsidRPr="009A4A6F">
        <w:rPr>
          <w:rFonts w:ascii="Times New Roman" w:hAnsi="Times New Roman" w:cs="Times New Roman"/>
          <w:sz w:val="24"/>
          <w:szCs w:val="24"/>
          <w:lang w:val="en-GB"/>
        </w:rPr>
        <w:t xml:space="preserve"> These include; “self-reflection pieces, peer presentations, working with mentors and community members, community engagement, advocacy work, as well as direct action to redress the social conditions adversely affecting health.”</w:t>
      </w:r>
      <w:r w:rsidRPr="009A4A6F">
        <w:rPr>
          <w:rFonts w:ascii="Times New Roman" w:hAnsi="Times New Roman" w:cs="Times New Roman"/>
          <w:sz w:val="24"/>
          <w:szCs w:val="24"/>
          <w:vertAlign w:val="superscript"/>
          <w:lang w:val="en-GB"/>
        </w:rPr>
        <w:footnoteReference w:id="110"/>
      </w:r>
      <w:r w:rsidRPr="009A4A6F">
        <w:rPr>
          <w:rFonts w:ascii="Times New Roman" w:hAnsi="Times New Roman" w:cs="Times New Roman"/>
          <w:sz w:val="24"/>
          <w:szCs w:val="24"/>
          <w:lang w:val="en-GB"/>
        </w:rPr>
        <w:t xml:space="preserve"> </w:t>
      </w:r>
    </w:p>
    <w:p w14:paraId="55E612AC"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According to WHO; “social justice begins by recognising that health is a fundamental human right, and gross inequalities in healthcare are politically, socially and economically unacceptable.</w:t>
      </w:r>
      <w:r w:rsidRPr="009A4A6F">
        <w:rPr>
          <w:rFonts w:ascii="Times New Roman" w:hAnsi="Times New Roman" w:cs="Times New Roman"/>
          <w:sz w:val="24"/>
          <w:szCs w:val="24"/>
          <w:vertAlign w:val="superscript"/>
          <w:lang w:val="en-GB"/>
        </w:rPr>
        <w:footnoteReference w:id="111"/>
      </w:r>
      <w:r w:rsidRPr="009A4A6F">
        <w:rPr>
          <w:rFonts w:ascii="Times New Roman" w:hAnsi="Times New Roman" w:cs="Times New Roman"/>
          <w:sz w:val="24"/>
          <w:szCs w:val="24"/>
          <w:lang w:val="en-GB"/>
        </w:rPr>
        <w:t xml:space="preserve"> Social justice education, incorporating interdisciplinary knowledge and encouraging social, political and biomedical collaboration, will help medical students to become socially conscious and acquire the skills to deliver competent healthcare to all in the community.” </w:t>
      </w:r>
    </w:p>
    <w:p w14:paraId="76673F4D"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lastRenderedPageBreak/>
        <w:t xml:space="preserve">Social justice theory, rooted in principles of fairness, equity, and the equitable distribution of societal resources, extends naturally to healthcare by demanding that medical provisions be treated as fundamental public goods rather than commodities available primarily to those who can afford them. Under this framework, healthcare systems must prioritize universal access to essential services, ensuring that no individual is denied treatment due to socioeconomic status, race, gender, or other marginalized identities, thereby reducing systemic health disparities. Patients’ rights emerge as central tenets of this extension, including the right to informed consent, privacy and confidentiality, dignity in care, and freedom from discrimination, which safeguard individual autonomy while holding institutions accountable to collective justice obligations. </w:t>
      </w:r>
    </w:p>
    <w:p w14:paraId="71F45F9C"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2.2.4. Consumer Protection Theory</w:t>
      </w:r>
    </w:p>
    <w:p w14:paraId="4704E094"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Consumer protection theory is rooted in the idea that individuals engaging in market transactions deserve legal and institutional safeguards against exploitation, deception, and harm.</w:t>
      </w:r>
      <w:r w:rsidRPr="009A4A6F">
        <w:rPr>
          <w:rFonts w:ascii="Times New Roman" w:hAnsi="Times New Roman" w:cs="Times New Roman"/>
          <w:sz w:val="24"/>
          <w:szCs w:val="24"/>
          <w:vertAlign w:val="superscript"/>
          <w:lang w:val="en-GB"/>
        </w:rPr>
        <w:footnoteReference w:id="112"/>
      </w:r>
      <w:r w:rsidRPr="009A4A6F">
        <w:rPr>
          <w:rFonts w:ascii="Times New Roman" w:hAnsi="Times New Roman" w:cs="Times New Roman"/>
          <w:sz w:val="24"/>
          <w:szCs w:val="24"/>
          <w:lang w:val="en-GB"/>
        </w:rPr>
        <w:t>Traditionally applied to commercial markets, the theory holds that consumers as the weaker party in most transactions require protection from more powerful suppliers of goods and services.</w:t>
      </w:r>
      <w:r w:rsidRPr="009A4A6F">
        <w:rPr>
          <w:rFonts w:ascii="Times New Roman" w:hAnsi="Times New Roman" w:cs="Times New Roman"/>
          <w:sz w:val="24"/>
          <w:szCs w:val="24"/>
          <w:vertAlign w:val="superscript"/>
          <w:lang w:val="en-GB"/>
        </w:rPr>
        <w:footnoteReference w:id="113"/>
      </w:r>
      <w:r w:rsidRPr="009A4A6F">
        <w:rPr>
          <w:rFonts w:ascii="Times New Roman" w:hAnsi="Times New Roman" w:cs="Times New Roman"/>
          <w:sz w:val="24"/>
          <w:szCs w:val="24"/>
          <w:lang w:val="en-GB"/>
        </w:rPr>
        <w:t>Patients, like consumers, engage in transactions with healthcare providers but with critical differences. Newdick</w:t>
      </w:r>
      <w:r w:rsidRPr="009A4A6F">
        <w:rPr>
          <w:rFonts w:ascii="Times New Roman" w:hAnsi="Times New Roman" w:cs="Times New Roman"/>
          <w:sz w:val="24"/>
          <w:szCs w:val="24"/>
          <w:vertAlign w:val="superscript"/>
          <w:lang w:val="en-GB"/>
        </w:rPr>
        <w:footnoteReference w:id="114"/>
      </w:r>
      <w:r w:rsidRPr="009A4A6F">
        <w:rPr>
          <w:rFonts w:ascii="Times New Roman" w:hAnsi="Times New Roman" w:cs="Times New Roman"/>
          <w:sz w:val="24"/>
          <w:szCs w:val="24"/>
          <w:lang w:val="en-GB"/>
        </w:rPr>
        <w:t xml:space="preserve"> observes that patients typically lack the technical knowledge to evaluate the quality of the services they receive, are often in a state of vulnerability when they seek care, and may have limited ability to exit unsatisfactory provider </w:t>
      </w:r>
      <w:r w:rsidRPr="009A4A6F">
        <w:rPr>
          <w:rFonts w:ascii="Times New Roman" w:hAnsi="Times New Roman" w:cs="Times New Roman"/>
          <w:sz w:val="24"/>
          <w:szCs w:val="24"/>
          <w:lang w:val="en-GB"/>
        </w:rPr>
        <w:lastRenderedPageBreak/>
        <w:t>relationships, especially in emergency situations. These characteristics make patients arguably more in need of protection than ordinary consumers.</w:t>
      </w:r>
      <w:r w:rsidRPr="009A4A6F">
        <w:rPr>
          <w:rFonts w:ascii="Times New Roman" w:hAnsi="Times New Roman" w:cs="Times New Roman"/>
          <w:sz w:val="24"/>
          <w:szCs w:val="24"/>
          <w:vertAlign w:val="superscript"/>
          <w:lang w:val="en-GB"/>
        </w:rPr>
        <w:footnoteReference w:id="115"/>
      </w:r>
      <w:r w:rsidRPr="009A4A6F">
        <w:rPr>
          <w:rFonts w:ascii="Times New Roman" w:hAnsi="Times New Roman" w:cs="Times New Roman"/>
          <w:sz w:val="24"/>
          <w:szCs w:val="24"/>
          <w:lang w:val="en-GB"/>
        </w:rPr>
        <w:t xml:space="preserve"> He further argue that the patient-as-consumer model, while useful, must be applied carefully, because healthcare is not a standard commodity. </w:t>
      </w:r>
    </w:p>
    <w:p w14:paraId="21285FD0"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Consumer protection law universally guarantees that products and services must meet minimum standards of quality and safety. Applied to healthcare, this principle underpins the patient's right to receive care that meets accepted clinical standards. Donabedian</w:t>
      </w:r>
      <w:r w:rsidRPr="009A4A6F">
        <w:rPr>
          <w:rFonts w:ascii="Times New Roman" w:hAnsi="Times New Roman" w:cs="Times New Roman"/>
          <w:sz w:val="24"/>
          <w:szCs w:val="24"/>
          <w:vertAlign w:val="superscript"/>
          <w:lang w:val="en-GB"/>
        </w:rPr>
        <w:footnoteReference w:id="116"/>
      </w:r>
      <w:r w:rsidRPr="009A4A6F">
        <w:rPr>
          <w:rFonts w:ascii="Times New Roman" w:hAnsi="Times New Roman" w:cs="Times New Roman"/>
          <w:sz w:val="24"/>
          <w:szCs w:val="24"/>
          <w:lang w:val="en-GB"/>
        </w:rPr>
        <w:t>, whose framework for evaluating healthcare quality remains foundational, argued that quality in healthcare encompasses structure, process, and outcomes. The World Health Organization has emphasised that patients have a right to healthcare services of adequate quality, including the right to be protected from harm caused by the malfunctioning of health services, malpractice, and medical errors.</w:t>
      </w:r>
      <w:r w:rsidRPr="009A4A6F">
        <w:rPr>
          <w:rFonts w:ascii="Times New Roman" w:hAnsi="Times New Roman" w:cs="Times New Roman"/>
          <w:sz w:val="24"/>
          <w:szCs w:val="24"/>
          <w:vertAlign w:val="superscript"/>
          <w:lang w:val="en-GB"/>
        </w:rPr>
        <w:footnoteReference w:id="117"/>
      </w:r>
    </w:p>
    <w:p w14:paraId="24F0846F"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A central tenet of consumer protection is the right to seek redress when harmed by a defective product or service. In healthcare, this is expressed through medical negligence law, complaints mechanisms, and patient ombudsman systems. Brazier and Cave</w:t>
      </w:r>
      <w:r w:rsidRPr="009A4A6F">
        <w:rPr>
          <w:rFonts w:ascii="Times New Roman" w:hAnsi="Times New Roman" w:cs="Times New Roman"/>
          <w:sz w:val="24"/>
          <w:szCs w:val="24"/>
          <w:vertAlign w:val="superscript"/>
          <w:lang w:val="en-GB"/>
        </w:rPr>
        <w:footnoteReference w:id="118"/>
      </w:r>
      <w:r w:rsidRPr="009A4A6F">
        <w:rPr>
          <w:rFonts w:ascii="Times New Roman" w:hAnsi="Times New Roman" w:cs="Times New Roman"/>
          <w:sz w:val="24"/>
          <w:szCs w:val="24"/>
          <w:lang w:val="en-GB"/>
        </w:rPr>
        <w:t xml:space="preserve"> noted that medical negligence litigation serves both a compensatory and a deterrent function compensating patients who have suffered harm due to substandard care, and incentivising providers to maintain high standards.</w:t>
      </w:r>
      <w:r w:rsidRPr="009A4A6F">
        <w:rPr>
          <w:rFonts w:ascii="Times New Roman" w:hAnsi="Times New Roman" w:cs="Times New Roman"/>
          <w:sz w:val="24"/>
          <w:szCs w:val="24"/>
          <w:vertAlign w:val="superscript"/>
          <w:lang w:val="en-GB"/>
        </w:rPr>
        <w:footnoteReference w:id="119"/>
      </w:r>
      <w:r w:rsidRPr="009A4A6F">
        <w:rPr>
          <w:rFonts w:ascii="Times New Roman" w:hAnsi="Times New Roman" w:cs="Times New Roman"/>
          <w:sz w:val="24"/>
          <w:szCs w:val="24"/>
          <w:lang w:val="en-GB"/>
        </w:rPr>
        <w:t xml:space="preserve"> The </w:t>
      </w:r>
      <w:r w:rsidRPr="009A4A6F">
        <w:rPr>
          <w:rFonts w:ascii="Times New Roman" w:hAnsi="Times New Roman" w:cs="Times New Roman"/>
          <w:i/>
          <w:iCs/>
          <w:sz w:val="24"/>
          <w:szCs w:val="24"/>
          <w:lang w:val="en-GB"/>
        </w:rPr>
        <w:t>Bolam v Friern Hospital Management Committee</w:t>
      </w:r>
      <w:r w:rsidRPr="009A4A6F">
        <w:rPr>
          <w:rFonts w:ascii="Times New Roman" w:hAnsi="Times New Roman" w:cs="Times New Roman"/>
          <w:i/>
          <w:iCs/>
          <w:sz w:val="24"/>
          <w:szCs w:val="24"/>
          <w:vertAlign w:val="superscript"/>
          <w:lang w:val="en-GB"/>
        </w:rPr>
        <w:footnoteReference w:id="120"/>
      </w:r>
      <w:r w:rsidRPr="009A4A6F">
        <w:rPr>
          <w:rFonts w:ascii="Times New Roman" w:hAnsi="Times New Roman" w:cs="Times New Roman"/>
          <w:sz w:val="24"/>
          <w:szCs w:val="24"/>
          <w:lang w:val="en-GB"/>
        </w:rPr>
        <w:t xml:space="preserve"> test, long </w:t>
      </w:r>
      <w:r w:rsidRPr="009A4A6F">
        <w:rPr>
          <w:rFonts w:ascii="Times New Roman" w:hAnsi="Times New Roman" w:cs="Times New Roman"/>
          <w:sz w:val="24"/>
          <w:szCs w:val="24"/>
          <w:lang w:val="en-GB"/>
        </w:rPr>
        <w:lastRenderedPageBreak/>
        <w:t xml:space="preserve">the standard in English medical negligence law, held that; “a doctor is not negligent if they act in accordance with a practice accepted by a responsible body of medical opinion.” </w:t>
      </w:r>
    </w:p>
    <w:p w14:paraId="3A154FF2"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Consumer protection theory also encompasses the right to control personal data. In healthcare, this translates into the patient's right to confidentiality of their medical records and personal health information. Herring</w:t>
      </w:r>
      <w:r w:rsidRPr="009A4A6F">
        <w:rPr>
          <w:rFonts w:ascii="Times New Roman" w:hAnsi="Times New Roman" w:cs="Times New Roman"/>
          <w:sz w:val="24"/>
          <w:szCs w:val="24"/>
          <w:vertAlign w:val="superscript"/>
          <w:lang w:val="en-GB"/>
        </w:rPr>
        <w:footnoteReference w:id="121"/>
      </w:r>
      <w:r w:rsidRPr="009A4A6F">
        <w:rPr>
          <w:rFonts w:ascii="Times New Roman" w:hAnsi="Times New Roman" w:cs="Times New Roman"/>
          <w:sz w:val="24"/>
          <w:szCs w:val="24"/>
          <w:lang w:val="en-GB"/>
        </w:rPr>
        <w:t xml:space="preserve"> argues that medical confidentiality is both an ethical obligation and a legal right, justified on grounds of autonomy, trust, and the public interest in encouraging people to seek medical care without fear of disclosure. In many jurisdictions this right is enshrined in law, for example, the Nigeria's </w:t>
      </w:r>
      <w:r w:rsidRPr="009A4A6F">
        <w:rPr>
          <w:rFonts w:ascii="Times New Roman" w:hAnsi="Times New Roman" w:cs="Times New Roman"/>
          <w:bCs/>
          <w:sz w:val="24"/>
          <w:szCs w:val="24"/>
          <w:lang w:val="en-GB"/>
        </w:rPr>
        <w:t>National Health Act (2014)</w:t>
      </w:r>
      <w:r w:rsidRPr="009A4A6F">
        <w:rPr>
          <w:rFonts w:ascii="Times New Roman" w:hAnsi="Times New Roman" w:cs="Times New Roman"/>
          <w:sz w:val="24"/>
          <w:szCs w:val="24"/>
          <w:lang w:val="en-GB"/>
        </w:rPr>
        <w:t xml:space="preserve"> under Section 26 prohibits the disclosure of a user's health information without their consent, except in specified circumstances.</w:t>
      </w:r>
    </w:p>
    <w:p w14:paraId="5EA8C48A"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Despite its value, the consumer protection framework has significant limitations when applied to healthcare. Schneider</w:t>
      </w:r>
      <w:r w:rsidRPr="009A4A6F">
        <w:rPr>
          <w:rFonts w:ascii="Times New Roman" w:hAnsi="Times New Roman" w:cs="Times New Roman"/>
          <w:sz w:val="24"/>
          <w:szCs w:val="24"/>
          <w:vertAlign w:val="superscript"/>
          <w:lang w:val="en-GB"/>
        </w:rPr>
        <w:footnoteReference w:id="122"/>
      </w:r>
      <w:r w:rsidRPr="009A4A6F">
        <w:rPr>
          <w:rFonts w:ascii="Times New Roman" w:hAnsi="Times New Roman" w:cs="Times New Roman"/>
          <w:sz w:val="24"/>
          <w:szCs w:val="24"/>
          <w:lang w:val="en-GB"/>
        </w:rPr>
        <w:t xml:space="preserve"> cautions that excessive emphasis on patient autonomy a key consumer protection value an impose unwanted burdens on patients who prefer to defer to their doctors' judgment, particularly when they are ill, frightened, or culturally inclined toward paternalistic models of care.</w:t>
      </w:r>
    </w:p>
    <w:p w14:paraId="0B88C2DE"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In lower-income settings such as Nigeria, Oleribe et al.</w:t>
      </w:r>
      <w:r w:rsidRPr="009A4A6F">
        <w:rPr>
          <w:rFonts w:ascii="Times New Roman" w:hAnsi="Times New Roman" w:cs="Times New Roman"/>
          <w:sz w:val="24"/>
          <w:szCs w:val="24"/>
          <w:vertAlign w:val="superscript"/>
          <w:lang w:val="en-GB"/>
        </w:rPr>
        <w:footnoteReference w:id="123"/>
      </w:r>
      <w:r w:rsidRPr="009A4A6F">
        <w:rPr>
          <w:rFonts w:ascii="Times New Roman" w:hAnsi="Times New Roman" w:cs="Times New Roman"/>
          <w:sz w:val="24"/>
          <w:szCs w:val="24"/>
          <w:lang w:val="en-GB"/>
        </w:rPr>
        <w:t xml:space="preserve"> notes that structural barriers including poverty, illiteracy, inadequate infrastructure, and weak regulatory enforcement severely limit the practical realisation of patient rights even where they are legally recognised, suggesting that consumer protection theory must be complemented by broader social justice and public health approaches.</w:t>
      </w:r>
    </w:p>
    <w:p w14:paraId="18A8853C" w14:textId="77777777" w:rsidR="009A4A6F" w:rsidRPr="009A4A6F" w:rsidRDefault="009A4A6F" w:rsidP="009A4A6F">
      <w:pPr>
        <w:spacing w:line="480" w:lineRule="auto"/>
        <w:jc w:val="both"/>
        <w:rPr>
          <w:rFonts w:ascii="Times New Roman" w:hAnsi="Times New Roman" w:cs="Times New Roman"/>
          <w:sz w:val="24"/>
          <w:szCs w:val="24"/>
          <w:lang w:val="en-GB"/>
        </w:rPr>
      </w:pPr>
    </w:p>
    <w:p w14:paraId="140C0652"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 xml:space="preserve">2.3. International Perspective on Theories of Patients` Rights </w:t>
      </w:r>
    </w:p>
    <w:p w14:paraId="2C5B421F"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The International perspectives on the theories of patients' rights broadly centers on a fundamental shift from traditional medical paternalism where physicians decide unilaterally based on beneficence to rights-based models grounded in human rights-based theory, autonomy theory, social justice theory and consumer protection theory.</w:t>
      </w:r>
      <w:r w:rsidRPr="009A4A6F">
        <w:rPr>
          <w:rFonts w:ascii="Times New Roman" w:hAnsi="Times New Roman" w:cs="Times New Roman"/>
          <w:sz w:val="24"/>
          <w:szCs w:val="24"/>
          <w:vertAlign w:val="superscript"/>
          <w:lang w:val="en-GB"/>
        </w:rPr>
        <w:footnoteReference w:id="124"/>
      </w:r>
      <w:r w:rsidRPr="009A4A6F">
        <w:rPr>
          <w:rFonts w:ascii="Times New Roman" w:hAnsi="Times New Roman" w:cs="Times New Roman"/>
          <w:sz w:val="24"/>
          <w:szCs w:val="24"/>
          <w:lang w:val="en-GB"/>
        </w:rPr>
        <w:t xml:space="preserve"> These theories draw primarily from international human rights law, bioethics, and professional ethics, emphasizing that patients' rights are not mere privileges or consumer entitlements but inalienable claims derived from universal standards.</w:t>
      </w:r>
      <w:r w:rsidRPr="009A4A6F">
        <w:rPr>
          <w:rFonts w:ascii="Times New Roman" w:hAnsi="Times New Roman" w:cs="Times New Roman"/>
          <w:sz w:val="24"/>
          <w:szCs w:val="24"/>
          <w:vertAlign w:val="superscript"/>
          <w:lang w:val="en-GB"/>
        </w:rPr>
        <w:footnoteReference w:id="125"/>
      </w:r>
      <w:r w:rsidRPr="009A4A6F">
        <w:rPr>
          <w:rFonts w:ascii="Times New Roman" w:hAnsi="Times New Roman" w:cs="Times New Roman"/>
          <w:sz w:val="24"/>
          <w:szCs w:val="24"/>
          <w:lang w:val="en-GB"/>
        </w:rPr>
        <w:t xml:space="preserve"> </w:t>
      </w:r>
    </w:p>
    <w:p w14:paraId="440459EE" w14:textId="4A4EE5B4" w:rsidR="009A4A6F" w:rsidRPr="009A4A6F" w:rsidRDefault="009D5272" w:rsidP="009A4A6F">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The Human</w:t>
      </w:r>
      <w:r w:rsidR="009A4A6F" w:rsidRPr="009A4A6F">
        <w:rPr>
          <w:rFonts w:ascii="Times New Roman" w:hAnsi="Times New Roman" w:cs="Times New Roman"/>
          <w:sz w:val="24"/>
          <w:szCs w:val="24"/>
          <w:lang w:val="en-GB"/>
        </w:rPr>
        <w:t xml:space="preserve"> Rights-Based Approach (HRBA) to Patient Care applies universal human rights principles which are rooted in the Universal Declaration of Human Rights</w:t>
      </w:r>
      <w:r w:rsidR="009A4A6F" w:rsidRPr="009A4A6F">
        <w:rPr>
          <w:rFonts w:ascii="Times New Roman" w:hAnsi="Times New Roman" w:cs="Times New Roman"/>
          <w:sz w:val="24"/>
          <w:szCs w:val="24"/>
          <w:vertAlign w:val="superscript"/>
          <w:lang w:val="en-GB"/>
        </w:rPr>
        <w:footnoteReference w:id="126"/>
      </w:r>
      <w:r w:rsidR="009A4A6F" w:rsidRPr="009A4A6F">
        <w:rPr>
          <w:rFonts w:ascii="Times New Roman" w:hAnsi="Times New Roman" w:cs="Times New Roman"/>
          <w:sz w:val="24"/>
          <w:szCs w:val="24"/>
          <w:lang w:val="en-GB"/>
        </w:rPr>
        <w:t>, the International Covenant on Economic, Social and Cultural Rights (ICESCR,) right to health, and treaties like the ICCPR</w:t>
      </w:r>
      <w:r w:rsidR="009A4A6F" w:rsidRPr="009A4A6F">
        <w:rPr>
          <w:rFonts w:ascii="Times New Roman" w:hAnsi="Times New Roman" w:cs="Times New Roman"/>
          <w:sz w:val="24"/>
          <w:szCs w:val="24"/>
          <w:vertAlign w:val="superscript"/>
          <w:lang w:val="en-GB"/>
        </w:rPr>
        <w:footnoteReference w:id="127"/>
      </w:r>
      <w:r w:rsidR="009A4A6F" w:rsidRPr="009A4A6F">
        <w:rPr>
          <w:rFonts w:ascii="Times New Roman" w:hAnsi="Times New Roman" w:cs="Times New Roman"/>
          <w:sz w:val="24"/>
          <w:szCs w:val="24"/>
          <w:lang w:val="en-GB"/>
        </w:rPr>
        <w:t xml:space="preserve"> to healthcare settings. It stresses the important criteria which are availability, accessibility, acceptability, quality for health services, non-discrimination, participation, and state accountability. Unlike the narrower patients' rights consumer model, the HRBA protects both patients and providers, addresses systemic violations, example, discrimination against vulnerable groups and allows justified limitations. </w:t>
      </w:r>
    </w:p>
    <w:p w14:paraId="75FAE1EA"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 xml:space="preserve">Cultural variations exist western emphasis on individual choice versus communal/family decision-making in some non-Western contexts but human rights instruments promote universality while respecting diversity. These operationalize the theories into concrete rights: </w:t>
      </w:r>
      <w:r w:rsidRPr="009A4A6F">
        <w:rPr>
          <w:rFonts w:ascii="Times New Roman" w:hAnsi="Times New Roman" w:cs="Times New Roman"/>
          <w:sz w:val="24"/>
          <w:szCs w:val="24"/>
          <w:lang w:val="en-GB"/>
        </w:rPr>
        <w:lastRenderedPageBreak/>
        <w:t>World Medical Association (WMA) Declaration of Lisbon on the Rights of the Patient</w:t>
      </w:r>
      <w:r w:rsidRPr="009A4A6F">
        <w:rPr>
          <w:rFonts w:ascii="Times New Roman" w:hAnsi="Times New Roman" w:cs="Times New Roman"/>
          <w:sz w:val="24"/>
          <w:szCs w:val="24"/>
          <w:vertAlign w:val="superscript"/>
          <w:lang w:val="en-GB"/>
        </w:rPr>
        <w:footnoteReference w:id="128"/>
      </w:r>
      <w:r w:rsidRPr="009A4A6F">
        <w:rPr>
          <w:rFonts w:ascii="Times New Roman" w:hAnsi="Times New Roman" w:cs="Times New Roman"/>
          <w:sz w:val="24"/>
          <w:szCs w:val="24"/>
          <w:lang w:val="en-GB"/>
        </w:rPr>
        <w:t xml:space="preserve">. A foundational professional ethics document endorsed by physicians worldwide. It lists principal rights including: Right to medical care of good quality, right to freedom of choice, right to self-determination, right to information and confidentiality, right to health education, dignity and religious assistance. Physicians must advocate when these are denied by law or institutions. </w:t>
      </w:r>
    </w:p>
    <w:p w14:paraId="34B9C1C6"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WHO Declaration on the Promotion of Patients’ Rights in Europe</w:t>
      </w:r>
      <w:r w:rsidRPr="009A4A6F">
        <w:rPr>
          <w:rFonts w:ascii="Times New Roman" w:hAnsi="Times New Roman" w:cs="Times New Roman"/>
          <w:sz w:val="24"/>
          <w:szCs w:val="24"/>
          <w:vertAlign w:val="superscript"/>
          <w:lang w:val="en-GB"/>
        </w:rPr>
        <w:footnoteReference w:id="129"/>
      </w:r>
      <w:r w:rsidRPr="009A4A6F">
        <w:rPr>
          <w:rFonts w:ascii="Times New Roman" w:hAnsi="Times New Roman" w:cs="Times New Roman"/>
          <w:sz w:val="24"/>
          <w:szCs w:val="24"/>
          <w:lang w:val="en-GB"/>
        </w:rPr>
        <w:t xml:space="preserve"> and related charters. These link rights to broader health reform and emphasize information, consent, confidentiality, and participation. WHO Patient Safety Rights Charter</w:t>
      </w:r>
      <w:r w:rsidRPr="009A4A6F">
        <w:rPr>
          <w:rFonts w:ascii="Times New Roman" w:hAnsi="Times New Roman" w:cs="Times New Roman"/>
          <w:sz w:val="24"/>
          <w:szCs w:val="24"/>
          <w:vertAlign w:val="superscript"/>
          <w:lang w:val="en-GB"/>
        </w:rPr>
        <w:footnoteReference w:id="130"/>
      </w:r>
      <w:r w:rsidRPr="009A4A6F">
        <w:rPr>
          <w:rFonts w:ascii="Times New Roman" w:hAnsi="Times New Roman" w:cs="Times New Roman"/>
          <w:sz w:val="24"/>
          <w:szCs w:val="24"/>
          <w:lang w:val="en-GB"/>
        </w:rPr>
        <w:t xml:space="preserve"> launched to support the Global Patient Safety Action Plan 2021–2030, it affirms patient safety as a core human right for everyone, everywhere. In summary, the international consensus views patients' rights through a human rights lens empowering individuals while demanding systemic justice.</w:t>
      </w:r>
    </w:p>
    <w:p w14:paraId="554B94D5" w14:textId="77777777" w:rsidR="009A4A6F" w:rsidRPr="009A4A6F" w:rsidRDefault="009A4A6F" w:rsidP="009A4A6F">
      <w:pPr>
        <w:spacing w:line="480" w:lineRule="auto"/>
        <w:jc w:val="both"/>
        <w:rPr>
          <w:rFonts w:ascii="Times New Roman" w:hAnsi="Times New Roman" w:cs="Times New Roman"/>
          <w:sz w:val="24"/>
          <w:szCs w:val="24"/>
          <w:lang w:val="en-GB"/>
        </w:rPr>
      </w:pPr>
    </w:p>
    <w:p w14:paraId="4F99894B"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2.4. Relevance of These Theories to the Nigerian Healthcare System</w:t>
      </w:r>
    </w:p>
    <w:p w14:paraId="5034DAE3"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The relevance of International Theories of Patients' Rights to Nigeria’s Healthcare System is profound and practical. Nigeria’s mixed public-private healthcare operates under the National Health Act</w:t>
      </w:r>
      <w:r w:rsidRPr="009A4A6F">
        <w:rPr>
          <w:rFonts w:ascii="Times New Roman" w:hAnsi="Times New Roman" w:cs="Times New Roman"/>
          <w:sz w:val="24"/>
          <w:szCs w:val="24"/>
          <w:vertAlign w:val="superscript"/>
          <w:lang w:val="en-GB"/>
        </w:rPr>
        <w:footnoteReference w:id="131"/>
      </w:r>
      <w:r w:rsidRPr="009A4A6F">
        <w:rPr>
          <w:rFonts w:ascii="Times New Roman" w:hAnsi="Times New Roman" w:cs="Times New Roman"/>
          <w:sz w:val="24"/>
          <w:szCs w:val="24"/>
          <w:lang w:val="en-GB"/>
        </w:rPr>
        <w:t xml:space="preserve"> as its primary legal backbone, which explicitly incorporates core international principles while Nigeria’s obligations under ratified treaties like ICESCR and the African Charter on Human and Peoples’ Rights Article 16 and professional ethics align closely with global standards. However, constitutional non-justiciability of the right to health</w:t>
      </w:r>
      <w:r w:rsidRPr="009A4A6F">
        <w:rPr>
          <w:rFonts w:ascii="Times New Roman" w:hAnsi="Times New Roman" w:cs="Times New Roman"/>
          <w:sz w:val="24"/>
          <w:szCs w:val="24"/>
          <w:vertAlign w:val="superscript"/>
          <w:lang w:val="en-GB"/>
        </w:rPr>
        <w:footnoteReference w:id="132"/>
      </w:r>
      <w:r w:rsidRPr="009A4A6F">
        <w:rPr>
          <w:rFonts w:ascii="Times New Roman" w:hAnsi="Times New Roman" w:cs="Times New Roman"/>
          <w:sz w:val="24"/>
          <w:szCs w:val="24"/>
          <w:lang w:val="en-GB"/>
        </w:rPr>
        <w:t xml:space="preserve"> and enforcement gaps mean the theories serve as both diagnostic tools and catalysts for reform.</w:t>
      </w:r>
    </w:p>
    <w:p w14:paraId="16BE0BBC"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lastRenderedPageBreak/>
        <w:t>Human Rights-Based Approach (HRBA) highly relevant for systemic accountability. The international HRBA framework (Availability, accessibility, acceptability, quality; non-discrimination; participation; accountability) directly tackles Nigeria’s structural violations. Nigeria ratified the ICESCR and African Charter, which courts have used to enforce health rights indirectly through justiciable civil/political rights like right to life under Section 33 and right to dignity under Section 34</w:t>
      </w:r>
      <w:r w:rsidRPr="009A4A6F">
        <w:rPr>
          <w:rFonts w:ascii="Times New Roman" w:hAnsi="Times New Roman" w:cs="Times New Roman"/>
          <w:sz w:val="24"/>
          <w:szCs w:val="24"/>
          <w:vertAlign w:val="superscript"/>
          <w:lang w:val="en-GB"/>
        </w:rPr>
        <w:footnoteReference w:id="133"/>
      </w:r>
      <w:r w:rsidRPr="009A4A6F">
        <w:rPr>
          <w:rFonts w:ascii="Times New Roman" w:hAnsi="Times New Roman" w:cs="Times New Roman"/>
          <w:sz w:val="24"/>
          <w:szCs w:val="24"/>
          <w:lang w:val="en-GB"/>
        </w:rPr>
        <w:t>. The NHA 2014 and the Patients’ Bill of Rights launched by the Federal Competition and Consumer Protection Commission with Federal Ministry of Health embody HRBA elements like non-discrimination and equity in access. The theories emphasis on progressive realization and minimum core obligations is directly applicable. NHA Part I requires governments to provide the best possible health services. PBoR explicitly draws from UDHR, ICESCR, and WHO standards for universal health coverage. This framework exposes gaps like emergency care denials in private facilities despite law and supports demands for increased funding, infrastructure, and essential medicines. African Charter domestication gives it domestic force superior to ordinary statutes in some interpretations, enabling enforcement where pure constitutional claims fail. In a system where right to health remains non-justiciable under Section 6(6)(c)</w:t>
      </w:r>
      <w:r w:rsidRPr="009A4A6F">
        <w:rPr>
          <w:rFonts w:ascii="Times New Roman" w:hAnsi="Times New Roman" w:cs="Times New Roman"/>
          <w:sz w:val="24"/>
          <w:szCs w:val="24"/>
          <w:vertAlign w:val="superscript"/>
          <w:lang w:val="en-GB"/>
        </w:rPr>
        <w:footnoteReference w:id="134"/>
      </w:r>
      <w:r w:rsidRPr="009A4A6F">
        <w:rPr>
          <w:rFonts w:ascii="Times New Roman" w:hAnsi="Times New Roman" w:cs="Times New Roman"/>
          <w:sz w:val="24"/>
          <w:szCs w:val="24"/>
          <w:lang w:val="en-GB"/>
        </w:rPr>
        <w:t>, the international lens provides the normative push for judicial activism and policy reform.</w:t>
      </w:r>
    </w:p>
    <w:p w14:paraId="13D4F9E6"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Patient-Centered Care and Professional Ethics Models</w:t>
      </w:r>
      <w:r w:rsidRPr="009A4A6F">
        <w:rPr>
          <w:rFonts w:ascii="Times New Roman" w:hAnsi="Times New Roman" w:cs="Times New Roman"/>
          <w:sz w:val="24"/>
          <w:szCs w:val="24"/>
          <w:vertAlign w:val="superscript"/>
          <w:lang w:val="en-GB"/>
        </w:rPr>
        <w:footnoteReference w:id="135"/>
      </w:r>
      <w:r w:rsidRPr="009A4A6F">
        <w:rPr>
          <w:rFonts w:ascii="Times New Roman" w:hAnsi="Times New Roman" w:cs="Times New Roman"/>
          <w:sz w:val="24"/>
          <w:szCs w:val="24"/>
          <w:lang w:val="en-GB"/>
        </w:rPr>
        <w:t>directly embedded in domestic law. The WMA Declaration of Lisbon</w:t>
      </w:r>
      <w:r w:rsidRPr="009A4A6F">
        <w:rPr>
          <w:rFonts w:ascii="Times New Roman" w:hAnsi="Times New Roman" w:cs="Times New Roman"/>
          <w:sz w:val="24"/>
          <w:szCs w:val="24"/>
          <w:vertAlign w:val="superscript"/>
          <w:lang w:val="en-GB"/>
        </w:rPr>
        <w:footnoteReference w:id="136"/>
      </w:r>
      <w:r w:rsidRPr="009A4A6F">
        <w:rPr>
          <w:rFonts w:ascii="Times New Roman" w:hAnsi="Times New Roman" w:cs="Times New Roman"/>
          <w:sz w:val="24"/>
          <w:szCs w:val="24"/>
          <w:lang w:val="en-GB"/>
        </w:rPr>
        <w:t xml:space="preserve">  endorsed in spirit by the Nigerian Medical Association and global professional ethics maps almost verbatim onto Nigerian law. NHA Part III (Rights and Obligations of Users) explicitly codifies these: Section 20; No refusal of emergency treatment for any reason whatsoever. Section 23; informed consent and information in </w:t>
      </w:r>
      <w:r w:rsidRPr="009A4A6F">
        <w:rPr>
          <w:rFonts w:ascii="Times New Roman" w:hAnsi="Times New Roman" w:cs="Times New Roman"/>
          <w:sz w:val="24"/>
          <w:szCs w:val="24"/>
          <w:lang w:val="en-GB"/>
        </w:rPr>
        <w:lastRenderedPageBreak/>
        <w:t>understandable language (health status, options, risks, benefits, right to refuse). The PBoR further operationalizes this by aggregating rights including: access to relevant information and costs, quality care with respect and dignity, emergency care, refusal of treatment, confidentiality of records and express dissatisfaction/complaints. These mirror the European Charter of Patients’ Rights</w:t>
      </w:r>
      <w:r w:rsidRPr="009A4A6F">
        <w:rPr>
          <w:rFonts w:ascii="Times New Roman" w:hAnsi="Times New Roman" w:cs="Times New Roman"/>
          <w:sz w:val="24"/>
          <w:szCs w:val="24"/>
          <w:vertAlign w:val="superscript"/>
          <w:lang w:val="en-GB"/>
        </w:rPr>
        <w:footnoteReference w:id="137"/>
      </w:r>
      <w:r w:rsidRPr="009A4A6F">
        <w:rPr>
          <w:rFonts w:ascii="Times New Roman" w:hAnsi="Times New Roman" w:cs="Times New Roman"/>
          <w:sz w:val="24"/>
          <w:szCs w:val="24"/>
          <w:lang w:val="en-GB"/>
        </w:rPr>
        <w:t xml:space="preserve">  and WHO Patient Safety Rights Charter.</w:t>
      </w:r>
      <w:r w:rsidRPr="009A4A6F">
        <w:rPr>
          <w:rFonts w:ascii="Times New Roman" w:hAnsi="Times New Roman" w:cs="Times New Roman"/>
          <w:sz w:val="24"/>
          <w:szCs w:val="24"/>
          <w:vertAlign w:val="superscript"/>
          <w:lang w:val="en-GB"/>
        </w:rPr>
        <w:footnoteReference w:id="138"/>
      </w:r>
      <w:r w:rsidRPr="009A4A6F">
        <w:rPr>
          <w:rFonts w:ascii="Times New Roman" w:hAnsi="Times New Roman" w:cs="Times New Roman"/>
          <w:sz w:val="24"/>
          <w:szCs w:val="24"/>
          <w:lang w:val="en-GB"/>
        </w:rPr>
        <w:t xml:space="preserve"> </w:t>
      </w:r>
    </w:p>
    <w:p w14:paraId="6C83B4C8"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Nigeria already has the legal scaffolding, NHA requires PBoR display in all facilities; complaints procedures exist; professional oaths align with Lisbon. International theories elevate these from paper rights to enforceable claims via African Charter and consumer protection laws. The NHA and PBoR already translate HRBA, right-to-health, Lisbon, and WHO principles into binding domestic standards yet realization lags due to enforcement and funding shortfalls. Applying these frameworks more rigorously through judicial interpretation of the African Charter, increased budgeting, public education, and safety charters would transform Nigeria’s healthcare from privilege to enforceable right, advancing dignity, equity, and quality for all citizens.</w:t>
      </w:r>
    </w:p>
    <w:p w14:paraId="13BB60C2" w14:textId="77777777" w:rsidR="009A4A6F" w:rsidRPr="009A4A6F" w:rsidRDefault="009A4A6F" w:rsidP="009A4A6F">
      <w:pPr>
        <w:spacing w:line="480" w:lineRule="auto"/>
        <w:jc w:val="both"/>
        <w:rPr>
          <w:rFonts w:ascii="Times New Roman" w:hAnsi="Times New Roman" w:cs="Times New Roman"/>
          <w:sz w:val="24"/>
          <w:szCs w:val="24"/>
          <w:lang w:val="en-GB"/>
        </w:rPr>
      </w:pPr>
    </w:p>
    <w:p w14:paraId="167BAEF2" w14:textId="77777777" w:rsidR="009A4A6F" w:rsidRPr="009A4A6F" w:rsidRDefault="009A4A6F" w:rsidP="009A4A6F">
      <w:pPr>
        <w:spacing w:line="480" w:lineRule="auto"/>
        <w:jc w:val="both"/>
        <w:rPr>
          <w:rFonts w:ascii="Times New Roman" w:hAnsi="Times New Roman" w:cs="Times New Roman"/>
          <w:sz w:val="24"/>
          <w:szCs w:val="24"/>
          <w:lang w:val="en-GB"/>
        </w:rPr>
      </w:pPr>
    </w:p>
    <w:p w14:paraId="21F343CC" w14:textId="77777777" w:rsidR="009A4A6F" w:rsidRPr="009A4A6F" w:rsidRDefault="009A4A6F" w:rsidP="009A4A6F">
      <w:pPr>
        <w:spacing w:line="480" w:lineRule="auto"/>
        <w:jc w:val="both"/>
        <w:rPr>
          <w:rFonts w:ascii="Times New Roman" w:hAnsi="Times New Roman" w:cs="Times New Roman"/>
          <w:sz w:val="24"/>
          <w:szCs w:val="24"/>
          <w:lang w:val="en-GB"/>
        </w:rPr>
      </w:pPr>
    </w:p>
    <w:p w14:paraId="0C7CA056" w14:textId="77777777" w:rsidR="009A4A6F" w:rsidRPr="009A4A6F" w:rsidRDefault="009A4A6F" w:rsidP="009A4A6F">
      <w:pPr>
        <w:spacing w:line="480" w:lineRule="auto"/>
        <w:jc w:val="both"/>
        <w:rPr>
          <w:rFonts w:ascii="Times New Roman" w:hAnsi="Times New Roman" w:cs="Times New Roman"/>
          <w:sz w:val="24"/>
          <w:szCs w:val="24"/>
          <w:lang w:val="en-GB"/>
        </w:rPr>
      </w:pPr>
    </w:p>
    <w:p w14:paraId="241FB1B3" w14:textId="77777777" w:rsidR="009A4A6F" w:rsidRPr="009A4A6F" w:rsidRDefault="009A4A6F" w:rsidP="009A4A6F">
      <w:pPr>
        <w:spacing w:line="480" w:lineRule="auto"/>
        <w:jc w:val="both"/>
        <w:rPr>
          <w:rFonts w:ascii="Times New Roman" w:hAnsi="Times New Roman" w:cs="Times New Roman"/>
          <w:sz w:val="24"/>
          <w:szCs w:val="24"/>
          <w:lang w:val="en-GB"/>
        </w:rPr>
      </w:pPr>
    </w:p>
    <w:p w14:paraId="6EF0EB2E" w14:textId="77777777" w:rsidR="009A4A6F" w:rsidRPr="009A4A6F" w:rsidRDefault="009A4A6F" w:rsidP="009A4A6F">
      <w:pPr>
        <w:spacing w:line="480" w:lineRule="auto"/>
        <w:jc w:val="both"/>
        <w:rPr>
          <w:rFonts w:ascii="Times New Roman" w:hAnsi="Times New Roman" w:cs="Times New Roman"/>
          <w:sz w:val="24"/>
          <w:szCs w:val="24"/>
          <w:lang w:val="en-GB"/>
        </w:rPr>
      </w:pPr>
    </w:p>
    <w:p w14:paraId="4E1509C1" w14:textId="77777777" w:rsidR="00E55FB2" w:rsidRDefault="00E55FB2" w:rsidP="009A4A6F">
      <w:pPr>
        <w:spacing w:line="480" w:lineRule="auto"/>
        <w:jc w:val="both"/>
        <w:rPr>
          <w:rFonts w:ascii="Times New Roman" w:hAnsi="Times New Roman" w:cs="Times New Roman"/>
          <w:sz w:val="24"/>
          <w:szCs w:val="24"/>
          <w:lang w:val="en-GB"/>
        </w:rPr>
      </w:pPr>
    </w:p>
    <w:p w14:paraId="669C4F80" w14:textId="767A54D3" w:rsidR="009A4A6F" w:rsidRPr="009A4A6F" w:rsidRDefault="009A4A6F" w:rsidP="00E55FB2">
      <w:pPr>
        <w:spacing w:line="480" w:lineRule="auto"/>
        <w:jc w:val="center"/>
        <w:rPr>
          <w:rFonts w:ascii="Times New Roman" w:hAnsi="Times New Roman" w:cs="Times New Roman"/>
          <w:b/>
          <w:sz w:val="24"/>
          <w:szCs w:val="24"/>
          <w:lang w:val="en-GB"/>
        </w:rPr>
      </w:pPr>
      <w:r w:rsidRPr="009A4A6F">
        <w:rPr>
          <w:rFonts w:ascii="Times New Roman" w:hAnsi="Times New Roman" w:cs="Times New Roman"/>
          <w:b/>
          <w:sz w:val="24"/>
          <w:szCs w:val="24"/>
          <w:lang w:val="en-GB"/>
        </w:rPr>
        <w:lastRenderedPageBreak/>
        <w:t>CHAPTER THREE</w:t>
      </w:r>
    </w:p>
    <w:p w14:paraId="15A2C8FB" w14:textId="77777777" w:rsidR="009A4A6F" w:rsidRPr="009A4A6F" w:rsidRDefault="009A4A6F" w:rsidP="00E55FB2">
      <w:pPr>
        <w:spacing w:line="480" w:lineRule="auto"/>
        <w:jc w:val="center"/>
        <w:rPr>
          <w:rFonts w:ascii="Times New Roman" w:hAnsi="Times New Roman" w:cs="Times New Roman"/>
          <w:b/>
          <w:sz w:val="24"/>
          <w:szCs w:val="24"/>
          <w:lang w:val="en-GB"/>
        </w:rPr>
      </w:pPr>
      <w:r w:rsidRPr="009A4A6F">
        <w:rPr>
          <w:rFonts w:ascii="Times New Roman" w:hAnsi="Times New Roman" w:cs="Times New Roman"/>
          <w:b/>
          <w:sz w:val="24"/>
          <w:szCs w:val="24"/>
          <w:lang w:val="en-GB"/>
        </w:rPr>
        <w:t>LEGAL, ETHICAL AND INSTITUTIONAL FRAMEWORK</w:t>
      </w:r>
    </w:p>
    <w:p w14:paraId="2104F2BE"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3.1. Legal Framework Covering Patients` Rights in Nigeria</w:t>
      </w:r>
    </w:p>
    <w:p w14:paraId="55E12748"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3.1.1. Constitution of the Federal Republic of Nigeria (1999)</w:t>
      </w:r>
    </w:p>
    <w:p w14:paraId="39ACE134" w14:textId="1AB8A7A6"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The 1999 Constitution of the Federal Republic of Nigeria (as amended) guarantees the right to health and provides that, “The state shall direct it’s policy towards ensuring that…(c)the health, safety and welfare of all persons in employment are safeguarded and not endangered or abused,(d) there are adequate medical and health facilities for all persons.”</w:t>
      </w:r>
      <w:r w:rsidRPr="009A4A6F">
        <w:rPr>
          <w:rFonts w:ascii="Times New Roman" w:hAnsi="Times New Roman" w:cs="Times New Roman"/>
          <w:sz w:val="24"/>
          <w:szCs w:val="24"/>
          <w:vertAlign w:val="superscript"/>
          <w:lang w:val="en-GB"/>
        </w:rPr>
        <w:footnoteReference w:id="139"/>
      </w:r>
      <w:r w:rsidRPr="009A4A6F">
        <w:rPr>
          <w:rFonts w:ascii="Times New Roman" w:hAnsi="Times New Roman" w:cs="Times New Roman"/>
          <w:sz w:val="24"/>
          <w:szCs w:val="24"/>
          <w:lang w:val="en-GB"/>
        </w:rPr>
        <w:t xml:space="preserve"> Though Chapter two of the Constitution wher</w:t>
      </w:r>
      <w:r w:rsidR="00455B81">
        <w:rPr>
          <w:rFonts w:ascii="Times New Roman" w:hAnsi="Times New Roman" w:cs="Times New Roman"/>
          <w:sz w:val="24"/>
          <w:szCs w:val="24"/>
          <w:lang w:val="en-GB"/>
        </w:rPr>
        <w:t>4</w:t>
      </w:r>
      <w:r w:rsidRPr="009A4A6F">
        <w:rPr>
          <w:rFonts w:ascii="Times New Roman" w:hAnsi="Times New Roman" w:cs="Times New Roman"/>
          <w:sz w:val="24"/>
          <w:szCs w:val="24"/>
          <w:lang w:val="en-GB"/>
        </w:rPr>
        <w:t>e the right to health is derived is generally non-justiciable</w:t>
      </w:r>
      <w:r w:rsidRPr="009A4A6F">
        <w:rPr>
          <w:rFonts w:ascii="Times New Roman" w:hAnsi="Times New Roman" w:cs="Times New Roman"/>
          <w:sz w:val="24"/>
          <w:szCs w:val="24"/>
          <w:vertAlign w:val="superscript"/>
          <w:lang w:val="en-GB"/>
        </w:rPr>
        <w:footnoteReference w:id="140"/>
      </w:r>
      <w:r w:rsidRPr="009A4A6F">
        <w:rPr>
          <w:rFonts w:ascii="Times New Roman" w:hAnsi="Times New Roman" w:cs="Times New Roman"/>
          <w:sz w:val="24"/>
          <w:szCs w:val="24"/>
          <w:lang w:val="en-GB"/>
        </w:rPr>
        <w:t>, yet the constitution at the same time provided a lee way out of the provision on the ‘non-justiciability’ by empowering the legislators to make laws on the matters included on Exclusive Legislative list set out in part 1 of the Second Schedule to the constitution</w:t>
      </w:r>
      <w:r w:rsidRPr="009A4A6F">
        <w:rPr>
          <w:rFonts w:ascii="Times New Roman" w:hAnsi="Times New Roman" w:cs="Times New Roman"/>
          <w:sz w:val="24"/>
          <w:szCs w:val="24"/>
          <w:vertAlign w:val="superscript"/>
          <w:lang w:val="en-GB"/>
        </w:rPr>
        <w:footnoteReference w:id="141"/>
      </w:r>
      <w:r w:rsidRPr="009A4A6F">
        <w:rPr>
          <w:rFonts w:ascii="Times New Roman" w:hAnsi="Times New Roman" w:cs="Times New Roman"/>
          <w:sz w:val="24"/>
          <w:szCs w:val="24"/>
          <w:lang w:val="en-GB"/>
        </w:rPr>
        <w:t>. Under item 60(a)</w:t>
      </w:r>
      <w:r w:rsidRPr="009A4A6F">
        <w:rPr>
          <w:rFonts w:ascii="Times New Roman" w:hAnsi="Times New Roman" w:cs="Times New Roman"/>
          <w:sz w:val="24"/>
          <w:szCs w:val="24"/>
          <w:vertAlign w:val="superscript"/>
          <w:lang w:val="en-GB"/>
        </w:rPr>
        <w:footnoteReference w:id="142"/>
      </w:r>
      <w:r w:rsidRPr="009A4A6F">
        <w:rPr>
          <w:rFonts w:ascii="Times New Roman" w:hAnsi="Times New Roman" w:cs="Times New Roman"/>
          <w:sz w:val="24"/>
          <w:szCs w:val="24"/>
          <w:lang w:val="en-GB"/>
        </w:rPr>
        <w:t>, the legislators are authorized “to enforce the observance of the fundamental Objectives and Directive Principles contained in this Constitution.” This power given to the National Assembly can be exercised either by enacting laws that; “will declare chapter II of the constitution legally enforceable and justiciable or repeal section 6(6) (c) so as to give the court jurisdiction. In adhering to the power of enacting new laws, the legislature can enact a new law through the legislative process or by domesticating a treaty to which Nigeria is a party. Application of any three options above will arm chapter two of the constitution with the force of justiciability.” The National Assembly in line with the constitutional mandate enacted the first health law in Nigeria, in the year 2014.</w:t>
      </w:r>
    </w:p>
    <w:p w14:paraId="38485EE2"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lastRenderedPageBreak/>
        <w:t>3.1.2. National Health Act (2014)</w:t>
      </w:r>
    </w:p>
    <w:p w14:paraId="4B6CD985"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National Health Act (2014) Enacted on October 31, 2014, Nigeria's National Health Act 2014 establishes a legal framework for regulating the national health system. It underscores the need for enhanced government commitment to Nigerian health, increased funding for the health sector, considerations for overseas medical treatment, and outlines the rights and obligations of both users and healthcare personnel. The National Health Act 2014 in Nigeria, signed into law in 2014 after a decade of development, stands as a comprehensive legal framework for the regulation, development, and management of the National Health System.</w:t>
      </w:r>
      <w:r w:rsidRPr="009A4A6F">
        <w:rPr>
          <w:rFonts w:ascii="Times New Roman" w:hAnsi="Times New Roman" w:cs="Times New Roman"/>
          <w:sz w:val="24"/>
          <w:szCs w:val="24"/>
          <w:vertAlign w:val="superscript"/>
          <w:lang w:val="en-GB"/>
        </w:rPr>
        <w:footnoteReference w:id="143"/>
      </w:r>
      <w:r w:rsidRPr="009A4A6F">
        <w:rPr>
          <w:rFonts w:ascii="Times New Roman" w:hAnsi="Times New Roman" w:cs="Times New Roman"/>
          <w:sz w:val="24"/>
          <w:szCs w:val="24"/>
          <w:lang w:val="en-GB"/>
        </w:rPr>
        <w:t xml:space="preserve"> Comprising seven parts, it covers critical aspects such as; “responsibilities for health, eligibility for health services, establishment of the National Health System, health establishments and technologies, rights and obligations of users and healthcare personnel, national health research and information systems, human resources for health, and control of the use of blood, blood products, tissue, and gametes in humans.” The effective implementation of these provisions holds the potential to significantly impact healthcare access, costs, quality, healthcare provider practices, and patient care outcomes in Nigeria.</w:t>
      </w:r>
      <w:r w:rsidRPr="009A4A6F">
        <w:rPr>
          <w:rFonts w:ascii="Times New Roman" w:hAnsi="Times New Roman" w:cs="Times New Roman"/>
          <w:sz w:val="24"/>
          <w:szCs w:val="24"/>
          <w:vertAlign w:val="superscript"/>
          <w:lang w:val="en-GB"/>
        </w:rPr>
        <w:footnoteReference w:id="144"/>
      </w:r>
    </w:p>
    <w:p w14:paraId="29E19FDB"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Part I addresses responsibility for health, eligibility for health, and establishes the National Health System.</w:t>
      </w:r>
      <w:r w:rsidRPr="009A4A6F">
        <w:rPr>
          <w:rFonts w:ascii="Times New Roman" w:hAnsi="Times New Roman" w:cs="Times New Roman"/>
          <w:sz w:val="24"/>
          <w:szCs w:val="24"/>
          <w:vertAlign w:val="superscript"/>
          <w:lang w:val="en-GB"/>
        </w:rPr>
        <w:footnoteReference w:id="145"/>
      </w:r>
      <w:r w:rsidRPr="009A4A6F">
        <w:rPr>
          <w:rFonts w:ascii="Times New Roman" w:hAnsi="Times New Roman" w:cs="Times New Roman"/>
          <w:sz w:val="24"/>
          <w:szCs w:val="24"/>
          <w:lang w:val="en-GB"/>
        </w:rPr>
        <w:t>It outlines the functions of the Federal Ministry of Health, the composition and functions of the National Council on Health, and the establishment, composition, functions, and proceedings of the Technical Committee.</w:t>
      </w:r>
      <w:r w:rsidRPr="009A4A6F">
        <w:rPr>
          <w:rFonts w:ascii="Times New Roman" w:hAnsi="Times New Roman" w:cs="Times New Roman"/>
          <w:sz w:val="24"/>
          <w:szCs w:val="24"/>
          <w:vertAlign w:val="superscript"/>
          <w:lang w:val="en-GB"/>
        </w:rPr>
        <w:footnoteReference w:id="146"/>
      </w:r>
      <w:r w:rsidRPr="009A4A6F">
        <w:rPr>
          <w:rFonts w:ascii="Times New Roman" w:hAnsi="Times New Roman" w:cs="Times New Roman"/>
          <w:sz w:val="24"/>
          <w:szCs w:val="24"/>
          <w:lang w:val="en-GB"/>
        </w:rPr>
        <w:t xml:space="preserve"> Additionally, it covers the establishment and functions of the National Tertiary Health Institutions Standards Committee and the creation of </w:t>
      </w:r>
      <w:r w:rsidRPr="009A4A6F">
        <w:rPr>
          <w:rFonts w:ascii="Times New Roman" w:hAnsi="Times New Roman" w:cs="Times New Roman"/>
          <w:sz w:val="24"/>
          <w:szCs w:val="24"/>
          <w:lang w:val="en-GB"/>
        </w:rPr>
        <w:lastRenderedPageBreak/>
        <w:t>the Basic Health Care Provision Fund. Part II focuses on health establishments and technologies, encompassing provisions for the classification of health establishments and technologies. It details the requirements for obtaining a certificate of standards, outlines offenses and penalties related to the certificate, and defines the relationship between public and private health establishments, among other aspects. Part III</w:t>
      </w:r>
      <w:r w:rsidRPr="009A4A6F">
        <w:rPr>
          <w:rFonts w:ascii="Times New Roman" w:hAnsi="Times New Roman" w:cs="Times New Roman"/>
          <w:sz w:val="24"/>
          <w:szCs w:val="24"/>
          <w:vertAlign w:val="superscript"/>
          <w:lang w:val="en-GB"/>
        </w:rPr>
        <w:footnoteReference w:id="147"/>
      </w:r>
      <w:r w:rsidRPr="009A4A6F">
        <w:rPr>
          <w:rFonts w:ascii="Times New Roman" w:hAnsi="Times New Roman" w:cs="Times New Roman"/>
          <w:sz w:val="24"/>
          <w:szCs w:val="24"/>
          <w:lang w:val="en-GB"/>
        </w:rPr>
        <w:t xml:space="preserve"> addresses rights and obligations of users and healthcare personnel, encompassing duties such as information dissemination, record-keeping, and access to health records. It also covers the process for lodging complaints. Part IV focuses on the national health research and information system, outlining the roles of committees like the National Health Research Committee and National Health Research Ethics Committee, along with specifying duties for entities like the FCT, its Area Councils, and private healthcare providers. Part V is dedicated to Human Resources for Health, addressing the development and deployment of manpower for healthcare services.</w:t>
      </w:r>
      <w:r w:rsidRPr="009A4A6F">
        <w:rPr>
          <w:rFonts w:ascii="Times New Roman" w:hAnsi="Times New Roman" w:cs="Times New Roman"/>
          <w:sz w:val="24"/>
          <w:szCs w:val="24"/>
          <w:vertAlign w:val="superscript"/>
          <w:lang w:val="en-GB"/>
        </w:rPr>
        <w:footnoteReference w:id="148"/>
      </w:r>
    </w:p>
    <w:p w14:paraId="4FBE548C"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In Part VI</w:t>
      </w:r>
      <w:r w:rsidRPr="009A4A6F">
        <w:rPr>
          <w:rFonts w:ascii="Times New Roman" w:hAnsi="Times New Roman" w:cs="Times New Roman"/>
          <w:sz w:val="24"/>
          <w:szCs w:val="24"/>
          <w:vertAlign w:val="superscript"/>
          <w:lang w:val="en-GB"/>
        </w:rPr>
        <w:footnoteReference w:id="149"/>
      </w:r>
      <w:r w:rsidRPr="009A4A6F">
        <w:rPr>
          <w:rFonts w:ascii="Times New Roman" w:hAnsi="Times New Roman" w:cs="Times New Roman"/>
          <w:sz w:val="24"/>
          <w:szCs w:val="24"/>
          <w:lang w:val="en-GB"/>
        </w:rPr>
        <w:t xml:space="preserve"> the National Health Act 2014 addresses the control of the use of blood, blood products, tissue, and gametes in humans. This section focuses on establishing and regulating the activities of National Blood Transfusion Services while explicitly prohibiting reproductive and therapeutic cloning of humankind. Additionally, Part VII</w:t>
      </w:r>
      <w:r w:rsidRPr="009A4A6F">
        <w:rPr>
          <w:rFonts w:ascii="Times New Roman" w:hAnsi="Times New Roman" w:cs="Times New Roman"/>
          <w:sz w:val="24"/>
          <w:szCs w:val="24"/>
          <w:vertAlign w:val="superscript"/>
          <w:lang w:val="en-GB"/>
        </w:rPr>
        <w:footnoteReference w:id="150"/>
      </w:r>
      <w:r w:rsidRPr="009A4A6F">
        <w:rPr>
          <w:rFonts w:ascii="Times New Roman" w:hAnsi="Times New Roman" w:cs="Times New Roman"/>
          <w:sz w:val="24"/>
          <w:szCs w:val="24"/>
          <w:lang w:val="en-GB"/>
        </w:rPr>
        <w:t xml:space="preserve"> encompasses miscellaneous provisions within the Act. Section 2(1) (i)</w:t>
      </w:r>
      <w:r w:rsidRPr="009A4A6F">
        <w:rPr>
          <w:rFonts w:ascii="Times New Roman" w:hAnsi="Times New Roman" w:cs="Times New Roman"/>
          <w:sz w:val="24"/>
          <w:szCs w:val="24"/>
          <w:vertAlign w:val="superscript"/>
          <w:lang w:val="en-GB"/>
        </w:rPr>
        <w:footnoteReference w:id="151"/>
      </w:r>
      <w:r w:rsidRPr="009A4A6F">
        <w:rPr>
          <w:rFonts w:ascii="Times New Roman" w:hAnsi="Times New Roman" w:cs="Times New Roman"/>
          <w:sz w:val="24"/>
          <w:szCs w:val="24"/>
          <w:lang w:val="en-GB"/>
        </w:rPr>
        <w:t xml:space="preserve"> of the Act mandates the Government to enhance the availability of high quality, safe, and affordable essential drugs, medical commodities, hygienic food, and water. Notably, this provision goes beyond the strict right to health, encompassing the determinants of health outlined in this paper. Furthermore, Section 15(3)</w:t>
      </w:r>
      <w:r w:rsidRPr="009A4A6F">
        <w:rPr>
          <w:rFonts w:ascii="Times New Roman" w:hAnsi="Times New Roman" w:cs="Times New Roman"/>
          <w:sz w:val="24"/>
          <w:szCs w:val="24"/>
          <w:vertAlign w:val="superscript"/>
          <w:lang w:val="en-GB"/>
        </w:rPr>
        <w:footnoteReference w:id="152"/>
      </w:r>
      <w:r w:rsidRPr="009A4A6F">
        <w:rPr>
          <w:rFonts w:ascii="Times New Roman" w:hAnsi="Times New Roman" w:cs="Times New Roman"/>
          <w:sz w:val="24"/>
          <w:szCs w:val="24"/>
          <w:lang w:val="en-GB"/>
        </w:rPr>
        <w:t xml:space="preserve"> of the Act ensures the provision of essential healthcare services by asserting that all citizens </w:t>
      </w:r>
      <w:r w:rsidRPr="009A4A6F">
        <w:rPr>
          <w:rFonts w:ascii="Times New Roman" w:hAnsi="Times New Roman" w:cs="Times New Roman"/>
          <w:sz w:val="24"/>
          <w:szCs w:val="24"/>
          <w:lang w:val="en-GB"/>
        </w:rPr>
        <w:lastRenderedPageBreak/>
        <w:t>are entitled to a basic minimum package of health services. Under Article III,</w:t>
      </w:r>
      <w:r w:rsidRPr="009A4A6F">
        <w:rPr>
          <w:rFonts w:ascii="Times New Roman" w:hAnsi="Times New Roman" w:cs="Times New Roman"/>
          <w:sz w:val="24"/>
          <w:szCs w:val="24"/>
          <w:vertAlign w:val="superscript"/>
          <w:lang w:val="en-GB"/>
        </w:rPr>
        <w:footnoteReference w:id="153"/>
      </w:r>
      <w:r w:rsidRPr="009A4A6F">
        <w:rPr>
          <w:rFonts w:ascii="Times New Roman" w:hAnsi="Times New Roman" w:cs="Times New Roman"/>
          <w:sz w:val="24"/>
          <w:szCs w:val="24"/>
          <w:lang w:val="en-GB"/>
        </w:rPr>
        <w:t xml:space="preserve"> individuals are entitled to the Right to Emergency Treatment. As per Section 20(1)</w:t>
      </w:r>
      <w:r w:rsidRPr="009A4A6F">
        <w:rPr>
          <w:rFonts w:ascii="Times New Roman" w:hAnsi="Times New Roman" w:cs="Times New Roman"/>
          <w:sz w:val="24"/>
          <w:szCs w:val="24"/>
          <w:vertAlign w:val="superscript"/>
          <w:lang w:val="en-GB"/>
        </w:rPr>
        <w:footnoteReference w:id="154"/>
      </w:r>
      <w:r w:rsidRPr="009A4A6F">
        <w:rPr>
          <w:rFonts w:ascii="Times New Roman" w:hAnsi="Times New Roman" w:cs="Times New Roman"/>
          <w:sz w:val="24"/>
          <w:szCs w:val="24"/>
          <w:lang w:val="en-GB"/>
        </w:rPr>
        <w:t>, healthcare providers and establishments are prohibited from refusing emergency medical treatment to any person for any reason. This includes common excuses for delayed care, such as the type of disease, mandatory upfront payment (the 'Deposit'), or the requirement of police reports for gunshot wounds. Every patient, regardless of their financial status or health condition, has the right to emergency treatment without discrimination and any violation of this right carries penalties and Section 20(2)</w:t>
      </w:r>
      <w:r w:rsidRPr="009A4A6F">
        <w:rPr>
          <w:rFonts w:ascii="Times New Roman" w:hAnsi="Times New Roman" w:cs="Times New Roman"/>
          <w:sz w:val="24"/>
          <w:szCs w:val="24"/>
          <w:vertAlign w:val="superscript"/>
          <w:lang w:val="en-GB"/>
        </w:rPr>
        <w:footnoteReference w:id="155"/>
      </w:r>
      <w:r w:rsidRPr="009A4A6F">
        <w:rPr>
          <w:rFonts w:ascii="Times New Roman" w:hAnsi="Times New Roman" w:cs="Times New Roman"/>
          <w:sz w:val="24"/>
          <w:szCs w:val="24"/>
          <w:lang w:val="en-GB"/>
        </w:rPr>
        <w:t xml:space="preserve"> stipulating a fine of N100, 000.00 or imprisonment for up to six (6) months.</w:t>
      </w:r>
    </w:p>
    <w:p w14:paraId="53BE5D58"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Unauthorized disclosure may result in fines or imprisonment for those responsible for record control and possession. Under the NHA</w:t>
      </w:r>
      <w:r w:rsidRPr="009A4A6F">
        <w:rPr>
          <w:rFonts w:ascii="Times New Roman" w:hAnsi="Times New Roman" w:cs="Times New Roman"/>
          <w:sz w:val="24"/>
          <w:szCs w:val="24"/>
          <w:vertAlign w:val="superscript"/>
          <w:lang w:val="en-GB"/>
        </w:rPr>
        <w:footnoteReference w:id="156"/>
      </w:r>
      <w:r w:rsidRPr="009A4A6F">
        <w:rPr>
          <w:rFonts w:ascii="Times New Roman" w:hAnsi="Times New Roman" w:cs="Times New Roman"/>
          <w:sz w:val="24"/>
          <w:szCs w:val="24"/>
          <w:lang w:val="en-GB"/>
        </w:rPr>
        <w:t xml:space="preserve"> in Nigeria, patients possess the right to access their medical records, including practitioner notes, test results, and related documentation. Section 23(1)</w:t>
      </w:r>
      <w:r w:rsidRPr="009A4A6F">
        <w:rPr>
          <w:rFonts w:ascii="Times New Roman" w:hAnsi="Times New Roman" w:cs="Times New Roman"/>
          <w:sz w:val="24"/>
          <w:szCs w:val="24"/>
          <w:vertAlign w:val="superscript"/>
          <w:lang w:val="en-GB"/>
        </w:rPr>
        <w:footnoteReference w:id="157"/>
      </w:r>
      <w:r w:rsidRPr="009A4A6F">
        <w:rPr>
          <w:rFonts w:ascii="Times New Roman" w:hAnsi="Times New Roman" w:cs="Times New Roman"/>
          <w:sz w:val="24"/>
          <w:szCs w:val="24"/>
          <w:lang w:val="en-GB"/>
        </w:rPr>
        <w:t xml:space="preserve"> mandates healthcare providers to furnish users with relevant information about their health status, available diagnostic procedures, treatment options, associated benefits, risks, costs, and the right to refuse services. Additionally, the Freedom of Information Act</w:t>
      </w:r>
      <w:r w:rsidRPr="009A4A6F">
        <w:rPr>
          <w:rFonts w:ascii="Times New Roman" w:hAnsi="Times New Roman" w:cs="Times New Roman"/>
          <w:sz w:val="24"/>
          <w:szCs w:val="24"/>
          <w:vertAlign w:val="superscript"/>
          <w:lang w:val="en-GB"/>
        </w:rPr>
        <w:footnoteReference w:id="158"/>
      </w:r>
      <w:r w:rsidRPr="009A4A6F">
        <w:rPr>
          <w:rFonts w:ascii="Times New Roman" w:hAnsi="Times New Roman" w:cs="Times New Roman"/>
          <w:sz w:val="24"/>
          <w:szCs w:val="24"/>
          <w:lang w:val="en-GB"/>
        </w:rPr>
        <w:t xml:space="preserve"> reinforces the right to information, allowing individuals to access records held by public institutions, with the right to legal recourse for non-compliance. It is important to note that the Freedom of Information Act</w:t>
      </w:r>
      <w:r w:rsidRPr="009A4A6F">
        <w:rPr>
          <w:rFonts w:ascii="Times New Roman" w:hAnsi="Times New Roman" w:cs="Times New Roman"/>
          <w:sz w:val="24"/>
          <w:szCs w:val="24"/>
          <w:vertAlign w:val="superscript"/>
          <w:lang w:val="en-GB"/>
        </w:rPr>
        <w:footnoteReference w:id="159"/>
      </w:r>
      <w:r w:rsidRPr="009A4A6F">
        <w:rPr>
          <w:rFonts w:ascii="Times New Roman" w:hAnsi="Times New Roman" w:cs="Times New Roman"/>
          <w:sz w:val="24"/>
          <w:szCs w:val="24"/>
          <w:lang w:val="en-GB"/>
        </w:rPr>
        <w:t xml:space="preserve"> specifically applies to public agencies, including government hospitals. Every patient, irrespective of their financial status or health conditions, has the fundamental expectation to receive respectful and non-discriminatory treatment from their healthcare providers, practitioners, and payers. This right is assured through the collective </w:t>
      </w:r>
      <w:r w:rsidRPr="009A4A6F">
        <w:rPr>
          <w:rFonts w:ascii="Times New Roman" w:hAnsi="Times New Roman" w:cs="Times New Roman"/>
          <w:sz w:val="24"/>
          <w:szCs w:val="24"/>
          <w:lang w:val="en-GB"/>
        </w:rPr>
        <w:lastRenderedPageBreak/>
        <w:t>impact of Sections 34(a) and 42 of the 1999 Constitution of the Federal Republic of Nigeria (as amended). Patients, deemed mentally sound, possess the right and responsibility to be informed about available treatment options for their medical condition. They are entitled to make choices aligned with their preferences. This right aligns closely with the Right to Informed Consent outlined in Section 21 of the Medical Code of Ethics.</w:t>
      </w:r>
    </w:p>
    <w:p w14:paraId="490FD4AE"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Another right guaranteed by the National Health Act, 2014 is the right to informed consent, it is a fundamental right ensuring that any reputable practitioner or facility conducting tests, procedures, or treatments obtains the patient's or guardians signed consent. The term "informed consent" underscores the expectation that practitioners should transparently explain risks and benefits before a patient's participation, even though thorough explanations may not always occur. Section 21 of the Medical Code of Ethics emphasizes that practitioners involved in procedures requiring consent must ensure the proper acquisition of written and signed consent for both invasive and non-invasive procedures, whether for surgery or diagnostic purposes. This comprehensive legislation not only regulates and manages the national health system but also safeguards the confidentiality of medical records, ensures patients' right to obtain information about their health, and upholds the principle of informed consent. As a testament to Nigeria's commitment to fostering a healthcare environment grounded in ethics and respect, the National Health Act significantly contributes to the advancement of patient rights, reflecting a pivotal step towards achieving a more equitable, accessible, and patient-centred healthcare system in the nation.</w:t>
      </w:r>
    </w:p>
    <w:p w14:paraId="7F5EFDA2"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3.1.3. Consumer Protection Act/ Federal Competition and Consumer Protection Act</w:t>
      </w:r>
    </w:p>
    <w:p w14:paraId="7A353BAA"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The Consumer Protection Council Act</w:t>
      </w:r>
      <w:r w:rsidRPr="009A4A6F">
        <w:rPr>
          <w:rFonts w:ascii="Times New Roman" w:hAnsi="Times New Roman" w:cs="Times New Roman"/>
          <w:sz w:val="24"/>
          <w:szCs w:val="24"/>
          <w:vertAlign w:val="superscript"/>
          <w:lang w:val="en-GB"/>
        </w:rPr>
        <w:footnoteReference w:id="160"/>
      </w:r>
      <w:r w:rsidRPr="009A4A6F">
        <w:rPr>
          <w:rFonts w:ascii="Times New Roman" w:hAnsi="Times New Roman" w:cs="Times New Roman"/>
          <w:sz w:val="24"/>
          <w:szCs w:val="24"/>
          <w:lang w:val="en-GB"/>
        </w:rPr>
        <w:t xml:space="preserve"> is the precursor of the Federal Competition and Consumer Protection Act. The FCCPA in section 167(1)</w:t>
      </w:r>
      <w:r w:rsidRPr="009A4A6F">
        <w:rPr>
          <w:rFonts w:ascii="Times New Roman" w:hAnsi="Times New Roman" w:cs="Times New Roman"/>
          <w:sz w:val="24"/>
          <w:szCs w:val="24"/>
          <w:vertAlign w:val="superscript"/>
          <w:lang w:val="en-GB"/>
        </w:rPr>
        <w:footnoteReference w:id="161"/>
      </w:r>
      <w:r w:rsidRPr="009A4A6F">
        <w:rPr>
          <w:rFonts w:ascii="Times New Roman" w:hAnsi="Times New Roman" w:cs="Times New Roman"/>
          <w:sz w:val="24"/>
          <w:szCs w:val="24"/>
          <w:lang w:val="en-GB"/>
        </w:rPr>
        <w:t xml:space="preserve"> interpreted ‘a consumer’ to include; </w:t>
      </w:r>
      <w:r w:rsidRPr="009A4A6F">
        <w:rPr>
          <w:rFonts w:ascii="Times New Roman" w:hAnsi="Times New Roman" w:cs="Times New Roman"/>
          <w:sz w:val="24"/>
          <w:szCs w:val="24"/>
          <w:lang w:val="en-GB"/>
        </w:rPr>
        <w:lastRenderedPageBreak/>
        <w:t>“any person (a) who purchases or offers to purchase goods otherwise than for the purpose of resale or (b) to whom a service is rendered. In the same Act</w:t>
      </w:r>
      <w:r w:rsidRPr="009A4A6F">
        <w:rPr>
          <w:rFonts w:ascii="Times New Roman" w:hAnsi="Times New Roman" w:cs="Times New Roman"/>
          <w:sz w:val="24"/>
          <w:szCs w:val="24"/>
          <w:vertAlign w:val="superscript"/>
          <w:lang w:val="en-GB"/>
        </w:rPr>
        <w:footnoteReference w:id="162"/>
      </w:r>
      <w:r w:rsidRPr="009A4A6F">
        <w:rPr>
          <w:rFonts w:ascii="Times New Roman" w:hAnsi="Times New Roman" w:cs="Times New Roman"/>
          <w:sz w:val="24"/>
          <w:szCs w:val="24"/>
          <w:lang w:val="en-GB"/>
        </w:rPr>
        <w:t xml:space="preserve">‘service’ is interpreted to include (a) a service of any description, whether industrial, trade, professional or any other service; and (b) the sale of goods, where the goods are sold in conjunction with the rendering of a service.” </w:t>
      </w:r>
    </w:p>
    <w:p w14:paraId="673EE6DC"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Thus; “a health service provider and a patient in a health facility are appropriately covered by the provisions of the FCCPA</w:t>
      </w:r>
      <w:r w:rsidRPr="009A4A6F">
        <w:rPr>
          <w:rFonts w:ascii="Times New Roman" w:hAnsi="Times New Roman" w:cs="Times New Roman"/>
          <w:sz w:val="24"/>
          <w:szCs w:val="24"/>
          <w:vertAlign w:val="superscript"/>
          <w:lang w:val="en-GB"/>
        </w:rPr>
        <w:footnoteReference w:id="163"/>
      </w:r>
      <w:r w:rsidRPr="009A4A6F">
        <w:rPr>
          <w:rFonts w:ascii="Times New Roman" w:hAnsi="Times New Roman" w:cs="Times New Roman"/>
          <w:sz w:val="24"/>
          <w:szCs w:val="24"/>
          <w:lang w:val="en-GB"/>
        </w:rPr>
        <w:t>. One of the regulation, order, or bye-laws made by the CPC which the FCCPA inherited was Patient’s Bill of Right (“PBoR”) launched in 2018 by the Consumer Protection Council (“the CPC”), in conjunction with the Federal Ministry of Health.”</w:t>
      </w:r>
    </w:p>
    <w:p w14:paraId="732B7ABB"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3.1.4. Medical and Dental Council of Nigeria Act</w:t>
      </w:r>
    </w:p>
    <w:p w14:paraId="66105EF4"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The Medical and Dental Practitioners Act</w:t>
      </w:r>
      <w:r w:rsidRPr="009A4A6F">
        <w:rPr>
          <w:rFonts w:ascii="Times New Roman" w:hAnsi="Times New Roman" w:cs="Times New Roman"/>
          <w:sz w:val="24"/>
          <w:szCs w:val="24"/>
          <w:vertAlign w:val="superscript"/>
          <w:lang w:val="en-GB"/>
        </w:rPr>
        <w:footnoteReference w:id="164"/>
      </w:r>
      <w:r w:rsidRPr="009A4A6F">
        <w:rPr>
          <w:rFonts w:ascii="Times New Roman" w:hAnsi="Times New Roman" w:cs="Times New Roman"/>
          <w:sz w:val="24"/>
          <w:szCs w:val="24"/>
          <w:lang w:val="en-GB"/>
        </w:rPr>
        <w:t xml:space="preserve"> delineates both the rights of patients and healthcare providers. It establishes fundamental standards of care and professional conduct that all medical and health professionals are obligated to adhere to. Section 1 of the Act</w:t>
      </w:r>
      <w:r w:rsidRPr="009A4A6F">
        <w:rPr>
          <w:rFonts w:ascii="Times New Roman" w:hAnsi="Times New Roman" w:cs="Times New Roman"/>
          <w:sz w:val="24"/>
          <w:szCs w:val="24"/>
          <w:vertAlign w:val="superscript"/>
          <w:lang w:val="en-GB"/>
        </w:rPr>
        <w:footnoteReference w:id="165"/>
      </w:r>
      <w:r w:rsidRPr="009A4A6F">
        <w:rPr>
          <w:rFonts w:ascii="Times New Roman" w:hAnsi="Times New Roman" w:cs="Times New Roman"/>
          <w:sz w:val="24"/>
          <w:szCs w:val="24"/>
          <w:lang w:val="en-GB"/>
        </w:rPr>
        <w:t xml:space="preserve"> establishes the Medical and Dental Council of Nigeria (the Council) and grants it the authority to define the knowledge and skills standards required for individuals aspiring to join the medical or dental profession. </w:t>
      </w:r>
    </w:p>
    <w:p w14:paraId="1D179CC5"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Additionally, the Council is empowered to periodically review and update these standards. Section 8 of the Act</w:t>
      </w:r>
      <w:r w:rsidRPr="009A4A6F">
        <w:rPr>
          <w:rFonts w:ascii="Times New Roman" w:hAnsi="Times New Roman" w:cs="Times New Roman"/>
          <w:sz w:val="24"/>
          <w:szCs w:val="24"/>
          <w:vertAlign w:val="superscript"/>
          <w:lang w:val="en-GB"/>
        </w:rPr>
        <w:footnoteReference w:id="166"/>
      </w:r>
      <w:r w:rsidRPr="009A4A6F">
        <w:rPr>
          <w:rFonts w:ascii="Times New Roman" w:hAnsi="Times New Roman" w:cs="Times New Roman"/>
          <w:sz w:val="24"/>
          <w:szCs w:val="24"/>
          <w:lang w:val="en-GB"/>
        </w:rPr>
        <w:t xml:space="preserve"> outlines the qualifications and conditions for attaining full registration as a medical practitioner or dental surgeon. These prerequisites include: 1) Completion of a training course approved by the Council. 2) Participation in a course conducted at an institution approved by the Council. 3) Possession of a certificate of experience issued in accordance with </w:t>
      </w:r>
      <w:r w:rsidRPr="009A4A6F">
        <w:rPr>
          <w:rFonts w:ascii="Times New Roman" w:hAnsi="Times New Roman" w:cs="Times New Roman"/>
          <w:sz w:val="24"/>
          <w:szCs w:val="24"/>
          <w:lang w:val="en-GB"/>
        </w:rPr>
        <w:lastRenderedPageBreak/>
        <w:t>section 11 of the Act.</w:t>
      </w:r>
      <w:r w:rsidRPr="009A4A6F">
        <w:rPr>
          <w:rFonts w:ascii="Times New Roman" w:hAnsi="Times New Roman" w:cs="Times New Roman"/>
          <w:sz w:val="24"/>
          <w:szCs w:val="24"/>
          <w:vertAlign w:val="superscript"/>
          <w:lang w:val="en-GB"/>
        </w:rPr>
        <w:footnoteReference w:id="167"/>
      </w:r>
      <w:r w:rsidRPr="009A4A6F">
        <w:rPr>
          <w:rFonts w:ascii="Times New Roman" w:hAnsi="Times New Roman" w:cs="Times New Roman"/>
          <w:sz w:val="24"/>
          <w:szCs w:val="24"/>
          <w:lang w:val="en-GB"/>
        </w:rPr>
        <w:t xml:space="preserve"> In this capacity, the Council holds the responsibility for endorsing courses, qualifications, and institutions designated for individuals aspiring to pursue careers as doctors or dentists in Nigeria, as outlined in Sections 1(2) (a), 9, and 10 of the Medical and Dental Practitioners Act.</w:t>
      </w:r>
      <w:r w:rsidRPr="009A4A6F">
        <w:rPr>
          <w:rFonts w:ascii="Times New Roman" w:hAnsi="Times New Roman" w:cs="Times New Roman"/>
          <w:sz w:val="24"/>
          <w:szCs w:val="24"/>
          <w:vertAlign w:val="superscript"/>
          <w:lang w:val="en-GB"/>
        </w:rPr>
        <w:footnoteReference w:id="168"/>
      </w:r>
      <w:r w:rsidRPr="009A4A6F">
        <w:rPr>
          <w:rFonts w:ascii="Times New Roman" w:hAnsi="Times New Roman" w:cs="Times New Roman"/>
          <w:sz w:val="24"/>
          <w:szCs w:val="24"/>
          <w:lang w:val="en-GB"/>
        </w:rPr>
        <w:t xml:space="preserve"> </w:t>
      </w:r>
    </w:p>
    <w:p w14:paraId="2DE5FB26"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Accordingly, the Medical and Dental Council of Nigeria, in accordance with Section 16</w:t>
      </w:r>
      <w:r w:rsidRPr="009A4A6F">
        <w:rPr>
          <w:rFonts w:ascii="Times New Roman" w:hAnsi="Times New Roman" w:cs="Times New Roman"/>
          <w:sz w:val="24"/>
          <w:szCs w:val="24"/>
          <w:vertAlign w:val="superscript"/>
          <w:lang w:val="en-GB"/>
        </w:rPr>
        <w:footnoteReference w:id="169"/>
      </w:r>
      <w:r w:rsidRPr="009A4A6F">
        <w:rPr>
          <w:rFonts w:ascii="Times New Roman" w:hAnsi="Times New Roman" w:cs="Times New Roman"/>
          <w:sz w:val="24"/>
          <w:szCs w:val="24"/>
          <w:lang w:val="en-GB"/>
        </w:rPr>
        <w:t>, possesses and enforces disciplinary authority over medical practitioners and dental surgeons found in violation of prescribed standards in Nigeria.</w:t>
      </w:r>
      <w:r w:rsidRPr="009A4A6F">
        <w:rPr>
          <w:rFonts w:ascii="Times New Roman" w:hAnsi="Times New Roman" w:cs="Times New Roman"/>
          <w:sz w:val="24"/>
          <w:szCs w:val="24"/>
          <w:vertAlign w:val="superscript"/>
          <w:lang w:val="en-GB"/>
        </w:rPr>
        <w:footnoteReference w:id="170"/>
      </w:r>
      <w:r w:rsidRPr="009A4A6F">
        <w:rPr>
          <w:rFonts w:ascii="Times New Roman" w:hAnsi="Times New Roman" w:cs="Times New Roman"/>
          <w:sz w:val="24"/>
          <w:szCs w:val="24"/>
          <w:lang w:val="en-GB"/>
        </w:rPr>
        <w:t xml:space="preserve"> Section 17</w:t>
      </w:r>
      <w:r w:rsidRPr="009A4A6F">
        <w:rPr>
          <w:rFonts w:ascii="Times New Roman" w:hAnsi="Times New Roman" w:cs="Times New Roman"/>
          <w:sz w:val="24"/>
          <w:szCs w:val="24"/>
          <w:vertAlign w:val="superscript"/>
          <w:lang w:val="en-GB"/>
        </w:rPr>
        <w:footnoteReference w:id="171"/>
      </w:r>
      <w:r w:rsidRPr="009A4A6F">
        <w:rPr>
          <w:rFonts w:ascii="Times New Roman" w:hAnsi="Times New Roman" w:cs="Times New Roman"/>
          <w:sz w:val="24"/>
          <w:szCs w:val="24"/>
          <w:lang w:val="en-GB"/>
        </w:rPr>
        <w:t xml:space="preserve"> outlines offenses and penalties under the Medical and Dental Practitioners Act. Key offenses include unauthorized practice as a medical or dental practitioner, false statements for registration, and falsification by the Registrar or Council employees. Exemptions exist for traditionally trained practitioners acknowledged by their community and practitioners on non-Nigerian ships.</w:t>
      </w:r>
    </w:p>
    <w:p w14:paraId="6AE0A284"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3.1.5. Other Relevant Statutes</w:t>
      </w:r>
    </w:p>
    <w:p w14:paraId="46C78742"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 xml:space="preserve">3.1.5.1. Patient’s Bill of Rights (PBor) </w:t>
      </w:r>
    </w:p>
    <w:p w14:paraId="6F9CB8A1"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Patients' Bill of Right (PBoR) was launched in Nigeria in 2018 with the aim of improving health service delivery to Nigerians. The Patients' Bill of Rights (PBoR) serves as a consolidation of patient rights embedded in various instruments, encompassing the 1999 Constitution, Consumer Protection Act</w:t>
      </w:r>
      <w:r w:rsidRPr="009A4A6F">
        <w:rPr>
          <w:rFonts w:ascii="Times New Roman" w:hAnsi="Times New Roman" w:cs="Times New Roman"/>
          <w:sz w:val="24"/>
          <w:szCs w:val="24"/>
          <w:vertAlign w:val="superscript"/>
          <w:lang w:val="en-GB"/>
        </w:rPr>
        <w:footnoteReference w:id="172"/>
      </w:r>
      <w:r w:rsidRPr="009A4A6F">
        <w:rPr>
          <w:rFonts w:ascii="Times New Roman" w:hAnsi="Times New Roman" w:cs="Times New Roman"/>
          <w:sz w:val="24"/>
          <w:szCs w:val="24"/>
          <w:lang w:val="en-GB"/>
        </w:rPr>
        <w:t>, Child Rights Act</w:t>
      </w:r>
      <w:r w:rsidRPr="009A4A6F">
        <w:rPr>
          <w:rFonts w:ascii="Times New Roman" w:hAnsi="Times New Roman" w:cs="Times New Roman"/>
          <w:sz w:val="24"/>
          <w:szCs w:val="24"/>
          <w:vertAlign w:val="superscript"/>
          <w:lang w:val="en-GB"/>
        </w:rPr>
        <w:footnoteReference w:id="173"/>
      </w:r>
      <w:r w:rsidRPr="009A4A6F">
        <w:rPr>
          <w:rFonts w:ascii="Times New Roman" w:hAnsi="Times New Roman" w:cs="Times New Roman"/>
          <w:sz w:val="24"/>
          <w:szCs w:val="24"/>
          <w:lang w:val="en-GB"/>
        </w:rPr>
        <w:t>, Freedom of Information Act,</w:t>
      </w:r>
      <w:r w:rsidRPr="009A4A6F">
        <w:rPr>
          <w:rFonts w:ascii="Times New Roman" w:hAnsi="Times New Roman" w:cs="Times New Roman"/>
          <w:sz w:val="24"/>
          <w:szCs w:val="24"/>
          <w:vertAlign w:val="superscript"/>
          <w:lang w:val="en-GB"/>
        </w:rPr>
        <w:footnoteReference w:id="174"/>
      </w:r>
      <w:r w:rsidRPr="009A4A6F">
        <w:rPr>
          <w:rFonts w:ascii="Times New Roman" w:hAnsi="Times New Roman" w:cs="Times New Roman"/>
          <w:sz w:val="24"/>
          <w:szCs w:val="24"/>
          <w:lang w:val="en-GB"/>
        </w:rPr>
        <w:t xml:space="preserve"> National Health Act</w:t>
      </w:r>
      <w:r w:rsidRPr="009A4A6F">
        <w:rPr>
          <w:rFonts w:ascii="Times New Roman" w:hAnsi="Times New Roman" w:cs="Times New Roman"/>
          <w:sz w:val="24"/>
          <w:szCs w:val="24"/>
          <w:vertAlign w:val="superscript"/>
          <w:lang w:val="en-GB"/>
        </w:rPr>
        <w:footnoteReference w:id="175"/>
      </w:r>
      <w:r w:rsidRPr="009A4A6F">
        <w:rPr>
          <w:rFonts w:ascii="Times New Roman" w:hAnsi="Times New Roman" w:cs="Times New Roman"/>
          <w:sz w:val="24"/>
          <w:szCs w:val="24"/>
          <w:lang w:val="en-GB"/>
        </w:rPr>
        <w:t xml:space="preserve">, and assorted regulations. Formulated in collaboration with stakeholders </w:t>
      </w:r>
      <w:r w:rsidRPr="009A4A6F">
        <w:rPr>
          <w:rFonts w:ascii="Times New Roman" w:hAnsi="Times New Roman" w:cs="Times New Roman"/>
          <w:sz w:val="24"/>
          <w:szCs w:val="24"/>
          <w:lang w:val="en-GB"/>
        </w:rPr>
        <w:lastRenderedPageBreak/>
        <w:t xml:space="preserve">such as the Consumer Protection Council (CPC) and the Federal Ministry of Health, the PBoR is designed to comprehensively safeguard the rights of consumers in the healthcare sector. </w:t>
      </w:r>
    </w:p>
    <w:p w14:paraId="6A63E788"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The Patients’ Bill of Rights (PBoR) outlined 12 rights that patients are entitled to. These rights are: “i) Right to relevant information in a language and manner the patient understands including diagnosis, treatment, other procedures and possible outcomes; ii) Right to timely access to detail and accurate medical records and available services; iii) Right to transparent billing and full disclosure of any costs, including recommended treatment plans; iv) Right to privacy, and confidentiality of medical records; v) Right to clean, safe, and secure healthcare environments; vi) Right to be treated with respect, regardless of gender, race, religion, ethnicity, allegations of crime, disability or economic circumstances; vii) Right to receive urgent, immediate and sufficient intervention and care, in the event of an emergency; viii) Right to reasonable visitation in accordance with prevailing rules and regulations; ix) Right to decline care, subject to prevailing laws and upon full disclosure of the consequences of such a decision; x) Right to decline or consent to participation in medical research, experimental procedures or clinical trials; xi) Right to quality care in accordance to prevailing standards; xii) Right to complain and express dissatisfaction regarding services received.”</w:t>
      </w:r>
    </w:p>
    <w:p w14:paraId="15B62DBE"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3.1.5.2. National Health Insurance Authority Act 2022</w:t>
      </w:r>
    </w:p>
    <w:p w14:paraId="090583A1"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The Nigerian government signed into law the new National Health Insurance Authority Act (NHIA) 2022 on 19 May 2022. “The NHIA replaces the National Health Insurance Scheme Act</w:t>
      </w:r>
      <w:r w:rsidRPr="009A4A6F">
        <w:rPr>
          <w:rFonts w:ascii="Times New Roman" w:hAnsi="Times New Roman" w:cs="Times New Roman"/>
          <w:sz w:val="24"/>
          <w:szCs w:val="24"/>
          <w:vertAlign w:val="superscript"/>
          <w:lang w:val="en-GB"/>
        </w:rPr>
        <w:footnoteReference w:id="176"/>
      </w:r>
      <w:r w:rsidRPr="009A4A6F">
        <w:rPr>
          <w:rFonts w:ascii="Times New Roman" w:hAnsi="Times New Roman" w:cs="Times New Roman"/>
          <w:sz w:val="24"/>
          <w:szCs w:val="24"/>
          <w:lang w:val="en-GB"/>
        </w:rPr>
        <w:t xml:space="preserve">which was enacted in 1999 which failed to enroll more than 10% of the population. The NHIA seeks to promote, regulate and integrate health insurance schemes. It aims to secure mandatory health insurance for every Nigerian and legal resident, and establishes a fund for the vulnerable groups, which will provide” ‘subsidy for health insurance coverage for </w:t>
      </w:r>
      <w:r w:rsidRPr="009A4A6F">
        <w:rPr>
          <w:rFonts w:ascii="Times New Roman" w:hAnsi="Times New Roman" w:cs="Times New Roman"/>
          <w:sz w:val="24"/>
          <w:szCs w:val="24"/>
          <w:lang w:val="en-GB"/>
        </w:rPr>
        <w:lastRenderedPageBreak/>
        <w:t>vulnerable persons and payment of health insurance premiums for indigents. The Act’s objective is to effectively implement a national health insurance policy that ensures the attainment of national health coverage. The overriding attribute of the Act is that it makes health insurance compulsory for all Nigerians and legal residents.</w:t>
      </w:r>
    </w:p>
    <w:p w14:paraId="33977468"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The Act establishes the National Health Insurance Authority (the “Authority”), as the body corporate saddled with the responsibility; (i) to promote, integrate, and regulate all health insurance schemes that operate in Nigeria; (ii) to ensure that health insurance is mandatory for every Nigerian and legal resident and that every Nigerian enjoys the basic minimum package of health services; (iii)  to grant accreditation and re-accreditation to Health Maintenance Organisations (HMOs), Mutual Health Associations (MHAs), Third Party Administrators (TPAs), and Healthcare Facilities amongst others</w:t>
      </w:r>
      <w:r w:rsidRPr="009A4A6F">
        <w:rPr>
          <w:rFonts w:ascii="Times New Roman" w:hAnsi="Times New Roman" w:cs="Times New Roman"/>
          <w:sz w:val="24"/>
          <w:szCs w:val="24"/>
          <w:vertAlign w:val="superscript"/>
          <w:lang w:val="en-GB"/>
        </w:rPr>
        <w:footnoteReference w:id="177"/>
      </w:r>
      <w:r w:rsidRPr="009A4A6F">
        <w:rPr>
          <w:rFonts w:ascii="Times New Roman" w:hAnsi="Times New Roman" w:cs="Times New Roman"/>
          <w:sz w:val="24"/>
          <w:szCs w:val="24"/>
          <w:lang w:val="en-GB"/>
        </w:rPr>
        <w:t>. The Act establishes a Governing Council (the “Council”) which is responsible for (among other functions) approving licenses, regulating, and supervising HMOs, MHAs and other institutions as the Authority may determine; and for regulating and supervising the various health insurance schemes established under the Act. The members of the Council are appointed by the President on the recommendation of the Minister of Health.</w:t>
      </w:r>
    </w:p>
    <w:p w14:paraId="5459871B"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The Act mandates every State in Nigeria and the Federal Capital Territory to establish and implement a State Health Insurance and Contributory Scheme to provide health care for their residents.</w:t>
      </w:r>
      <w:r w:rsidRPr="009A4A6F">
        <w:rPr>
          <w:rFonts w:ascii="Times New Roman" w:hAnsi="Times New Roman" w:cs="Times New Roman"/>
          <w:sz w:val="24"/>
          <w:szCs w:val="24"/>
          <w:vertAlign w:val="superscript"/>
          <w:lang w:val="en-GB"/>
        </w:rPr>
        <w:footnoteReference w:id="178"/>
      </w:r>
      <w:r w:rsidRPr="009A4A6F">
        <w:rPr>
          <w:rFonts w:ascii="Times New Roman" w:hAnsi="Times New Roman" w:cs="Times New Roman"/>
          <w:sz w:val="24"/>
          <w:szCs w:val="24"/>
          <w:lang w:val="en-GB"/>
        </w:rPr>
        <w:t>The Act also requires every resident of Nigeria to obtain health insurance. Under the Act, “residents” is defined to include; a) all employers and employees in the public and private sectors with five staff and above; b) informal sector employees; and c) all other residents of Nigeria.</w:t>
      </w:r>
      <w:r w:rsidRPr="009A4A6F">
        <w:rPr>
          <w:rFonts w:ascii="Times New Roman" w:hAnsi="Times New Roman" w:cs="Times New Roman"/>
          <w:sz w:val="24"/>
          <w:szCs w:val="24"/>
          <w:vertAlign w:val="superscript"/>
          <w:lang w:val="en-GB"/>
        </w:rPr>
        <w:footnoteReference w:id="179"/>
      </w:r>
    </w:p>
    <w:p w14:paraId="09A10209"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lastRenderedPageBreak/>
        <w:t>The Authority is tasked with establishing a health insurance scheme for public sector workers in the Federal Civil Service and other relevant groups</w:t>
      </w:r>
      <w:r w:rsidRPr="009A4A6F">
        <w:rPr>
          <w:rFonts w:ascii="Times New Roman" w:hAnsi="Times New Roman" w:cs="Times New Roman"/>
          <w:sz w:val="24"/>
          <w:szCs w:val="24"/>
          <w:vertAlign w:val="superscript"/>
          <w:lang w:val="en-GB"/>
        </w:rPr>
        <w:footnoteReference w:id="180"/>
      </w:r>
      <w:r w:rsidRPr="009A4A6F">
        <w:rPr>
          <w:rFonts w:ascii="Times New Roman" w:hAnsi="Times New Roman" w:cs="Times New Roman"/>
          <w:sz w:val="24"/>
          <w:szCs w:val="24"/>
          <w:lang w:val="en-GB"/>
        </w:rPr>
        <w:t>. Private Health Insurance Schemes are required by the Act to be registered as limited liability companies or limited by guarantee. The Act further requires, as a precondition for registration and licensing by the Authority, that a Private Health Insurance Scheme keeps a security deposit (in an amount to be determined by the Authority from time to time) in an interest-yielding account with an accredited bank as security for the duration of their operations.</w:t>
      </w:r>
      <w:r w:rsidRPr="009A4A6F">
        <w:rPr>
          <w:rFonts w:ascii="Times New Roman" w:hAnsi="Times New Roman" w:cs="Times New Roman"/>
          <w:sz w:val="24"/>
          <w:szCs w:val="24"/>
          <w:vertAlign w:val="superscript"/>
          <w:lang w:val="en-GB"/>
        </w:rPr>
        <w:footnoteReference w:id="181"/>
      </w:r>
    </w:p>
    <w:p w14:paraId="00D7C3FA"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The Act signals a positive development in the health sector in Nigeria, which will certainly see increased development in the sector and wider healthcare coverage for citizens. There is no timeline provided by the Act for the creation of the state Health Insurance Scheme. However, the Act empowers state Governments to temporarily contract TPAs pending the formal establishment of States Health Insurance Scheme. The government should ensure sustainable funding for NHIA. In addition to ensuring compliance by the private sector in enrolling their workers, there should be a sustained public awareness campaign for the Act, especially on the inclusion of vulnerable people. An increase in the quality and efficiency of health services will guarantee the maximum realization of the benefits of the Act. The full implementation of NHIA will oversee the progress of Nigeria towards achieving universal health coverage and health security.</w:t>
      </w:r>
    </w:p>
    <w:p w14:paraId="708603D7" w14:textId="77777777" w:rsidR="009A4A6F" w:rsidRPr="009A4A6F" w:rsidRDefault="009A4A6F" w:rsidP="009A4A6F">
      <w:pPr>
        <w:spacing w:line="480" w:lineRule="auto"/>
        <w:jc w:val="both"/>
        <w:rPr>
          <w:rFonts w:ascii="Times New Roman" w:hAnsi="Times New Roman" w:cs="Times New Roman"/>
          <w:sz w:val="24"/>
          <w:szCs w:val="24"/>
          <w:lang w:val="en-GB"/>
        </w:rPr>
      </w:pPr>
    </w:p>
    <w:p w14:paraId="604E4DE2" w14:textId="77777777" w:rsidR="009A4A6F" w:rsidRPr="009A4A6F" w:rsidRDefault="009A4A6F" w:rsidP="009A4A6F">
      <w:pPr>
        <w:spacing w:line="480" w:lineRule="auto"/>
        <w:jc w:val="both"/>
        <w:rPr>
          <w:rFonts w:ascii="Times New Roman" w:hAnsi="Times New Roman" w:cs="Times New Roman"/>
          <w:sz w:val="24"/>
          <w:szCs w:val="24"/>
          <w:lang w:val="en-GB"/>
        </w:rPr>
      </w:pPr>
    </w:p>
    <w:p w14:paraId="5990FCE4" w14:textId="77777777" w:rsidR="00F07D3A" w:rsidRDefault="00F07D3A" w:rsidP="009A4A6F">
      <w:pPr>
        <w:spacing w:line="480" w:lineRule="auto"/>
        <w:jc w:val="both"/>
        <w:rPr>
          <w:rFonts w:ascii="Times New Roman" w:hAnsi="Times New Roman" w:cs="Times New Roman"/>
          <w:sz w:val="24"/>
          <w:szCs w:val="24"/>
          <w:lang w:val="en-GB"/>
        </w:rPr>
      </w:pPr>
    </w:p>
    <w:p w14:paraId="370EC95E" w14:textId="7B251B30"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lastRenderedPageBreak/>
        <w:t xml:space="preserve">3.1.6. Judicial Protection of Patients` Rights (Case Law: Negligence, Consent and Confidentiality)  </w:t>
      </w:r>
    </w:p>
    <w:p w14:paraId="4D4FF510"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Medical negligence is said to occur when a healthcare professional or a health institution fails to provide the expected standard of care, thereby causing harm to the patient.</w:t>
      </w:r>
      <w:r w:rsidRPr="009A4A6F">
        <w:rPr>
          <w:rFonts w:ascii="Times New Roman" w:hAnsi="Times New Roman" w:cs="Times New Roman"/>
          <w:sz w:val="24"/>
          <w:szCs w:val="24"/>
          <w:vertAlign w:val="superscript"/>
          <w:lang w:val="en-GB"/>
        </w:rPr>
        <w:footnoteReference w:id="182"/>
      </w:r>
      <w:r w:rsidRPr="009A4A6F">
        <w:rPr>
          <w:rFonts w:ascii="Times New Roman" w:hAnsi="Times New Roman" w:cs="Times New Roman"/>
          <w:sz w:val="24"/>
          <w:szCs w:val="24"/>
          <w:lang w:val="en-GB"/>
        </w:rPr>
        <w:t xml:space="preserve"> It can also be </w:t>
      </w:r>
      <w:hyperlink r:id="rId28" w:history="1">
        <w:r w:rsidRPr="009A4A6F">
          <w:rPr>
            <w:rStyle w:val="Hyperlink"/>
            <w:rFonts w:ascii="Times New Roman" w:hAnsi="Times New Roman" w:cs="Times New Roman"/>
            <w:sz w:val="24"/>
            <w:szCs w:val="24"/>
            <w:u w:val="none"/>
            <w:lang w:val="en-GB"/>
          </w:rPr>
          <w:t>defined</w:t>
        </w:r>
      </w:hyperlink>
      <w:r w:rsidRPr="009A4A6F">
        <w:rPr>
          <w:rFonts w:ascii="Times New Roman" w:hAnsi="Times New Roman" w:cs="Times New Roman"/>
          <w:sz w:val="24"/>
          <w:szCs w:val="24"/>
          <w:lang w:val="en-GB"/>
        </w:rPr>
        <w:t> as improper, unskilled, or negligent treatment of a patient by a physician, dentist, nurse, pharmacist, or any other healthcare professional.</w:t>
      </w:r>
      <w:r w:rsidRPr="009A4A6F">
        <w:rPr>
          <w:rFonts w:ascii="Times New Roman" w:hAnsi="Times New Roman" w:cs="Times New Roman"/>
          <w:sz w:val="24"/>
          <w:szCs w:val="24"/>
          <w:vertAlign w:val="superscript"/>
          <w:lang w:val="en-GB"/>
        </w:rPr>
        <w:footnoteReference w:id="183"/>
      </w:r>
      <w:r w:rsidRPr="009A4A6F">
        <w:rPr>
          <w:rFonts w:ascii="Times New Roman" w:hAnsi="Times New Roman" w:cs="Times New Roman"/>
          <w:sz w:val="24"/>
          <w:szCs w:val="24"/>
          <w:lang w:val="en-GB"/>
        </w:rPr>
        <w:t xml:space="preserve"> In Nigeria, the standard of care is set by the Medical and Dental Council of Nigeria. The Rules of Professional Conduct for Medical and Dental Practitioners, also known as the </w:t>
      </w:r>
      <w:hyperlink r:id="rId29" w:history="1">
        <w:r w:rsidRPr="009A4A6F">
          <w:rPr>
            <w:rStyle w:val="Hyperlink"/>
            <w:rFonts w:ascii="Times New Roman" w:hAnsi="Times New Roman" w:cs="Times New Roman"/>
            <w:sz w:val="24"/>
            <w:szCs w:val="24"/>
            <w:u w:val="none"/>
            <w:lang w:val="en-GB"/>
          </w:rPr>
          <w:t>Code of Medical Ethics</w:t>
        </w:r>
      </w:hyperlink>
      <w:r w:rsidRPr="009A4A6F">
        <w:rPr>
          <w:rFonts w:ascii="Times New Roman" w:hAnsi="Times New Roman" w:cs="Times New Roman"/>
          <w:sz w:val="24"/>
          <w:szCs w:val="24"/>
          <w:lang w:val="en-GB"/>
        </w:rPr>
        <w:t>, stipulate several instances that would amount to medical negligence.</w:t>
      </w:r>
      <w:r w:rsidRPr="009A4A6F">
        <w:rPr>
          <w:rFonts w:ascii="Times New Roman" w:hAnsi="Times New Roman" w:cs="Times New Roman"/>
          <w:sz w:val="24"/>
          <w:szCs w:val="24"/>
          <w:vertAlign w:val="superscript"/>
          <w:lang w:val="en-GB"/>
        </w:rPr>
        <w:footnoteReference w:id="184"/>
      </w:r>
      <w:r w:rsidRPr="009A4A6F">
        <w:rPr>
          <w:rFonts w:ascii="Times New Roman" w:hAnsi="Times New Roman" w:cs="Times New Roman"/>
          <w:sz w:val="24"/>
          <w:szCs w:val="24"/>
          <w:lang w:val="en-GB"/>
        </w:rPr>
        <w:t xml:space="preserve"> As elsewhere in the world, it is common in Nigeria. Around one in every 10 patients worldwide is </w:t>
      </w:r>
      <w:hyperlink r:id="rId30" w:anchor=":%7E:text=Key%20facts,dollars%20each%20year%20(1)." w:history="1">
        <w:r w:rsidRPr="009A4A6F">
          <w:rPr>
            <w:rStyle w:val="Hyperlink"/>
            <w:rFonts w:ascii="Times New Roman" w:hAnsi="Times New Roman" w:cs="Times New Roman"/>
            <w:sz w:val="24"/>
            <w:szCs w:val="24"/>
            <w:u w:val="none"/>
            <w:lang w:val="en-GB"/>
          </w:rPr>
          <w:t>harmed</w:t>
        </w:r>
      </w:hyperlink>
      <w:r w:rsidRPr="009A4A6F">
        <w:rPr>
          <w:rFonts w:ascii="Times New Roman" w:hAnsi="Times New Roman" w:cs="Times New Roman"/>
          <w:sz w:val="24"/>
          <w:szCs w:val="24"/>
          <w:lang w:val="en-GB"/>
        </w:rPr>
        <w:t> in healthcare. In low- to middle-income countries, as many as 4 in 100 people die from unsafe care. Specific figures are hard to come by in Nigeria.</w:t>
      </w:r>
      <w:r w:rsidRPr="009A4A6F">
        <w:rPr>
          <w:rFonts w:ascii="Times New Roman" w:hAnsi="Times New Roman" w:cs="Times New Roman"/>
          <w:sz w:val="24"/>
          <w:szCs w:val="24"/>
          <w:vertAlign w:val="superscript"/>
          <w:lang w:val="en-GB"/>
        </w:rPr>
        <w:footnoteReference w:id="185"/>
      </w:r>
    </w:p>
    <w:p w14:paraId="0F793F75"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Generally, as in other areas of law, it is a patient who is aggrieved by medical negligence that can initiate legal processes for redress or sanctioning of offending doctor. However, where the patient is a minor, the proxy or surrogate of the child, such as parent or legal guardian, can initiate complaint processes on the minor’s behalf as next friend.</w:t>
      </w:r>
      <w:r w:rsidRPr="009A4A6F">
        <w:rPr>
          <w:rFonts w:ascii="Times New Roman" w:hAnsi="Times New Roman" w:cs="Times New Roman"/>
          <w:sz w:val="24"/>
          <w:szCs w:val="24"/>
          <w:vertAlign w:val="superscript"/>
          <w:lang w:val="en-GB"/>
        </w:rPr>
        <w:footnoteReference w:id="186"/>
      </w:r>
      <w:r w:rsidRPr="009A4A6F">
        <w:rPr>
          <w:rFonts w:ascii="Times New Roman" w:hAnsi="Times New Roman" w:cs="Times New Roman"/>
          <w:sz w:val="24"/>
          <w:szCs w:val="24"/>
          <w:lang w:val="en-GB"/>
        </w:rPr>
        <w:t xml:space="preserve"> In the case of </w:t>
      </w:r>
      <w:r w:rsidRPr="009A4A6F">
        <w:rPr>
          <w:rFonts w:ascii="Times New Roman" w:hAnsi="Times New Roman" w:cs="Times New Roman"/>
          <w:i/>
          <w:sz w:val="24"/>
          <w:szCs w:val="24"/>
          <w:lang w:val="en-GB"/>
        </w:rPr>
        <w:t>Esabunor &amp; Anor. v Faweya &amp; Ors.</w:t>
      </w:r>
      <w:r w:rsidRPr="009A4A6F">
        <w:rPr>
          <w:rFonts w:ascii="Times New Roman" w:hAnsi="Times New Roman" w:cs="Times New Roman"/>
          <w:sz w:val="24"/>
          <w:szCs w:val="24"/>
          <w:vertAlign w:val="superscript"/>
          <w:lang w:val="en-GB"/>
        </w:rPr>
        <w:footnoteReference w:id="187"/>
      </w:r>
      <w:r w:rsidRPr="009A4A6F">
        <w:rPr>
          <w:rFonts w:ascii="Times New Roman" w:hAnsi="Times New Roman" w:cs="Times New Roman"/>
          <w:sz w:val="24"/>
          <w:szCs w:val="24"/>
          <w:lang w:val="en-GB"/>
        </w:rPr>
        <w:t xml:space="preserve">, The case arose when the 1st appellant, a one-month-old infant, fell critically ill and was taken by his mother (the 2nd appellant, a Jehovah’s Witness) to Chevron Clinic in Lagos. Dr. Faweya, the 1st respondent, diagnosed severe infection and anemia. Upon seeing that the child was in critical condition, the 1st respondent concluded that an urgent blood </w:t>
      </w:r>
      <w:r w:rsidRPr="009A4A6F">
        <w:rPr>
          <w:rFonts w:ascii="Times New Roman" w:hAnsi="Times New Roman" w:cs="Times New Roman"/>
          <w:sz w:val="24"/>
          <w:szCs w:val="24"/>
          <w:lang w:val="en-GB"/>
        </w:rPr>
        <w:lastRenderedPageBreak/>
        <w:t>transfusion was necessary to save the child’s life. The mother, citing her religious beliefs, refused consent for the transfusion. Faced with imminent danger to the infant’s life, the Commissioner of Police applied ex parte to the Chief Magistrate Court under Sections 27(1) &amp; 30, Children and Young Persons Law, Cap 25, Lagos State, for authorization to treat the 1st appellant. The Magistrate granted an order permitting the doctors to “do all and anything necessary” to protect the child’s life. A transfusion was administered, the child recovered, and was discharged. The mother challenged the order at the Magistrate Court. Upon dismissal, she appealed to the High Court to quash the Magistrate Court’s judgement, and later, to the Court of Appeal. Both courts dismissed her claims. Dissatisfied, she appealed to the Supreme Court, raising issues of jurisdiction, fair hearing, religious freedom, and damages. The Supreme Court unanimously dismissed the appeal for lack of merit. It affirmed the concurrent decisions of the lower courts, and held that the Magistrate’s order authorizing blood transfusion was valid and lawful. As such, no damages were awarded to the appellants by the Supreme Court. </w:t>
      </w:r>
    </w:p>
    <w:p w14:paraId="39841A69"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Where the negligent act results in death, any competent survivor or successor of the deceased can initiate action in respect of the “wrongful death” of the victim. The processes initiated can be against the doctor individually, or by vicariously joining the master or employer of the doctor in appropriate situations.</w:t>
      </w:r>
      <w:r w:rsidRPr="009A4A6F">
        <w:rPr>
          <w:rFonts w:ascii="Times New Roman" w:hAnsi="Times New Roman" w:cs="Times New Roman"/>
          <w:sz w:val="24"/>
          <w:szCs w:val="24"/>
          <w:vertAlign w:val="superscript"/>
          <w:lang w:val="en-GB"/>
        </w:rPr>
        <w:footnoteReference w:id="188"/>
      </w:r>
      <w:r w:rsidRPr="009A4A6F">
        <w:rPr>
          <w:rFonts w:ascii="Times New Roman" w:hAnsi="Times New Roman" w:cs="Times New Roman"/>
          <w:sz w:val="24"/>
          <w:szCs w:val="24"/>
          <w:lang w:val="en-GB"/>
        </w:rPr>
        <w:t xml:space="preserve"> Whether directly by an aggrieved patient, or any of the qualified proxies, legal processes that can be initiated against a doctor can either be civil or criminal in nature. Criminal action would arise where the negligent act complained of amounts to a gross or criminal negligence as operative under pertinent laws.</w:t>
      </w:r>
      <w:r w:rsidRPr="009A4A6F">
        <w:rPr>
          <w:rFonts w:ascii="Times New Roman" w:hAnsi="Times New Roman" w:cs="Times New Roman"/>
          <w:sz w:val="24"/>
          <w:szCs w:val="24"/>
          <w:vertAlign w:val="superscript"/>
          <w:lang w:val="en-GB"/>
        </w:rPr>
        <w:footnoteReference w:id="189"/>
      </w:r>
      <w:r w:rsidRPr="009A4A6F">
        <w:rPr>
          <w:rFonts w:ascii="Times New Roman" w:hAnsi="Times New Roman" w:cs="Times New Roman"/>
          <w:sz w:val="24"/>
          <w:szCs w:val="24"/>
          <w:lang w:val="en-GB"/>
        </w:rPr>
        <w:t xml:space="preserve"> In essence, an act of medical negligence can generate both civil and criminal actions. In initiating civil and criminal actions for medical negligence, an aggrieved patient or proxy may write a letter of complaint and demand for redress to the doctor or his employer on the incident of medical negligence A formal </w:t>
      </w:r>
      <w:r w:rsidRPr="009A4A6F">
        <w:rPr>
          <w:rFonts w:ascii="Times New Roman" w:hAnsi="Times New Roman" w:cs="Times New Roman"/>
          <w:sz w:val="24"/>
          <w:szCs w:val="24"/>
          <w:lang w:val="en-GB"/>
        </w:rPr>
        <w:lastRenderedPageBreak/>
        <w:t>complaint can be filed with the Medical and Dental Council of Nigeria for appropriate redress.</w:t>
      </w:r>
      <w:r w:rsidRPr="009A4A6F">
        <w:rPr>
          <w:rFonts w:ascii="Times New Roman" w:hAnsi="Times New Roman" w:cs="Times New Roman"/>
          <w:sz w:val="24"/>
          <w:szCs w:val="24"/>
          <w:vertAlign w:val="superscript"/>
          <w:lang w:val="en-GB"/>
        </w:rPr>
        <w:footnoteReference w:id="190"/>
      </w:r>
      <w:r w:rsidRPr="009A4A6F">
        <w:rPr>
          <w:rFonts w:ascii="Times New Roman" w:hAnsi="Times New Roman" w:cs="Times New Roman"/>
          <w:sz w:val="24"/>
          <w:szCs w:val="24"/>
          <w:lang w:val="en-GB"/>
        </w:rPr>
        <w:t>Report may also be made at a Police Station with an ultimate desire of criminal prosecution where the negligent act in question is perceived to be criminal. This is more likely to occur in situations of death or grievous bodily injuries to the patient through the doctor’s act.</w:t>
      </w:r>
    </w:p>
    <w:p w14:paraId="1BF5FCBF"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Moreover, civil action may be instituted for redress in a court of appropriate jurisdiction on the ground of the act or conduct constituting medical negligence. Such civil actions can proceed from the court of primary jurisdiction to the final court of appeal, as in civil actions on other subjects other than medical negligence. Perhaps, in case of writing a letter of complaint and demand for redress or filing a formal complaint with the Medical and Dental Council of Nigeria for appropriate redress, the trial is between the Council, and the Prosecutor at appropriate courts, respectively with the affected doctor as defendant. The aggrieved patient essentially stands as witness and complainant on whose behalf the Council or government prosecutor pursue sanctions. While in the case of instituting a civil action in a court of appropriate jurisdiction, the battle is directly between the aggrieved patient and the doctor in the conventional setting of Plaintiff/Claimant versus Defendant, with each side striving to prove his case as prescribed by law. In any situation of contest, the culpability of the doctor for the alleged negligent act must be established by the prosecutors or claimants; otherwise, there would be no basis for sanctions or redress. Perhaps, it bears adding too, that all the necessary principles for fair-hearing and due process must be adhered to; if not a doctor sanctioned at a lower forum may walk free at an appellate forum.</w:t>
      </w:r>
      <w:r w:rsidRPr="009A4A6F">
        <w:rPr>
          <w:rFonts w:ascii="Times New Roman" w:hAnsi="Times New Roman" w:cs="Times New Roman"/>
          <w:sz w:val="24"/>
          <w:szCs w:val="24"/>
          <w:vertAlign w:val="superscript"/>
          <w:lang w:val="en-GB"/>
        </w:rPr>
        <w:footnoteReference w:id="191"/>
      </w:r>
    </w:p>
    <w:p w14:paraId="46EDF39E"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 xml:space="preserve">The degree of negligence, which gives rise to civil action, must be that of ordinary tortious negligence. This can be proved where all elements of the three tests exist, which are: That the medical practitioner owed a duty of care to the patient; the duty of care was breached; and as a </w:t>
      </w:r>
      <w:r w:rsidRPr="009A4A6F">
        <w:rPr>
          <w:rFonts w:ascii="Times New Roman" w:hAnsi="Times New Roman" w:cs="Times New Roman"/>
          <w:sz w:val="24"/>
          <w:szCs w:val="24"/>
          <w:lang w:val="en-GB"/>
        </w:rPr>
        <w:lastRenderedPageBreak/>
        <w:t xml:space="preserve">direct consequence of the breach, the patient suffered damages. Also, the onus of proof lies with the claimant who must call evidence to show negligence on the part of the medical practitioner. Commencing a civil action for negligence may give rise to vicarious liability. In circumstances where hospital staff is negligent in the performance of their duties, the hospital may be held to be vicariously liable. This is based on the general principle that an employer is liable for the act of its employee in the course of his employment. This principle was recognized in the case of </w:t>
      </w:r>
      <w:r w:rsidRPr="009A4A6F">
        <w:rPr>
          <w:rFonts w:ascii="Times New Roman" w:hAnsi="Times New Roman" w:cs="Times New Roman"/>
          <w:i/>
          <w:sz w:val="24"/>
          <w:szCs w:val="24"/>
          <w:lang w:val="en-GB"/>
        </w:rPr>
        <w:t>Igbokwe v. UCH Board of Management</w:t>
      </w:r>
      <w:r w:rsidRPr="009A4A6F">
        <w:rPr>
          <w:rFonts w:ascii="Times New Roman" w:hAnsi="Times New Roman" w:cs="Times New Roman"/>
          <w:i/>
          <w:sz w:val="24"/>
          <w:szCs w:val="24"/>
          <w:vertAlign w:val="superscript"/>
          <w:lang w:val="en-GB"/>
        </w:rPr>
        <w:footnoteReference w:id="192"/>
      </w:r>
      <w:r w:rsidRPr="009A4A6F">
        <w:rPr>
          <w:rFonts w:ascii="Times New Roman" w:hAnsi="Times New Roman" w:cs="Times New Roman"/>
          <w:sz w:val="24"/>
          <w:szCs w:val="24"/>
          <w:lang w:val="en-GB"/>
        </w:rPr>
        <w:t xml:space="preserve">, where Irwin J held that “…hospital authority is responsible for the acts or omission of the whole of its staff, whether they were physicians, doctors, nurses or other employees." </w:t>
      </w:r>
    </w:p>
    <w:p w14:paraId="31A7D223"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In medical negligence actions under tort or contract, the patient has a legal duty, or burden of proof, to establish his allegation of negligence and entitlement to redress against the doctor. This burden of proof is to be discharged on the balance of probabilities or preponderance of evidence. Put differently, it is up to the plaintiff to prove the allegations of negligence and his entitlement to redress.</w:t>
      </w:r>
    </w:p>
    <w:p w14:paraId="0E35451C"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A medical practitioners’ action may also result in; “commission of a crime giving rise to criminal liability. Hence, where in the course of treatment, and due to some form of negligence on the part of the medical practitioner, a patient suffers some gross or extreme harm or death, showing disregard for life and safety, liability will arise under criminal negligence.”</w:t>
      </w:r>
      <w:r w:rsidRPr="009A4A6F">
        <w:rPr>
          <w:rFonts w:ascii="Times New Roman" w:hAnsi="Times New Roman" w:cs="Times New Roman"/>
          <w:sz w:val="24"/>
          <w:szCs w:val="24"/>
          <w:vertAlign w:val="superscript"/>
          <w:lang w:val="en-GB"/>
        </w:rPr>
        <w:footnoteReference w:id="193"/>
      </w:r>
      <w:r w:rsidRPr="009A4A6F">
        <w:rPr>
          <w:rFonts w:ascii="Times New Roman" w:hAnsi="Times New Roman" w:cs="Times New Roman"/>
          <w:sz w:val="24"/>
          <w:szCs w:val="24"/>
          <w:lang w:val="en-GB"/>
        </w:rPr>
        <w:t xml:space="preserve"> When a person does an act or makes an omission and death results from negligence on his part, the question whether he is guilty of manslaughter depends on the degree of negligence. The Criminal Code is silent as to the requisite degree of negligence, but Nigerian courts have held that the degree is the same as in English law. </w:t>
      </w:r>
    </w:p>
    <w:p w14:paraId="2CA90616"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lastRenderedPageBreak/>
        <w:t>Accordingly; “simple lack of care or mere inadvertence such as would create civil liability is not sufficient. There must be gross negligence or recklessness.</w:t>
      </w:r>
      <w:r w:rsidRPr="009A4A6F">
        <w:rPr>
          <w:rFonts w:ascii="Times New Roman" w:hAnsi="Times New Roman" w:cs="Times New Roman"/>
          <w:sz w:val="24"/>
          <w:szCs w:val="24"/>
          <w:vertAlign w:val="superscript"/>
          <w:lang w:val="en-GB"/>
        </w:rPr>
        <w:footnoteReference w:id="194"/>
      </w:r>
      <w:r w:rsidRPr="009A4A6F">
        <w:rPr>
          <w:rFonts w:ascii="Times New Roman" w:hAnsi="Times New Roman" w:cs="Times New Roman"/>
          <w:sz w:val="24"/>
          <w:szCs w:val="24"/>
          <w:lang w:val="en-GB"/>
        </w:rPr>
        <w:t xml:space="preserve"> No act or omission which is unintentional can be criminal, unless it is one of those relatively few acts or omissions which are criminal under the code, when committed unintentionally but negligently.”</w:t>
      </w:r>
      <w:r w:rsidRPr="009A4A6F">
        <w:rPr>
          <w:rFonts w:ascii="Times New Roman" w:hAnsi="Times New Roman" w:cs="Times New Roman"/>
          <w:sz w:val="24"/>
          <w:szCs w:val="24"/>
          <w:vertAlign w:val="superscript"/>
          <w:lang w:val="en-GB"/>
        </w:rPr>
        <w:footnoteReference w:id="195"/>
      </w:r>
      <w:r w:rsidRPr="009A4A6F">
        <w:rPr>
          <w:rFonts w:ascii="Times New Roman" w:hAnsi="Times New Roman" w:cs="Times New Roman"/>
          <w:sz w:val="24"/>
          <w:szCs w:val="24"/>
          <w:lang w:val="en-GB"/>
        </w:rPr>
        <w:t xml:space="preserve"> Generally, except in cases of wilful acts of homicide</w:t>
      </w:r>
      <w:r w:rsidRPr="009A4A6F">
        <w:rPr>
          <w:rFonts w:ascii="Times New Roman" w:hAnsi="Times New Roman" w:cs="Times New Roman"/>
          <w:sz w:val="24"/>
          <w:szCs w:val="24"/>
          <w:vertAlign w:val="superscript"/>
          <w:lang w:val="en-GB"/>
        </w:rPr>
        <w:footnoteReference w:id="196"/>
      </w:r>
      <w:r w:rsidRPr="009A4A6F">
        <w:rPr>
          <w:rFonts w:ascii="Times New Roman" w:hAnsi="Times New Roman" w:cs="Times New Roman"/>
          <w:sz w:val="24"/>
          <w:szCs w:val="24"/>
          <w:lang w:val="en-GB"/>
        </w:rPr>
        <w:t xml:space="preserve"> or assisted suicide services rendered to a patient, it is unlikely that a doctor would be charged for murder or culpable homicide where a medical negligence results in death of the patient. This can be attributed to the absence of mens rea for culpable homicide in the circumstances. Moreover, section 24 of the Criminal Code; “exculpates an individual from criminal guilt where an alleged crime is due to accident but however, a doctor can face criminal sanction for manslaughter or culpable homicide not punishable with death if his conduct is found to translate to gross or criminal negligence.”</w:t>
      </w:r>
    </w:p>
    <w:p w14:paraId="6B5B3555"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 xml:space="preserve">A victim can seek redress for medical negligence under criminal law in the gravest of circumstances. Where the extent of the negligence had been such that it resulted in permanent disability or death of the patient, then the practitioner will be guilty of gross negligence which can amount to a crime against the State. Thus, under section 343(1) of the Criminal Code, liability for medical negligence will arise even where life has not been lost but endangered, in the course of treatment. As such, liability will arise in criminal negligence for acts other than manslaughter. Medical Negligence is not a new term or concept, neither are the remedies and punitive measures attached to it. All Healthcare Workers have a special burden or responsibility to take special care in the course of their duties. For one to be sworn in as healthcare practitioner, it is assumed that such a person is well skilled in the field, meticulous, intelligent and proactive. While it is not the responsibility of any medical practitioner to go around looking </w:t>
      </w:r>
      <w:r w:rsidRPr="009A4A6F">
        <w:rPr>
          <w:rFonts w:ascii="Times New Roman" w:hAnsi="Times New Roman" w:cs="Times New Roman"/>
          <w:sz w:val="24"/>
          <w:szCs w:val="24"/>
          <w:lang w:val="en-GB"/>
        </w:rPr>
        <w:lastRenderedPageBreak/>
        <w:t>for people to save, they have the responsibility to exercise utmost care when they come in contact with the sick or injured, failure of which could lead to serious legal issues. Medical professionals in Nigeria should be abreast with the laws guiding medical practice as ignorance of the law is not an excuse.</w:t>
      </w:r>
    </w:p>
    <w:p w14:paraId="2519F8B0"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 xml:space="preserve">In Nigeria, both statutes and common law principles recognise that doctors have a duty of confidentiality to their patients. In </w:t>
      </w:r>
      <w:r w:rsidRPr="009A4A6F">
        <w:rPr>
          <w:rFonts w:ascii="Times New Roman" w:hAnsi="Times New Roman" w:cs="Times New Roman"/>
          <w:i/>
          <w:sz w:val="24"/>
          <w:szCs w:val="24"/>
          <w:lang w:val="en-GB"/>
        </w:rPr>
        <w:t>Mclnerney vs. MacDonalt</w:t>
      </w:r>
      <w:r w:rsidRPr="009A4A6F">
        <w:rPr>
          <w:rFonts w:ascii="Times New Roman" w:hAnsi="Times New Roman" w:cs="Times New Roman"/>
          <w:sz w:val="24"/>
          <w:szCs w:val="24"/>
          <w:vertAlign w:val="superscript"/>
          <w:lang w:val="en-GB"/>
        </w:rPr>
        <w:footnoteReference w:id="197"/>
      </w:r>
      <w:r w:rsidRPr="009A4A6F">
        <w:rPr>
          <w:rFonts w:ascii="Times New Roman" w:hAnsi="Times New Roman" w:cs="Times New Roman"/>
          <w:sz w:val="24"/>
          <w:szCs w:val="24"/>
          <w:lang w:val="en-GB"/>
        </w:rPr>
        <w:t xml:space="preserve">, the Supreme Court of Canada classified the doctor patient relationship as a fiduciary duty. In </w:t>
      </w:r>
      <w:r w:rsidRPr="009A4A6F">
        <w:rPr>
          <w:rFonts w:ascii="Times New Roman" w:hAnsi="Times New Roman" w:cs="Times New Roman"/>
          <w:i/>
          <w:sz w:val="24"/>
          <w:szCs w:val="24"/>
          <w:lang w:val="en-GB"/>
        </w:rPr>
        <w:t>Hay vs. University of Alberta Hospital</w:t>
      </w:r>
      <w:r w:rsidRPr="009A4A6F">
        <w:rPr>
          <w:rFonts w:ascii="Times New Roman" w:hAnsi="Times New Roman" w:cs="Times New Roman"/>
          <w:i/>
          <w:sz w:val="24"/>
          <w:szCs w:val="24"/>
          <w:vertAlign w:val="superscript"/>
          <w:lang w:val="en-GB"/>
        </w:rPr>
        <w:footnoteReference w:id="198"/>
      </w:r>
      <w:r w:rsidRPr="009A4A6F">
        <w:rPr>
          <w:rFonts w:ascii="Times New Roman" w:hAnsi="Times New Roman" w:cs="Times New Roman"/>
          <w:sz w:val="24"/>
          <w:szCs w:val="24"/>
          <w:lang w:val="en-GB"/>
        </w:rPr>
        <w:t>, Picard described the right of confidentiality as the cornerstone of the doctor-patient relationship, and this is recognised in a number of international ethical codes, including the Hippocratic Oath. A doctor may share patient information with the patient's consent or when legislation expressly permits a breach of confidentiality to protect the public's health or the safety of a third party. Nonetheless, a number of laws take severely an unreasonable violation of confidentiality. Unjustified violations of medical confidentiality are punishable by law in Nigeria; depending on the specific facts and circumstances of each instance, the index patient may seek remedy before an administrative panel or a competent court. The National Health Act establishes a method for a person to file a complaint regarding the treatment he or she receives at a health facility for inquiry</w:t>
      </w:r>
      <w:r w:rsidRPr="009A4A6F">
        <w:rPr>
          <w:rFonts w:ascii="Times New Roman" w:hAnsi="Times New Roman" w:cs="Times New Roman"/>
          <w:sz w:val="24"/>
          <w:szCs w:val="24"/>
          <w:vertAlign w:val="superscript"/>
          <w:lang w:val="en-GB"/>
        </w:rPr>
        <w:footnoteReference w:id="199"/>
      </w:r>
      <w:r w:rsidRPr="009A4A6F">
        <w:rPr>
          <w:rFonts w:ascii="Times New Roman" w:hAnsi="Times New Roman" w:cs="Times New Roman"/>
          <w:sz w:val="24"/>
          <w:szCs w:val="24"/>
          <w:lang w:val="en-GB"/>
        </w:rPr>
        <w:t>. The Act requires the minister, commissioner, or other relevant body to develop a mechanism for filing complaints within the sectors of the national health system for which the federal or state ministry is responsible. As a result, any physician found guilty of violating a patient's right to secrecy commits an offence punishable by up to two years in jail, a fine of N250,000, or both</w:t>
      </w:r>
      <w:r w:rsidRPr="009A4A6F">
        <w:rPr>
          <w:rFonts w:ascii="Times New Roman" w:hAnsi="Times New Roman" w:cs="Times New Roman"/>
          <w:sz w:val="24"/>
          <w:szCs w:val="24"/>
          <w:vertAlign w:val="superscript"/>
          <w:lang w:val="en-GB"/>
        </w:rPr>
        <w:footnoteReference w:id="200"/>
      </w:r>
      <w:r w:rsidRPr="009A4A6F">
        <w:rPr>
          <w:rFonts w:ascii="Times New Roman" w:hAnsi="Times New Roman" w:cs="Times New Roman"/>
          <w:sz w:val="24"/>
          <w:szCs w:val="24"/>
          <w:lang w:val="en-GB"/>
        </w:rPr>
        <w:t xml:space="preserve">. In a similar vein, the HIV and AIDS (Anti-Discrimination) Act offers renewed hope for HIV/AIDS sufferers' safety. The Act required the </w:t>
      </w:r>
      <w:r w:rsidRPr="009A4A6F">
        <w:rPr>
          <w:rFonts w:ascii="Times New Roman" w:hAnsi="Times New Roman" w:cs="Times New Roman"/>
          <w:sz w:val="24"/>
          <w:szCs w:val="24"/>
          <w:lang w:val="en-GB"/>
        </w:rPr>
        <w:lastRenderedPageBreak/>
        <w:t>minister to oversee the legal implementation of patient confidentiality while safeguarding the private information of AIDS patients.</w:t>
      </w:r>
      <w:r w:rsidRPr="009A4A6F">
        <w:rPr>
          <w:rFonts w:ascii="Times New Roman" w:hAnsi="Times New Roman" w:cs="Times New Roman"/>
          <w:sz w:val="24"/>
          <w:szCs w:val="24"/>
          <w:vertAlign w:val="superscript"/>
          <w:lang w:val="en-GB"/>
        </w:rPr>
        <w:footnoteReference w:id="201"/>
      </w:r>
    </w:p>
    <w:p w14:paraId="706646AF"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The Constitution of the Federal Republic of Nigeria 1999 (as amended) which guarantees citizens' rights to privacy and the privacy of their homes, correspondence, telephone conversations, and telegraphic communication, is the source of Nigeria's system for protecting patients' privacy and confidentiality rights. Section 37 of the Constitution thus protects citizens' rights to privacy, and patients' privacy and confidentiality rights are therefore extensions of those rights. The main piece of legislation governing the delivery of healthcare in Nigeria is the National Health Act (NHA). According to section 1(1) of the NHA, the NHA serves as the foundation for the establishment, management, and regulation of Nigeria's national health services. The NHA in Section 26(1, 2), requires the person in charge of a health facility to maintain the confidentiality of each patient's medical records; any disclosure to a third party must have the patient's consent. According to section 29 of the NHA, the person in charge of health facilities must put in place controls to stop illegal access to data.</w:t>
      </w:r>
    </w:p>
    <w:p w14:paraId="1EB2A41B"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 xml:space="preserve">According to section 23 of the NHA, all healthcare providers are required to provide patients with pertinent information about their health and any necessary treatment related to their status, unless there is compelling evidence that doing so would be against their best interests. This information includes the range of diagnostic procedures and treatment options that the patient is typically eligible for, the benefits, risks, costs, and consequences that are typically associated with each option, the patient's right to refuse health services, and the implications, risks, or obligations of doing so. The act further stipulates that the relevant health care professional must, wherever feasible, communicate with the patient in a language that the patient can comprehend and in a way that considers the patient's literacy level. Medical professionals are </w:t>
      </w:r>
      <w:r w:rsidRPr="009A4A6F">
        <w:rPr>
          <w:rFonts w:ascii="Times New Roman" w:hAnsi="Times New Roman" w:cs="Times New Roman"/>
          <w:sz w:val="24"/>
          <w:szCs w:val="24"/>
          <w:lang w:val="en-GB"/>
        </w:rPr>
        <w:lastRenderedPageBreak/>
        <w:t xml:space="preserve">sworn to protect patient anonymity on this basis. This is demonstrated by their oath, which is found in the Medical and Dental Council of Nigeria (MDCN) Code of Medical Ethics. In this oath, practitioners promise to practise their profession with dignity and conscience, prioritising the health of their patients. They also state that they will respect the confidentiality of any information that patients confide in them, even after they pass away. Under the rules governing the medical profession, patients are entitled to a variety of rights. These include the patient's right to privacy and the right to know his health status. Confidentiality protection is generally only appropriate for private subjects. Section 37 of the 1999 Constitution provides protection for a patient's medical records. Medical workers are not the only one’s subject to the duty of medical secrecy; anyone who ever comes into possession of a patient's medical records is equally subject to it. In the case of </w:t>
      </w:r>
      <w:r w:rsidRPr="009A4A6F">
        <w:rPr>
          <w:rFonts w:ascii="Times New Roman" w:hAnsi="Times New Roman" w:cs="Times New Roman"/>
          <w:i/>
          <w:sz w:val="24"/>
          <w:szCs w:val="24"/>
          <w:lang w:val="en-GB"/>
        </w:rPr>
        <w:t>Attorney-General v Guardian Newspapers</w:t>
      </w:r>
      <w:r w:rsidRPr="009A4A6F">
        <w:rPr>
          <w:rFonts w:ascii="Times New Roman" w:hAnsi="Times New Roman" w:cs="Times New Roman"/>
          <w:i/>
          <w:sz w:val="24"/>
          <w:szCs w:val="24"/>
          <w:vertAlign w:val="superscript"/>
          <w:lang w:val="en-GB"/>
        </w:rPr>
        <w:footnoteReference w:id="202"/>
      </w:r>
      <w:r w:rsidRPr="009A4A6F">
        <w:rPr>
          <w:rFonts w:ascii="Times New Roman" w:hAnsi="Times New Roman" w:cs="Times New Roman"/>
          <w:sz w:val="24"/>
          <w:szCs w:val="24"/>
          <w:lang w:val="en-GB"/>
        </w:rPr>
        <w:t>, the court concluded that a duty of confidence arises when such secret material comes into the knowledge of a confidant who is aware that such information is to be kept as confidential.</w:t>
      </w:r>
    </w:p>
    <w:p w14:paraId="464E7574"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The Rules of Professional Conduct provision in Rule 44</w:t>
      </w:r>
      <w:r w:rsidRPr="009A4A6F">
        <w:rPr>
          <w:rFonts w:ascii="Times New Roman" w:hAnsi="Times New Roman" w:cs="Times New Roman"/>
          <w:sz w:val="24"/>
          <w:szCs w:val="24"/>
          <w:vertAlign w:val="superscript"/>
          <w:lang w:val="en-GB"/>
        </w:rPr>
        <w:footnoteReference w:id="203"/>
      </w:r>
      <w:r w:rsidRPr="009A4A6F">
        <w:rPr>
          <w:rFonts w:ascii="Times New Roman" w:hAnsi="Times New Roman" w:cs="Times New Roman"/>
          <w:sz w:val="24"/>
          <w:szCs w:val="24"/>
          <w:lang w:val="en-GB"/>
        </w:rPr>
        <w:t xml:space="preserve"> mandates that the patient's consent be obtained before any disclosure can be made, even if the patient's identity is anonymous</w:t>
      </w:r>
      <w:r w:rsidRPr="009A4A6F">
        <w:rPr>
          <w:rFonts w:ascii="Times New Roman" w:hAnsi="Times New Roman" w:cs="Times New Roman"/>
          <w:sz w:val="24"/>
          <w:szCs w:val="24"/>
          <w:vertAlign w:val="superscript"/>
          <w:lang w:val="en-GB"/>
        </w:rPr>
        <w:footnoteReference w:id="204"/>
      </w:r>
      <w:r w:rsidRPr="009A4A6F">
        <w:rPr>
          <w:rFonts w:ascii="Times New Roman" w:hAnsi="Times New Roman" w:cs="Times New Roman"/>
          <w:sz w:val="24"/>
          <w:szCs w:val="24"/>
          <w:lang w:val="en-GB"/>
        </w:rPr>
        <w:t xml:space="preserve">, to prevent professionals from using the information they have collected from their clients to falsely claim that it has been blinded with anonymous information. According to the general principle, a duty of confidence arises when a person (the confidant) learns of confidential information in situations where he has notice, or is presumed to have agreed, that the information is confidential, with the result that he should be prohibited from disclosing information to others. The medical professional has a duty to be aware of the limitations of his or her healing abilities while also being compassionate towards the patients. A doctor's duty of confidentiality as couched in the right of privacy is based on the Hippocratic Oath, which states, </w:t>
      </w:r>
      <w:r w:rsidRPr="009A4A6F">
        <w:rPr>
          <w:rFonts w:ascii="Times New Roman" w:hAnsi="Times New Roman" w:cs="Times New Roman"/>
          <w:sz w:val="24"/>
          <w:szCs w:val="24"/>
          <w:lang w:val="en-GB"/>
        </w:rPr>
        <w:lastRenderedPageBreak/>
        <w:t>in part, “...whatever I shall see or hear in the course of my profession as well as outside my profession in my intercourse with men if it be not what should be published abroad I will never divulge, holding such things to holy secrets.” A doctor is expected to respect the rights of patients, colleagues, and other health professionals, as well as to protect patient confidence within the law.</w:t>
      </w:r>
    </w:p>
    <w:p w14:paraId="4AFCAE38"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The Nigerian Medical Council, in partnership with the government, adopt rigorous measures to educate the public about their right to medical secrecy. The court should discourage the act by punishing the perpetrators, which would serve as a deterrent to others. Hospital administrators could organise training sessions on confidentiality or law and medicine to educate medical practitioners on their legal responsibilities to their patients. The section of the Medical and Dental Practitioners Act that provides for the suspension of a medical or dental practitioner from practice for six (6) months should be amended to include more time, as there are cases that may necessitate a punishment of more than six months but are not serious enough to warrant striking the practitioner's name from the register. Hospital administration should also guarantee that facilities required for proper execution of duty are obtained on a regular basis.</w:t>
      </w:r>
    </w:p>
    <w:p w14:paraId="5AB47455"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3.2. Ethical Framework</w:t>
      </w:r>
    </w:p>
    <w:p w14:paraId="57DFC07C"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3.2.1. Nurses and Midwives Council Ethics</w:t>
      </w:r>
    </w:p>
    <w:p w14:paraId="3DE84C8F"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The Code of Professional Conduct places the client/patient at the centre of Nursing activities. The purposes of the Code of Professional Conduct are to; Inform Professional Nurses of the Standards of Professional Conduct required of them in the exercise of their professional accountability and practice and Inform the public, other professions and employers, of the standard of Professional Conduct that they can expect of a Registered Practitioner.</w:t>
      </w:r>
    </w:p>
    <w:p w14:paraId="13CDD8ED"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 xml:space="preserve">A Nurse is a person who has received authorized education, acquired specialized knowledge, skills and attitudes, and is registered and licensed with the Nursing and Midwifery Council to </w:t>
      </w:r>
      <w:r w:rsidRPr="009A4A6F">
        <w:rPr>
          <w:rFonts w:ascii="Times New Roman" w:hAnsi="Times New Roman" w:cs="Times New Roman"/>
          <w:sz w:val="24"/>
          <w:szCs w:val="24"/>
          <w:lang w:val="en-GB"/>
        </w:rPr>
        <w:lastRenderedPageBreak/>
        <w:t>provide promotive, preventive, supportive and restorative care to individuals, families and communities, independently, and in collaboration with other members of the health team. The Nurse must provide care in such a manner as to enhance the integrity of the profession, safeguard the health of the individual client/patient and protect the interest of the society.</w:t>
      </w:r>
    </w:p>
    <w:p w14:paraId="5B07C0CE"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Nurses must Provide care to all members of the public without prejudice to their age, religion, ethnicity, race, nationality, gender, political inclination, health or social economic status. They must also uphold the health consumer’s human rights as provided in the constitution and ensure that the client/patient of legal age of 18 years and above gives informed consent for Nursing intervention. In case the health consumer is under aged, the next of kin or the parents can give the informed consent on his behalf. They should also keep information and records of the client confidential except in consultation with other members of the health team to come up with suitable intervention strategies or in compliance with a court ruling or for protecting the consumer and the public from danger. Nurses should avoid negligence, malpractice and assault while providing care to the client/patient and relate with a consumer in a professional manner only. They should not take bribe or gifts that can influence you to give preferential treatment and consider the views, culture and Beliefs of the client/patient and his family in the design and implementation of his care/treatment regimen.</w:t>
      </w:r>
    </w:p>
    <w:p w14:paraId="537C8E54" w14:textId="77777777" w:rsidR="009A4A6F" w:rsidRPr="009A4A6F" w:rsidRDefault="009A4A6F" w:rsidP="009A4A6F">
      <w:pPr>
        <w:spacing w:line="480" w:lineRule="auto"/>
        <w:jc w:val="both"/>
        <w:rPr>
          <w:rFonts w:ascii="Times New Roman" w:hAnsi="Times New Roman" w:cs="Times New Roman"/>
          <w:sz w:val="24"/>
          <w:szCs w:val="24"/>
          <w:lang w:val="en-GB"/>
        </w:rPr>
      </w:pPr>
    </w:p>
    <w:p w14:paraId="6C6D1124" w14:textId="77777777" w:rsidR="009A4A6F" w:rsidRPr="009A4A6F" w:rsidRDefault="009A4A6F" w:rsidP="009A4A6F">
      <w:pPr>
        <w:spacing w:line="480" w:lineRule="auto"/>
        <w:jc w:val="both"/>
        <w:rPr>
          <w:rFonts w:ascii="Times New Roman" w:hAnsi="Times New Roman" w:cs="Times New Roman"/>
          <w:sz w:val="24"/>
          <w:szCs w:val="24"/>
          <w:lang w:val="en-GB"/>
        </w:rPr>
      </w:pPr>
    </w:p>
    <w:p w14:paraId="2F37901C"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3.2.2. Professional Codes and Conduct</w:t>
      </w:r>
    </w:p>
    <w:p w14:paraId="01A049BC"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iCs/>
          <w:sz w:val="24"/>
          <w:szCs w:val="24"/>
          <w:lang w:val="en-GB"/>
        </w:rPr>
        <w:t xml:space="preserve">The Healthcare Administrator and Healthcare workers shall </w:t>
      </w:r>
      <w:r w:rsidRPr="009A4A6F">
        <w:rPr>
          <w:rFonts w:ascii="Times New Roman" w:hAnsi="Times New Roman" w:cs="Times New Roman"/>
          <w:sz w:val="24"/>
          <w:szCs w:val="24"/>
          <w:lang w:val="en-GB"/>
        </w:rPr>
        <w:t xml:space="preserve">Strive to provide to all those entrusted to his or her care the highest quality of appropriate services possible in light of resources or other constraint. Operate the facility consistent with laws, regulations, and standards of practices recognised in the field of Healthcare administration. Consistent with law </w:t>
      </w:r>
      <w:r w:rsidRPr="009A4A6F">
        <w:rPr>
          <w:rFonts w:ascii="Times New Roman" w:hAnsi="Times New Roman" w:cs="Times New Roman"/>
          <w:sz w:val="24"/>
          <w:szCs w:val="24"/>
          <w:lang w:val="en-GB"/>
        </w:rPr>
        <w:lastRenderedPageBreak/>
        <w:t>and professional standards and protect the confidentiality of information regarding individuals. They shall also take appropriate steps to avoid discrimination on basis of ethic, tribal, religion, sex, national origin, age, physical and/or mental disability.</w:t>
      </w:r>
    </w:p>
    <w:p w14:paraId="7D395050"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iCs/>
          <w:sz w:val="24"/>
          <w:szCs w:val="24"/>
          <w:lang w:val="en-GB"/>
        </w:rPr>
        <w:t xml:space="preserve">The Health Care Administrator and workers are prohibited from </w:t>
      </w:r>
      <w:r w:rsidRPr="009A4A6F">
        <w:rPr>
          <w:rFonts w:ascii="Times New Roman" w:hAnsi="Times New Roman" w:cs="Times New Roman"/>
          <w:sz w:val="24"/>
          <w:szCs w:val="24"/>
          <w:lang w:val="en-GB"/>
        </w:rPr>
        <w:t>disclosing professional or personal information regarding recipients of service to unauthorised personnel unless required by law or to protect the public welfare. They shall not misrepresent qualifications, education, experience, or affiliations or provide service other than those for which he or she is prepared and qualified to perform. They shall also conduct themselves in a manner detrimental to the best interest of the profession.</w:t>
      </w:r>
    </w:p>
    <w:p w14:paraId="1ACB14E9"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3.3. Institutional Frameworks</w:t>
      </w:r>
    </w:p>
    <w:p w14:paraId="7BEDF9CB"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3.3.1. Role of Federal Competition and Consumer Protection Commission</w:t>
      </w:r>
    </w:p>
    <w:p w14:paraId="7394E810"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The Federal Competition and Consumer Protection Commission (“FCCPC”) is the apex consumer protection agency in Nigeria. The FCCPC was established by the FCCPA to administer and enforce the provisions of the FCCPA. The Competition and Consumer Protection Tribunal (“CCPT”)</w:t>
      </w:r>
      <w:r w:rsidRPr="009A4A6F">
        <w:rPr>
          <w:rFonts w:ascii="Times New Roman" w:hAnsi="Times New Roman" w:cs="Times New Roman"/>
          <w:sz w:val="24"/>
          <w:szCs w:val="24"/>
          <w:vertAlign w:val="superscript"/>
          <w:lang w:val="en-GB"/>
        </w:rPr>
        <w:footnoteReference w:id="205"/>
      </w:r>
      <w:r w:rsidRPr="009A4A6F">
        <w:rPr>
          <w:rFonts w:ascii="Times New Roman" w:hAnsi="Times New Roman" w:cs="Times New Roman"/>
          <w:sz w:val="24"/>
          <w:szCs w:val="24"/>
          <w:lang w:val="en-GB"/>
        </w:rPr>
        <w:t> is the adjudicatory authority for determination of matters arising from the operation of the Act.</w:t>
      </w:r>
      <w:r w:rsidRPr="009A4A6F">
        <w:rPr>
          <w:rFonts w:ascii="Times New Roman" w:hAnsi="Times New Roman" w:cs="Times New Roman"/>
          <w:sz w:val="24"/>
          <w:szCs w:val="24"/>
          <w:vertAlign w:val="superscript"/>
          <w:lang w:val="en-GB"/>
        </w:rPr>
        <w:footnoteReference w:id="206"/>
      </w:r>
      <w:r w:rsidRPr="009A4A6F">
        <w:rPr>
          <w:rFonts w:ascii="Times New Roman" w:hAnsi="Times New Roman" w:cs="Times New Roman"/>
          <w:sz w:val="24"/>
          <w:szCs w:val="24"/>
          <w:lang w:val="en-GB"/>
        </w:rPr>
        <w:t> The CCPT amongst others, has the power to: hear appeals from or review any decision of the FCCPC taken in the course of implementation of any of the provisions of the FCCPA; hear appeals from, or review any decision from, the exercise of the powers of any sector-specific regulatory authority in a regulated industry, with respect to consumer protection matters; and issue such orders as may be required of it under the FCCPA.</w:t>
      </w:r>
      <w:r w:rsidRPr="009A4A6F">
        <w:rPr>
          <w:rFonts w:ascii="Times New Roman" w:hAnsi="Times New Roman" w:cs="Times New Roman"/>
          <w:sz w:val="24"/>
          <w:szCs w:val="24"/>
          <w:vertAlign w:val="superscript"/>
          <w:lang w:val="en-GB"/>
        </w:rPr>
        <w:footnoteReference w:id="207"/>
      </w:r>
      <w:r w:rsidRPr="009A4A6F">
        <w:rPr>
          <w:rFonts w:ascii="Times New Roman" w:hAnsi="Times New Roman" w:cs="Times New Roman"/>
          <w:sz w:val="24"/>
          <w:szCs w:val="24"/>
          <w:lang w:val="en-GB"/>
        </w:rPr>
        <w:t xml:space="preserve"> Any order, ruling, award or judgement of the CCPT is binding on the parties and must be registered with the Federal High Court of Nigeria solely for the purposes of </w:t>
      </w:r>
      <w:r w:rsidRPr="009A4A6F">
        <w:rPr>
          <w:rFonts w:ascii="Times New Roman" w:hAnsi="Times New Roman" w:cs="Times New Roman"/>
          <w:sz w:val="24"/>
          <w:szCs w:val="24"/>
          <w:lang w:val="en-GB"/>
        </w:rPr>
        <w:lastRenderedPageBreak/>
        <w:t>enforcement.</w:t>
      </w:r>
      <w:r w:rsidRPr="009A4A6F">
        <w:rPr>
          <w:rFonts w:ascii="Times New Roman" w:hAnsi="Times New Roman" w:cs="Times New Roman"/>
          <w:sz w:val="24"/>
          <w:szCs w:val="24"/>
          <w:vertAlign w:val="superscript"/>
          <w:lang w:val="en-GB"/>
        </w:rPr>
        <w:footnoteReference w:id="208"/>
      </w:r>
      <w:r w:rsidRPr="009A4A6F">
        <w:rPr>
          <w:rFonts w:ascii="Times New Roman" w:hAnsi="Times New Roman" w:cs="Times New Roman"/>
          <w:sz w:val="24"/>
          <w:szCs w:val="24"/>
          <w:lang w:val="en-GB"/>
        </w:rPr>
        <w:t> Appeal of an order, ruling, award or judgment of the CCPT is to be made within 30 days to the Court of Appeal of Nigeria.</w:t>
      </w:r>
      <w:r w:rsidRPr="009A4A6F">
        <w:rPr>
          <w:rFonts w:ascii="Times New Roman" w:hAnsi="Times New Roman" w:cs="Times New Roman"/>
          <w:sz w:val="24"/>
          <w:szCs w:val="24"/>
          <w:vertAlign w:val="superscript"/>
          <w:lang w:val="en-GB"/>
        </w:rPr>
        <w:footnoteReference w:id="209"/>
      </w:r>
    </w:p>
    <w:p w14:paraId="3297AFD0"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The Commission is empowered to: i) Prevent the circulation of goods or services which constitute a public hazard or an imminent public hazard; ii) Compel manufacturers, suppliers, dealers, importers, wholesalers, retailers, providers of services and other undertakings to. Investigation into breach of consumer protection rights in relation to the quality and functions of goods and services may be triggered by individuals, accredited consumer protection groups, industry sector regulator, and FCCPC of its own motion.</w:t>
      </w:r>
      <w:r w:rsidRPr="009A4A6F">
        <w:rPr>
          <w:rFonts w:ascii="Times New Roman" w:hAnsi="Times New Roman" w:cs="Times New Roman"/>
          <w:sz w:val="24"/>
          <w:szCs w:val="24"/>
          <w:vertAlign w:val="superscript"/>
          <w:lang w:val="en-GB"/>
        </w:rPr>
        <w:footnoteReference w:id="210"/>
      </w:r>
      <w:r w:rsidRPr="009A4A6F">
        <w:rPr>
          <w:rFonts w:ascii="Times New Roman" w:hAnsi="Times New Roman" w:cs="Times New Roman"/>
          <w:sz w:val="24"/>
          <w:szCs w:val="24"/>
          <w:lang w:val="en-GB"/>
        </w:rPr>
        <w:t xml:space="preserve"> Since the FCCPC was passed into law in January 2019, the regulatory landscape of Nigeria’s competition and consumer protection regime has been greatly improved. Citizens have more confidence in demanding respect for their rights and the Commission has been very responsive in instilling and enforcing consumers’ rights and stabilizing competition in the Nigerian economy.</w:t>
      </w:r>
    </w:p>
    <w:p w14:paraId="00409E1A" w14:textId="77777777" w:rsidR="009A4A6F" w:rsidRPr="009A4A6F" w:rsidRDefault="009A4A6F" w:rsidP="009A4A6F">
      <w:pPr>
        <w:spacing w:line="480" w:lineRule="auto"/>
        <w:jc w:val="both"/>
        <w:rPr>
          <w:rFonts w:ascii="Times New Roman" w:hAnsi="Times New Roman" w:cs="Times New Roman"/>
          <w:sz w:val="24"/>
          <w:szCs w:val="24"/>
          <w:lang w:val="en-GB"/>
        </w:rPr>
      </w:pPr>
    </w:p>
    <w:p w14:paraId="49FDEF43" w14:textId="77777777" w:rsidR="009A4A6F" w:rsidRPr="009A4A6F" w:rsidRDefault="009A4A6F" w:rsidP="009A4A6F">
      <w:pPr>
        <w:spacing w:line="480" w:lineRule="auto"/>
        <w:jc w:val="both"/>
        <w:rPr>
          <w:rFonts w:ascii="Times New Roman" w:hAnsi="Times New Roman" w:cs="Times New Roman"/>
          <w:sz w:val="24"/>
          <w:szCs w:val="24"/>
          <w:lang w:val="en-GB"/>
        </w:rPr>
      </w:pPr>
    </w:p>
    <w:p w14:paraId="2DD0B070"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3.3.2. Medical and Dental Council of Nigeria</w:t>
      </w:r>
    </w:p>
    <w:p w14:paraId="3A0D8B69"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 xml:space="preserve">The Nigerian Medical Council was replaced by the Medical and Dental Council of Nigeria, established by the Military Decree No 23 of 1988. This decree, under the restored constitutional government of Nigeria, has been renamed The Medical and Dental Practitioners Act, Cap. 221, Laws of the Federation of Nigeria 1990. The Medical and Dental Council of Nigeria is tasked with four primary functions; i) Ensuring that medical and dental training within the country aligns with global standards, fostering continuous education and innovation in the healthcare sector to drive medical reform; ii) Guaranteeing that practicing medical and dental </w:t>
      </w:r>
      <w:r w:rsidRPr="009A4A6F">
        <w:rPr>
          <w:rFonts w:ascii="Times New Roman" w:hAnsi="Times New Roman" w:cs="Times New Roman"/>
          <w:sz w:val="24"/>
          <w:szCs w:val="24"/>
          <w:lang w:val="en-GB"/>
        </w:rPr>
        <w:lastRenderedPageBreak/>
        <w:t>professionals deliver healthcare services of international quality; iii) Upholding the highest ethical standards among medical and dental practitioners and safeguarding the nation's population from malpractice by these professionals; and iv) Regularly publishing and maintaining a Register of medical and dental practitioners. The MDCN significantly contributes to the protection of patient rights by ensuring that healthcare practitioners adhere to ethical standards and deliver quality care. Through its regulatory functions, the council establishes a framework that prioritizes patient safety, confidentiality, and the overall well-being of individuals seeking medical and dental services.</w:t>
      </w:r>
    </w:p>
    <w:p w14:paraId="34AA0300"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3.3.3. Hospitals Management Boards</w:t>
      </w:r>
    </w:p>
    <w:p w14:paraId="7941F841"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The Hospital Management Board (HMB) in Nigeria typically operates at state and federal capital territory levels to manage, staff, and equip secondary healthcare facilities.</w:t>
      </w:r>
      <w:r w:rsidRPr="009A4A6F">
        <w:rPr>
          <w:rFonts w:ascii="Times New Roman" w:hAnsi="Times New Roman" w:cs="Times New Roman"/>
          <w:sz w:val="24"/>
          <w:szCs w:val="24"/>
          <w:vertAlign w:val="superscript"/>
          <w:lang w:val="en-GB"/>
        </w:rPr>
        <w:footnoteReference w:id="211"/>
      </w:r>
      <w:r w:rsidRPr="009A4A6F">
        <w:rPr>
          <w:rFonts w:ascii="Times New Roman" w:hAnsi="Times New Roman" w:cs="Times New Roman"/>
          <w:sz w:val="24"/>
          <w:szCs w:val="24"/>
          <w:lang w:val="en-GB"/>
        </w:rPr>
        <w:t xml:space="preserve"> The F.C.T. Hospitals Management Board was established in November 2006 with the sole objective of; “devolving authority for the management of the 12 public hospitals under the F.C.T. Administration in order to enhance their operational efficiency to deliver high-quality, affordable, accessible, and patient-centric health care services.”</w:t>
      </w:r>
      <w:r w:rsidRPr="009A4A6F">
        <w:rPr>
          <w:rFonts w:ascii="Times New Roman" w:hAnsi="Times New Roman" w:cs="Times New Roman"/>
          <w:sz w:val="24"/>
          <w:szCs w:val="24"/>
          <w:vertAlign w:val="superscript"/>
          <w:lang w:val="en-GB"/>
        </w:rPr>
        <w:footnoteReference w:id="212"/>
      </w:r>
    </w:p>
    <w:p w14:paraId="72DDCCF9"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The Federal Capital Territory (F.C.T) Abuja being; “the seat of government and the diplomatic community as well as a conference/events destination of the nation, demands the highest standard of health care delivery services available.</w:t>
      </w:r>
      <w:r w:rsidRPr="009A4A6F">
        <w:rPr>
          <w:rFonts w:ascii="Times New Roman" w:hAnsi="Times New Roman" w:cs="Times New Roman"/>
          <w:sz w:val="24"/>
          <w:szCs w:val="24"/>
          <w:vertAlign w:val="superscript"/>
          <w:lang w:val="en-GB"/>
        </w:rPr>
        <w:footnoteReference w:id="213"/>
      </w:r>
      <w:r w:rsidRPr="009A4A6F">
        <w:rPr>
          <w:rFonts w:ascii="Times New Roman" w:hAnsi="Times New Roman" w:cs="Times New Roman"/>
          <w:sz w:val="24"/>
          <w:szCs w:val="24"/>
          <w:lang w:val="en-GB"/>
        </w:rPr>
        <w:t xml:space="preserve"> In view of that as well as the vision of the F.C.T. Administration to raise the status of the territory to world-class standards in line with the transformation agenda of Mr. President, the Board is poised and committed to delivering </w:t>
      </w:r>
      <w:r w:rsidRPr="009A4A6F">
        <w:rPr>
          <w:rFonts w:ascii="Times New Roman" w:hAnsi="Times New Roman" w:cs="Times New Roman"/>
          <w:sz w:val="24"/>
          <w:szCs w:val="24"/>
          <w:lang w:val="en-GB"/>
        </w:rPr>
        <w:lastRenderedPageBreak/>
        <w:t>unparalleled high-quality secondary and tertiary health care services to the teeming residents of the F.C.T. at all times.”</w:t>
      </w:r>
      <w:r w:rsidRPr="009A4A6F">
        <w:rPr>
          <w:rFonts w:ascii="Times New Roman" w:hAnsi="Times New Roman" w:cs="Times New Roman"/>
          <w:sz w:val="24"/>
          <w:szCs w:val="24"/>
          <w:vertAlign w:val="superscript"/>
          <w:lang w:val="en-GB"/>
        </w:rPr>
        <w:footnoteReference w:id="214"/>
      </w:r>
    </w:p>
    <w:p w14:paraId="420D53EF" w14:textId="77777777" w:rsidR="009A4A6F" w:rsidRPr="009A4A6F" w:rsidRDefault="009A4A6F" w:rsidP="009A4A6F">
      <w:pPr>
        <w:spacing w:line="480" w:lineRule="auto"/>
        <w:jc w:val="both"/>
        <w:rPr>
          <w:rFonts w:ascii="Times New Roman" w:hAnsi="Times New Roman" w:cs="Times New Roman"/>
          <w:sz w:val="24"/>
          <w:szCs w:val="24"/>
          <w:lang w:val="en-GB"/>
        </w:rPr>
      </w:pPr>
    </w:p>
    <w:p w14:paraId="1459CBD2"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3.3.4. Civil Society and Health Rights Groups</w:t>
      </w:r>
    </w:p>
    <w:p w14:paraId="53ED0284"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The role of civil society in advocating for; “universal health coverage in Nigeria cannot be overemphasised and this is because Civil Society Organisations (CSOs) are not-for-profit organisations formed by the people to facilitate the growth and development of the community, and to serve as mediators between the government, healthcare providers, and the community, making sure that the voices of underserved communities, minority groups and </w:t>
      </w:r>
      <w:hyperlink r:id="rId31" w:tgtFrame="_blank" w:history="1">
        <w:r w:rsidRPr="009A4A6F">
          <w:rPr>
            <w:rStyle w:val="Hyperlink"/>
            <w:rFonts w:ascii="Times New Roman" w:hAnsi="Times New Roman" w:cs="Times New Roman"/>
            <w:sz w:val="24"/>
            <w:szCs w:val="24"/>
            <w:u w:val="none"/>
            <w:lang w:val="en-GB"/>
          </w:rPr>
          <w:t>marginalised demographics</w:t>
        </w:r>
      </w:hyperlink>
      <w:r w:rsidRPr="009A4A6F">
        <w:rPr>
          <w:rFonts w:ascii="Times New Roman" w:hAnsi="Times New Roman" w:cs="Times New Roman"/>
          <w:sz w:val="24"/>
          <w:szCs w:val="24"/>
          <w:lang w:val="en-GB"/>
        </w:rPr>
        <w:t> are heard.</w:t>
      </w:r>
      <w:r w:rsidRPr="009A4A6F">
        <w:rPr>
          <w:rFonts w:ascii="Times New Roman" w:hAnsi="Times New Roman" w:cs="Times New Roman"/>
          <w:sz w:val="24"/>
          <w:szCs w:val="24"/>
          <w:vertAlign w:val="superscript"/>
          <w:lang w:val="en-GB"/>
        </w:rPr>
        <w:footnoteReference w:id="215"/>
      </w:r>
      <w:r w:rsidRPr="009A4A6F">
        <w:rPr>
          <w:rFonts w:ascii="Times New Roman" w:hAnsi="Times New Roman" w:cs="Times New Roman"/>
          <w:sz w:val="24"/>
          <w:szCs w:val="24"/>
          <w:lang w:val="en-GB"/>
        </w:rPr>
        <w:t xml:space="preserve"> In democratic settings, they can serve as supervisory agencies, ensuring that the government does its work, and holding all the </w:t>
      </w:r>
      <w:hyperlink r:id="rId32" w:tgtFrame="_blank" w:history="1">
        <w:r w:rsidRPr="009A4A6F">
          <w:rPr>
            <w:rStyle w:val="Hyperlink"/>
            <w:rFonts w:ascii="Times New Roman" w:hAnsi="Times New Roman" w:cs="Times New Roman"/>
            <w:sz w:val="24"/>
            <w:szCs w:val="24"/>
            <w:u w:val="none"/>
            <w:lang w:val="en-GB"/>
          </w:rPr>
          <w:t>stakeholders of the healthcare industry</w:t>
        </w:r>
      </w:hyperlink>
      <w:r w:rsidRPr="009A4A6F">
        <w:rPr>
          <w:rFonts w:ascii="Times New Roman" w:hAnsi="Times New Roman" w:cs="Times New Roman"/>
          <w:sz w:val="24"/>
          <w:szCs w:val="24"/>
          <w:lang w:val="en-GB"/>
        </w:rPr>
        <w:t> accountable for the responsibilities committed to them. Their roles involve monitoring government spending on healthcare, following up with the implementation of </w:t>
      </w:r>
      <w:hyperlink r:id="rId33" w:tgtFrame="_blank" w:history="1">
        <w:r w:rsidRPr="009A4A6F">
          <w:rPr>
            <w:rStyle w:val="Hyperlink"/>
            <w:rFonts w:ascii="Times New Roman" w:hAnsi="Times New Roman" w:cs="Times New Roman"/>
            <w:sz w:val="24"/>
            <w:szCs w:val="24"/>
            <w:u w:val="none"/>
            <w:lang w:val="en-GB"/>
          </w:rPr>
          <w:t>healthcare policies</w:t>
        </w:r>
      </w:hyperlink>
      <w:r w:rsidRPr="009A4A6F">
        <w:rPr>
          <w:rFonts w:ascii="Times New Roman" w:hAnsi="Times New Roman" w:cs="Times New Roman"/>
          <w:sz w:val="24"/>
          <w:szCs w:val="24"/>
          <w:lang w:val="en-GB"/>
        </w:rPr>
        <w:t>, and advocating for enhanced funding for healthcare.”</w:t>
      </w:r>
      <w:r w:rsidRPr="009A4A6F">
        <w:rPr>
          <w:rFonts w:ascii="Times New Roman" w:hAnsi="Times New Roman" w:cs="Times New Roman"/>
          <w:sz w:val="24"/>
          <w:szCs w:val="24"/>
          <w:vertAlign w:val="superscript"/>
          <w:lang w:val="en-GB"/>
        </w:rPr>
        <w:footnoteReference w:id="216"/>
      </w:r>
      <w:r w:rsidRPr="009A4A6F">
        <w:rPr>
          <w:rFonts w:ascii="Times New Roman" w:hAnsi="Times New Roman" w:cs="Times New Roman"/>
          <w:sz w:val="24"/>
          <w:szCs w:val="24"/>
          <w:lang w:val="en-GB"/>
        </w:rPr>
        <w:t xml:space="preserve"> </w:t>
      </w:r>
    </w:p>
    <w:p w14:paraId="468669E1"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Some of the notable civil society organisations with a purview on healthcare in Nigeria include; “the Health Reform Foundation of Nigeria (HERFON), the Nigerian Medical Association (NMA), and the Civil Society Legislative Advocacy Centre (CISLAC). HERFON advocates for reform of Nigeria’s healthcare sector and increased funding for the healthcare industry to zero in on the </w:t>
      </w:r>
      <w:hyperlink r:id="rId34" w:tgtFrame="_blank" w:history="1">
        <w:r w:rsidRPr="009A4A6F">
          <w:rPr>
            <w:rStyle w:val="Hyperlink"/>
            <w:rFonts w:ascii="Times New Roman" w:hAnsi="Times New Roman" w:cs="Times New Roman"/>
            <w:sz w:val="24"/>
            <w:szCs w:val="24"/>
            <w:u w:val="none"/>
            <w:lang w:val="en-GB"/>
          </w:rPr>
          <w:t>global healthcare mandate</w:t>
        </w:r>
      </w:hyperlink>
      <w:r w:rsidRPr="009A4A6F">
        <w:rPr>
          <w:rFonts w:ascii="Times New Roman" w:hAnsi="Times New Roman" w:cs="Times New Roman"/>
          <w:sz w:val="24"/>
          <w:szCs w:val="24"/>
          <w:lang w:val="en-GB"/>
        </w:rPr>
        <w:t xml:space="preserve">. It collaborates with policymakers, healthcare providers, and communities to promote universal health coverage. The Nigerian Medical Association (NMA) is a body of healthcare professionals in Nigeria who serve as a watchdog </w:t>
      </w:r>
      <w:r w:rsidRPr="009A4A6F">
        <w:rPr>
          <w:rFonts w:ascii="Times New Roman" w:hAnsi="Times New Roman" w:cs="Times New Roman"/>
          <w:sz w:val="24"/>
          <w:szCs w:val="24"/>
          <w:lang w:val="en-GB"/>
        </w:rPr>
        <w:lastRenderedPageBreak/>
        <w:t>for professional healthcare delivery.</w:t>
      </w:r>
      <w:r w:rsidRPr="009A4A6F">
        <w:rPr>
          <w:rFonts w:ascii="Times New Roman" w:hAnsi="Times New Roman" w:cs="Times New Roman"/>
          <w:sz w:val="24"/>
          <w:szCs w:val="24"/>
          <w:vertAlign w:val="superscript"/>
          <w:lang w:val="en-GB"/>
        </w:rPr>
        <w:footnoteReference w:id="217"/>
      </w:r>
      <w:r w:rsidRPr="009A4A6F">
        <w:rPr>
          <w:rFonts w:ascii="Times New Roman" w:hAnsi="Times New Roman" w:cs="Times New Roman"/>
          <w:sz w:val="24"/>
          <w:szCs w:val="24"/>
          <w:lang w:val="en-GB"/>
        </w:rPr>
        <w:t xml:space="preserve"> It advocates for improved working conditions for healthcare professionals, better healthcare funding to enhance the </w:t>
      </w:r>
      <w:hyperlink r:id="rId35" w:tgtFrame="_blank" w:history="1">
        <w:r w:rsidRPr="009A4A6F">
          <w:rPr>
            <w:rStyle w:val="Hyperlink"/>
            <w:rFonts w:ascii="Times New Roman" w:hAnsi="Times New Roman" w:cs="Times New Roman"/>
            <w:sz w:val="24"/>
            <w:szCs w:val="24"/>
            <w:u w:val="none"/>
            <w:lang w:val="en-GB"/>
          </w:rPr>
          <w:t>infrastructural capacity</w:t>
        </w:r>
      </w:hyperlink>
      <w:r w:rsidRPr="009A4A6F">
        <w:rPr>
          <w:rFonts w:ascii="Times New Roman" w:hAnsi="Times New Roman" w:cs="Times New Roman"/>
          <w:sz w:val="24"/>
          <w:szCs w:val="24"/>
          <w:lang w:val="en-GB"/>
        </w:rPr>
        <w:t> of the healthcare sector, and enhanced access to quality healthcare services for all.</w:t>
      </w:r>
      <w:r w:rsidRPr="009A4A6F">
        <w:rPr>
          <w:rFonts w:ascii="Times New Roman" w:hAnsi="Times New Roman" w:cs="Times New Roman"/>
          <w:sz w:val="24"/>
          <w:szCs w:val="24"/>
          <w:vertAlign w:val="superscript"/>
          <w:lang w:val="en-GB"/>
        </w:rPr>
        <w:footnoteReference w:id="218"/>
      </w:r>
      <w:r w:rsidRPr="009A4A6F">
        <w:rPr>
          <w:rFonts w:ascii="Times New Roman" w:hAnsi="Times New Roman" w:cs="Times New Roman"/>
          <w:sz w:val="24"/>
          <w:szCs w:val="24"/>
          <w:lang w:val="en-GB"/>
        </w:rPr>
        <w:t xml:space="preserve"> The Civil Society Legislative Advocacy Centre (CISLAC) investigates the </w:t>
      </w:r>
      <w:hyperlink r:id="rId36" w:tgtFrame="_blank" w:history="1">
        <w:r w:rsidRPr="009A4A6F">
          <w:rPr>
            <w:rStyle w:val="Hyperlink"/>
            <w:rFonts w:ascii="Times New Roman" w:hAnsi="Times New Roman" w:cs="Times New Roman"/>
            <w:sz w:val="24"/>
            <w:szCs w:val="24"/>
            <w:u w:val="none"/>
            <w:lang w:val="en-GB"/>
          </w:rPr>
          <w:t>operational framework</w:t>
        </w:r>
      </w:hyperlink>
      <w:r w:rsidRPr="009A4A6F">
        <w:rPr>
          <w:rFonts w:ascii="Times New Roman" w:hAnsi="Times New Roman" w:cs="Times New Roman"/>
          <w:sz w:val="24"/>
          <w:szCs w:val="24"/>
          <w:lang w:val="en-GB"/>
        </w:rPr>
        <w:t> of policies on healthcare to ensure it meets the demands of the populations it was designed for, then advocates for increased funding to cover lapses in the healthcare sector.”</w:t>
      </w:r>
    </w:p>
    <w:p w14:paraId="2D98B41B"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 xml:space="preserve">Despite their functions and activities in Nigeria, civil society organisations face the following challenges in helping to implement UHC; “i) </w:t>
      </w:r>
      <w:r w:rsidRPr="009A4A6F">
        <w:rPr>
          <w:rFonts w:ascii="Times New Roman" w:hAnsi="Times New Roman" w:cs="Times New Roman"/>
          <w:bCs/>
          <w:sz w:val="24"/>
          <w:szCs w:val="24"/>
          <w:lang w:val="en-GB"/>
        </w:rPr>
        <w:t>Poor funding:</w:t>
      </w:r>
      <w:r w:rsidRPr="009A4A6F">
        <w:rPr>
          <w:rFonts w:ascii="Times New Roman" w:hAnsi="Times New Roman" w:cs="Times New Roman"/>
          <w:sz w:val="24"/>
          <w:szCs w:val="24"/>
          <w:lang w:val="en-GB"/>
        </w:rPr>
        <w:t> these organisations rely on local and </w:t>
      </w:r>
      <w:hyperlink r:id="rId37" w:tgtFrame="_blank" w:history="1">
        <w:r w:rsidRPr="009A4A6F">
          <w:rPr>
            <w:rStyle w:val="Hyperlink"/>
            <w:rFonts w:ascii="Times New Roman" w:hAnsi="Times New Roman" w:cs="Times New Roman"/>
            <w:sz w:val="24"/>
            <w:szCs w:val="24"/>
            <w:u w:val="none"/>
            <w:lang w:val="en-GB"/>
          </w:rPr>
          <w:t>international funding opportunities</w:t>
        </w:r>
      </w:hyperlink>
      <w:r w:rsidRPr="009A4A6F">
        <w:rPr>
          <w:rFonts w:ascii="Times New Roman" w:hAnsi="Times New Roman" w:cs="Times New Roman"/>
          <w:sz w:val="24"/>
          <w:szCs w:val="24"/>
          <w:lang w:val="en-GB"/>
        </w:rPr>
        <w:t> that are not only unpredictable but also limited.</w:t>
      </w:r>
      <w:r w:rsidRPr="009A4A6F">
        <w:rPr>
          <w:rFonts w:ascii="Times New Roman" w:hAnsi="Times New Roman" w:cs="Times New Roman"/>
          <w:sz w:val="24"/>
          <w:szCs w:val="24"/>
          <w:vertAlign w:val="superscript"/>
          <w:lang w:val="en-GB"/>
        </w:rPr>
        <w:footnoteReference w:id="219"/>
      </w:r>
      <w:r w:rsidRPr="009A4A6F">
        <w:rPr>
          <w:rFonts w:ascii="Times New Roman" w:hAnsi="Times New Roman" w:cs="Times New Roman"/>
          <w:sz w:val="24"/>
          <w:szCs w:val="24"/>
          <w:lang w:val="en-GB"/>
        </w:rPr>
        <w:t xml:space="preserve"> This prevents them from expressing the full extent of their responsibilities, and abilities, including the </w:t>
      </w:r>
      <w:hyperlink r:id="rId38" w:tgtFrame="_blank" w:history="1">
        <w:r w:rsidRPr="009A4A6F">
          <w:rPr>
            <w:rStyle w:val="Hyperlink"/>
            <w:rFonts w:ascii="Times New Roman" w:hAnsi="Times New Roman" w:cs="Times New Roman"/>
            <w:sz w:val="24"/>
            <w:szCs w:val="24"/>
            <w:u w:val="none"/>
            <w:lang w:val="en-GB"/>
          </w:rPr>
          <w:t>resources</w:t>
        </w:r>
      </w:hyperlink>
      <w:r w:rsidRPr="009A4A6F">
        <w:rPr>
          <w:rFonts w:ascii="Times New Roman" w:hAnsi="Times New Roman" w:cs="Times New Roman"/>
          <w:sz w:val="24"/>
          <w:szCs w:val="24"/>
          <w:lang w:val="en-GB"/>
        </w:rPr>
        <w:t> to sustain their activities;</w:t>
      </w:r>
      <w:r w:rsidRPr="009A4A6F">
        <w:rPr>
          <w:rFonts w:ascii="Times New Roman" w:hAnsi="Times New Roman" w:cs="Times New Roman"/>
          <w:bCs/>
          <w:sz w:val="24"/>
          <w:szCs w:val="24"/>
          <w:lang w:val="en-GB"/>
        </w:rPr>
        <w:t xml:space="preserve"> ii) Government resistance:</w:t>
      </w:r>
      <w:r w:rsidRPr="009A4A6F">
        <w:rPr>
          <w:rFonts w:ascii="Times New Roman" w:hAnsi="Times New Roman" w:cs="Times New Roman"/>
          <w:sz w:val="24"/>
          <w:szCs w:val="24"/>
          <w:lang w:val="en-GB"/>
        </w:rPr>
        <w:t> some government officials perceive CSOs as a </w:t>
      </w:r>
      <w:hyperlink r:id="rId39" w:tgtFrame="_blank" w:history="1">
        <w:r w:rsidRPr="009A4A6F">
          <w:rPr>
            <w:rStyle w:val="Hyperlink"/>
            <w:rFonts w:ascii="Times New Roman" w:hAnsi="Times New Roman" w:cs="Times New Roman"/>
            <w:sz w:val="24"/>
            <w:szCs w:val="24"/>
            <w:u w:val="none"/>
            <w:lang w:val="en-GB"/>
          </w:rPr>
          <w:t>threat </w:t>
        </w:r>
      </w:hyperlink>
      <w:r w:rsidRPr="009A4A6F">
        <w:rPr>
          <w:rFonts w:ascii="Times New Roman" w:hAnsi="Times New Roman" w:cs="Times New Roman"/>
          <w:sz w:val="24"/>
          <w:szCs w:val="24"/>
          <w:lang w:val="en-GB"/>
        </w:rPr>
        <w:t>to their functioning, hence the clamp down on CSOs’ activities and the resistance to their efforts; iii)</w:t>
      </w:r>
      <w:r w:rsidRPr="009A4A6F">
        <w:rPr>
          <w:rFonts w:ascii="Times New Roman" w:hAnsi="Times New Roman" w:cs="Times New Roman"/>
          <w:bCs/>
          <w:sz w:val="24"/>
          <w:szCs w:val="24"/>
          <w:lang w:val="en-GB"/>
        </w:rPr>
        <w:t xml:space="preserve"> Weak institutional capacity:</w:t>
      </w:r>
      <w:r w:rsidRPr="009A4A6F">
        <w:rPr>
          <w:rFonts w:ascii="Times New Roman" w:hAnsi="Times New Roman" w:cs="Times New Roman"/>
          <w:sz w:val="24"/>
          <w:szCs w:val="24"/>
          <w:lang w:val="en-GB"/>
        </w:rPr>
        <w:t> some civil societies lack proper </w:t>
      </w:r>
      <w:hyperlink r:id="rId40" w:tgtFrame="_blank" w:history="1">
        <w:r w:rsidRPr="009A4A6F">
          <w:rPr>
            <w:rStyle w:val="Hyperlink"/>
            <w:rFonts w:ascii="Times New Roman" w:hAnsi="Times New Roman" w:cs="Times New Roman"/>
            <w:sz w:val="24"/>
            <w:szCs w:val="24"/>
            <w:u w:val="none"/>
            <w:lang w:val="en-GB"/>
          </w:rPr>
          <w:t>institutional structure</w:t>
        </w:r>
      </w:hyperlink>
      <w:r w:rsidRPr="009A4A6F">
        <w:rPr>
          <w:rFonts w:ascii="Times New Roman" w:hAnsi="Times New Roman" w:cs="Times New Roman"/>
          <w:sz w:val="24"/>
          <w:szCs w:val="24"/>
          <w:lang w:val="en-GB"/>
        </w:rPr>
        <w:t> and governance; hence they cannot attract certain funds and expertise needed to handle demanding activities in the populations they advocate for.”</w:t>
      </w:r>
      <w:r w:rsidRPr="009A4A6F">
        <w:rPr>
          <w:rFonts w:ascii="Times New Roman" w:hAnsi="Times New Roman" w:cs="Times New Roman"/>
          <w:sz w:val="24"/>
          <w:szCs w:val="24"/>
          <w:vertAlign w:val="superscript"/>
          <w:lang w:val="en-GB"/>
        </w:rPr>
        <w:footnoteReference w:id="220"/>
      </w:r>
      <w:r w:rsidRPr="009A4A6F">
        <w:rPr>
          <w:rFonts w:ascii="Times New Roman" w:hAnsi="Times New Roman" w:cs="Times New Roman"/>
          <w:sz w:val="24"/>
          <w:szCs w:val="24"/>
          <w:lang w:val="en-GB"/>
        </w:rPr>
        <w:t xml:space="preserve"> </w:t>
      </w:r>
    </w:p>
    <w:p w14:paraId="564241B4"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Despite these significant challenges, civil society organisations have contributed to successful interventions involving community mobilisation and partnerships with local governments to provide meaningful change in the Nigerian healthcare sector.</w:t>
      </w:r>
      <w:r w:rsidRPr="009A4A6F">
        <w:rPr>
          <w:rFonts w:ascii="Times New Roman" w:hAnsi="Times New Roman" w:cs="Times New Roman"/>
          <w:sz w:val="24"/>
          <w:szCs w:val="24"/>
          <w:vertAlign w:val="superscript"/>
          <w:lang w:val="en-GB"/>
        </w:rPr>
        <w:footnoteReference w:id="221"/>
      </w:r>
      <w:r w:rsidRPr="009A4A6F">
        <w:rPr>
          <w:rFonts w:ascii="Times New Roman" w:hAnsi="Times New Roman" w:cs="Times New Roman"/>
          <w:sz w:val="24"/>
          <w:szCs w:val="24"/>
          <w:lang w:val="en-GB"/>
        </w:rPr>
        <w:t xml:space="preserve"> A major example of such interventions is; “the Saving One Million Lives Programme for Results (SOML-PforR) campaign, which involved CSOs on the steering committee of the drive to address the main </w:t>
      </w:r>
      <w:r w:rsidRPr="009A4A6F">
        <w:rPr>
          <w:rFonts w:ascii="Times New Roman" w:hAnsi="Times New Roman" w:cs="Times New Roman"/>
          <w:sz w:val="24"/>
          <w:szCs w:val="24"/>
          <w:lang w:val="en-GB"/>
        </w:rPr>
        <w:lastRenderedPageBreak/>
        <w:t>causes of morbidity and mortality among pregnant women and children under the age of five.</w:t>
      </w:r>
      <w:r w:rsidRPr="009A4A6F">
        <w:rPr>
          <w:rFonts w:ascii="Times New Roman" w:hAnsi="Times New Roman" w:cs="Times New Roman"/>
          <w:sz w:val="24"/>
          <w:szCs w:val="24"/>
          <w:vertAlign w:val="superscript"/>
          <w:lang w:val="en-GB"/>
        </w:rPr>
        <w:footnoteReference w:id="222"/>
      </w:r>
      <w:r w:rsidRPr="009A4A6F">
        <w:rPr>
          <w:rFonts w:ascii="Times New Roman" w:hAnsi="Times New Roman" w:cs="Times New Roman"/>
          <w:sz w:val="24"/>
          <w:szCs w:val="24"/>
          <w:lang w:val="en-GB"/>
        </w:rPr>
        <w:t xml:space="preserve"> CSOs also played a pivotal role during perhaps the most significant modern health emergency, the Covid-19 pandemic.</w:t>
      </w:r>
      <w:r w:rsidRPr="009A4A6F">
        <w:rPr>
          <w:rFonts w:ascii="Times New Roman" w:hAnsi="Times New Roman" w:cs="Times New Roman"/>
          <w:sz w:val="24"/>
          <w:szCs w:val="24"/>
          <w:vertAlign w:val="superscript"/>
          <w:lang w:val="en-GB"/>
        </w:rPr>
        <w:footnoteReference w:id="223"/>
      </w:r>
      <w:r w:rsidRPr="009A4A6F">
        <w:rPr>
          <w:rFonts w:ascii="Times New Roman" w:hAnsi="Times New Roman" w:cs="Times New Roman"/>
          <w:sz w:val="24"/>
          <w:szCs w:val="24"/>
          <w:lang w:val="en-GB"/>
        </w:rPr>
        <w:t xml:space="preserve"> Among other key contributions during the pandemic, CSOs were particularly instrumental in raising awareness and rebutting disinformation about the virus.” They performed these roles despite </w:t>
      </w:r>
      <w:hyperlink r:id="rId41" w:tgtFrame="_blank" w:history="1">
        <w:r w:rsidRPr="009A4A6F">
          <w:rPr>
            <w:rStyle w:val="Hyperlink"/>
            <w:rFonts w:ascii="Times New Roman" w:hAnsi="Times New Roman" w:cs="Times New Roman"/>
            <w:sz w:val="24"/>
            <w:szCs w:val="24"/>
            <w:u w:val="none"/>
            <w:lang w:val="en-GB"/>
          </w:rPr>
          <w:t>challenges</w:t>
        </w:r>
      </w:hyperlink>
      <w:r w:rsidRPr="009A4A6F">
        <w:rPr>
          <w:rFonts w:ascii="Times New Roman" w:hAnsi="Times New Roman" w:cs="Times New Roman"/>
          <w:sz w:val="24"/>
          <w:szCs w:val="24"/>
          <w:lang w:val="en-GB"/>
        </w:rPr>
        <w:t> such as; “being omitted from the government’s official pandemic response architecture, the closure of civic spaces due to the quarantine, and the loss of funding.”</w:t>
      </w:r>
      <w:r w:rsidRPr="009A4A6F">
        <w:rPr>
          <w:rFonts w:ascii="Times New Roman" w:hAnsi="Times New Roman" w:cs="Times New Roman"/>
          <w:sz w:val="24"/>
          <w:szCs w:val="24"/>
          <w:vertAlign w:val="superscript"/>
          <w:lang w:val="en-GB"/>
        </w:rPr>
        <w:footnoteReference w:id="224"/>
      </w:r>
      <w:r w:rsidRPr="009A4A6F">
        <w:rPr>
          <w:rFonts w:ascii="Times New Roman" w:hAnsi="Times New Roman" w:cs="Times New Roman"/>
          <w:sz w:val="24"/>
          <w:szCs w:val="24"/>
          <w:lang w:val="en-GB"/>
        </w:rPr>
        <w:t> </w:t>
      </w:r>
    </w:p>
    <w:p w14:paraId="46DF84AF" w14:textId="77777777" w:rsidR="009A4A6F" w:rsidRPr="009A4A6F" w:rsidRDefault="009A4A6F" w:rsidP="009A4A6F">
      <w:pPr>
        <w:spacing w:line="480" w:lineRule="auto"/>
        <w:jc w:val="both"/>
        <w:rPr>
          <w:rFonts w:ascii="Times New Roman" w:hAnsi="Times New Roman" w:cs="Times New Roman"/>
          <w:sz w:val="24"/>
          <w:szCs w:val="24"/>
          <w:lang w:val="en-GB"/>
        </w:rPr>
      </w:pPr>
    </w:p>
    <w:p w14:paraId="07F215CE" w14:textId="77777777" w:rsidR="009A4A6F" w:rsidRPr="009A4A6F" w:rsidRDefault="009A4A6F" w:rsidP="009A4A6F">
      <w:pPr>
        <w:spacing w:line="480" w:lineRule="auto"/>
        <w:jc w:val="both"/>
        <w:rPr>
          <w:rFonts w:ascii="Times New Roman" w:hAnsi="Times New Roman" w:cs="Times New Roman"/>
          <w:sz w:val="24"/>
          <w:szCs w:val="24"/>
          <w:lang w:val="en-GB"/>
        </w:rPr>
      </w:pPr>
    </w:p>
    <w:p w14:paraId="6D3B2659" w14:textId="77777777" w:rsidR="009A4A6F" w:rsidRPr="009A4A6F" w:rsidRDefault="009A4A6F" w:rsidP="009A4A6F">
      <w:pPr>
        <w:spacing w:line="480" w:lineRule="auto"/>
        <w:jc w:val="both"/>
        <w:rPr>
          <w:rFonts w:ascii="Times New Roman" w:hAnsi="Times New Roman" w:cs="Times New Roman"/>
          <w:sz w:val="24"/>
          <w:szCs w:val="24"/>
          <w:lang w:val="en-GB"/>
        </w:rPr>
      </w:pPr>
    </w:p>
    <w:p w14:paraId="113B0C1C" w14:textId="77777777" w:rsidR="009A4A6F" w:rsidRPr="009A4A6F" w:rsidRDefault="009A4A6F" w:rsidP="009A4A6F">
      <w:pPr>
        <w:spacing w:line="480" w:lineRule="auto"/>
        <w:jc w:val="both"/>
        <w:rPr>
          <w:rFonts w:ascii="Times New Roman" w:hAnsi="Times New Roman" w:cs="Times New Roman"/>
          <w:sz w:val="24"/>
          <w:szCs w:val="24"/>
          <w:lang w:val="en-GB"/>
        </w:rPr>
      </w:pPr>
    </w:p>
    <w:p w14:paraId="214C57AE" w14:textId="77777777" w:rsidR="009A4A6F" w:rsidRPr="009A4A6F" w:rsidRDefault="009A4A6F" w:rsidP="009A4A6F">
      <w:pPr>
        <w:spacing w:line="480" w:lineRule="auto"/>
        <w:jc w:val="both"/>
        <w:rPr>
          <w:rFonts w:ascii="Times New Roman" w:hAnsi="Times New Roman" w:cs="Times New Roman"/>
          <w:sz w:val="24"/>
          <w:szCs w:val="24"/>
          <w:lang w:val="en-GB"/>
        </w:rPr>
      </w:pPr>
    </w:p>
    <w:p w14:paraId="08CC68F5"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 xml:space="preserve"> </w:t>
      </w:r>
    </w:p>
    <w:p w14:paraId="24E34211" w14:textId="77777777" w:rsidR="009A4A6F" w:rsidRPr="009A4A6F" w:rsidRDefault="009A4A6F" w:rsidP="009A4A6F">
      <w:pPr>
        <w:spacing w:line="480" w:lineRule="auto"/>
        <w:jc w:val="both"/>
        <w:rPr>
          <w:rFonts w:ascii="Times New Roman" w:hAnsi="Times New Roman" w:cs="Times New Roman"/>
          <w:sz w:val="24"/>
          <w:szCs w:val="24"/>
          <w:lang w:val="en-GB"/>
        </w:rPr>
      </w:pPr>
    </w:p>
    <w:p w14:paraId="3D6A4F75" w14:textId="77777777" w:rsidR="009A4A6F" w:rsidRPr="009A4A6F" w:rsidRDefault="009A4A6F" w:rsidP="009A4A6F">
      <w:pPr>
        <w:spacing w:line="480" w:lineRule="auto"/>
        <w:jc w:val="both"/>
        <w:rPr>
          <w:rFonts w:ascii="Times New Roman" w:hAnsi="Times New Roman" w:cs="Times New Roman"/>
          <w:sz w:val="24"/>
          <w:szCs w:val="24"/>
          <w:lang w:val="en-GB"/>
        </w:rPr>
      </w:pPr>
    </w:p>
    <w:p w14:paraId="0B52F408" w14:textId="77777777" w:rsidR="00CE0B76" w:rsidRDefault="00CE0B76" w:rsidP="009A4A6F">
      <w:pPr>
        <w:spacing w:line="480" w:lineRule="auto"/>
        <w:jc w:val="both"/>
        <w:rPr>
          <w:rFonts w:ascii="Times New Roman" w:hAnsi="Times New Roman" w:cs="Times New Roman"/>
          <w:sz w:val="24"/>
          <w:szCs w:val="24"/>
          <w:lang w:val="en-GB"/>
        </w:rPr>
      </w:pPr>
    </w:p>
    <w:p w14:paraId="30016736" w14:textId="77777777" w:rsidR="00CE0B76" w:rsidRDefault="00CE0B76" w:rsidP="009A4A6F">
      <w:pPr>
        <w:spacing w:line="480" w:lineRule="auto"/>
        <w:jc w:val="both"/>
        <w:rPr>
          <w:rFonts w:ascii="Times New Roman" w:hAnsi="Times New Roman" w:cs="Times New Roman"/>
          <w:sz w:val="24"/>
          <w:szCs w:val="24"/>
          <w:lang w:val="en-GB"/>
        </w:rPr>
      </w:pPr>
    </w:p>
    <w:p w14:paraId="1ECA7B84" w14:textId="77777777" w:rsidR="00CE0B76" w:rsidRDefault="00CE0B76" w:rsidP="009A4A6F">
      <w:pPr>
        <w:spacing w:line="480" w:lineRule="auto"/>
        <w:jc w:val="both"/>
        <w:rPr>
          <w:rFonts w:ascii="Times New Roman" w:hAnsi="Times New Roman" w:cs="Times New Roman"/>
          <w:sz w:val="24"/>
          <w:szCs w:val="24"/>
          <w:lang w:val="en-GB"/>
        </w:rPr>
      </w:pPr>
    </w:p>
    <w:p w14:paraId="3B0EC06E" w14:textId="77777777" w:rsidR="00CE0B76" w:rsidRDefault="00CE0B76" w:rsidP="009A4A6F">
      <w:pPr>
        <w:spacing w:line="480" w:lineRule="auto"/>
        <w:jc w:val="both"/>
        <w:rPr>
          <w:rFonts w:ascii="Times New Roman" w:hAnsi="Times New Roman" w:cs="Times New Roman"/>
          <w:sz w:val="24"/>
          <w:szCs w:val="24"/>
          <w:lang w:val="en-GB"/>
        </w:rPr>
      </w:pPr>
    </w:p>
    <w:p w14:paraId="1B6F7A2E" w14:textId="58F145C7" w:rsidR="009A4A6F" w:rsidRPr="009A4A6F" w:rsidRDefault="009A4A6F" w:rsidP="00CE0B76">
      <w:pPr>
        <w:spacing w:line="480" w:lineRule="auto"/>
        <w:jc w:val="center"/>
        <w:rPr>
          <w:rFonts w:ascii="Times New Roman" w:hAnsi="Times New Roman" w:cs="Times New Roman"/>
          <w:b/>
          <w:sz w:val="24"/>
          <w:szCs w:val="24"/>
        </w:rPr>
      </w:pPr>
      <w:r w:rsidRPr="009A4A6F">
        <w:rPr>
          <w:rFonts w:ascii="Times New Roman" w:hAnsi="Times New Roman" w:cs="Times New Roman"/>
          <w:b/>
          <w:sz w:val="24"/>
          <w:szCs w:val="24"/>
        </w:rPr>
        <w:lastRenderedPageBreak/>
        <w:t>CHAPTER FOUR</w:t>
      </w:r>
    </w:p>
    <w:p w14:paraId="1EAEFEDF" w14:textId="68A34CF4" w:rsidR="009A4A6F" w:rsidRPr="009A4A6F" w:rsidRDefault="009A4A6F" w:rsidP="00CE0B76">
      <w:pPr>
        <w:spacing w:line="480" w:lineRule="auto"/>
        <w:jc w:val="center"/>
        <w:rPr>
          <w:rFonts w:ascii="Times New Roman" w:hAnsi="Times New Roman" w:cs="Times New Roman"/>
          <w:b/>
          <w:sz w:val="24"/>
          <w:szCs w:val="24"/>
        </w:rPr>
      </w:pPr>
      <w:r w:rsidRPr="009A4A6F">
        <w:rPr>
          <w:rFonts w:ascii="Times New Roman" w:hAnsi="Times New Roman" w:cs="Times New Roman"/>
          <w:b/>
          <w:sz w:val="24"/>
          <w:szCs w:val="24"/>
        </w:rPr>
        <w:t>CONTEMPORARY ISSUES IN PATIENTS</w:t>
      </w:r>
      <w:r w:rsidR="00CE0B76">
        <w:rPr>
          <w:rFonts w:ascii="Times New Roman" w:hAnsi="Times New Roman" w:cs="Times New Roman"/>
          <w:b/>
          <w:sz w:val="24"/>
          <w:szCs w:val="24"/>
        </w:rPr>
        <w:t>’</w:t>
      </w:r>
      <w:r w:rsidRPr="009A4A6F">
        <w:rPr>
          <w:rFonts w:ascii="Times New Roman" w:hAnsi="Times New Roman" w:cs="Times New Roman"/>
          <w:b/>
          <w:sz w:val="24"/>
          <w:szCs w:val="24"/>
        </w:rPr>
        <w:t xml:space="preserve"> RIGHTS; CHALLENGES AND PROSPECT UNDER THE NIGERIAN LAW</w:t>
      </w:r>
    </w:p>
    <w:p w14:paraId="3A74616B" w14:textId="77777777" w:rsidR="009A4A6F" w:rsidRPr="009A4A6F" w:rsidRDefault="009A4A6F" w:rsidP="009A4A6F">
      <w:pPr>
        <w:spacing w:line="480" w:lineRule="auto"/>
        <w:jc w:val="both"/>
        <w:rPr>
          <w:rFonts w:ascii="Times New Roman" w:hAnsi="Times New Roman" w:cs="Times New Roman"/>
          <w:b/>
          <w:sz w:val="24"/>
          <w:szCs w:val="24"/>
        </w:rPr>
      </w:pPr>
    </w:p>
    <w:p w14:paraId="1DCA0663"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t>4.1. Challenges in Enforcement of Patients` Rights in Nigeria</w:t>
      </w:r>
    </w:p>
    <w:p w14:paraId="6A63C680"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t>The enforcement of patient rights in Nigeria has faced a myriad of difficulties, reflecting complexities within the healthcare system and legal framework. Despite the existence of legal provisions and regulatory bodies, ensuring the complete comprehension of patients' rights encounters obstacles that demand scrutiny and resolution. A person possesses a right when another is obligated to perform or abstain from an action that either benefits or causes harm to them. This underscores the profound significance attributed to human rights. Patients, akin to other individuals, possess a spectrum of rights within this framework, underscoring the essential regard for the principles of human rights in the realm of healthcare.</w:t>
      </w:r>
      <w:r w:rsidRPr="009A4A6F">
        <w:rPr>
          <w:rFonts w:ascii="Times New Roman" w:hAnsi="Times New Roman" w:cs="Times New Roman"/>
          <w:sz w:val="24"/>
          <w:szCs w:val="24"/>
          <w:vertAlign w:val="superscript"/>
        </w:rPr>
        <w:footnoteReference w:id="225"/>
      </w:r>
    </w:p>
    <w:p w14:paraId="10C301BB"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t xml:space="preserve">In Nigeria, a diverse range of factors contributes to the impediments in enforcing patient rights. Limited awareness among the populace about their rights, compounded by disparities in education and socio-economic status, often results in a lack of empowerment among patients to assert their entitlements. Additionally, the insufficient integration of patient rights education within healthcare institutions contributes to a gap in knowledge among healthcare providers. Patient's rights differ from health rights. Health rights apply universally due to one's humanity, whereas patient rights specifically pertain to individuals in a doctor-patient relationship and can only be enforced in case of a breach. The NHA, the Medical and Dental Practitioners Act, </w:t>
      </w:r>
      <w:r w:rsidRPr="009A4A6F">
        <w:rPr>
          <w:rFonts w:ascii="Times New Roman" w:hAnsi="Times New Roman" w:cs="Times New Roman"/>
          <w:sz w:val="24"/>
          <w:szCs w:val="24"/>
        </w:rPr>
        <w:lastRenderedPageBreak/>
        <w:t>and the Nigerian Code of Medical Ethics (2004) collectively establish the foundation for acknowledging and safeguarding patients' rights within the Nigerian context.</w:t>
      </w:r>
      <w:r w:rsidRPr="009A4A6F">
        <w:rPr>
          <w:rFonts w:ascii="Times New Roman" w:hAnsi="Times New Roman" w:cs="Times New Roman"/>
          <w:sz w:val="24"/>
          <w:szCs w:val="24"/>
          <w:vertAlign w:val="superscript"/>
        </w:rPr>
        <w:footnoteReference w:id="226"/>
      </w:r>
    </w:p>
    <w:p w14:paraId="2426259F"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t>4.1.1. Institutional Challenges</w:t>
      </w:r>
    </w:p>
    <w:p w14:paraId="667E1190"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t>Enforcing patient rights in Nigeria encounters several institutional challenges that impede the effective implementation of legal frameworks and protections. These challenges are pivotal in understanding the complexities faced by institutions responsible for upholding patients' rights. Despite the presence of highly qualified professionals in health policy, business management, public policy, public health, and clinical sciences, there exists a paradoxical scenario marked by robust individual capacities but weakened institutional structures.</w:t>
      </w:r>
      <w:r w:rsidRPr="009A4A6F">
        <w:rPr>
          <w:rFonts w:ascii="Times New Roman" w:hAnsi="Times New Roman" w:cs="Times New Roman"/>
          <w:sz w:val="24"/>
          <w:szCs w:val="24"/>
          <w:vertAlign w:val="superscript"/>
        </w:rPr>
        <w:footnoteReference w:id="227"/>
      </w:r>
    </w:p>
    <w:p w14:paraId="0D74A220"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t>Initially, there has been a historical absence of a meaningful and electorate-responsive agreement between the government and the populace. The environment in which the health system operates lacks shared responsibilities within a framework involving principals, agents, and citizens, particularly disadvantaging the economically disadvantaged. This situation is attributed to factors such as entrenched rent-seeking, patronage, and corruption, extensively documented in various sources. The ineffectiveness of public financial management further facilitates the mishandling of resources and corruption.</w:t>
      </w:r>
      <w:r w:rsidRPr="009A4A6F">
        <w:rPr>
          <w:rFonts w:ascii="Times New Roman" w:hAnsi="Times New Roman" w:cs="Times New Roman"/>
          <w:sz w:val="24"/>
          <w:szCs w:val="24"/>
          <w:vertAlign w:val="superscript"/>
        </w:rPr>
        <w:footnoteReference w:id="228"/>
      </w:r>
    </w:p>
    <w:p w14:paraId="4E7C4CD0"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t>4.1.2. Inadequate Healthcare Infrastructure</w:t>
      </w:r>
    </w:p>
    <w:p w14:paraId="119BA154"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t xml:space="preserve">Health infrastructure is comprehensively assessed both qualitatively and quantitatively, encompassing the standard of care and the availability of healthcare services within a nation. The evaluation is based on the quality of physical, technological, and human resources accessible at any given time. Physical infrastructure encompasses the structures, including </w:t>
      </w:r>
      <w:r w:rsidRPr="009A4A6F">
        <w:rPr>
          <w:rFonts w:ascii="Times New Roman" w:hAnsi="Times New Roman" w:cs="Times New Roman"/>
          <w:sz w:val="24"/>
          <w:szCs w:val="24"/>
        </w:rPr>
        <w:lastRenderedPageBreak/>
        <w:t>buildings, and other fixed amenities such as piped water, well-maintained access roads, and reliable electricity, all integral components of healthcare environments. On the other hand, technological infrastructure refers to the equipment designated for hospital use, including surgical tools, shaping the technological dimension of healthcare provision.</w:t>
      </w:r>
      <w:r w:rsidRPr="009A4A6F">
        <w:rPr>
          <w:rFonts w:ascii="Times New Roman" w:hAnsi="Times New Roman" w:cs="Times New Roman"/>
          <w:sz w:val="24"/>
          <w:szCs w:val="24"/>
          <w:vertAlign w:val="superscript"/>
        </w:rPr>
        <w:footnoteReference w:id="229"/>
      </w:r>
    </w:p>
    <w:p w14:paraId="1A88DE39"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t>In the enforcement of patient's rights in Nigeria, it usually faces numerous and significant hurdles and these are mostly on the institutional fronts. One significant hurdle lies in the inadequacy of healthcare infrastructure. Universal health coverage, as defined by the World Health Organization, entails ensuring that every individual has access to necessary health services of adequate quality, without encountering financial hardships. The overarching objective is to encompass a comprehensive array of essential health services, spanning health promotion, preventive measures, treatment, rehabilitation, palliative care, and extending towards holistic enhancements of well-being and overall quality of life.</w:t>
      </w:r>
      <w:r w:rsidRPr="009A4A6F">
        <w:rPr>
          <w:rFonts w:ascii="Times New Roman" w:hAnsi="Times New Roman" w:cs="Times New Roman"/>
          <w:sz w:val="24"/>
          <w:szCs w:val="24"/>
          <w:vertAlign w:val="superscript"/>
        </w:rPr>
        <w:footnoteReference w:id="230"/>
      </w:r>
      <w:r w:rsidRPr="009A4A6F">
        <w:rPr>
          <w:rFonts w:ascii="Times New Roman" w:hAnsi="Times New Roman" w:cs="Times New Roman"/>
          <w:sz w:val="24"/>
          <w:szCs w:val="24"/>
        </w:rPr>
        <w:t xml:space="preserve"> There is a notable scarcity of healthcare facilities, medical professionals, and essential medical equipment across the country. The inadequacy of proper infrastructure and equipment in Nigerian healthcare facilities poses a substantial challenge. Numerous healthcare centers grapple with the absence of fundamental amenities such as consistent electricity, access to clean water, and operational medical equipment. Moreover, the lack of appropriate storage facilities for drugs results in wastage and inefficiencies, creating a notable risk to patient safety.</w:t>
      </w:r>
      <w:r w:rsidRPr="009A4A6F">
        <w:rPr>
          <w:rFonts w:ascii="Times New Roman" w:hAnsi="Times New Roman" w:cs="Times New Roman"/>
          <w:sz w:val="24"/>
          <w:szCs w:val="24"/>
          <w:vertAlign w:val="superscript"/>
        </w:rPr>
        <w:footnoteReference w:id="231"/>
      </w:r>
    </w:p>
    <w:p w14:paraId="0FC1E7DC" w14:textId="77777777" w:rsidR="009A4A6F" w:rsidRPr="009A4A6F" w:rsidRDefault="009A4A6F" w:rsidP="009A4A6F">
      <w:pPr>
        <w:spacing w:line="480" w:lineRule="auto"/>
        <w:jc w:val="both"/>
        <w:rPr>
          <w:rFonts w:ascii="Times New Roman" w:hAnsi="Times New Roman" w:cs="Times New Roman"/>
          <w:sz w:val="24"/>
          <w:szCs w:val="24"/>
        </w:rPr>
      </w:pPr>
    </w:p>
    <w:p w14:paraId="1CE88A69" w14:textId="77777777" w:rsidR="009A4A6F" w:rsidRPr="009A4A6F" w:rsidRDefault="009A4A6F" w:rsidP="009A4A6F">
      <w:pPr>
        <w:spacing w:line="480" w:lineRule="auto"/>
        <w:jc w:val="both"/>
        <w:rPr>
          <w:rFonts w:ascii="Times New Roman" w:hAnsi="Times New Roman" w:cs="Times New Roman"/>
          <w:sz w:val="24"/>
          <w:szCs w:val="24"/>
        </w:rPr>
      </w:pPr>
    </w:p>
    <w:p w14:paraId="2012AD6C"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lastRenderedPageBreak/>
        <w:t>4.1.3. Human Resources Challenges</w:t>
      </w:r>
    </w:p>
    <w:p w14:paraId="0793C275"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t>Managing human resources efficiently is a very important and crucial aspect for organizational performance, particularly in healthcare settings like hospitals. Overcoming challenges, such as shortages of skilled professionals, requires strategic planning and policies tailored to the unique demands of healthcare. Recognizing and implementing effective HRM practices in hospitals are instrumental in enhancing the quality of healthcare services and optimizing staff performance.</w:t>
      </w:r>
      <w:r w:rsidRPr="009A4A6F">
        <w:rPr>
          <w:rFonts w:ascii="Times New Roman" w:hAnsi="Times New Roman" w:cs="Times New Roman"/>
          <w:sz w:val="24"/>
          <w:szCs w:val="24"/>
          <w:vertAlign w:val="superscript"/>
        </w:rPr>
        <w:footnoteReference w:id="232"/>
      </w:r>
      <w:r w:rsidRPr="009A4A6F">
        <w:rPr>
          <w:rFonts w:ascii="Times New Roman" w:hAnsi="Times New Roman" w:cs="Times New Roman"/>
          <w:sz w:val="24"/>
          <w:szCs w:val="24"/>
        </w:rPr>
        <w:t xml:space="preserve"> In the context of healthcare, human resources encompass both clinical and non-clinical staff who play vital roles in public and individual health interventions. As a pivotal component among health system inputs, the effectiveness and outcomes of the system hinge significantly on the knowledge, skills, and motivation of the individuals tasked with providing health services.</w:t>
      </w:r>
      <w:r w:rsidRPr="009A4A6F">
        <w:rPr>
          <w:rFonts w:ascii="Times New Roman" w:hAnsi="Times New Roman" w:cs="Times New Roman"/>
          <w:sz w:val="24"/>
          <w:szCs w:val="24"/>
          <w:vertAlign w:val="superscript"/>
        </w:rPr>
        <w:footnoteReference w:id="233"/>
      </w:r>
      <w:r w:rsidRPr="009A4A6F">
        <w:rPr>
          <w:rFonts w:ascii="Times New Roman" w:hAnsi="Times New Roman" w:cs="Times New Roman"/>
          <w:sz w:val="24"/>
          <w:szCs w:val="24"/>
        </w:rPr>
        <w:t xml:space="preserve"> The extensive health infrastructure in various states generally adheres to a comparable framework. However, this system encounters several well-acknowledged managerial challenges that hinder its overall effectiveness.</w:t>
      </w:r>
    </w:p>
    <w:p w14:paraId="4A97BB26"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t>4.2 Socio-economic and Cultural Barriers to Patients’ Rights</w:t>
      </w:r>
    </w:p>
    <w:p w14:paraId="39F386EF"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t xml:space="preserve">Patients' rights encompassing the rights to informed consent, dignity, equal access, privacy, and autonomy are recognised under international frameworks such as the Universal Declaration of Human Rights (1948) and reinforced domestically by the NHA and Code of Medical Ethics. However, the Nigerian healthcare system still goes through significant difficulties in ensuring the balance between “patient autonomy and the traditional model of medical paternalism, where doctors make decisions on behalf of patients often without sufficient consultation an approach that ignores the legal and ethical need for patients to make informed decisions, </w:t>
      </w:r>
      <w:r w:rsidRPr="009A4A6F">
        <w:rPr>
          <w:rFonts w:ascii="Times New Roman" w:hAnsi="Times New Roman" w:cs="Times New Roman"/>
          <w:sz w:val="24"/>
          <w:szCs w:val="24"/>
        </w:rPr>
        <w:lastRenderedPageBreak/>
        <w:t>undermines trust in the system, and strips individuals of their right to control what happens to their bodies.”</w:t>
      </w:r>
      <w:r w:rsidRPr="009A4A6F">
        <w:rPr>
          <w:rFonts w:ascii="Times New Roman" w:hAnsi="Times New Roman" w:cs="Times New Roman"/>
          <w:sz w:val="24"/>
          <w:szCs w:val="24"/>
          <w:vertAlign w:val="superscript"/>
        </w:rPr>
        <w:footnoteReference w:id="234"/>
      </w:r>
      <w:r w:rsidRPr="009A4A6F">
        <w:rPr>
          <w:rFonts w:ascii="Times New Roman" w:hAnsi="Times New Roman" w:cs="Times New Roman"/>
          <w:sz w:val="24"/>
          <w:szCs w:val="24"/>
        </w:rPr>
        <w:t xml:space="preserve"> These violations of patients' rights do not occur in a vacuum. Some of the socio-economic barriers are;</w:t>
      </w:r>
    </w:p>
    <w:p w14:paraId="4E8C4867"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t>i)Poverty and Financial Incapacity: Poverty is one of the most pervasive barriers to patients' rights in Nigeria. Many people are unable to obtain adequate medical care due to the high costs of healthcare, particularly for necessary therapies. In Nigeria, where access to healthcare is frequently based on financial capacity, poverty continues to be a major obstacle to the realization of patient rights.</w:t>
      </w:r>
      <w:r w:rsidRPr="009A4A6F">
        <w:rPr>
          <w:rFonts w:ascii="Times New Roman" w:hAnsi="Times New Roman" w:cs="Times New Roman"/>
          <w:sz w:val="24"/>
          <w:szCs w:val="24"/>
          <w:vertAlign w:val="superscript"/>
        </w:rPr>
        <w:footnoteReference w:id="235"/>
      </w:r>
      <w:r w:rsidRPr="009A4A6F">
        <w:rPr>
          <w:rFonts w:ascii="Times New Roman" w:hAnsi="Times New Roman" w:cs="Times New Roman"/>
          <w:sz w:val="24"/>
          <w:szCs w:val="24"/>
        </w:rPr>
        <w:t xml:space="preserve"> Studies have shown that people with poor economic status are likely to accept and obey instructions without questioning them a failure that amounts to an ethical violation of informed consent. In other words, economic desperation silences patients and strips them of their right to meaningful participation in medical decisions.</w:t>
      </w:r>
      <w:r w:rsidRPr="009A4A6F">
        <w:rPr>
          <w:rFonts w:ascii="Times New Roman" w:hAnsi="Times New Roman" w:cs="Times New Roman"/>
          <w:sz w:val="24"/>
          <w:szCs w:val="24"/>
          <w:vertAlign w:val="superscript"/>
        </w:rPr>
        <w:footnoteReference w:id="236"/>
      </w:r>
    </w:p>
    <w:p w14:paraId="76C27F7E"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t>ii)Low Literacy and Health Illiteracy: Education is an important determinant of the ability to exercise patients' rights. The adult illiteracy rate in Nigeria stands at approximately 56.9%, with about 70% of Nigerians effectively being illiterate far worse than the global rate of approximately 20%. Many Nigerians lack health literacy, especially those living in rural areas. They are unable to exercise informed consent and make independent healthcare decisions due to their inability to comprehend their medical conditions and available treatments.</w:t>
      </w:r>
      <w:r w:rsidRPr="009A4A6F">
        <w:rPr>
          <w:rFonts w:ascii="Times New Roman" w:hAnsi="Times New Roman" w:cs="Times New Roman"/>
          <w:sz w:val="24"/>
          <w:szCs w:val="24"/>
          <w:vertAlign w:val="superscript"/>
        </w:rPr>
        <w:footnoteReference w:id="237"/>
      </w:r>
    </w:p>
    <w:p w14:paraId="1EA1EA14"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t xml:space="preserve">The cultural barriers to enforcing patients’ right in Nigeria are quite enormous in the Nigerian. These cultural barriers have made it practically impossible to enforce certain rights for patients. </w:t>
      </w:r>
    </w:p>
    <w:p w14:paraId="449DCAEC" w14:textId="77777777" w:rsidR="009A4A6F" w:rsidRPr="009A4A6F" w:rsidRDefault="009A4A6F" w:rsidP="009A4A6F">
      <w:pPr>
        <w:spacing w:line="480" w:lineRule="auto"/>
        <w:jc w:val="both"/>
        <w:rPr>
          <w:rFonts w:ascii="Times New Roman" w:hAnsi="Times New Roman" w:cs="Times New Roman"/>
          <w:sz w:val="24"/>
          <w:szCs w:val="24"/>
        </w:rPr>
      </w:pPr>
    </w:p>
    <w:p w14:paraId="747E8869"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lastRenderedPageBreak/>
        <w:t>Some of these barriers are;</w:t>
      </w:r>
    </w:p>
    <w:p w14:paraId="35442BB1"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t>i)Gender-Based Cultural Constraints: “Cultural practices such as the purdah system (wife seclusion) have been cited as a major barrier restricting women's access to healthcare in the Northern part of Nigeria. Gender disparities play a critical role in healthcare inequalities in Nigeria. Women, particularly in rural areas, face significant barriers to accessing healthcare. Cultural norms, limited financial resources, and lack of education often restrict women's ability to seek medical care, and maternal health services including prenatal and postnatal care are often inadequate.”</w:t>
      </w:r>
      <w:r w:rsidRPr="009A4A6F">
        <w:rPr>
          <w:rFonts w:ascii="Times New Roman" w:hAnsi="Times New Roman" w:cs="Times New Roman"/>
          <w:sz w:val="24"/>
          <w:szCs w:val="24"/>
          <w:vertAlign w:val="superscript"/>
        </w:rPr>
        <w:footnoteReference w:id="238"/>
      </w:r>
    </w:p>
    <w:p w14:paraId="134CEF68"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t>ii)Communitarian Decision-Making and Family Influence: “The communitarian ethos of Nigerian societies makes it unlikely for the form of treatment for mental disorders or indeed many health decisions to be decided by the individual alone, but rather by the family within a communal consultative framework. While this reflects deeply held values, it can override individual patient autonomy, a cornerstone of patients' rights. Factors adversely affecting consent in medical practice in Nigeria include poverty, undue influence of family, lack of professionalism, over-familiarity, overzealousness and religious belief.”</w:t>
      </w:r>
    </w:p>
    <w:p w14:paraId="098934E9"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t>4.3. Limitations in Legal and Institutional Enforcement</w:t>
      </w:r>
    </w:p>
    <w:p w14:paraId="6FBF9719"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t>The Health Care Industry grapples with various limitations, some of which are outlined below;</w:t>
      </w:r>
    </w:p>
    <w:p w14:paraId="24148CB9"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t xml:space="preserve">i)Insufficient Assessment during Recruitment: The recruitment process should adhere to transparent and publicly accessible procedures that are fair, providing all candidates who meet the minimum requirements an equal chance for selection. Merit and ability should be the primary criteria for candidate selection. In addition to eligibility requirements, the current </w:t>
      </w:r>
      <w:r w:rsidRPr="009A4A6F">
        <w:rPr>
          <w:rFonts w:ascii="Times New Roman" w:hAnsi="Times New Roman" w:cs="Times New Roman"/>
          <w:sz w:val="24"/>
          <w:szCs w:val="24"/>
        </w:rPr>
        <w:lastRenderedPageBreak/>
        <w:t>system lacks an effective evaluation of candidates' soft skills, including stress tolerance, communication abilities, psychological attributes, values, attitude, and personality traits.</w:t>
      </w:r>
    </w:p>
    <w:p w14:paraId="43676BC0"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t xml:space="preserve">ii)Inadequate Training Challenges in Healthcare: Insufficient training in the healthcare sector poses significant challenges. The focus on urban curative care in basic medical education neglects preparation for roles in rural primary health care. Medical officers lack induction training in the government health system, and there is a notable absence of public health, management, and interpersonal communication training. The existing technically-oriented training fails to bridge the gap between doctors and often economically disadvantaged, less educated clients. </w:t>
      </w:r>
    </w:p>
    <w:p w14:paraId="719D76B8"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t>Also, in the health system, rewards such as promotions and salary increments are not directly tied to individual performance but are primarily based on seniority and job availability. Postings and transfers are influenced by the "government's wish," allowing political and administrative connections to impact these decisions. Salary parity exists irrespective of working hours, leading to a lack of incentive for enhanced performance. The absence of clear links between personal efforts, rewards, and limited perceived benefits from training contributes to a system where many settle for the minimum acceptable level of performance.</w:t>
      </w:r>
      <w:r w:rsidRPr="009A4A6F">
        <w:rPr>
          <w:rFonts w:ascii="Times New Roman" w:hAnsi="Times New Roman" w:cs="Times New Roman"/>
          <w:sz w:val="24"/>
          <w:szCs w:val="24"/>
          <w:vertAlign w:val="superscript"/>
        </w:rPr>
        <w:footnoteReference w:id="239"/>
      </w:r>
      <w:r w:rsidRPr="009A4A6F">
        <w:rPr>
          <w:rFonts w:ascii="Times New Roman" w:hAnsi="Times New Roman" w:cs="Times New Roman"/>
          <w:sz w:val="24"/>
          <w:szCs w:val="24"/>
        </w:rPr>
        <w:t xml:space="preserve"> Centralized planning and performance appraisal based on specific targets have, over time, stifled local initiatives at the state level to customize or enhance health and family planning programs according to local requirements. Additionally, they are restricted from seeking direct assistance from foreign donors or collaborating with international partners in the health sector without obtaining clearance from the central government.</w:t>
      </w:r>
      <w:r w:rsidRPr="009A4A6F">
        <w:rPr>
          <w:rFonts w:ascii="Times New Roman" w:hAnsi="Times New Roman" w:cs="Times New Roman"/>
          <w:sz w:val="24"/>
          <w:szCs w:val="24"/>
          <w:vertAlign w:val="superscript"/>
        </w:rPr>
        <w:footnoteReference w:id="240"/>
      </w:r>
    </w:p>
    <w:p w14:paraId="40E0661B"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t xml:space="preserve">iii)Lack of Comprehensive Legislation: “The right to health, as outlined in Chapter II of the 1999 Constitution of the Federal Republic of Nigeria, falls under second and third-generation </w:t>
      </w:r>
      <w:r w:rsidRPr="009A4A6F">
        <w:rPr>
          <w:rFonts w:ascii="Times New Roman" w:hAnsi="Times New Roman" w:cs="Times New Roman"/>
          <w:sz w:val="24"/>
          <w:szCs w:val="24"/>
        </w:rPr>
        <w:lastRenderedPageBreak/>
        <w:t>rights. These rights are not explicitly framed as justiciable rights in the Constitution; instead, they serve as the foundation for Chapter II, titled 'Fundamental Objectives and Directive Principles of State Policy.' This chapter encompasses political, economic, social, cultural, educational, and foreign policy objectives and directive principles. The provisions in Chapter II are considered non-justiciable, representing ideals that states are encouraged to pursue.</w:t>
      </w:r>
      <w:r w:rsidRPr="009A4A6F">
        <w:rPr>
          <w:rFonts w:ascii="Times New Roman" w:hAnsi="Times New Roman" w:cs="Times New Roman"/>
          <w:sz w:val="24"/>
          <w:szCs w:val="24"/>
          <w:vertAlign w:val="superscript"/>
        </w:rPr>
        <w:footnoteReference w:id="241"/>
      </w:r>
      <w:r w:rsidRPr="009A4A6F">
        <w:rPr>
          <w:rFonts w:ascii="Times New Roman" w:hAnsi="Times New Roman" w:cs="Times New Roman"/>
          <w:sz w:val="24"/>
          <w:szCs w:val="24"/>
        </w:rPr>
        <w:t xml:space="preserve"> The lack of comprehensive legislation further compounds the challenge of realizing the right to health in Nigeria. While Chapter II of the 1999 Constitution outlines fundamental objectives, including the right to health, the absence of specific, enforceable laws leaves these rights without adequate legal backing. The non-justiciable nature of the provisions in Chapter II means that there is no direct legal recourse for individuals whose right to health is violated.” </w:t>
      </w:r>
    </w:p>
    <w:p w14:paraId="7BB9FDFC"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t>The lack of literacy poses a significant obstacle to upholding Fundamental Rights in Nigeria. A considerable portion of the population is illiterate, hindering their ability to comprehend and assert their rights. The freedom of expression holds little meaning, especially for the masses with limited education, as they may lack awareness of their rights. Consequently, they might not recognize when their rights are violated. Even if awareness exists, individuals may be too economically disadvantaged to afford the expenses and endure the lengthy legal process, including potential appeals to the Supreme Court.</w:t>
      </w:r>
      <w:r w:rsidRPr="009A4A6F">
        <w:rPr>
          <w:rFonts w:ascii="Times New Roman" w:hAnsi="Times New Roman" w:cs="Times New Roman"/>
          <w:sz w:val="24"/>
          <w:szCs w:val="24"/>
          <w:vertAlign w:val="superscript"/>
        </w:rPr>
        <w:footnoteReference w:id="242"/>
      </w:r>
    </w:p>
    <w:p w14:paraId="2951A722"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t>4.4. Contemporary Issues</w:t>
      </w:r>
    </w:p>
    <w:p w14:paraId="3C857D1F"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t>4.4.1 Medical Negligence and Malpractice Trends</w:t>
      </w:r>
    </w:p>
    <w:p w14:paraId="681DE9D2"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t xml:space="preserve">Generally; “professional medical negligence or malpractice has been on the increase and needs to be addressed in terms of the attitude of law towards medical practice for the protection of </w:t>
      </w:r>
      <w:r w:rsidRPr="009A4A6F">
        <w:rPr>
          <w:rFonts w:ascii="Times New Roman" w:hAnsi="Times New Roman" w:cs="Times New Roman"/>
          <w:sz w:val="24"/>
          <w:szCs w:val="24"/>
        </w:rPr>
        <w:lastRenderedPageBreak/>
        <w:t xml:space="preserve">the patient to make the physician liable as well as to secure punitive punishment for any medical practitioner who through carelessness causes harm to a patient. Moreover, there is the need to caution medical practitioners who have sent many patients to their untimely graves in the course of their professional duties.” </w:t>
      </w:r>
    </w:p>
    <w:p w14:paraId="5EA01C24"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t>“Medical negligence derives its origins from the tortious principle of negligence. The essence of the tort of negligence was that a person should be subject to liability for carelessly causing harm to another. Relatedly, medical negligence constitutes an act or omission by a medical practitioner which breaches the duty of care the practitioner owes to the patient resulting to injury or death of the patient.”</w:t>
      </w:r>
    </w:p>
    <w:p w14:paraId="3F647EC6"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t>Thus; “a medical error is a commission or an omission with potentially negative consequences to the patient that would have been judged wrong by skilled and knowledgeable peers at the time it occurred, independent of whether there were any negative consequences. A hospital, doctor, or other health care professional is expected to provide a certain standard of care. Thus, medical malpractice is a legal cause of action that occurs when a medical or health care professional, through a negligent act or omission, deviates from standards in their profession, thereby causing injury to a patient.”</w:t>
      </w:r>
      <w:r w:rsidRPr="009A4A6F">
        <w:rPr>
          <w:rFonts w:ascii="Times New Roman" w:hAnsi="Times New Roman" w:cs="Times New Roman"/>
          <w:sz w:val="24"/>
          <w:szCs w:val="24"/>
          <w:vertAlign w:val="superscript"/>
        </w:rPr>
        <w:footnoteReference w:id="243"/>
      </w:r>
    </w:p>
    <w:p w14:paraId="0D6048C6"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t xml:space="preserve">If a doctor administers medical treatment to a patient in a negligent manner and causes him harm, the patient can bring an action of negligence against the doctor claiming damages for the harm suffered. In other for a plaintiff to succeed in a suit on the basis of negligence, they must prove the following three conditions; “(i) That the doctor owed the patient a duty to use reasonable care in treating him or her; (ii) That the doctor failed to exercise such care, that is </w:t>
      </w:r>
      <w:r w:rsidRPr="009A4A6F">
        <w:rPr>
          <w:rFonts w:ascii="Times New Roman" w:hAnsi="Times New Roman" w:cs="Times New Roman"/>
          <w:sz w:val="24"/>
          <w:szCs w:val="24"/>
        </w:rPr>
        <w:lastRenderedPageBreak/>
        <w:t>he was in breach of that duty; and (iii) That the patient suffered damage(s) as a result of the breach.”</w:t>
      </w:r>
    </w:p>
    <w:p w14:paraId="41D49B69"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t>It is expected that; “aggrieved clients should institute legal actions against the occurrence of medical negligence, doing so in some cases are considered as herculean task for victims and their relatives. This is in spite of the fact that the probability of being compensated is high, provided that clients through their lawyers are able to present and proof their claims beyond any reasonable doubt.”</w:t>
      </w:r>
      <w:r w:rsidRPr="009A4A6F">
        <w:rPr>
          <w:rFonts w:ascii="Times New Roman" w:hAnsi="Times New Roman" w:cs="Times New Roman"/>
          <w:sz w:val="24"/>
          <w:szCs w:val="24"/>
          <w:vertAlign w:val="superscript"/>
        </w:rPr>
        <w:footnoteReference w:id="244"/>
      </w:r>
      <w:r w:rsidRPr="009A4A6F">
        <w:rPr>
          <w:rFonts w:ascii="Times New Roman" w:hAnsi="Times New Roman" w:cs="Times New Roman"/>
          <w:sz w:val="24"/>
          <w:szCs w:val="24"/>
          <w:vertAlign w:val="superscript"/>
        </w:rPr>
        <w:t xml:space="preserve"> </w:t>
      </w:r>
    </w:p>
    <w:p w14:paraId="145AEFED"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t>Notwithstanding, it has been expressed that; “volume of medical negligence litigations in Nigeria is relatively low when compared with developed countries such as the United States of America and Britain.</w:t>
      </w:r>
      <w:r w:rsidRPr="009A4A6F">
        <w:rPr>
          <w:rFonts w:ascii="Times New Roman" w:hAnsi="Times New Roman" w:cs="Times New Roman"/>
          <w:sz w:val="24"/>
          <w:szCs w:val="24"/>
          <w:vertAlign w:val="superscript"/>
        </w:rPr>
        <w:footnoteReference w:id="245"/>
      </w:r>
      <w:r w:rsidRPr="009A4A6F">
        <w:rPr>
          <w:rFonts w:ascii="Times New Roman" w:hAnsi="Times New Roman" w:cs="Times New Roman"/>
          <w:sz w:val="24"/>
          <w:szCs w:val="24"/>
        </w:rPr>
        <w:t xml:space="preserve"> The desire to seek redress by patients in the event of medical negligence is hampered by difficulty in obtaining expert medical witness opinions, including evidence based medical records. This is important as medical negligence matters have always been a challenge for lawyers due to the intricate aspects of the proficiency only known to the medical practitioners and experts.”</w:t>
      </w:r>
      <w:r w:rsidRPr="009A4A6F">
        <w:rPr>
          <w:rFonts w:ascii="Times New Roman" w:hAnsi="Times New Roman" w:cs="Times New Roman"/>
          <w:sz w:val="24"/>
          <w:szCs w:val="24"/>
          <w:vertAlign w:val="superscript"/>
        </w:rPr>
        <w:footnoteReference w:id="246"/>
      </w:r>
    </w:p>
    <w:p w14:paraId="7FB31655"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t xml:space="preserve">A very much recent case of medical negligence in Nigeria is; “the case of the death of the 21-month-old son of popular writer Chimamanda Adichie. Nigeria's medical council has provisionally suspended the director of a private hospital and two other doctors following the death of the 21-month-old son of renowned author Chimamanda Ngozi Adichie. Nkanu Adichie-Esege, one of twins, died on 7 January after complications arose during preparatory medical procedures at Euracare Hospital in Lagos. The Medical and Dental Council of Nigeria (MDCN) investigation panel established a prima facie case of medical negligence against </w:t>
      </w:r>
      <w:r w:rsidRPr="009A4A6F">
        <w:rPr>
          <w:rFonts w:ascii="Times New Roman" w:hAnsi="Times New Roman" w:cs="Times New Roman"/>
          <w:sz w:val="24"/>
          <w:szCs w:val="24"/>
        </w:rPr>
        <w:lastRenderedPageBreak/>
        <w:t>Euracare and Atlantis Hospital over the child’s management.”</w:t>
      </w:r>
      <w:r w:rsidRPr="009A4A6F">
        <w:rPr>
          <w:rFonts w:ascii="Times New Roman" w:hAnsi="Times New Roman" w:cs="Times New Roman"/>
          <w:sz w:val="24"/>
          <w:szCs w:val="24"/>
          <w:vertAlign w:val="superscript"/>
        </w:rPr>
        <w:footnoteReference w:id="247"/>
      </w:r>
      <w:r w:rsidRPr="009A4A6F">
        <w:rPr>
          <w:rFonts w:ascii="Times New Roman" w:hAnsi="Times New Roman" w:cs="Times New Roman"/>
          <w:sz w:val="24"/>
          <w:szCs w:val="24"/>
        </w:rPr>
        <w:t xml:space="preserve">  In </w:t>
      </w:r>
      <w:r w:rsidRPr="009A4A6F">
        <w:rPr>
          <w:rFonts w:ascii="Times New Roman" w:hAnsi="Times New Roman" w:cs="Times New Roman"/>
          <w:i/>
          <w:sz w:val="24"/>
          <w:szCs w:val="24"/>
        </w:rPr>
        <w:t>Otti v. Excel-C Medical Centre Ltd &amp; Anor</w:t>
      </w:r>
      <w:r w:rsidRPr="009A4A6F">
        <w:rPr>
          <w:rFonts w:ascii="Times New Roman" w:hAnsi="Times New Roman" w:cs="Times New Roman"/>
          <w:sz w:val="24"/>
          <w:szCs w:val="24"/>
          <w:vertAlign w:val="superscript"/>
        </w:rPr>
        <w:footnoteReference w:id="248"/>
      </w:r>
      <w:r w:rsidRPr="009A4A6F">
        <w:rPr>
          <w:rFonts w:ascii="Times New Roman" w:hAnsi="Times New Roman" w:cs="Times New Roman"/>
          <w:sz w:val="24"/>
          <w:szCs w:val="24"/>
        </w:rPr>
        <w:t>, it was held that: “It is rudimentary law that in order to find a medical professional guilty of negligence, the situation has to be such that what he did is what professional colleagues would say that he really made a mistake and that he ought not to have made it. Put differently, the action would be such that falls short of the standard of a reasonably skillful medical professional”.</w:t>
      </w:r>
    </w:p>
    <w:p w14:paraId="146CC6C6"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t xml:space="preserve">Section 303 of the Criminal Code prescribes that; “persons who undertake to administer surgical or medical treatment should possess reasonable skill and use reasonable care in acting except in cases of necessity. In line with these provisions, a negligent medical practitioner can be criminally prosecuted for medical negligence.  Any person seeking redress for medical negligence under criminal law in the gravest of circumstances can file a report at the Police Station. The Police will then investigate the suspected medical practitioner(s) and where their investigation reveals gross negligence, they may prosecute the matter.  In this instance, the Police can file a criminal suit against the medical practitioner in court for gross negligence or for manslaughter, where death of the patient has occurred.” </w:t>
      </w:r>
    </w:p>
    <w:p w14:paraId="2C125234"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t>4.4.2. Telemedicine, Data Privacy and Digital Healthcare</w:t>
      </w:r>
    </w:p>
    <w:p w14:paraId="55E8582D"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 xml:space="preserve">Telemedicine may be regarded as; “the utilization of telecommunication technologies to offer and/or receive medical services to individuals or groups of people who are located in distant areas other than where a health or medical practitioner rendering the services resides. It is an umbrella term that encompasses a whole lot of systems and services that are used in the field of healthcare.” Accordingly, the concept connotes; “using health and medical data transmitted from one end to the other using sophisticated communication gadgets with the aim of bettering </w:t>
      </w:r>
      <w:r w:rsidRPr="009A4A6F">
        <w:rPr>
          <w:rFonts w:ascii="Times New Roman" w:hAnsi="Times New Roman" w:cs="Times New Roman"/>
          <w:sz w:val="24"/>
          <w:szCs w:val="24"/>
          <w:lang w:val="en-GB"/>
        </w:rPr>
        <w:lastRenderedPageBreak/>
        <w:t>the health conditions of patients.”</w:t>
      </w:r>
      <w:r w:rsidRPr="009A4A6F">
        <w:rPr>
          <w:rFonts w:ascii="Times New Roman" w:hAnsi="Times New Roman" w:cs="Times New Roman"/>
          <w:sz w:val="24"/>
          <w:szCs w:val="24"/>
          <w:vertAlign w:val="superscript"/>
          <w:lang w:val="en-GB"/>
        </w:rPr>
        <w:footnoteReference w:id="249"/>
      </w:r>
      <w:r w:rsidRPr="009A4A6F">
        <w:rPr>
          <w:rFonts w:ascii="Times New Roman" w:hAnsi="Times New Roman" w:cs="Times New Roman"/>
          <w:sz w:val="24"/>
          <w:szCs w:val="24"/>
          <w:lang w:val="en-GB"/>
        </w:rPr>
        <w:t xml:space="preserve"> This method is primarily used to treat certain health conditions such as asthma, diabetes, heart disease, and sickle cell anaemia. </w:t>
      </w:r>
    </w:p>
    <w:p w14:paraId="4D8B9488"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Telemedicine, which is; “the use of technological gadgets to remotely provide healthcare services, has become an important tool for delivering medical services in both developed and developing countries. However, the adoption and implementation of telemedicine differ between these two regions due to various factors such as the level of technological advancements, the availability of resources, and the status of healthcare systems.</w:t>
      </w:r>
      <w:r w:rsidRPr="009A4A6F">
        <w:rPr>
          <w:rFonts w:ascii="Times New Roman" w:hAnsi="Times New Roman" w:cs="Times New Roman"/>
          <w:sz w:val="24"/>
          <w:szCs w:val="24"/>
          <w:vertAlign w:val="superscript"/>
          <w:lang w:val="en-GB"/>
        </w:rPr>
        <w:footnoteReference w:id="250"/>
      </w:r>
      <w:r w:rsidRPr="009A4A6F">
        <w:rPr>
          <w:rFonts w:ascii="Times New Roman" w:hAnsi="Times New Roman" w:cs="Times New Roman"/>
          <w:sz w:val="24"/>
          <w:szCs w:val="24"/>
          <w:lang w:val="en-GB"/>
        </w:rPr>
        <w:t xml:space="preserve"> Telemedicine has been widely adopted as a means of providing healthcare services in developed countries because the healthcare systems in these countries are well-established and there are significant resources available to support the implementation and operation of telemedicine exercises.”</w:t>
      </w:r>
      <w:r w:rsidRPr="009A4A6F">
        <w:rPr>
          <w:rFonts w:ascii="Times New Roman" w:hAnsi="Times New Roman" w:cs="Times New Roman"/>
          <w:sz w:val="24"/>
          <w:szCs w:val="24"/>
          <w:vertAlign w:val="superscript"/>
          <w:lang w:val="en-GB"/>
        </w:rPr>
        <w:footnoteReference w:id="251"/>
      </w:r>
    </w:p>
    <w:p w14:paraId="7ECE0B9B"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“On the other hand, telemedicine in developing countries like Nigeria is still in its early stages of adoption. This is simply because the health care systems in these countries are often under-resourced and lack the necessary infrastructure to support telemedical endeavors.</w:t>
      </w:r>
      <w:r w:rsidRPr="009A4A6F">
        <w:rPr>
          <w:rFonts w:ascii="Times New Roman" w:hAnsi="Times New Roman" w:cs="Times New Roman"/>
          <w:sz w:val="24"/>
          <w:szCs w:val="24"/>
          <w:vertAlign w:val="superscript"/>
          <w:lang w:val="en-GB"/>
        </w:rPr>
        <w:footnoteReference w:id="252"/>
      </w:r>
      <w:r w:rsidRPr="009A4A6F">
        <w:rPr>
          <w:rFonts w:ascii="Times New Roman" w:hAnsi="Times New Roman" w:cs="Times New Roman"/>
          <w:sz w:val="24"/>
          <w:szCs w:val="24"/>
          <w:lang w:val="en-GB"/>
        </w:rPr>
        <w:t xml:space="preserve"> Although phone consultations are the predominant type of telemedicine practiced in Nigeria, the trend has benefited pregnant women and nursing mothers more than any other category of patients, especially during the COVID-19 era.”</w:t>
      </w:r>
      <w:r w:rsidRPr="009A4A6F">
        <w:rPr>
          <w:rFonts w:ascii="Times New Roman" w:hAnsi="Times New Roman" w:cs="Times New Roman"/>
          <w:sz w:val="24"/>
          <w:szCs w:val="24"/>
          <w:vertAlign w:val="superscript"/>
          <w:lang w:val="en-GB"/>
        </w:rPr>
        <w:footnoteReference w:id="253"/>
      </w:r>
      <w:r w:rsidRPr="009A4A6F">
        <w:rPr>
          <w:rFonts w:ascii="Times New Roman" w:hAnsi="Times New Roman" w:cs="Times New Roman"/>
          <w:sz w:val="24"/>
          <w:szCs w:val="24"/>
          <w:lang w:val="en-GB"/>
        </w:rPr>
        <w:t xml:space="preserve"> </w:t>
      </w:r>
    </w:p>
    <w:p w14:paraId="41A03038"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lastRenderedPageBreak/>
        <w:t>While telemedicine has the potential to enhance health security in Nigeria, several challenges currently undermine its widespread implementation and effectiveness.</w:t>
      </w:r>
      <w:r w:rsidRPr="009A4A6F">
        <w:rPr>
          <w:rFonts w:ascii="Times New Roman" w:hAnsi="Times New Roman" w:cs="Times New Roman"/>
          <w:sz w:val="24"/>
          <w:szCs w:val="24"/>
          <w:vertAlign w:val="superscript"/>
          <w:lang w:val="en-GB"/>
        </w:rPr>
        <w:footnoteReference w:id="254"/>
      </w:r>
      <w:r w:rsidRPr="009A4A6F">
        <w:rPr>
          <w:rFonts w:ascii="Times New Roman" w:hAnsi="Times New Roman" w:cs="Times New Roman"/>
          <w:sz w:val="24"/>
          <w:szCs w:val="24"/>
          <w:lang w:val="en-GB"/>
        </w:rPr>
        <w:t>Firstly is limited infrastructure; “access to reliable internet connectivity and electricity is still a major issue in many parts of Nigeria, especially in rural areas. Without a stable internet connection and power supply, the successful implementation of telemedicine becomes difficult.”</w:t>
      </w:r>
      <w:r w:rsidRPr="009A4A6F">
        <w:rPr>
          <w:rFonts w:ascii="Times New Roman" w:hAnsi="Times New Roman" w:cs="Times New Roman"/>
          <w:sz w:val="24"/>
          <w:szCs w:val="24"/>
          <w:vertAlign w:val="superscript"/>
          <w:lang w:val="en-GB"/>
        </w:rPr>
        <w:footnoteReference w:id="255"/>
      </w:r>
      <w:r w:rsidRPr="009A4A6F">
        <w:rPr>
          <w:rFonts w:ascii="Times New Roman" w:hAnsi="Times New Roman" w:cs="Times New Roman"/>
          <w:sz w:val="24"/>
          <w:szCs w:val="24"/>
          <w:lang w:val="en-GB"/>
        </w:rPr>
        <w:t xml:space="preserve"> </w:t>
      </w:r>
    </w:p>
    <w:p w14:paraId="3966B860"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“A second challenge is the lack of awareness and the issue of mistrust. Many Nigerians are not aware of telemedicine or have reservations about seeking medical advice remotely. The concept is still relatively new, and there may be skepticism or distrust among patients about the quality of care provided through telemedicine platforms.</w:t>
      </w:r>
      <w:r w:rsidRPr="009A4A6F">
        <w:rPr>
          <w:rFonts w:ascii="Times New Roman" w:hAnsi="Times New Roman" w:cs="Times New Roman"/>
          <w:sz w:val="24"/>
          <w:szCs w:val="24"/>
          <w:vertAlign w:val="superscript"/>
          <w:lang w:val="en-GB"/>
        </w:rPr>
        <w:footnoteReference w:id="256"/>
      </w:r>
      <w:r w:rsidRPr="009A4A6F">
        <w:rPr>
          <w:rFonts w:ascii="Times New Roman" w:hAnsi="Times New Roman" w:cs="Times New Roman"/>
          <w:sz w:val="24"/>
          <w:szCs w:val="24"/>
          <w:lang w:val="en-GB"/>
        </w:rPr>
        <w:t xml:space="preserve"> This citizens’ distrust is fallout from the observed inadequate regulatory framework, which itself is a third challenge. There is a need for a comprehensive regulatory framework to govern telemedicine practices in Nigeria. Currently, there is no specific legal framework that addresses issues such as licensure, privacy, data security, and liability.</w:t>
      </w:r>
      <w:r w:rsidRPr="009A4A6F">
        <w:rPr>
          <w:rFonts w:ascii="Times New Roman" w:hAnsi="Times New Roman" w:cs="Times New Roman"/>
          <w:sz w:val="24"/>
          <w:szCs w:val="24"/>
          <w:vertAlign w:val="superscript"/>
          <w:lang w:val="en-GB"/>
        </w:rPr>
        <w:footnoteReference w:id="257"/>
      </w:r>
      <w:r w:rsidRPr="009A4A6F">
        <w:rPr>
          <w:rFonts w:ascii="Times New Roman" w:hAnsi="Times New Roman" w:cs="Times New Roman"/>
          <w:sz w:val="24"/>
          <w:szCs w:val="24"/>
          <w:lang w:val="en-GB"/>
        </w:rPr>
        <w:t xml:space="preserve"> </w:t>
      </w:r>
    </w:p>
    <w:p w14:paraId="34BC0129"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The fourth issue is, no doubt, the poor healthcare infrastructure that has bedeviled Nigeria over the years. While telemedicine can help bridge the healthcare access gap, it cannot fully replace the need for a well-functioning healthcare system. Inadequate healthcare facilities, scarcity of medical professionals, and limited medical resources can limit the effectiveness of telemedicine services.</w:t>
      </w:r>
      <w:r w:rsidRPr="009A4A6F">
        <w:rPr>
          <w:rFonts w:ascii="Times New Roman" w:hAnsi="Times New Roman" w:cs="Times New Roman"/>
          <w:sz w:val="24"/>
          <w:szCs w:val="24"/>
          <w:vertAlign w:val="superscript"/>
          <w:lang w:val="en-GB"/>
        </w:rPr>
        <w:footnoteReference w:id="258"/>
      </w:r>
      <w:r w:rsidRPr="009A4A6F">
        <w:rPr>
          <w:rFonts w:ascii="Times New Roman" w:hAnsi="Times New Roman" w:cs="Times New Roman"/>
          <w:sz w:val="24"/>
          <w:szCs w:val="24"/>
          <w:lang w:val="en-GB"/>
        </w:rPr>
        <w:t xml:space="preserve"> The fifth problem is, of course, socio-economic disparities among the population. Nigeria faces significant socio-economic disparities, with a large portion of the population living in poverty. Access to digital devices, smartphones, and computers required </w:t>
      </w:r>
      <w:r w:rsidRPr="009A4A6F">
        <w:rPr>
          <w:rFonts w:ascii="Times New Roman" w:hAnsi="Times New Roman" w:cs="Times New Roman"/>
          <w:sz w:val="24"/>
          <w:szCs w:val="24"/>
          <w:lang w:val="en-GB"/>
        </w:rPr>
        <w:lastRenderedPageBreak/>
        <w:t>for telemedicine consultations may be a challenge for many individuals, particularly those in low-income communities.</w:t>
      </w:r>
      <w:r w:rsidRPr="009A4A6F">
        <w:rPr>
          <w:rFonts w:ascii="Times New Roman" w:hAnsi="Times New Roman" w:cs="Times New Roman"/>
          <w:sz w:val="24"/>
          <w:szCs w:val="24"/>
          <w:vertAlign w:val="superscript"/>
          <w:lang w:val="en-GB"/>
        </w:rPr>
        <w:footnoteReference w:id="259"/>
      </w:r>
      <w:r w:rsidRPr="009A4A6F">
        <w:rPr>
          <w:rFonts w:ascii="Times New Roman" w:hAnsi="Times New Roman" w:cs="Times New Roman"/>
          <w:sz w:val="24"/>
          <w:szCs w:val="24"/>
          <w:lang w:val="en-GB"/>
        </w:rPr>
        <w:t xml:space="preserve"> </w:t>
      </w:r>
    </w:p>
    <w:p w14:paraId="2B8543E8"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The sixth and last issue is the obvious language and cultural barriers. Nigeria is a linguistically diverse country with various ethnic groups and languages. The availability of telemedicine services in multiple languages is crucial to ensure effective communication with patients. Additionally, cultural beliefs and practices may influence patient acceptance and utilization of telemedicine.”</w:t>
      </w:r>
      <w:r w:rsidRPr="009A4A6F">
        <w:rPr>
          <w:rFonts w:ascii="Times New Roman" w:hAnsi="Times New Roman" w:cs="Times New Roman"/>
          <w:sz w:val="24"/>
          <w:szCs w:val="24"/>
          <w:vertAlign w:val="superscript"/>
          <w:lang w:val="en-GB"/>
        </w:rPr>
        <w:footnoteReference w:id="260"/>
      </w:r>
    </w:p>
    <w:p w14:paraId="328AF618"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4.4.3. Informed Consent Challenges</w:t>
      </w:r>
    </w:p>
    <w:p w14:paraId="180FD641"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Informed consent is an </w:t>
      </w:r>
      <w:hyperlink r:id="rId42" w:tgtFrame="_blank" w:history="1">
        <w:r w:rsidRPr="009A4A6F">
          <w:rPr>
            <w:rStyle w:val="Hyperlink"/>
            <w:rFonts w:ascii="Times New Roman" w:hAnsi="Times New Roman" w:cs="Times New Roman"/>
            <w:sz w:val="24"/>
            <w:szCs w:val="24"/>
            <w:u w:val="none"/>
            <w:lang w:val="en-GB"/>
          </w:rPr>
          <w:t>applied ethics principle</w:t>
        </w:r>
      </w:hyperlink>
      <w:r w:rsidRPr="009A4A6F">
        <w:rPr>
          <w:rFonts w:ascii="Times New Roman" w:hAnsi="Times New Roman" w:cs="Times New Roman"/>
          <w:sz w:val="24"/>
          <w:szCs w:val="24"/>
          <w:lang w:val="en-GB"/>
        </w:rPr>
        <w:t> in which patients are given important information, including the possible risks and benefits, about a medical procedure or treatment, genetic testing, or a clinical trial.</w:t>
      </w:r>
      <w:r w:rsidRPr="009A4A6F">
        <w:rPr>
          <w:rFonts w:ascii="Times New Roman" w:hAnsi="Times New Roman" w:cs="Times New Roman"/>
          <w:sz w:val="24"/>
          <w:szCs w:val="24"/>
          <w:vertAlign w:val="superscript"/>
          <w:lang w:val="en-GB"/>
        </w:rPr>
        <w:footnoteReference w:id="261"/>
      </w:r>
      <w:r w:rsidRPr="009A4A6F">
        <w:rPr>
          <w:rFonts w:ascii="Times New Roman" w:hAnsi="Times New Roman" w:cs="Times New Roman"/>
          <w:sz w:val="24"/>
          <w:szCs w:val="24"/>
          <w:lang w:val="en-GB"/>
        </w:rPr>
        <w:t xml:space="preserve"> Some of the challenges of informed consent in Nigeria amongst patients include; “cases of low educational background. </w:t>
      </w:r>
      <w:hyperlink r:id="rId43" w:tgtFrame="_blank" w:history="1">
        <w:r w:rsidRPr="009A4A6F">
          <w:rPr>
            <w:rStyle w:val="Hyperlink"/>
            <w:rFonts w:ascii="Times New Roman" w:hAnsi="Times New Roman" w:cs="Times New Roman"/>
            <w:sz w:val="24"/>
            <w:szCs w:val="24"/>
            <w:u w:val="none"/>
            <w:lang w:val="en-GB"/>
          </w:rPr>
          <w:t>Nigeria’s illiteracy rate</w:t>
        </w:r>
      </w:hyperlink>
      <w:r w:rsidRPr="009A4A6F">
        <w:rPr>
          <w:rFonts w:ascii="Times New Roman" w:hAnsi="Times New Roman" w:cs="Times New Roman"/>
          <w:sz w:val="24"/>
          <w:szCs w:val="24"/>
          <w:lang w:val="en-GB"/>
        </w:rPr>
        <w:t> is around 31% of the adult population.</w:t>
      </w:r>
      <w:r w:rsidRPr="009A4A6F">
        <w:rPr>
          <w:rFonts w:ascii="Times New Roman" w:hAnsi="Times New Roman" w:cs="Times New Roman"/>
          <w:sz w:val="24"/>
          <w:szCs w:val="24"/>
          <w:vertAlign w:val="superscript"/>
          <w:lang w:val="en-GB"/>
        </w:rPr>
        <w:footnoteReference w:id="262"/>
      </w:r>
      <w:r w:rsidRPr="009A4A6F">
        <w:rPr>
          <w:rFonts w:ascii="Times New Roman" w:hAnsi="Times New Roman" w:cs="Times New Roman"/>
          <w:sz w:val="24"/>
          <w:szCs w:val="24"/>
          <w:lang w:val="en-GB"/>
        </w:rPr>
        <w:t xml:space="preserve"> This high level of illiteracy also influences the capacity of patients to understand and make informed decisions as it pertains to their health.”</w:t>
      </w:r>
    </w:p>
    <w:p w14:paraId="329B45CB"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Another challenge among patients is the lack of trust in the healthcare practitioners. Trust is the total confidence or assurance that the physician will make a decision based on the best interest of the patient.</w:t>
      </w:r>
      <w:r w:rsidRPr="009A4A6F">
        <w:rPr>
          <w:rFonts w:ascii="Times New Roman" w:hAnsi="Times New Roman" w:cs="Times New Roman"/>
          <w:sz w:val="24"/>
          <w:szCs w:val="24"/>
          <w:vertAlign w:val="superscript"/>
          <w:lang w:val="en-GB"/>
        </w:rPr>
        <w:footnoteReference w:id="263"/>
      </w:r>
      <w:r w:rsidRPr="009A4A6F">
        <w:rPr>
          <w:rFonts w:ascii="Times New Roman" w:hAnsi="Times New Roman" w:cs="Times New Roman"/>
          <w:sz w:val="24"/>
          <w:szCs w:val="24"/>
          <w:lang w:val="en-GB"/>
        </w:rPr>
        <w:br/>
        <w:t>Overwhelming clinical workload</w:t>
      </w:r>
      <w:r w:rsidRPr="009A4A6F">
        <w:rPr>
          <w:rFonts w:ascii="Times New Roman" w:hAnsi="Times New Roman" w:cs="Times New Roman"/>
          <w:b/>
          <w:sz w:val="24"/>
          <w:szCs w:val="24"/>
          <w:lang w:val="en-GB"/>
        </w:rPr>
        <w:t xml:space="preserve"> </w:t>
      </w:r>
      <w:r w:rsidRPr="009A4A6F">
        <w:rPr>
          <w:rFonts w:ascii="Times New Roman" w:hAnsi="Times New Roman" w:cs="Times New Roman"/>
          <w:sz w:val="24"/>
          <w:szCs w:val="24"/>
          <w:lang w:val="en-GB"/>
        </w:rPr>
        <w:t>in Nigerian Healthcare institutions also leads to challenges.</w:t>
      </w:r>
    </w:p>
    <w:p w14:paraId="09D14FD8"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Religion has played a big part as one of challenges of informed consent in Nigeria. Religion affects ethics and healthcare in Nigeria,  such as during the </w:t>
      </w:r>
      <w:hyperlink r:id="rId44" w:tgtFrame="_blank" w:history="1">
        <w:r w:rsidRPr="009A4A6F">
          <w:rPr>
            <w:rStyle w:val="Hyperlink"/>
            <w:rFonts w:ascii="Times New Roman" w:hAnsi="Times New Roman" w:cs="Times New Roman"/>
            <w:sz w:val="24"/>
            <w:szCs w:val="24"/>
            <w:u w:val="none"/>
            <w:lang w:val="en-GB"/>
          </w:rPr>
          <w:t>COVID-19 era,</w:t>
        </w:r>
      </w:hyperlink>
      <w:r w:rsidRPr="009A4A6F">
        <w:rPr>
          <w:rFonts w:ascii="Times New Roman" w:hAnsi="Times New Roman" w:cs="Times New Roman"/>
          <w:sz w:val="24"/>
          <w:szCs w:val="24"/>
          <w:lang w:val="en-GB"/>
        </w:rPr>
        <w:t xml:space="preserve"> where things like </w:t>
      </w:r>
      <w:r w:rsidRPr="009A4A6F">
        <w:rPr>
          <w:rFonts w:ascii="Times New Roman" w:hAnsi="Times New Roman" w:cs="Times New Roman"/>
          <w:sz w:val="24"/>
          <w:szCs w:val="24"/>
          <w:lang w:val="en-GB"/>
        </w:rPr>
        <w:lastRenderedPageBreak/>
        <w:t>“taking the vaccine is the mark of the beast.”</w:t>
      </w:r>
      <w:r w:rsidRPr="009A4A6F">
        <w:rPr>
          <w:rFonts w:ascii="Times New Roman" w:hAnsi="Times New Roman" w:cs="Times New Roman"/>
          <w:sz w:val="24"/>
          <w:szCs w:val="24"/>
          <w:vertAlign w:val="superscript"/>
          <w:lang w:val="en-GB"/>
        </w:rPr>
        <w:footnoteReference w:id="264"/>
      </w:r>
      <w:r w:rsidRPr="009A4A6F">
        <w:rPr>
          <w:rFonts w:ascii="Times New Roman" w:hAnsi="Times New Roman" w:cs="Times New Roman"/>
          <w:sz w:val="24"/>
          <w:szCs w:val="24"/>
          <w:lang w:val="en-GB"/>
        </w:rPr>
        <w:t xml:space="preserve"> Another example for instance, are the members of the Jehovah witness community. The members of the Jehovah witness community do not believe in blood transfusion and regard it as a sin and would rather die than give the doctors consent for a blood transfusion. This has led to the deaths of many patients in Nigeria and those who end up surviving end up suing the medical institutions rather than being grateful to them for saving their lives.</w:t>
      </w:r>
      <w:r w:rsidRPr="009A4A6F">
        <w:rPr>
          <w:rFonts w:ascii="Times New Roman" w:hAnsi="Times New Roman" w:cs="Times New Roman"/>
          <w:sz w:val="24"/>
          <w:szCs w:val="24"/>
          <w:vertAlign w:val="superscript"/>
          <w:lang w:val="en-GB"/>
        </w:rPr>
        <w:footnoteReference w:id="265"/>
      </w:r>
    </w:p>
    <w:p w14:paraId="3DF0D5CE"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4.4.4. Rights of Vulnerable Patients</w:t>
      </w:r>
    </w:p>
    <w:p w14:paraId="5B470C7C"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The most vulnerable populations in Nigeria include children, pregnant women, people living with disabilities, the elderly, displaced persons, the unemployed, retirees, and the chronically sick. Every patient whether disabled or not are entitled to adequate care and treatment, a failure of which is a breach.</w:t>
      </w:r>
      <w:r w:rsidRPr="009A4A6F">
        <w:rPr>
          <w:rFonts w:ascii="Times New Roman" w:hAnsi="Times New Roman" w:cs="Times New Roman"/>
          <w:sz w:val="24"/>
          <w:szCs w:val="24"/>
          <w:vertAlign w:val="superscript"/>
          <w:lang w:val="en-GB"/>
        </w:rPr>
        <w:footnoteReference w:id="266"/>
      </w:r>
      <w:r w:rsidRPr="009A4A6F">
        <w:rPr>
          <w:rFonts w:ascii="Times New Roman" w:hAnsi="Times New Roman" w:cs="Times New Roman"/>
          <w:sz w:val="24"/>
          <w:szCs w:val="24"/>
          <w:lang w:val="en-GB"/>
        </w:rPr>
        <w:t xml:space="preserve"> In a doctor-patient relationship, the patient is entitled to safe and secure health care environment, access to clean water, quality health care plans, regardless of gender, tribe, religion, creed or nationality.</w:t>
      </w:r>
      <w:r w:rsidRPr="009A4A6F">
        <w:rPr>
          <w:rFonts w:ascii="Times New Roman" w:hAnsi="Times New Roman" w:cs="Times New Roman"/>
          <w:sz w:val="24"/>
          <w:szCs w:val="24"/>
          <w:vertAlign w:val="superscript"/>
          <w:lang w:val="en-GB"/>
        </w:rPr>
        <w:footnoteReference w:id="267"/>
      </w:r>
      <w:r w:rsidRPr="009A4A6F">
        <w:rPr>
          <w:rFonts w:ascii="Times New Roman" w:hAnsi="Times New Roman" w:cs="Times New Roman"/>
          <w:sz w:val="24"/>
          <w:szCs w:val="24"/>
          <w:lang w:val="en-GB"/>
        </w:rPr>
        <w:t xml:space="preserve"> They are also free to ask questions regarding their health care, receiving timely care in emergency situations, access to special needs in relation to new born babies, pregnant women,  aged person, people with disabilities and patients living with HIV and AIDS.</w:t>
      </w:r>
    </w:p>
    <w:p w14:paraId="4FB6EA48" w14:textId="77777777" w:rsidR="009A4A6F" w:rsidRPr="009A4A6F" w:rsidRDefault="009A4A6F" w:rsidP="009A4A6F">
      <w:pPr>
        <w:spacing w:line="480" w:lineRule="auto"/>
        <w:jc w:val="both"/>
        <w:rPr>
          <w:rFonts w:ascii="Times New Roman" w:hAnsi="Times New Roman" w:cs="Times New Roman"/>
          <w:i/>
          <w:iCs/>
          <w:sz w:val="24"/>
          <w:szCs w:val="24"/>
        </w:rPr>
      </w:pPr>
      <w:r w:rsidRPr="009A4A6F">
        <w:rPr>
          <w:rFonts w:ascii="Times New Roman" w:hAnsi="Times New Roman" w:cs="Times New Roman"/>
          <w:sz w:val="24"/>
          <w:szCs w:val="24"/>
        </w:rPr>
        <w:t>The health care provider must not refuse any patient treatment in emergency situations. Every patient in emergency circumstances is entitled to adequate treatment by the health care service provider or health establishment.  The National Health Act, 2014, provides thus;</w:t>
      </w:r>
      <w:r w:rsidRPr="009A4A6F">
        <w:rPr>
          <w:rFonts w:ascii="Times New Roman" w:hAnsi="Times New Roman" w:cs="Times New Roman"/>
          <w:i/>
          <w:iCs/>
          <w:sz w:val="24"/>
          <w:szCs w:val="24"/>
        </w:rPr>
        <w:t xml:space="preserve"> “</w:t>
      </w:r>
      <w:r w:rsidRPr="009A4A6F">
        <w:rPr>
          <w:rFonts w:ascii="Times New Roman" w:hAnsi="Times New Roman" w:cs="Times New Roman"/>
          <w:iCs/>
          <w:sz w:val="24"/>
          <w:szCs w:val="24"/>
        </w:rPr>
        <w:t>A health care provider, health worker or health establishment shall not refuse a person treatment for any reason.</w:t>
      </w:r>
      <w:r w:rsidRPr="009A4A6F">
        <w:rPr>
          <w:rFonts w:ascii="Times New Roman" w:hAnsi="Times New Roman" w:cs="Times New Roman"/>
          <w:i/>
          <w:iCs/>
          <w:sz w:val="24"/>
          <w:szCs w:val="24"/>
        </w:rPr>
        <w:t>”</w:t>
      </w:r>
      <w:r w:rsidRPr="009A4A6F">
        <w:rPr>
          <w:rFonts w:ascii="Times New Roman" w:hAnsi="Times New Roman" w:cs="Times New Roman"/>
          <w:i/>
          <w:iCs/>
          <w:sz w:val="24"/>
          <w:szCs w:val="24"/>
          <w:vertAlign w:val="superscript"/>
        </w:rPr>
        <w:footnoteReference w:id="268"/>
      </w:r>
    </w:p>
    <w:p w14:paraId="3746A1F3"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lastRenderedPageBreak/>
        <w:t>It is therefore safe to say that the urgent, immediate and sufficient intervention and care in the event of an emergency, is considered most expedient, over other factors including; cost and payment, as well as law enforcement requirements, if any. It is a legally protected right that can be enforced if breached. It is noteworthy that when this right is breached, and the defendant found liable, it amounts to an offence which is punishable with a fine of 100,000 or an imprison term not exceeding six months or both.</w:t>
      </w:r>
      <w:r w:rsidRPr="009A4A6F">
        <w:rPr>
          <w:rFonts w:ascii="Times New Roman" w:hAnsi="Times New Roman" w:cs="Times New Roman"/>
          <w:sz w:val="24"/>
          <w:szCs w:val="24"/>
          <w:vertAlign w:val="superscript"/>
        </w:rPr>
        <w:footnoteReference w:id="269"/>
      </w:r>
    </w:p>
    <w:p w14:paraId="2BBFC04B"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4.5. Emerging Global Trends and Lessons for Nigeria</w:t>
      </w:r>
    </w:p>
    <w:p w14:paraId="7640CEFD"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Nigeria’s healthcare system is facing a critical juncture, with significant challenges that require immediate attention and action.</w:t>
      </w:r>
      <w:r w:rsidRPr="009A4A6F">
        <w:rPr>
          <w:rFonts w:ascii="Times New Roman" w:hAnsi="Times New Roman" w:cs="Times New Roman"/>
          <w:sz w:val="24"/>
          <w:szCs w:val="24"/>
          <w:vertAlign w:val="superscript"/>
          <w:lang w:val="en-GB"/>
        </w:rPr>
        <w:footnoteReference w:id="270"/>
      </w:r>
      <w:r w:rsidRPr="009A4A6F">
        <w:rPr>
          <w:rFonts w:ascii="Times New Roman" w:hAnsi="Times New Roman" w:cs="Times New Roman"/>
          <w:sz w:val="24"/>
          <w:szCs w:val="24"/>
          <w:lang w:val="en-GB"/>
        </w:rPr>
        <w:t xml:space="preserve"> One of the most pressing issues is; “the severe shortage of healthcare workers. Nigeria currently has a doctor-to-patient ratio of 1 to 9,083, far below the global standard of 1 to 600.</w:t>
      </w:r>
      <w:r w:rsidRPr="009A4A6F">
        <w:rPr>
          <w:rFonts w:ascii="Times New Roman" w:hAnsi="Times New Roman" w:cs="Times New Roman"/>
          <w:sz w:val="24"/>
          <w:szCs w:val="24"/>
          <w:vertAlign w:val="superscript"/>
          <w:lang w:val="en-GB"/>
        </w:rPr>
        <w:footnoteReference w:id="271"/>
      </w:r>
      <w:r w:rsidRPr="009A4A6F">
        <w:rPr>
          <w:rFonts w:ascii="Times New Roman" w:hAnsi="Times New Roman" w:cs="Times New Roman"/>
          <w:sz w:val="24"/>
          <w:szCs w:val="24"/>
          <w:lang w:val="en-GB"/>
        </w:rPr>
        <w:t xml:space="preserve"> This overwhelming workload has led to burnout and an exodus of healthcare professionals, with an estimated 20,000 doctors leaving the country in the last decade.”</w:t>
      </w:r>
    </w:p>
    <w:p w14:paraId="2F51C6A2"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t>“Technology can support and empower healthcare workers, providing them with the tools and resources they need to deliver more efficient and effective care. However, experts have cautioned that the integration of technology must be carefully regulated and implemented to ensure that it complements and enhances, rather than replaces, the human element of healthcare.</w:t>
      </w:r>
      <w:r w:rsidRPr="009A4A6F">
        <w:rPr>
          <w:rFonts w:ascii="Times New Roman" w:hAnsi="Times New Roman" w:cs="Times New Roman"/>
          <w:sz w:val="24"/>
          <w:szCs w:val="24"/>
          <w:vertAlign w:val="superscript"/>
        </w:rPr>
        <w:footnoteReference w:id="272"/>
      </w:r>
      <w:r w:rsidRPr="009A4A6F">
        <w:rPr>
          <w:rFonts w:ascii="Times New Roman" w:hAnsi="Times New Roman" w:cs="Times New Roman"/>
          <w:sz w:val="24"/>
          <w:szCs w:val="24"/>
        </w:rPr>
        <w:t xml:space="preserve"> The messaging and language used in the development of these technological solutions must also be carefully considered to promote trust and understanding among patients.”</w:t>
      </w:r>
      <w:r w:rsidRPr="009A4A6F">
        <w:rPr>
          <w:rFonts w:ascii="Times New Roman" w:hAnsi="Times New Roman" w:cs="Times New Roman"/>
          <w:sz w:val="24"/>
          <w:szCs w:val="24"/>
          <w:vertAlign w:val="superscript"/>
        </w:rPr>
        <w:footnoteReference w:id="273"/>
      </w:r>
      <w:r w:rsidRPr="009A4A6F">
        <w:rPr>
          <w:rFonts w:ascii="Times New Roman" w:hAnsi="Times New Roman" w:cs="Times New Roman"/>
          <w:sz w:val="24"/>
          <w:szCs w:val="24"/>
        </w:rPr>
        <w:t> </w:t>
      </w:r>
    </w:p>
    <w:p w14:paraId="6F3DFF1A"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lastRenderedPageBreak/>
        <w:t>Adequate and sustainable funding is; “the foundation for transformative change in the healthcare sector. Experts have emphasized the need to prioritize healthcare financing, with a focus on increasing public funding and expanding risk protection mechanisms to ensure universal access to care, regardless of an individual’s ability to pay.”</w:t>
      </w:r>
      <w:r w:rsidRPr="009A4A6F">
        <w:rPr>
          <w:rFonts w:ascii="Times New Roman" w:hAnsi="Times New Roman" w:cs="Times New Roman"/>
          <w:sz w:val="24"/>
          <w:szCs w:val="24"/>
          <w:vertAlign w:val="superscript"/>
        </w:rPr>
        <w:footnoteReference w:id="274"/>
      </w:r>
      <w:r w:rsidRPr="009A4A6F">
        <w:rPr>
          <w:rFonts w:ascii="Times New Roman" w:hAnsi="Times New Roman" w:cs="Times New Roman"/>
          <w:sz w:val="24"/>
          <w:szCs w:val="24"/>
        </w:rPr>
        <w:t> Some recommendations are: </w:t>
      </w:r>
    </w:p>
    <w:p w14:paraId="387088E0" w14:textId="77777777" w:rsidR="009A4A6F" w:rsidRPr="009A4A6F" w:rsidRDefault="009A4A6F" w:rsidP="009A4A6F">
      <w:pPr>
        <w:numPr>
          <w:ilvl w:val="0"/>
          <w:numId w:val="21"/>
        </w:num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t>“Allocating a larger percentage of the national budget to healthcare, with a target of at least 2% of the consolidated revenue fund as stipulated in the National Health Act of 2014. </w:t>
      </w:r>
    </w:p>
    <w:p w14:paraId="503FB9BD" w14:textId="77777777" w:rsidR="009A4A6F" w:rsidRPr="009A4A6F" w:rsidRDefault="009A4A6F" w:rsidP="009A4A6F">
      <w:pPr>
        <w:numPr>
          <w:ilvl w:val="0"/>
          <w:numId w:val="21"/>
        </w:num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t>Establishing a functional and equitable health insurance system to reduce the burden of out-of-pocket expenses and provide financial risk protection for all Nigerians. </w:t>
      </w:r>
    </w:p>
    <w:p w14:paraId="37C562A0" w14:textId="77777777" w:rsidR="009A4A6F" w:rsidRPr="009A4A6F" w:rsidRDefault="009A4A6F" w:rsidP="009A4A6F">
      <w:pPr>
        <w:numPr>
          <w:ilvl w:val="0"/>
          <w:numId w:val="21"/>
        </w:num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t>Exploring innovative financing strategies, such as public-private partnerships and international donor support, to supplement government funding and ensure the sustainability of the healthcare system.”</w:t>
      </w:r>
      <w:r w:rsidRPr="009A4A6F">
        <w:rPr>
          <w:rFonts w:ascii="Times New Roman" w:hAnsi="Times New Roman" w:cs="Times New Roman"/>
          <w:sz w:val="24"/>
          <w:szCs w:val="24"/>
          <w:vertAlign w:val="superscript"/>
        </w:rPr>
        <w:footnoteReference w:id="275"/>
      </w:r>
    </w:p>
    <w:p w14:paraId="2A655B3C" w14:textId="77777777" w:rsidR="009A4A6F" w:rsidRPr="009A4A6F" w:rsidRDefault="009A4A6F" w:rsidP="009A4A6F">
      <w:pPr>
        <w:spacing w:line="480" w:lineRule="auto"/>
        <w:jc w:val="both"/>
        <w:rPr>
          <w:rFonts w:ascii="Times New Roman" w:hAnsi="Times New Roman" w:cs="Times New Roman"/>
          <w:sz w:val="24"/>
          <w:szCs w:val="24"/>
        </w:rPr>
      </w:pPr>
      <w:r w:rsidRPr="009A4A6F">
        <w:rPr>
          <w:rFonts w:ascii="Times New Roman" w:hAnsi="Times New Roman" w:cs="Times New Roman"/>
          <w:sz w:val="24"/>
          <w:szCs w:val="24"/>
        </w:rPr>
        <w:t>“Reimagining Nigeria’s healthcare system is a critical and urgent task that requires a comprehensive, multi-stakeholder approach.</w:t>
      </w:r>
      <w:r w:rsidRPr="009A4A6F">
        <w:rPr>
          <w:rFonts w:ascii="Times New Roman" w:hAnsi="Times New Roman" w:cs="Times New Roman"/>
          <w:sz w:val="24"/>
          <w:szCs w:val="24"/>
          <w:vertAlign w:val="superscript"/>
        </w:rPr>
        <w:footnoteReference w:id="276"/>
      </w:r>
      <w:r w:rsidRPr="009A4A6F">
        <w:rPr>
          <w:rFonts w:ascii="Times New Roman" w:hAnsi="Times New Roman" w:cs="Times New Roman"/>
          <w:sz w:val="24"/>
          <w:szCs w:val="24"/>
        </w:rPr>
        <w:t xml:space="preserve"> By addressing the fundamental gaps in funding, human resources, and gender-responsive care, Nigeria can build a healthcare system that truly works for all its citizens, leaving no one behind.” </w:t>
      </w:r>
    </w:p>
    <w:p w14:paraId="0D69CEBD" w14:textId="77777777" w:rsidR="009A4A6F" w:rsidRPr="009A4A6F" w:rsidRDefault="009A4A6F" w:rsidP="009A4A6F">
      <w:pPr>
        <w:spacing w:line="480" w:lineRule="auto"/>
        <w:jc w:val="both"/>
        <w:rPr>
          <w:rFonts w:ascii="Times New Roman" w:hAnsi="Times New Roman" w:cs="Times New Roman"/>
          <w:sz w:val="24"/>
          <w:szCs w:val="24"/>
        </w:rPr>
      </w:pPr>
    </w:p>
    <w:p w14:paraId="2F2CD625" w14:textId="77777777" w:rsidR="009A4A6F" w:rsidRPr="009A4A6F" w:rsidRDefault="009A4A6F" w:rsidP="009A4A6F">
      <w:pPr>
        <w:spacing w:line="480" w:lineRule="auto"/>
        <w:jc w:val="both"/>
        <w:rPr>
          <w:rFonts w:ascii="Times New Roman" w:hAnsi="Times New Roman" w:cs="Times New Roman"/>
          <w:sz w:val="24"/>
          <w:szCs w:val="24"/>
          <w:lang w:val="en-GB"/>
        </w:rPr>
      </w:pPr>
    </w:p>
    <w:p w14:paraId="662006BB" w14:textId="77777777" w:rsidR="009A4A6F" w:rsidRPr="009A4A6F" w:rsidRDefault="009A4A6F" w:rsidP="009A4A6F">
      <w:pPr>
        <w:spacing w:line="480" w:lineRule="auto"/>
        <w:jc w:val="both"/>
        <w:rPr>
          <w:rFonts w:ascii="Times New Roman" w:hAnsi="Times New Roman" w:cs="Times New Roman"/>
          <w:sz w:val="24"/>
          <w:szCs w:val="24"/>
          <w:lang w:val="en-GB"/>
        </w:rPr>
      </w:pPr>
    </w:p>
    <w:p w14:paraId="75AF2419" w14:textId="77777777" w:rsidR="009A4A6F" w:rsidRPr="009A4A6F" w:rsidRDefault="009A4A6F" w:rsidP="009A4A6F">
      <w:pPr>
        <w:spacing w:line="480" w:lineRule="auto"/>
        <w:jc w:val="both"/>
        <w:rPr>
          <w:rFonts w:ascii="Times New Roman" w:hAnsi="Times New Roman" w:cs="Times New Roman"/>
          <w:sz w:val="24"/>
          <w:szCs w:val="24"/>
          <w:lang w:val="en-GB"/>
        </w:rPr>
      </w:pPr>
    </w:p>
    <w:p w14:paraId="17CAEAD3" w14:textId="77777777" w:rsidR="005561B6" w:rsidRDefault="005561B6" w:rsidP="009A4A6F">
      <w:pPr>
        <w:spacing w:line="480" w:lineRule="auto"/>
        <w:jc w:val="both"/>
        <w:rPr>
          <w:rFonts w:ascii="Times New Roman" w:hAnsi="Times New Roman" w:cs="Times New Roman"/>
          <w:b/>
          <w:sz w:val="24"/>
          <w:szCs w:val="24"/>
          <w:lang w:val="en-GB"/>
        </w:rPr>
      </w:pPr>
    </w:p>
    <w:p w14:paraId="249BA2EF" w14:textId="77777777" w:rsidR="005561B6" w:rsidRDefault="005561B6" w:rsidP="009A4A6F">
      <w:pPr>
        <w:spacing w:line="480" w:lineRule="auto"/>
        <w:jc w:val="both"/>
        <w:rPr>
          <w:rFonts w:ascii="Times New Roman" w:hAnsi="Times New Roman" w:cs="Times New Roman"/>
          <w:b/>
          <w:sz w:val="24"/>
          <w:szCs w:val="24"/>
          <w:lang w:val="en-GB"/>
        </w:rPr>
      </w:pPr>
    </w:p>
    <w:p w14:paraId="34DFA1D5" w14:textId="77777777" w:rsidR="005561B6" w:rsidRDefault="005561B6" w:rsidP="009A4A6F">
      <w:pPr>
        <w:spacing w:line="480" w:lineRule="auto"/>
        <w:jc w:val="both"/>
        <w:rPr>
          <w:rFonts w:ascii="Times New Roman" w:hAnsi="Times New Roman" w:cs="Times New Roman"/>
          <w:b/>
          <w:sz w:val="24"/>
          <w:szCs w:val="24"/>
          <w:lang w:val="en-GB"/>
        </w:rPr>
      </w:pPr>
    </w:p>
    <w:p w14:paraId="5B08D010" w14:textId="01C670BD" w:rsidR="009A4A6F" w:rsidRPr="009A4A6F" w:rsidRDefault="009A4A6F" w:rsidP="00CE0B76">
      <w:pPr>
        <w:spacing w:line="480" w:lineRule="auto"/>
        <w:jc w:val="center"/>
        <w:rPr>
          <w:rFonts w:ascii="Times New Roman" w:hAnsi="Times New Roman" w:cs="Times New Roman"/>
          <w:b/>
          <w:sz w:val="24"/>
          <w:szCs w:val="24"/>
          <w:lang w:val="en-GB"/>
        </w:rPr>
      </w:pPr>
      <w:r w:rsidRPr="009A4A6F">
        <w:rPr>
          <w:rFonts w:ascii="Times New Roman" w:hAnsi="Times New Roman" w:cs="Times New Roman"/>
          <w:b/>
          <w:sz w:val="24"/>
          <w:szCs w:val="24"/>
          <w:lang w:val="en-GB"/>
        </w:rPr>
        <w:t>CHAPTER FIVE</w:t>
      </w:r>
    </w:p>
    <w:p w14:paraId="7C22CEC0" w14:textId="77777777" w:rsidR="009A4A6F" w:rsidRPr="009A4A6F" w:rsidRDefault="009A4A6F" w:rsidP="00CE0B76">
      <w:pPr>
        <w:spacing w:line="480" w:lineRule="auto"/>
        <w:jc w:val="center"/>
        <w:rPr>
          <w:rFonts w:ascii="Times New Roman" w:hAnsi="Times New Roman" w:cs="Times New Roman"/>
          <w:sz w:val="24"/>
          <w:szCs w:val="24"/>
          <w:lang w:val="en-GB"/>
        </w:rPr>
      </w:pPr>
      <w:r w:rsidRPr="009A4A6F">
        <w:rPr>
          <w:rFonts w:ascii="Times New Roman" w:hAnsi="Times New Roman" w:cs="Times New Roman"/>
          <w:b/>
          <w:sz w:val="24"/>
          <w:szCs w:val="24"/>
          <w:lang w:val="en-GB"/>
        </w:rPr>
        <w:t>SUMMARY OF FINDINGS, RECOMMENDATION, AND CONCLUSION</w:t>
      </w:r>
    </w:p>
    <w:p w14:paraId="5E628CE4" w14:textId="77777777" w:rsidR="009A4A6F" w:rsidRPr="009A4A6F" w:rsidRDefault="009A4A6F" w:rsidP="009A4A6F">
      <w:pPr>
        <w:spacing w:line="480" w:lineRule="auto"/>
        <w:jc w:val="both"/>
        <w:rPr>
          <w:rFonts w:ascii="Times New Roman" w:hAnsi="Times New Roman" w:cs="Times New Roman"/>
          <w:sz w:val="24"/>
          <w:szCs w:val="24"/>
          <w:lang w:val="en-GB"/>
        </w:rPr>
      </w:pPr>
    </w:p>
    <w:p w14:paraId="05C3EB76"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5.1. SUMMARY OF FINDINGS</w:t>
      </w:r>
    </w:p>
    <w:p w14:paraId="482CBF2B" w14:textId="77777777" w:rsidR="009A4A6F" w:rsidRPr="009A4A6F" w:rsidRDefault="009A4A6F" w:rsidP="009A4A6F">
      <w:pPr>
        <w:spacing w:line="480" w:lineRule="auto"/>
        <w:jc w:val="both"/>
        <w:rPr>
          <w:rFonts w:ascii="Times New Roman" w:hAnsi="Times New Roman" w:cs="Times New Roman"/>
          <w:b/>
          <w:sz w:val="24"/>
          <w:szCs w:val="24"/>
          <w:lang w:val="en-GB"/>
        </w:rPr>
      </w:pPr>
      <w:r w:rsidRPr="009A4A6F">
        <w:rPr>
          <w:rFonts w:ascii="Times New Roman" w:hAnsi="Times New Roman" w:cs="Times New Roman"/>
          <w:sz w:val="24"/>
          <w:szCs w:val="24"/>
          <w:lang w:val="en-GB"/>
        </w:rPr>
        <w:t>The in-depth examination of the rights of buyers and sellers in the Nigerian commercial sector has exposed a lot of challenging legal fields. Buyers have substantive rights like the right to quality products, information, fair terms and solutions like damages, specific performance, and</w:t>
      </w:r>
      <w:r w:rsidRPr="009A4A6F">
        <w:rPr>
          <w:rFonts w:ascii="Times New Roman" w:hAnsi="Times New Roman" w:cs="Times New Roman"/>
          <w:sz w:val="24"/>
          <w:szCs w:val="24"/>
          <w:lang w:val="en-GB"/>
        </w:rPr>
        <w:t> </w:t>
      </w:r>
      <w:r w:rsidRPr="009A4A6F">
        <w:rPr>
          <w:rFonts w:ascii="Times New Roman" w:hAnsi="Times New Roman" w:cs="Times New Roman"/>
          <w:sz w:val="24"/>
          <w:szCs w:val="24"/>
          <w:lang w:val="en-GB"/>
        </w:rPr>
        <w:t>breach of warranty by the seller. The major problem with the enforcement of the protection of consumers is with the legal awareness and uncertainties that surround the regulatory mechanisms and also hinder the effective realization of the stated rights and creates room for exploitation. Also, sellers also have rights, like right to payment, fair competition, contractual performance, and</w:t>
      </w:r>
      <w:r w:rsidRPr="009A4A6F">
        <w:rPr>
          <w:rFonts w:ascii="Times New Roman" w:hAnsi="Times New Roman" w:cs="Times New Roman"/>
          <w:sz w:val="24"/>
          <w:szCs w:val="24"/>
          <w:lang w:val="en-GB"/>
        </w:rPr>
        <w:t> </w:t>
      </w:r>
      <w:r w:rsidRPr="009A4A6F">
        <w:rPr>
          <w:rFonts w:ascii="Times New Roman" w:hAnsi="Times New Roman" w:cs="Times New Roman"/>
          <w:sz w:val="24"/>
          <w:szCs w:val="24"/>
          <w:lang w:val="en-GB"/>
        </w:rPr>
        <w:t>the protection of intellectual property.</w:t>
      </w:r>
    </w:p>
    <w:p w14:paraId="77AEC263"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 xml:space="preserve">The free access to justice in the Nigerian legal system continues to be a major hindrance which has had major defects on buyers and sellers and is made up of delays in the resolution of disputes and being unable to pay for legal service and also possible corruption. They have impeded the effective enforcement of rights and has reduced the confidence and trust of the public in the Nigerian legal system. Lack of legal awareness among stakeholders exacerbates inequalities and perpetuates systemic injustices, highlighting the essence for legal education and empowerment plans. Lack of consumer protection mechanisms makes up the difficulties </w:t>
      </w:r>
      <w:r w:rsidRPr="009A4A6F">
        <w:rPr>
          <w:rFonts w:ascii="Times New Roman" w:hAnsi="Times New Roman" w:cs="Times New Roman"/>
          <w:sz w:val="24"/>
          <w:szCs w:val="24"/>
          <w:lang w:val="en-GB"/>
        </w:rPr>
        <w:lastRenderedPageBreak/>
        <w:t xml:space="preserve">being faced by buyers and sellers, leaving consumers vulnerable to exploitation and sellers lacking direct regulatory structure frameworks. </w:t>
      </w:r>
    </w:p>
    <w:p w14:paraId="06645424" w14:textId="77777777" w:rsidR="009A4A6F" w:rsidRPr="009A4A6F" w:rsidRDefault="009A4A6F" w:rsidP="009A4A6F">
      <w:pPr>
        <w:spacing w:line="480" w:lineRule="auto"/>
        <w:jc w:val="both"/>
        <w:rPr>
          <w:rFonts w:ascii="Times New Roman" w:hAnsi="Times New Roman" w:cs="Times New Roman"/>
          <w:sz w:val="24"/>
          <w:szCs w:val="24"/>
          <w:lang w:val="en-GB"/>
        </w:rPr>
      </w:pPr>
    </w:p>
    <w:p w14:paraId="51FCAC70" w14:textId="77777777" w:rsidR="009A4A6F" w:rsidRPr="009A4A6F" w:rsidRDefault="009A4A6F" w:rsidP="009A4A6F">
      <w:pPr>
        <w:spacing w:line="480" w:lineRule="auto"/>
        <w:jc w:val="both"/>
        <w:rPr>
          <w:rFonts w:ascii="Times New Roman" w:hAnsi="Times New Roman" w:cs="Times New Roman"/>
          <w:sz w:val="24"/>
          <w:szCs w:val="24"/>
          <w:lang w:val="en-GB"/>
        </w:rPr>
      </w:pPr>
    </w:p>
    <w:p w14:paraId="657029D7"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5.2. RECOMMENDATIONS</w:t>
      </w:r>
    </w:p>
    <w:p w14:paraId="1B01FF30"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Based on the findings, the research proposes the following legal, institutional, and policy reforms;</w:t>
      </w:r>
    </w:p>
    <w:p w14:paraId="36A7A55C" w14:textId="77777777" w:rsidR="009A4A6F" w:rsidRPr="009A4A6F" w:rsidRDefault="009A4A6F" w:rsidP="009A4A6F">
      <w:pPr>
        <w:numPr>
          <w:ilvl w:val="0"/>
          <w:numId w:val="22"/>
        </w:num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Codify all patient rights (informed consent, confidentiality, emergency care, second opinion, access to records, and complaint mechanism) in a single justiciable statute.</w:t>
      </w:r>
    </w:p>
    <w:p w14:paraId="587F9ADA" w14:textId="77777777" w:rsidR="009A4A6F" w:rsidRPr="009A4A6F" w:rsidRDefault="009A4A6F" w:rsidP="009A4A6F">
      <w:pPr>
        <w:numPr>
          <w:ilvl w:val="0"/>
          <w:numId w:val="22"/>
        </w:num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Create a private right of action for patients whose rights are violated.</w:t>
      </w:r>
    </w:p>
    <w:p w14:paraId="326494A2" w14:textId="77777777" w:rsidR="009A4A6F" w:rsidRPr="009A4A6F" w:rsidRDefault="009A4A6F" w:rsidP="009A4A6F">
      <w:pPr>
        <w:numPr>
          <w:ilvl w:val="0"/>
          <w:numId w:val="22"/>
        </w:num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Establish a Patient Rights Commissioner/Ombudsman at federal and state levels.</w:t>
      </w:r>
    </w:p>
    <w:p w14:paraId="57A6D2DB" w14:textId="77777777" w:rsidR="009A4A6F" w:rsidRPr="009A4A6F" w:rsidRDefault="009A4A6F" w:rsidP="009A4A6F">
      <w:pPr>
        <w:numPr>
          <w:ilvl w:val="0"/>
          <w:numId w:val="22"/>
        </w:num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Impose graduated sanctions on healthcare providers (fines, suspension, or deregistration) for violations.</w:t>
      </w:r>
    </w:p>
    <w:p w14:paraId="35F40AC1" w14:textId="77777777" w:rsidR="009A4A6F" w:rsidRPr="009A4A6F" w:rsidRDefault="009A4A6F" w:rsidP="009A4A6F">
      <w:pPr>
        <w:numPr>
          <w:ilvl w:val="0"/>
          <w:numId w:val="22"/>
        </w:num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Expressly override the non-justiciability of health-related rights under Chapter II for purposes of this Act.</w:t>
      </w:r>
    </w:p>
    <w:p w14:paraId="6E4D56DE" w14:textId="77777777" w:rsidR="009A4A6F" w:rsidRPr="009A4A6F" w:rsidRDefault="009A4A6F" w:rsidP="009A4A6F">
      <w:pPr>
        <w:numPr>
          <w:ilvl w:val="0"/>
          <w:numId w:val="22"/>
        </w:num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Amend Section 6(6)(c) of the 1999 Constitution or enact a Judicial Enforcement Order under Item 60(a), Exclusive Legislative List, to render Chapter II’s health objectives partially justiciable.</w:t>
      </w:r>
    </w:p>
    <w:p w14:paraId="280A6ACD"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5.3. CONCLUSION</w:t>
      </w:r>
    </w:p>
    <w:p w14:paraId="32B00088"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 xml:space="preserve">This study has demonstrated that patients’ rights under Nigerian law are recognised in principle but compromised in practice. The legal architecture comprising the National Health Act 2014, the Patients’ Bill of Rights 2018, professional codes, and constitutional provisions establishes </w:t>
      </w:r>
      <w:r w:rsidRPr="009A4A6F">
        <w:rPr>
          <w:rFonts w:ascii="Times New Roman" w:hAnsi="Times New Roman" w:cs="Times New Roman"/>
          <w:sz w:val="24"/>
          <w:szCs w:val="24"/>
          <w:lang w:val="en-GB"/>
        </w:rPr>
        <w:lastRenderedPageBreak/>
        <w:t xml:space="preserve">a credible normative framework. In law, Nigerian patients are entitled to emergency care, informed consent, confidentiality, respectful treatment, information disclosure, and the right to refuse care. </w:t>
      </w:r>
    </w:p>
    <w:p w14:paraId="251134E1"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However, the nature of these rights remains precarious. Because the right to health is constitutionally non-justiciable and no single enforceable patients’ rights statute exists, most patient entitlements operate as ethical directives or administrative guidelines rather than as legally actionable claims. The scope of these rights  what they cover, against whom they apply, and what remedies attach to their breach is often vague. For example, informed consent lacks statutory definition; confidentiality exceptions are not exhaustive; and the absolute duty to provide emergency care under Section 20 NHA is routinely nullified by resource deficits and lack of sanctions.</w:t>
      </w:r>
    </w:p>
    <w:p w14:paraId="20265C8E"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The enforcement gap is the central problem. Regulatory bodies (MDCN, FCCPC, Hospital Boards) lack coordination, resources, and political will to sanction violators consistently. Judicial recourse is expensive, slow, and requires expert evidence that many patients cannot afford. Cultural paternalism, low literacy, poverty, and gender inequality further silence patients. Consequently, routine violations treatment without consent, denial of emergency care, disclosure of confidential information goes unremedied.</w:t>
      </w:r>
    </w:p>
    <w:p w14:paraId="7AB96BA1"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t>Nevertheless, the study found grounds for optimism. The NHIA 2022 promises financial access; the FCCPC has revived consumer protection as a tool for patient advocacy; and Nigerian courts have shown willingness to protect patient autonomy in borderline cases. Civil society organisations are increasingly vocal, and telemedicine though under-regulated could expand access to information and second opinions, indirectly supporting the right to informed consent.</w:t>
      </w:r>
    </w:p>
    <w:p w14:paraId="3662FA99" w14:textId="77777777" w:rsidR="009A4A6F" w:rsidRPr="009A4A6F" w:rsidRDefault="009A4A6F" w:rsidP="009A4A6F">
      <w:pPr>
        <w:spacing w:line="480" w:lineRule="auto"/>
        <w:jc w:val="both"/>
        <w:rPr>
          <w:rFonts w:ascii="Times New Roman" w:hAnsi="Times New Roman" w:cs="Times New Roman"/>
          <w:sz w:val="24"/>
          <w:szCs w:val="24"/>
          <w:lang w:val="en-GB"/>
        </w:rPr>
      </w:pPr>
      <w:r w:rsidRPr="009A4A6F">
        <w:rPr>
          <w:rFonts w:ascii="Times New Roman" w:hAnsi="Times New Roman" w:cs="Times New Roman"/>
          <w:sz w:val="24"/>
          <w:szCs w:val="24"/>
          <w:lang w:val="en-GB"/>
        </w:rPr>
        <w:lastRenderedPageBreak/>
        <w:t>This research recommends, therefore, that the National Assembly prioritises the Patients’ Rights and Health Accountability Bill as an urgent legislative intervention. Until the gap between law and reality is closed, the promise of “the best attainable state of physical and mental health” (African Charter, Article 16) will remain unfulfilled for the majority of Nigerians.</w:t>
      </w:r>
    </w:p>
    <w:p w14:paraId="0E3483D8" w14:textId="77777777" w:rsidR="009A4A6F" w:rsidRPr="009A4A6F" w:rsidRDefault="009A4A6F" w:rsidP="009A4A6F">
      <w:pPr>
        <w:spacing w:line="480" w:lineRule="auto"/>
        <w:jc w:val="both"/>
        <w:rPr>
          <w:rFonts w:ascii="Times New Roman" w:hAnsi="Times New Roman" w:cs="Times New Roman"/>
          <w:sz w:val="24"/>
          <w:szCs w:val="24"/>
          <w:lang w:val="en-GB"/>
        </w:rPr>
      </w:pPr>
    </w:p>
    <w:p w14:paraId="65B7D06C" w14:textId="77777777" w:rsidR="001A0D3F" w:rsidRPr="00461422" w:rsidRDefault="001A0D3F" w:rsidP="002A22EE">
      <w:pPr>
        <w:spacing w:line="480" w:lineRule="auto"/>
        <w:jc w:val="both"/>
        <w:rPr>
          <w:rFonts w:ascii="Times New Roman" w:hAnsi="Times New Roman" w:cs="Times New Roman"/>
          <w:sz w:val="24"/>
          <w:szCs w:val="24"/>
          <w:lang w:val="en-GB"/>
        </w:rPr>
      </w:pPr>
    </w:p>
    <w:p w14:paraId="76189662" w14:textId="77777777" w:rsidR="00461422" w:rsidRPr="00461422" w:rsidRDefault="00461422" w:rsidP="002A22EE">
      <w:pPr>
        <w:spacing w:line="480" w:lineRule="auto"/>
        <w:jc w:val="both"/>
        <w:rPr>
          <w:rFonts w:ascii="Times New Roman" w:hAnsi="Times New Roman" w:cs="Times New Roman"/>
          <w:sz w:val="24"/>
          <w:szCs w:val="24"/>
        </w:rPr>
      </w:pPr>
    </w:p>
    <w:p w14:paraId="11AD5DFE" w14:textId="77777777" w:rsidR="00CE51C1" w:rsidRPr="00C82E11" w:rsidRDefault="00CE51C1" w:rsidP="002A22EE">
      <w:pPr>
        <w:spacing w:line="480" w:lineRule="auto"/>
        <w:jc w:val="both"/>
        <w:rPr>
          <w:rFonts w:ascii="Times New Roman" w:hAnsi="Times New Roman" w:cs="Times New Roman"/>
          <w:sz w:val="24"/>
          <w:szCs w:val="24"/>
        </w:rPr>
      </w:pPr>
    </w:p>
    <w:p w14:paraId="43DA66D0" w14:textId="77777777" w:rsidR="00C64CEC" w:rsidRDefault="00C64CEC" w:rsidP="002A22EE">
      <w:pPr>
        <w:spacing w:line="480" w:lineRule="auto"/>
        <w:jc w:val="both"/>
        <w:rPr>
          <w:rFonts w:ascii="Times New Roman" w:hAnsi="Times New Roman" w:cs="Times New Roman"/>
          <w:b/>
          <w:bCs/>
          <w:sz w:val="24"/>
          <w:szCs w:val="24"/>
        </w:rPr>
      </w:pPr>
    </w:p>
    <w:p w14:paraId="0BE40EF1" w14:textId="77777777" w:rsidR="000B5D1E" w:rsidRDefault="00C64CEC" w:rsidP="002A22EE">
      <w:pPr>
        <w:spacing w:before="180" w:after="9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14:paraId="642BA712" w14:textId="77777777" w:rsidR="000B5D1E" w:rsidRDefault="000B5D1E" w:rsidP="002A22EE">
      <w:pPr>
        <w:spacing w:before="180" w:after="90" w:line="240" w:lineRule="auto"/>
        <w:jc w:val="both"/>
        <w:rPr>
          <w:rFonts w:ascii="Times New Roman" w:hAnsi="Times New Roman" w:cs="Times New Roman"/>
          <w:b/>
          <w:bCs/>
          <w:sz w:val="24"/>
          <w:szCs w:val="24"/>
        </w:rPr>
      </w:pPr>
    </w:p>
    <w:p w14:paraId="3BB7EC45" w14:textId="77777777" w:rsidR="000B5D1E" w:rsidRDefault="000B5D1E" w:rsidP="002A22EE">
      <w:pPr>
        <w:spacing w:before="180" w:after="90" w:line="240" w:lineRule="auto"/>
        <w:jc w:val="both"/>
        <w:rPr>
          <w:rFonts w:ascii="Times New Roman" w:hAnsi="Times New Roman" w:cs="Times New Roman"/>
          <w:b/>
          <w:bCs/>
          <w:sz w:val="24"/>
          <w:szCs w:val="24"/>
        </w:rPr>
      </w:pPr>
    </w:p>
    <w:p w14:paraId="4BD0CD6B" w14:textId="77777777" w:rsidR="002A22EE" w:rsidRDefault="002A22EE" w:rsidP="002A22EE">
      <w:pPr>
        <w:spacing w:before="180" w:after="90" w:line="240" w:lineRule="auto"/>
        <w:jc w:val="both"/>
        <w:rPr>
          <w:rFonts w:ascii="Times New Roman" w:hAnsi="Times New Roman" w:cs="Times New Roman"/>
          <w:b/>
          <w:bCs/>
          <w:sz w:val="24"/>
          <w:szCs w:val="24"/>
        </w:rPr>
      </w:pPr>
    </w:p>
    <w:p w14:paraId="24656DD8" w14:textId="77777777" w:rsidR="002A22EE" w:rsidRDefault="002A22EE" w:rsidP="002A22EE">
      <w:pPr>
        <w:spacing w:before="180" w:after="90" w:line="240" w:lineRule="auto"/>
        <w:jc w:val="both"/>
        <w:rPr>
          <w:rFonts w:ascii="Times New Roman" w:hAnsi="Times New Roman" w:cs="Times New Roman"/>
          <w:b/>
          <w:bCs/>
          <w:sz w:val="24"/>
          <w:szCs w:val="24"/>
        </w:rPr>
      </w:pPr>
    </w:p>
    <w:p w14:paraId="6233C77E" w14:textId="77777777" w:rsidR="002A22EE" w:rsidRDefault="002A22EE" w:rsidP="002A22EE">
      <w:pPr>
        <w:spacing w:before="180" w:after="90" w:line="240" w:lineRule="auto"/>
        <w:jc w:val="both"/>
        <w:rPr>
          <w:rFonts w:ascii="Times New Roman" w:hAnsi="Times New Roman" w:cs="Times New Roman"/>
          <w:b/>
          <w:bCs/>
          <w:sz w:val="24"/>
          <w:szCs w:val="24"/>
        </w:rPr>
      </w:pPr>
    </w:p>
    <w:p w14:paraId="7779064F" w14:textId="77777777" w:rsidR="002A22EE" w:rsidRDefault="002A22EE" w:rsidP="002A22EE">
      <w:pPr>
        <w:spacing w:before="180" w:after="90" w:line="240" w:lineRule="auto"/>
        <w:jc w:val="both"/>
        <w:rPr>
          <w:rFonts w:ascii="Times New Roman" w:hAnsi="Times New Roman" w:cs="Times New Roman"/>
          <w:b/>
          <w:bCs/>
          <w:sz w:val="24"/>
          <w:szCs w:val="24"/>
        </w:rPr>
      </w:pPr>
    </w:p>
    <w:p w14:paraId="78F40739" w14:textId="77777777" w:rsidR="002A22EE" w:rsidRDefault="002A22EE" w:rsidP="002A22EE">
      <w:pPr>
        <w:spacing w:before="180" w:after="90" w:line="240" w:lineRule="auto"/>
        <w:jc w:val="both"/>
        <w:rPr>
          <w:rFonts w:ascii="Times New Roman" w:hAnsi="Times New Roman" w:cs="Times New Roman"/>
          <w:b/>
          <w:bCs/>
          <w:sz w:val="24"/>
          <w:szCs w:val="24"/>
        </w:rPr>
      </w:pPr>
    </w:p>
    <w:p w14:paraId="44C5FFBB" w14:textId="77777777" w:rsidR="002A22EE" w:rsidRDefault="002A22EE" w:rsidP="002A22EE">
      <w:pPr>
        <w:spacing w:before="180" w:after="90" w:line="240" w:lineRule="auto"/>
        <w:jc w:val="both"/>
        <w:rPr>
          <w:rFonts w:ascii="Times New Roman" w:hAnsi="Times New Roman" w:cs="Times New Roman"/>
          <w:b/>
          <w:bCs/>
          <w:sz w:val="24"/>
          <w:szCs w:val="24"/>
        </w:rPr>
      </w:pPr>
    </w:p>
    <w:p w14:paraId="7AF083AB" w14:textId="77777777" w:rsidR="002A22EE" w:rsidRDefault="002A22EE" w:rsidP="002A22EE">
      <w:pPr>
        <w:spacing w:before="180" w:after="90" w:line="240" w:lineRule="auto"/>
        <w:jc w:val="both"/>
        <w:rPr>
          <w:rFonts w:ascii="Times New Roman" w:hAnsi="Times New Roman" w:cs="Times New Roman"/>
          <w:b/>
          <w:bCs/>
          <w:sz w:val="24"/>
          <w:szCs w:val="24"/>
        </w:rPr>
      </w:pPr>
    </w:p>
    <w:p w14:paraId="55C2256A" w14:textId="77777777" w:rsidR="009A4A6F" w:rsidRDefault="009A4A6F" w:rsidP="002A22EE">
      <w:pPr>
        <w:spacing w:before="180" w:after="90" w:line="240" w:lineRule="auto"/>
        <w:jc w:val="both"/>
        <w:rPr>
          <w:rFonts w:ascii="Times New Roman" w:hAnsi="Times New Roman" w:cs="Times New Roman"/>
          <w:b/>
          <w:bCs/>
          <w:sz w:val="24"/>
          <w:szCs w:val="24"/>
        </w:rPr>
      </w:pPr>
    </w:p>
    <w:p w14:paraId="00D322BF" w14:textId="77777777" w:rsidR="009A4A6F" w:rsidRDefault="009A4A6F" w:rsidP="002A22EE">
      <w:pPr>
        <w:spacing w:before="180" w:after="90" w:line="240" w:lineRule="auto"/>
        <w:jc w:val="both"/>
        <w:rPr>
          <w:rFonts w:ascii="Times New Roman" w:hAnsi="Times New Roman" w:cs="Times New Roman"/>
          <w:b/>
          <w:bCs/>
          <w:sz w:val="24"/>
          <w:szCs w:val="24"/>
        </w:rPr>
      </w:pPr>
    </w:p>
    <w:p w14:paraId="7E61F5C9" w14:textId="77777777" w:rsidR="009A4A6F" w:rsidRDefault="009A4A6F" w:rsidP="002A22EE">
      <w:pPr>
        <w:spacing w:before="180" w:after="90" w:line="240" w:lineRule="auto"/>
        <w:jc w:val="both"/>
        <w:rPr>
          <w:rFonts w:ascii="Times New Roman" w:hAnsi="Times New Roman" w:cs="Times New Roman"/>
          <w:b/>
          <w:bCs/>
          <w:sz w:val="24"/>
          <w:szCs w:val="24"/>
        </w:rPr>
      </w:pPr>
    </w:p>
    <w:p w14:paraId="34FC40DF" w14:textId="77777777" w:rsidR="009A4A6F" w:rsidRDefault="009A4A6F" w:rsidP="002A22EE">
      <w:pPr>
        <w:spacing w:before="180" w:after="90" w:line="240" w:lineRule="auto"/>
        <w:jc w:val="both"/>
        <w:rPr>
          <w:rFonts w:ascii="Times New Roman" w:hAnsi="Times New Roman" w:cs="Times New Roman"/>
          <w:b/>
          <w:bCs/>
          <w:sz w:val="24"/>
          <w:szCs w:val="24"/>
        </w:rPr>
      </w:pPr>
    </w:p>
    <w:p w14:paraId="6BB92F84" w14:textId="77777777" w:rsidR="009A4A6F" w:rsidRDefault="009A4A6F" w:rsidP="002A22EE">
      <w:pPr>
        <w:spacing w:before="180" w:after="90" w:line="240" w:lineRule="auto"/>
        <w:jc w:val="both"/>
        <w:rPr>
          <w:rFonts w:ascii="Times New Roman" w:hAnsi="Times New Roman" w:cs="Times New Roman"/>
          <w:b/>
          <w:bCs/>
          <w:sz w:val="24"/>
          <w:szCs w:val="24"/>
        </w:rPr>
      </w:pPr>
    </w:p>
    <w:p w14:paraId="32CA3AEB" w14:textId="77777777" w:rsidR="009A4A6F" w:rsidRDefault="009A4A6F" w:rsidP="002A22EE">
      <w:pPr>
        <w:spacing w:before="180" w:after="90" w:line="240" w:lineRule="auto"/>
        <w:jc w:val="both"/>
        <w:rPr>
          <w:rFonts w:ascii="Times New Roman" w:hAnsi="Times New Roman" w:cs="Times New Roman"/>
          <w:b/>
          <w:bCs/>
          <w:sz w:val="24"/>
          <w:szCs w:val="24"/>
        </w:rPr>
      </w:pPr>
    </w:p>
    <w:p w14:paraId="72CB88B1" w14:textId="77777777" w:rsidR="005561B6" w:rsidRDefault="005561B6" w:rsidP="002A22EE">
      <w:pPr>
        <w:spacing w:before="180" w:after="90" w:line="240" w:lineRule="auto"/>
        <w:jc w:val="both"/>
        <w:rPr>
          <w:rFonts w:ascii="Times New Roman" w:hAnsi="Times New Roman" w:cs="Times New Roman"/>
          <w:b/>
          <w:bCs/>
          <w:sz w:val="24"/>
          <w:szCs w:val="24"/>
        </w:rPr>
      </w:pPr>
    </w:p>
    <w:p w14:paraId="0D8E8FA0" w14:textId="77777777" w:rsidR="009A4A6F" w:rsidRDefault="009A4A6F" w:rsidP="002A22EE">
      <w:pPr>
        <w:spacing w:before="180" w:after="90" w:line="240" w:lineRule="auto"/>
        <w:jc w:val="both"/>
        <w:rPr>
          <w:rFonts w:ascii="Times New Roman" w:hAnsi="Times New Roman" w:cs="Times New Roman"/>
          <w:b/>
          <w:bCs/>
          <w:sz w:val="24"/>
          <w:szCs w:val="24"/>
        </w:rPr>
      </w:pPr>
    </w:p>
    <w:p w14:paraId="190E6827" w14:textId="77777777" w:rsidR="009A4A6F" w:rsidRDefault="009A4A6F" w:rsidP="002A22EE">
      <w:pPr>
        <w:spacing w:before="180" w:after="90" w:line="240" w:lineRule="auto"/>
        <w:jc w:val="both"/>
        <w:rPr>
          <w:rFonts w:ascii="Times New Roman" w:hAnsi="Times New Roman" w:cs="Times New Roman"/>
          <w:b/>
          <w:bCs/>
          <w:sz w:val="24"/>
          <w:szCs w:val="24"/>
        </w:rPr>
      </w:pPr>
    </w:p>
    <w:p w14:paraId="3607BF99" w14:textId="77777777" w:rsidR="005561B6" w:rsidRDefault="005561B6" w:rsidP="002A22EE">
      <w:pPr>
        <w:spacing w:before="180" w:after="90" w:line="240" w:lineRule="auto"/>
        <w:jc w:val="both"/>
        <w:rPr>
          <w:rFonts w:ascii="Times New Roman" w:hAnsi="Times New Roman" w:cs="Times New Roman"/>
          <w:b/>
          <w:bCs/>
          <w:sz w:val="24"/>
          <w:szCs w:val="24"/>
        </w:rPr>
      </w:pPr>
    </w:p>
    <w:p w14:paraId="2CA706F7" w14:textId="631753A3" w:rsidR="00C64CEC" w:rsidRDefault="000B5D1E" w:rsidP="00C64CEC">
      <w:pPr>
        <w:spacing w:before="180" w:after="90" w:line="240" w:lineRule="auto"/>
        <w:rPr>
          <w:rFonts w:ascii="Times New Roman" w:eastAsiaTheme="minorEastAsia" w:hAnsi="Times New Roman" w:cs="Times New Roman"/>
          <w:b/>
          <w:bCs/>
          <w:color w:val="000000"/>
          <w:kern w:val="0"/>
          <w:sz w:val="27"/>
          <w:szCs w:val="27"/>
          <w14:ligatures w14:val="none"/>
        </w:rPr>
      </w:pPr>
      <w:r>
        <w:rPr>
          <w:rFonts w:ascii="Times New Roman" w:hAnsi="Times New Roman" w:cs="Times New Roman"/>
          <w:b/>
          <w:bCs/>
          <w:sz w:val="24"/>
          <w:szCs w:val="24"/>
        </w:rPr>
        <w:t xml:space="preserve">                                                    </w:t>
      </w:r>
      <w:r w:rsidR="00C64CEC">
        <w:rPr>
          <w:rFonts w:ascii="Times New Roman" w:hAnsi="Times New Roman" w:cs="Times New Roman"/>
          <w:b/>
          <w:bCs/>
          <w:sz w:val="24"/>
          <w:szCs w:val="24"/>
        </w:rPr>
        <w:t xml:space="preserve">       </w:t>
      </w:r>
      <w:r w:rsidR="00C64CEC" w:rsidRPr="00711137">
        <w:rPr>
          <w:rFonts w:ascii="Times New Roman" w:eastAsiaTheme="minorEastAsia" w:hAnsi="Times New Roman" w:cs="Times New Roman"/>
          <w:b/>
          <w:bCs/>
          <w:color w:val="000000"/>
          <w:kern w:val="0"/>
          <w:sz w:val="27"/>
          <w:szCs w:val="27"/>
          <w14:ligatures w14:val="none"/>
        </w:rPr>
        <w:t>BIBLIOGRAPHY</w:t>
      </w:r>
    </w:p>
    <w:p w14:paraId="1EC2FD8F" w14:textId="77777777" w:rsidR="00C64CEC" w:rsidRPr="00711137" w:rsidRDefault="00C64CEC" w:rsidP="00C64CEC">
      <w:pPr>
        <w:spacing w:before="180" w:after="90" w:line="240" w:lineRule="auto"/>
        <w:rPr>
          <w:rFonts w:ascii="-webkit-standard" w:eastAsiaTheme="minorEastAsia" w:hAnsi="-webkit-standard" w:cs="Times New Roman"/>
          <w:color w:val="000000"/>
          <w:kern w:val="0"/>
          <w:sz w:val="27"/>
          <w:szCs w:val="27"/>
          <w14:ligatures w14:val="none"/>
        </w:rPr>
      </w:pPr>
    </w:p>
    <w:p w14:paraId="398629E5" w14:textId="77777777" w:rsidR="00C64CEC" w:rsidRPr="002A22EE" w:rsidRDefault="00C64CEC" w:rsidP="002A22EE">
      <w:pPr>
        <w:spacing w:before="120" w:after="60" w:line="240" w:lineRule="auto"/>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b/>
          <w:bCs/>
          <w:i/>
          <w:iCs/>
          <w:color w:val="000000"/>
          <w:kern w:val="0"/>
          <w:sz w:val="24"/>
          <w:szCs w:val="24"/>
          <w14:ligatures w14:val="none"/>
        </w:rPr>
        <w:t>(i)  Books</w:t>
      </w:r>
    </w:p>
    <w:p w14:paraId="6B0212F3"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Beauchamp T L and Childress J F, </w:t>
      </w:r>
      <w:r w:rsidRPr="002A22EE">
        <w:rPr>
          <w:rFonts w:ascii="Times New Roman" w:eastAsiaTheme="minorEastAsia" w:hAnsi="Times New Roman" w:cs="Times New Roman"/>
          <w:i/>
          <w:iCs/>
          <w:color w:val="000000"/>
          <w:kern w:val="0"/>
          <w:sz w:val="24"/>
          <w:szCs w:val="24"/>
          <w14:ligatures w14:val="none"/>
        </w:rPr>
        <w:t>Principles of Biomedical Ethics </w:t>
      </w:r>
      <w:r w:rsidRPr="002A22EE">
        <w:rPr>
          <w:rFonts w:ascii="Times New Roman" w:eastAsiaTheme="minorEastAsia" w:hAnsi="Times New Roman" w:cs="Times New Roman"/>
          <w:color w:val="000000"/>
          <w:kern w:val="0"/>
          <w:sz w:val="24"/>
          <w:szCs w:val="24"/>
          <w14:ligatures w14:val="none"/>
        </w:rPr>
        <w:t>(7th edn, Oxford University Press 2013)</w:t>
      </w:r>
    </w:p>
    <w:p w14:paraId="499DEF89"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Brazier M and Cave E, </w:t>
      </w:r>
      <w:r w:rsidRPr="002A22EE">
        <w:rPr>
          <w:rFonts w:ascii="Times New Roman" w:eastAsiaTheme="minorEastAsia" w:hAnsi="Times New Roman" w:cs="Times New Roman"/>
          <w:i/>
          <w:iCs/>
          <w:color w:val="000000"/>
          <w:kern w:val="0"/>
          <w:sz w:val="24"/>
          <w:szCs w:val="24"/>
          <w14:ligatures w14:val="none"/>
        </w:rPr>
        <w:t>Medicine, Patients and the Law </w:t>
      </w:r>
      <w:r w:rsidRPr="002A22EE">
        <w:rPr>
          <w:rFonts w:ascii="Times New Roman" w:eastAsiaTheme="minorEastAsia" w:hAnsi="Times New Roman" w:cs="Times New Roman"/>
          <w:color w:val="000000"/>
          <w:kern w:val="0"/>
          <w:sz w:val="24"/>
          <w:szCs w:val="24"/>
          <w14:ligatures w14:val="none"/>
        </w:rPr>
        <w:t>(6th edn, Manchester University Press 2016)</w:t>
      </w:r>
    </w:p>
    <w:p w14:paraId="4AFB2CF7"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Garner B A (ed), </w:t>
      </w:r>
      <w:r w:rsidRPr="002A22EE">
        <w:rPr>
          <w:rFonts w:ascii="Times New Roman" w:eastAsiaTheme="minorEastAsia" w:hAnsi="Times New Roman" w:cs="Times New Roman"/>
          <w:i/>
          <w:iCs/>
          <w:color w:val="000000"/>
          <w:kern w:val="0"/>
          <w:sz w:val="24"/>
          <w:szCs w:val="24"/>
          <w14:ligatures w14:val="none"/>
        </w:rPr>
        <w:t>Black’s Law Dictionary </w:t>
      </w:r>
      <w:r w:rsidRPr="002A22EE">
        <w:rPr>
          <w:rFonts w:ascii="Times New Roman" w:eastAsiaTheme="minorEastAsia" w:hAnsi="Times New Roman" w:cs="Times New Roman"/>
          <w:color w:val="000000"/>
          <w:kern w:val="0"/>
          <w:sz w:val="24"/>
          <w:szCs w:val="24"/>
          <w14:ligatures w14:val="none"/>
        </w:rPr>
        <w:t>(11th edn, Thomson Reuters 2019)</w:t>
      </w:r>
    </w:p>
    <w:p w14:paraId="20F8E38A"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Herring J, </w:t>
      </w:r>
      <w:r w:rsidRPr="002A22EE">
        <w:rPr>
          <w:rFonts w:ascii="Times New Roman" w:eastAsiaTheme="minorEastAsia" w:hAnsi="Times New Roman" w:cs="Times New Roman"/>
          <w:i/>
          <w:iCs/>
          <w:color w:val="000000"/>
          <w:kern w:val="0"/>
          <w:sz w:val="24"/>
          <w:szCs w:val="24"/>
          <w14:ligatures w14:val="none"/>
        </w:rPr>
        <w:t>Medical Law and Ethics </w:t>
      </w:r>
      <w:r w:rsidRPr="002A22EE">
        <w:rPr>
          <w:rFonts w:ascii="Times New Roman" w:eastAsiaTheme="minorEastAsia" w:hAnsi="Times New Roman" w:cs="Times New Roman"/>
          <w:color w:val="000000"/>
          <w:kern w:val="0"/>
          <w:sz w:val="24"/>
          <w:szCs w:val="24"/>
          <w14:ligatures w14:val="none"/>
        </w:rPr>
        <w:t>(8th edn, Oxford University Press 2020)</w:t>
      </w:r>
    </w:p>
    <w:p w14:paraId="073DD684"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Jonsen A R, Siegler M and Winslade W J, </w:t>
      </w:r>
      <w:r w:rsidRPr="002A22EE">
        <w:rPr>
          <w:rFonts w:ascii="Times New Roman" w:eastAsiaTheme="minorEastAsia" w:hAnsi="Times New Roman" w:cs="Times New Roman"/>
          <w:i/>
          <w:iCs/>
          <w:color w:val="000000"/>
          <w:kern w:val="0"/>
          <w:sz w:val="24"/>
          <w:szCs w:val="24"/>
          <w14:ligatures w14:val="none"/>
        </w:rPr>
        <w:t>Clinical Ethics: A Practical Approach to Ethical Decisions in Clinical Medicine </w:t>
      </w:r>
      <w:r w:rsidRPr="002A22EE">
        <w:rPr>
          <w:rFonts w:ascii="Times New Roman" w:eastAsiaTheme="minorEastAsia" w:hAnsi="Times New Roman" w:cs="Times New Roman"/>
          <w:color w:val="000000"/>
          <w:kern w:val="0"/>
          <w:sz w:val="24"/>
          <w:szCs w:val="24"/>
          <w14:ligatures w14:val="none"/>
        </w:rPr>
        <w:t>(8th edn, McGraw-Hill 2015)</w:t>
      </w:r>
    </w:p>
    <w:p w14:paraId="6A5B2DF6"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Newdick C, </w:t>
      </w:r>
      <w:r w:rsidRPr="002A22EE">
        <w:rPr>
          <w:rFonts w:ascii="Times New Roman" w:eastAsiaTheme="minorEastAsia" w:hAnsi="Times New Roman" w:cs="Times New Roman"/>
          <w:i/>
          <w:iCs/>
          <w:color w:val="000000"/>
          <w:kern w:val="0"/>
          <w:sz w:val="24"/>
          <w:szCs w:val="24"/>
          <w14:ligatures w14:val="none"/>
        </w:rPr>
        <w:t>Who Should We Treat? Rights, Rationing, and Resources in the NHS </w:t>
      </w:r>
      <w:r w:rsidRPr="002A22EE">
        <w:rPr>
          <w:rFonts w:ascii="Times New Roman" w:eastAsiaTheme="minorEastAsia" w:hAnsi="Times New Roman" w:cs="Times New Roman"/>
          <w:color w:val="000000"/>
          <w:kern w:val="0"/>
          <w:sz w:val="24"/>
          <w:szCs w:val="24"/>
          <w14:ligatures w14:val="none"/>
        </w:rPr>
        <w:t>(2nd edn, Oxford University Press 2005)</w:t>
      </w:r>
    </w:p>
    <w:p w14:paraId="46FF366B"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O’Neill O, </w:t>
      </w:r>
      <w:r w:rsidRPr="002A22EE">
        <w:rPr>
          <w:rFonts w:ascii="Times New Roman" w:eastAsiaTheme="minorEastAsia" w:hAnsi="Times New Roman" w:cs="Times New Roman"/>
          <w:i/>
          <w:iCs/>
          <w:color w:val="000000"/>
          <w:kern w:val="0"/>
          <w:sz w:val="24"/>
          <w:szCs w:val="24"/>
          <w14:ligatures w14:val="none"/>
        </w:rPr>
        <w:t>Autonomy and Trust in Bioethics </w:t>
      </w:r>
      <w:r w:rsidRPr="002A22EE">
        <w:rPr>
          <w:rFonts w:ascii="Times New Roman" w:eastAsiaTheme="minorEastAsia" w:hAnsi="Times New Roman" w:cs="Times New Roman"/>
          <w:color w:val="000000"/>
          <w:kern w:val="0"/>
          <w:sz w:val="24"/>
          <w:szCs w:val="24"/>
          <w14:ligatures w14:val="none"/>
        </w:rPr>
        <w:t>(Cambridge University Press 2002)</w:t>
      </w:r>
    </w:p>
    <w:p w14:paraId="47D790F8"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Okonkwo C O and Naish M E, </w:t>
      </w:r>
      <w:r w:rsidRPr="002A22EE">
        <w:rPr>
          <w:rFonts w:ascii="Times New Roman" w:eastAsiaTheme="minorEastAsia" w:hAnsi="Times New Roman" w:cs="Times New Roman"/>
          <w:i/>
          <w:iCs/>
          <w:color w:val="000000"/>
          <w:kern w:val="0"/>
          <w:sz w:val="24"/>
          <w:szCs w:val="24"/>
          <w14:ligatures w14:val="none"/>
        </w:rPr>
        <w:t>Criminal Law in Nigeria </w:t>
      </w:r>
      <w:r w:rsidRPr="002A22EE">
        <w:rPr>
          <w:rFonts w:ascii="Times New Roman" w:eastAsiaTheme="minorEastAsia" w:hAnsi="Times New Roman" w:cs="Times New Roman"/>
          <w:color w:val="000000"/>
          <w:kern w:val="0"/>
          <w:sz w:val="24"/>
          <w:szCs w:val="24"/>
          <w14:ligatures w14:val="none"/>
        </w:rPr>
        <w:t>(Spectrum Books Ltd 2009)</w:t>
      </w:r>
    </w:p>
    <w:p w14:paraId="33E15BBA"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Rogers W V H, </w:t>
      </w:r>
      <w:r w:rsidRPr="002A22EE">
        <w:rPr>
          <w:rFonts w:ascii="Times New Roman" w:eastAsiaTheme="minorEastAsia" w:hAnsi="Times New Roman" w:cs="Times New Roman"/>
          <w:i/>
          <w:iCs/>
          <w:color w:val="000000"/>
          <w:kern w:val="0"/>
          <w:sz w:val="24"/>
          <w:szCs w:val="24"/>
          <w14:ligatures w14:val="none"/>
        </w:rPr>
        <w:t>Winfield and Jolowicz on Tort </w:t>
      </w:r>
      <w:r w:rsidRPr="002A22EE">
        <w:rPr>
          <w:rFonts w:ascii="Times New Roman" w:eastAsiaTheme="minorEastAsia" w:hAnsi="Times New Roman" w:cs="Times New Roman"/>
          <w:color w:val="000000"/>
          <w:kern w:val="0"/>
          <w:sz w:val="24"/>
          <w:szCs w:val="24"/>
          <w14:ligatures w14:val="none"/>
        </w:rPr>
        <w:t>(17th edn, Sweet &amp; Maxwell 2006)</w:t>
      </w:r>
    </w:p>
    <w:p w14:paraId="6788BC0B"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Schneider C E, </w:t>
      </w:r>
      <w:r w:rsidRPr="002A22EE">
        <w:rPr>
          <w:rFonts w:ascii="Times New Roman" w:eastAsiaTheme="minorEastAsia" w:hAnsi="Times New Roman" w:cs="Times New Roman"/>
          <w:i/>
          <w:iCs/>
          <w:color w:val="000000"/>
          <w:kern w:val="0"/>
          <w:sz w:val="24"/>
          <w:szCs w:val="24"/>
          <w14:ligatures w14:val="none"/>
        </w:rPr>
        <w:t>The Practice of Autonomy: Patients, Doctors, and Medical Decisions </w:t>
      </w:r>
      <w:r w:rsidRPr="002A22EE">
        <w:rPr>
          <w:rFonts w:ascii="Times New Roman" w:eastAsiaTheme="minorEastAsia" w:hAnsi="Times New Roman" w:cs="Times New Roman"/>
          <w:color w:val="000000"/>
          <w:kern w:val="0"/>
          <w:sz w:val="24"/>
          <w:szCs w:val="24"/>
          <w14:ligatures w14:val="none"/>
        </w:rPr>
        <w:t>(Oxford University Press 1998)</w:t>
      </w:r>
    </w:p>
    <w:p w14:paraId="03A2EB29" w14:textId="77777777" w:rsidR="00C64CEC" w:rsidRPr="002A22EE" w:rsidRDefault="00C64CEC" w:rsidP="002A22EE">
      <w:pPr>
        <w:spacing w:before="120" w:after="60" w:line="240" w:lineRule="auto"/>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b/>
          <w:bCs/>
          <w:i/>
          <w:iCs/>
          <w:color w:val="000000"/>
          <w:kern w:val="0"/>
          <w:sz w:val="24"/>
          <w:szCs w:val="24"/>
          <w14:ligatures w14:val="none"/>
        </w:rPr>
        <w:t>(ii)  Journal Articles</w:t>
      </w:r>
    </w:p>
    <w:p w14:paraId="1C242C5C"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Ademiluyi I A and Aluko-Arowolo S O, ‘Infrastructural Distribution of Healthcare Services in Nigeria: An Overview’ [2009] (2)(5) </w:t>
      </w:r>
      <w:r w:rsidRPr="002A22EE">
        <w:rPr>
          <w:rFonts w:ascii="Times New Roman" w:eastAsiaTheme="minorEastAsia" w:hAnsi="Times New Roman" w:cs="Times New Roman"/>
          <w:i/>
          <w:iCs/>
          <w:color w:val="000000"/>
          <w:kern w:val="0"/>
          <w:sz w:val="24"/>
          <w:szCs w:val="24"/>
          <w14:ligatures w14:val="none"/>
        </w:rPr>
        <w:t>Journal of Geography and Regional Planning </w:t>
      </w:r>
      <w:r w:rsidRPr="002A22EE">
        <w:rPr>
          <w:rFonts w:ascii="Times New Roman" w:eastAsiaTheme="minorEastAsia" w:hAnsi="Times New Roman" w:cs="Times New Roman"/>
          <w:color w:val="000000"/>
          <w:kern w:val="0"/>
          <w:sz w:val="24"/>
          <w:szCs w:val="24"/>
          <w14:ligatures w14:val="none"/>
        </w:rPr>
        <w:t>104</w:t>
      </w:r>
    </w:p>
    <w:p w14:paraId="32C67C32"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Donabedian A, ‘The Quality of Care: How Can It Be Assessed?’ (1988) (260)(12) </w:t>
      </w:r>
      <w:r w:rsidRPr="002A22EE">
        <w:rPr>
          <w:rFonts w:ascii="Times New Roman" w:eastAsiaTheme="minorEastAsia" w:hAnsi="Times New Roman" w:cs="Times New Roman"/>
          <w:i/>
          <w:iCs/>
          <w:color w:val="000000"/>
          <w:kern w:val="0"/>
          <w:sz w:val="24"/>
          <w:szCs w:val="24"/>
          <w14:ligatures w14:val="none"/>
        </w:rPr>
        <w:t>JAMA </w:t>
      </w:r>
      <w:r w:rsidRPr="002A22EE">
        <w:rPr>
          <w:rFonts w:ascii="Times New Roman" w:eastAsiaTheme="minorEastAsia" w:hAnsi="Times New Roman" w:cs="Times New Roman"/>
          <w:color w:val="000000"/>
          <w:kern w:val="0"/>
          <w:sz w:val="24"/>
          <w:szCs w:val="24"/>
          <w14:ligatures w14:val="none"/>
        </w:rPr>
        <w:t>1743</w:t>
      </w:r>
    </w:p>
    <w:p w14:paraId="03975B8A"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Dowler E and O’Connor D, ‘Rights-Based Approaches to Addressing Food Poverty and Food Insecurity in Ireland and UK’ [2012] (74)(1) </w:t>
      </w:r>
      <w:r w:rsidRPr="002A22EE">
        <w:rPr>
          <w:rFonts w:ascii="Times New Roman" w:eastAsiaTheme="minorEastAsia" w:hAnsi="Times New Roman" w:cs="Times New Roman"/>
          <w:i/>
          <w:iCs/>
          <w:color w:val="000000"/>
          <w:kern w:val="0"/>
          <w:sz w:val="24"/>
          <w:szCs w:val="24"/>
          <w14:ligatures w14:val="none"/>
        </w:rPr>
        <w:t>Social Science &amp; Medicine </w:t>
      </w:r>
      <w:r w:rsidRPr="002A22EE">
        <w:rPr>
          <w:rFonts w:ascii="Times New Roman" w:eastAsiaTheme="minorEastAsia" w:hAnsi="Times New Roman" w:cs="Times New Roman"/>
          <w:color w:val="000000"/>
          <w:kern w:val="0"/>
          <w:sz w:val="24"/>
          <w:szCs w:val="24"/>
          <w14:ligatures w14:val="none"/>
        </w:rPr>
        <w:t>44</w:t>
      </w:r>
    </w:p>
    <w:p w14:paraId="609F7AA6"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Ehigiator O and Okoye U, ‘Medical Negligence &amp; Criminal Liability: An Evaluation of the Nigerian Position’ [2021] (6)(2) </w:t>
      </w:r>
      <w:r w:rsidRPr="002A22EE">
        <w:rPr>
          <w:rFonts w:ascii="Times New Roman" w:eastAsiaTheme="minorEastAsia" w:hAnsi="Times New Roman" w:cs="Times New Roman"/>
          <w:i/>
          <w:iCs/>
          <w:color w:val="000000"/>
          <w:kern w:val="0"/>
          <w:sz w:val="24"/>
          <w:szCs w:val="24"/>
          <w14:ligatures w14:val="none"/>
        </w:rPr>
        <w:t>Madonna University Faculty of Law Law Journal</w:t>
      </w:r>
    </w:p>
    <w:p w14:paraId="61311103"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Enabulele O and Enabulele J E, ‘Nigeria’s National Health Act: An Assessment of Health Professionals’ Knowledge and Perception’ [2016] (57)(5) </w:t>
      </w:r>
      <w:r w:rsidRPr="002A22EE">
        <w:rPr>
          <w:rFonts w:ascii="Times New Roman" w:eastAsiaTheme="minorEastAsia" w:hAnsi="Times New Roman" w:cs="Times New Roman"/>
          <w:i/>
          <w:iCs/>
          <w:color w:val="000000"/>
          <w:kern w:val="0"/>
          <w:sz w:val="24"/>
          <w:szCs w:val="24"/>
          <w14:ligatures w14:val="none"/>
        </w:rPr>
        <w:t>Nigerian Medical Journal </w:t>
      </w:r>
      <w:r w:rsidRPr="002A22EE">
        <w:rPr>
          <w:rFonts w:ascii="Times New Roman" w:eastAsiaTheme="minorEastAsia" w:hAnsi="Times New Roman" w:cs="Times New Roman"/>
          <w:color w:val="000000"/>
          <w:kern w:val="0"/>
          <w:sz w:val="24"/>
          <w:szCs w:val="24"/>
          <w14:ligatures w14:val="none"/>
        </w:rPr>
        <w:t>260</w:t>
      </w:r>
    </w:p>
    <w:p w14:paraId="326690B5"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Enemo I P, ‘Medical Negligence: Liability of Health Care Providers and Hospitals’ [2016] (10) </w:t>
      </w:r>
      <w:r w:rsidRPr="002A22EE">
        <w:rPr>
          <w:rFonts w:ascii="Times New Roman" w:eastAsiaTheme="minorEastAsia" w:hAnsi="Times New Roman" w:cs="Times New Roman"/>
          <w:i/>
          <w:iCs/>
          <w:color w:val="000000"/>
          <w:kern w:val="0"/>
          <w:sz w:val="24"/>
          <w:szCs w:val="24"/>
          <w14:ligatures w14:val="none"/>
        </w:rPr>
        <w:t>University of Nigeria Law Journal</w:t>
      </w:r>
    </w:p>
    <w:p w14:paraId="23CA49D2"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Gbobo P I and Oke-Chinda M, ‘An Analysis of the Doctrine of Informed Consent in Nigeria’s Health Care Services’ [2018] (69) </w:t>
      </w:r>
      <w:r w:rsidRPr="002A22EE">
        <w:rPr>
          <w:rFonts w:ascii="Times New Roman" w:eastAsiaTheme="minorEastAsia" w:hAnsi="Times New Roman" w:cs="Times New Roman"/>
          <w:i/>
          <w:iCs/>
          <w:color w:val="000000"/>
          <w:kern w:val="0"/>
          <w:sz w:val="24"/>
          <w:szCs w:val="24"/>
          <w14:ligatures w14:val="none"/>
        </w:rPr>
        <w:t>Journal of Law, Policy and Globalization </w:t>
      </w:r>
      <w:r w:rsidRPr="002A22EE">
        <w:rPr>
          <w:rFonts w:ascii="Times New Roman" w:eastAsiaTheme="minorEastAsia" w:hAnsi="Times New Roman" w:cs="Times New Roman"/>
          <w:color w:val="000000"/>
          <w:kern w:val="0"/>
          <w:sz w:val="24"/>
          <w:szCs w:val="24"/>
          <w14:ligatures w14:val="none"/>
        </w:rPr>
        <w:t>15</w:t>
      </w:r>
    </w:p>
    <w:p w14:paraId="227EBD81"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Gresenz C R and Studdert D M, ‘Patients in Conflict with Managed Care: A Profile of Appeals in Two HMOs’ [2002] (21)(4) </w:t>
      </w:r>
      <w:r w:rsidRPr="002A22EE">
        <w:rPr>
          <w:rFonts w:ascii="Times New Roman" w:eastAsiaTheme="minorEastAsia" w:hAnsi="Times New Roman" w:cs="Times New Roman"/>
          <w:i/>
          <w:iCs/>
          <w:color w:val="000000"/>
          <w:kern w:val="0"/>
          <w:sz w:val="24"/>
          <w:szCs w:val="24"/>
          <w14:ligatures w14:val="none"/>
        </w:rPr>
        <w:t>Health Affairs </w:t>
      </w:r>
      <w:r w:rsidRPr="002A22EE">
        <w:rPr>
          <w:rFonts w:ascii="Times New Roman" w:eastAsiaTheme="minorEastAsia" w:hAnsi="Times New Roman" w:cs="Times New Roman"/>
          <w:color w:val="000000"/>
          <w:kern w:val="0"/>
          <w:sz w:val="24"/>
          <w:szCs w:val="24"/>
          <w14:ligatures w14:val="none"/>
        </w:rPr>
        <w:t>189</w:t>
      </w:r>
    </w:p>
    <w:p w14:paraId="7338CAE3"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lastRenderedPageBreak/>
        <w:t>Gruskin S, Bogecho D and Ferguson L, ‘“Rights-Based Approaches” to Health Policies and Programs: Articulations, Ambiguities, and Assessment’ [2010] (31)(2) </w:t>
      </w:r>
      <w:r w:rsidRPr="002A22EE">
        <w:rPr>
          <w:rFonts w:ascii="Times New Roman" w:eastAsiaTheme="minorEastAsia" w:hAnsi="Times New Roman" w:cs="Times New Roman"/>
          <w:i/>
          <w:iCs/>
          <w:color w:val="000000"/>
          <w:kern w:val="0"/>
          <w:sz w:val="24"/>
          <w:szCs w:val="24"/>
          <w14:ligatures w14:val="none"/>
        </w:rPr>
        <w:t>Journal of Public Health Policy </w:t>
      </w:r>
      <w:r w:rsidRPr="002A22EE">
        <w:rPr>
          <w:rFonts w:ascii="Times New Roman" w:eastAsiaTheme="minorEastAsia" w:hAnsi="Times New Roman" w:cs="Times New Roman"/>
          <w:color w:val="000000"/>
          <w:kern w:val="0"/>
          <w:sz w:val="24"/>
          <w:szCs w:val="24"/>
          <w14:ligatures w14:val="none"/>
        </w:rPr>
        <w:t>12</w:t>
      </w:r>
    </w:p>
    <w:p w14:paraId="64CC5C2D"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Guyer P, ‘Kant on the Theory and Practice of Autonomy’ [2003] </w:t>
      </w:r>
      <w:r w:rsidRPr="002A22EE">
        <w:rPr>
          <w:rFonts w:ascii="Times New Roman" w:eastAsiaTheme="minorEastAsia" w:hAnsi="Times New Roman" w:cs="Times New Roman"/>
          <w:i/>
          <w:iCs/>
          <w:color w:val="000000"/>
          <w:kern w:val="0"/>
          <w:sz w:val="24"/>
          <w:szCs w:val="24"/>
          <w14:ligatures w14:val="none"/>
        </w:rPr>
        <w:t>Social Philosophy and Policy </w:t>
      </w:r>
      <w:r w:rsidRPr="002A22EE">
        <w:rPr>
          <w:rFonts w:ascii="Times New Roman" w:eastAsiaTheme="minorEastAsia" w:hAnsi="Times New Roman" w:cs="Times New Roman"/>
          <w:color w:val="000000"/>
          <w:kern w:val="0"/>
          <w:sz w:val="24"/>
          <w:szCs w:val="24"/>
          <w14:ligatures w14:val="none"/>
        </w:rPr>
        <w:t>70</w:t>
      </w:r>
    </w:p>
    <w:p w14:paraId="0EF911FA"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Hage S M and Kenny M E, ‘Promoting a Social Justice Approach to Prevention: Future Directions for Training, Practice, and Research’ [2009] (30)(1) </w:t>
      </w:r>
      <w:r w:rsidRPr="002A22EE">
        <w:rPr>
          <w:rFonts w:ascii="Times New Roman" w:eastAsiaTheme="minorEastAsia" w:hAnsi="Times New Roman" w:cs="Times New Roman"/>
          <w:i/>
          <w:iCs/>
          <w:color w:val="000000"/>
          <w:kern w:val="0"/>
          <w:sz w:val="24"/>
          <w:szCs w:val="24"/>
          <w14:ligatures w14:val="none"/>
        </w:rPr>
        <w:t>Journal of Primary Prevention </w:t>
      </w:r>
      <w:r w:rsidRPr="002A22EE">
        <w:rPr>
          <w:rFonts w:ascii="Times New Roman" w:eastAsiaTheme="minorEastAsia" w:hAnsi="Times New Roman" w:cs="Times New Roman"/>
          <w:color w:val="000000"/>
          <w:kern w:val="0"/>
          <w:sz w:val="24"/>
          <w:szCs w:val="24"/>
          <w14:ligatures w14:val="none"/>
        </w:rPr>
        <w:t>75</w:t>
      </w:r>
    </w:p>
    <w:p w14:paraId="04335F51"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Hixon A L, Yamada S, Farmer P E and others, ‘Social Justice: The Heart of Medical Education’ [2013] (7)(3) </w:t>
      </w:r>
      <w:r w:rsidRPr="002A22EE">
        <w:rPr>
          <w:rFonts w:ascii="Times New Roman" w:eastAsiaTheme="minorEastAsia" w:hAnsi="Times New Roman" w:cs="Times New Roman"/>
          <w:i/>
          <w:iCs/>
          <w:color w:val="000000"/>
          <w:kern w:val="0"/>
          <w:sz w:val="24"/>
          <w:szCs w:val="24"/>
          <w14:ligatures w14:val="none"/>
        </w:rPr>
        <w:t>Journal of Social Medicine </w:t>
      </w:r>
      <w:r w:rsidRPr="002A22EE">
        <w:rPr>
          <w:rFonts w:ascii="Times New Roman" w:eastAsiaTheme="minorEastAsia" w:hAnsi="Times New Roman" w:cs="Times New Roman"/>
          <w:color w:val="000000"/>
          <w:kern w:val="0"/>
          <w:sz w:val="24"/>
          <w:szCs w:val="24"/>
          <w14:ligatures w14:val="none"/>
        </w:rPr>
        <w:t>161</w:t>
      </w:r>
    </w:p>
    <w:p w14:paraId="41DC6272"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Kansal N, Graham B, Kruse M and others, ‘Transforming Our Relationship with the Social Determinants of Health: A Scoping Review of Social Justice Interventions in Canadian Medical Schools’ [2020] (9) 191 </w:t>
      </w:r>
      <w:r w:rsidRPr="002A22EE">
        <w:rPr>
          <w:rFonts w:ascii="Times New Roman" w:eastAsiaTheme="minorEastAsia" w:hAnsi="Times New Roman" w:cs="Times New Roman"/>
          <w:i/>
          <w:iCs/>
          <w:color w:val="000000"/>
          <w:kern w:val="0"/>
          <w:sz w:val="24"/>
          <w:szCs w:val="24"/>
          <w14:ligatures w14:val="none"/>
        </w:rPr>
        <w:t>MedEdPublish</w:t>
      </w:r>
    </w:p>
    <w:p w14:paraId="3EB975D9"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Kirby M D J, ‘Informed Consent: What Does It Mean?’ [1983] (9)(2) </w:t>
      </w:r>
      <w:r w:rsidRPr="002A22EE">
        <w:rPr>
          <w:rFonts w:ascii="Times New Roman" w:eastAsiaTheme="minorEastAsia" w:hAnsi="Times New Roman" w:cs="Times New Roman"/>
          <w:i/>
          <w:iCs/>
          <w:color w:val="000000"/>
          <w:kern w:val="0"/>
          <w:sz w:val="24"/>
          <w:szCs w:val="24"/>
          <w14:ligatures w14:val="none"/>
        </w:rPr>
        <w:t>Journal of Medical Ethics </w:t>
      </w:r>
      <w:r w:rsidRPr="002A22EE">
        <w:rPr>
          <w:rFonts w:ascii="Times New Roman" w:eastAsiaTheme="minorEastAsia" w:hAnsi="Times New Roman" w:cs="Times New Roman"/>
          <w:color w:val="000000"/>
          <w:kern w:val="0"/>
          <w:sz w:val="24"/>
          <w:szCs w:val="24"/>
          <w14:ligatures w14:val="none"/>
        </w:rPr>
        <w:t>69</w:t>
      </w:r>
    </w:p>
    <w:p w14:paraId="6BEAD5C7"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Meier B and Yamin A, ‘Right to Health Litigation and HIV/AIDS Policy’ [2011] (39)(1) </w:t>
      </w:r>
      <w:r w:rsidRPr="002A22EE">
        <w:rPr>
          <w:rFonts w:ascii="Times New Roman" w:eastAsiaTheme="minorEastAsia" w:hAnsi="Times New Roman" w:cs="Times New Roman"/>
          <w:i/>
          <w:iCs/>
          <w:color w:val="000000"/>
          <w:kern w:val="0"/>
          <w:sz w:val="24"/>
          <w:szCs w:val="24"/>
          <w14:ligatures w14:val="none"/>
        </w:rPr>
        <w:t>Journal of Law, Medicine and Ethics </w:t>
      </w:r>
      <w:r w:rsidRPr="002A22EE">
        <w:rPr>
          <w:rFonts w:ascii="Times New Roman" w:eastAsiaTheme="minorEastAsia" w:hAnsi="Times New Roman" w:cs="Times New Roman"/>
          <w:color w:val="000000"/>
          <w:kern w:val="0"/>
          <w:sz w:val="24"/>
          <w:szCs w:val="24"/>
          <w14:ligatures w14:val="none"/>
        </w:rPr>
        <w:t>8</w:t>
      </w:r>
    </w:p>
    <w:p w14:paraId="2B182C3B"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Mubarak A S and Abdul Aameed, ‘HRM Issues and Challenges in Healthcare’ [2016] (7)(2) </w:t>
      </w:r>
      <w:r w:rsidRPr="002A22EE">
        <w:rPr>
          <w:rFonts w:ascii="Times New Roman" w:eastAsiaTheme="minorEastAsia" w:hAnsi="Times New Roman" w:cs="Times New Roman"/>
          <w:i/>
          <w:iCs/>
          <w:color w:val="000000"/>
          <w:kern w:val="0"/>
          <w:sz w:val="24"/>
          <w:szCs w:val="24"/>
          <w14:ligatures w14:val="none"/>
        </w:rPr>
        <w:t>International Journal of Management </w:t>
      </w:r>
      <w:r w:rsidRPr="002A22EE">
        <w:rPr>
          <w:rFonts w:ascii="Times New Roman" w:eastAsiaTheme="minorEastAsia" w:hAnsi="Times New Roman" w:cs="Times New Roman"/>
          <w:color w:val="000000"/>
          <w:kern w:val="0"/>
          <w:sz w:val="24"/>
          <w:szCs w:val="24"/>
          <w14:ligatures w14:val="none"/>
        </w:rPr>
        <w:t>166</w:t>
      </w:r>
    </w:p>
    <w:p w14:paraId="59658D80"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Ndugbu K U, ‘Building a Healthier Nigeria: The Social Justice Case for Universal Health Insurance’ [2024] (10)(2) </w:t>
      </w:r>
      <w:r w:rsidRPr="002A22EE">
        <w:rPr>
          <w:rFonts w:ascii="Times New Roman" w:eastAsiaTheme="minorEastAsia" w:hAnsi="Times New Roman" w:cs="Times New Roman"/>
          <w:i/>
          <w:iCs/>
          <w:color w:val="000000"/>
          <w:kern w:val="0"/>
          <w:sz w:val="24"/>
          <w:szCs w:val="24"/>
          <w14:ligatures w14:val="none"/>
        </w:rPr>
        <w:t>Journal of Healthcare Ethics &amp; Administration </w:t>
      </w:r>
      <w:r w:rsidRPr="002A22EE">
        <w:rPr>
          <w:rFonts w:ascii="Times New Roman" w:eastAsiaTheme="minorEastAsia" w:hAnsi="Times New Roman" w:cs="Times New Roman"/>
          <w:color w:val="000000"/>
          <w:kern w:val="0"/>
          <w:sz w:val="24"/>
          <w:szCs w:val="24"/>
          <w14:ligatures w14:val="none"/>
        </w:rPr>
        <w:t>46</w:t>
      </w:r>
    </w:p>
    <w:p w14:paraId="27F25EF0"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Odunsi B, ‘Medical Negligence and Its Litigation in Nigeria’ [2023] (14)(2) </w:t>
      </w:r>
      <w:r w:rsidRPr="002A22EE">
        <w:rPr>
          <w:rFonts w:ascii="Times New Roman" w:eastAsiaTheme="minorEastAsia" w:hAnsi="Times New Roman" w:cs="Times New Roman"/>
          <w:i/>
          <w:iCs/>
          <w:color w:val="000000"/>
          <w:kern w:val="0"/>
          <w:sz w:val="24"/>
          <w:szCs w:val="24"/>
          <w14:ligatures w14:val="none"/>
        </w:rPr>
        <w:t>Beijing Law Review </w:t>
      </w:r>
      <w:r w:rsidRPr="002A22EE">
        <w:rPr>
          <w:rFonts w:ascii="Times New Roman" w:eastAsiaTheme="minorEastAsia" w:hAnsi="Times New Roman" w:cs="Times New Roman"/>
          <w:color w:val="000000"/>
          <w:kern w:val="0"/>
          <w:sz w:val="24"/>
          <w:szCs w:val="24"/>
          <w14:ligatures w14:val="none"/>
        </w:rPr>
        <w:t>1090</w:t>
      </w:r>
    </w:p>
    <w:p w14:paraId="1830E532"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Oleribe O, Ezieme I P, Oladipo O and others, ‘Industrial Action by Healthcare Workers in Nigeria in 2013–2015: An Inquiry into Causes, Consequences and Control’ [2016] (14)(1) </w:t>
      </w:r>
      <w:r w:rsidRPr="002A22EE">
        <w:rPr>
          <w:rFonts w:ascii="Times New Roman" w:eastAsiaTheme="minorEastAsia" w:hAnsi="Times New Roman" w:cs="Times New Roman"/>
          <w:i/>
          <w:iCs/>
          <w:color w:val="000000"/>
          <w:kern w:val="0"/>
          <w:sz w:val="24"/>
          <w:szCs w:val="24"/>
          <w14:ligatures w14:val="none"/>
        </w:rPr>
        <w:t>Human Resources for Health </w:t>
      </w:r>
      <w:r w:rsidRPr="002A22EE">
        <w:rPr>
          <w:rFonts w:ascii="Times New Roman" w:eastAsiaTheme="minorEastAsia" w:hAnsi="Times New Roman" w:cs="Times New Roman"/>
          <w:color w:val="000000"/>
          <w:kern w:val="0"/>
          <w:sz w:val="24"/>
          <w:szCs w:val="24"/>
          <w14:ligatures w14:val="none"/>
        </w:rPr>
        <w:t>46</w:t>
      </w:r>
    </w:p>
    <w:p w14:paraId="26D577FF"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Olaniyan H A, ‘Liability for Medical Negligence in Nigeria’ [2006] (4)(2) </w:t>
      </w:r>
      <w:r w:rsidRPr="002A22EE">
        <w:rPr>
          <w:rFonts w:ascii="Times New Roman" w:eastAsiaTheme="minorEastAsia" w:hAnsi="Times New Roman" w:cs="Times New Roman"/>
          <w:i/>
          <w:iCs/>
          <w:color w:val="000000"/>
          <w:kern w:val="0"/>
          <w:sz w:val="24"/>
          <w:szCs w:val="24"/>
          <w14:ligatures w14:val="none"/>
        </w:rPr>
        <w:t>Journal of Jurisprudence and Contemporary Issues </w:t>
      </w:r>
      <w:r w:rsidRPr="002A22EE">
        <w:rPr>
          <w:rFonts w:ascii="Times New Roman" w:eastAsiaTheme="minorEastAsia" w:hAnsi="Times New Roman" w:cs="Times New Roman"/>
          <w:color w:val="000000"/>
          <w:kern w:val="0"/>
          <w:sz w:val="24"/>
          <w:szCs w:val="24"/>
          <w14:ligatures w14:val="none"/>
        </w:rPr>
        <w:t>67</w:t>
      </w:r>
    </w:p>
    <w:p w14:paraId="66693A64"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Olusegun O O and Odunsi B, ‘Advancing the Rights of Patients in Nigeria: Analysing the Patients’ Bill of Rights’ [2023] </w:t>
      </w:r>
      <w:r w:rsidRPr="002A22EE">
        <w:rPr>
          <w:rFonts w:ascii="Times New Roman" w:eastAsiaTheme="minorEastAsia" w:hAnsi="Times New Roman" w:cs="Times New Roman"/>
          <w:i/>
          <w:iCs/>
          <w:color w:val="000000"/>
          <w:kern w:val="0"/>
          <w:sz w:val="24"/>
          <w:szCs w:val="24"/>
          <w14:ligatures w14:val="none"/>
        </w:rPr>
        <w:t>Journal of Law and Medicine</w:t>
      </w:r>
    </w:p>
    <w:p w14:paraId="6DF1F67A"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Onyi H O, Uzoka N C and Dimkpa T C, ‘Beyond Awareness and Semantics: Patients’ Rights in Tertiary Health Institutions in Anambra State Nigeria’ [2024] (10)(3) </w:t>
      </w:r>
      <w:r w:rsidRPr="002A22EE">
        <w:rPr>
          <w:rFonts w:ascii="Times New Roman" w:eastAsiaTheme="minorEastAsia" w:hAnsi="Times New Roman" w:cs="Times New Roman"/>
          <w:i/>
          <w:iCs/>
          <w:color w:val="000000"/>
          <w:kern w:val="0"/>
          <w:sz w:val="24"/>
          <w:szCs w:val="24"/>
          <w14:ligatures w14:val="none"/>
        </w:rPr>
        <w:t>International Journal of Law </w:t>
      </w:r>
      <w:r w:rsidRPr="002A22EE">
        <w:rPr>
          <w:rFonts w:ascii="Times New Roman" w:eastAsiaTheme="minorEastAsia" w:hAnsi="Times New Roman" w:cs="Times New Roman"/>
          <w:color w:val="000000"/>
          <w:kern w:val="0"/>
          <w:sz w:val="24"/>
          <w:szCs w:val="24"/>
          <w14:ligatures w14:val="none"/>
        </w:rPr>
        <w:t>229</w:t>
      </w:r>
    </w:p>
    <w:p w14:paraId="76899297"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Paasche-Orlow M K, Jacob D M, Hochhauser M and Parker R M, ‘National Survey of Patients’ Bill of Rights Statutes’ [2009] (24) </w:t>
      </w:r>
      <w:r w:rsidRPr="002A22EE">
        <w:rPr>
          <w:rFonts w:ascii="Times New Roman" w:eastAsiaTheme="minorEastAsia" w:hAnsi="Times New Roman" w:cs="Times New Roman"/>
          <w:i/>
          <w:iCs/>
          <w:color w:val="000000"/>
          <w:kern w:val="0"/>
          <w:sz w:val="24"/>
          <w:szCs w:val="24"/>
          <w14:ligatures w14:val="none"/>
        </w:rPr>
        <w:t>Journal of General Internal Medicine </w:t>
      </w:r>
      <w:r w:rsidRPr="002A22EE">
        <w:rPr>
          <w:rFonts w:ascii="Times New Roman" w:eastAsiaTheme="minorEastAsia" w:hAnsi="Times New Roman" w:cs="Times New Roman"/>
          <w:color w:val="000000"/>
          <w:kern w:val="0"/>
          <w:sz w:val="24"/>
          <w:szCs w:val="24"/>
          <w14:ligatures w14:val="none"/>
        </w:rPr>
        <w:t>489</w:t>
      </w:r>
    </w:p>
    <w:p w14:paraId="16C996D4"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Palm W and Nys H, ‘Achieving Person-Centered Health Systems Evidence, Strategies and Challenges: Patients’ Rights: From Recognition to Implementation’ [2020] </w:t>
      </w:r>
      <w:r w:rsidRPr="002A22EE">
        <w:rPr>
          <w:rFonts w:ascii="Times New Roman" w:eastAsiaTheme="minorEastAsia" w:hAnsi="Times New Roman" w:cs="Times New Roman"/>
          <w:i/>
          <w:iCs/>
          <w:color w:val="000000"/>
          <w:kern w:val="0"/>
          <w:sz w:val="24"/>
          <w:szCs w:val="24"/>
          <w14:ligatures w14:val="none"/>
        </w:rPr>
        <w:t>Cambridge University Press </w:t>
      </w:r>
      <w:r w:rsidRPr="002A22EE">
        <w:rPr>
          <w:rFonts w:ascii="Times New Roman" w:eastAsiaTheme="minorEastAsia" w:hAnsi="Times New Roman" w:cs="Times New Roman"/>
          <w:color w:val="000000"/>
          <w:kern w:val="0"/>
          <w:sz w:val="24"/>
          <w:szCs w:val="24"/>
          <w14:ligatures w14:val="none"/>
        </w:rPr>
        <w:t>347</w:t>
      </w:r>
    </w:p>
    <w:p w14:paraId="4EAC131D"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Salehahmadi Z and Hajialiasghari F, ‘Telemedicine in Iran: Chances and Challenges’ [2013] (2)(1) </w:t>
      </w:r>
      <w:r w:rsidRPr="002A22EE">
        <w:rPr>
          <w:rFonts w:ascii="Times New Roman" w:eastAsiaTheme="minorEastAsia" w:hAnsi="Times New Roman" w:cs="Times New Roman"/>
          <w:i/>
          <w:iCs/>
          <w:color w:val="000000"/>
          <w:kern w:val="0"/>
          <w:sz w:val="24"/>
          <w:szCs w:val="24"/>
          <w14:ligatures w14:val="none"/>
        </w:rPr>
        <w:t>World Journal of Plastic Surgery </w:t>
      </w:r>
      <w:r w:rsidRPr="002A22EE">
        <w:rPr>
          <w:rFonts w:ascii="Times New Roman" w:eastAsiaTheme="minorEastAsia" w:hAnsi="Times New Roman" w:cs="Times New Roman"/>
          <w:color w:val="000000"/>
          <w:kern w:val="0"/>
          <w:sz w:val="24"/>
          <w:szCs w:val="24"/>
          <w14:ligatures w14:val="none"/>
        </w:rPr>
        <w:t>18</w:t>
      </w:r>
    </w:p>
    <w:p w14:paraId="3A66200B"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Schiff T, Rieth K, Maskarinec G, Yamada S and others, ‘Social Justice in Medical Education: Strengths and Challenges of a Student-Driven Social Justice Curriculum’ [2014] (73)(8) </w:t>
      </w:r>
      <w:r w:rsidRPr="002A22EE">
        <w:rPr>
          <w:rFonts w:ascii="Times New Roman" w:eastAsiaTheme="minorEastAsia" w:hAnsi="Times New Roman" w:cs="Times New Roman"/>
          <w:i/>
          <w:iCs/>
          <w:color w:val="000000"/>
          <w:kern w:val="0"/>
          <w:sz w:val="24"/>
          <w:szCs w:val="24"/>
          <w14:ligatures w14:val="none"/>
        </w:rPr>
        <w:t>Hawaiʻi Journal of Medicine &amp; Public Health </w:t>
      </w:r>
      <w:r w:rsidRPr="002A22EE">
        <w:rPr>
          <w:rFonts w:ascii="Times New Roman" w:eastAsiaTheme="minorEastAsia" w:hAnsi="Times New Roman" w:cs="Times New Roman"/>
          <w:color w:val="000000"/>
          <w:kern w:val="0"/>
          <w:sz w:val="24"/>
          <w:szCs w:val="24"/>
          <w14:ligatures w14:val="none"/>
        </w:rPr>
        <w:t>244</w:t>
      </w:r>
    </w:p>
    <w:p w14:paraId="7AE81E09"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lastRenderedPageBreak/>
        <w:t>Tejuoso O, Alawode G and Baruwa E, ‘Health and the Legislature: The Case of Nigeria’ [2018] (4)(2) </w:t>
      </w:r>
      <w:r w:rsidRPr="002A22EE">
        <w:rPr>
          <w:rFonts w:ascii="Times New Roman" w:eastAsiaTheme="minorEastAsia" w:hAnsi="Times New Roman" w:cs="Times New Roman"/>
          <w:i/>
          <w:iCs/>
          <w:color w:val="000000"/>
          <w:kern w:val="0"/>
          <w:sz w:val="24"/>
          <w:szCs w:val="24"/>
          <w14:ligatures w14:val="none"/>
        </w:rPr>
        <w:t>Health Systems &amp; Reform </w:t>
      </w:r>
      <w:r w:rsidRPr="002A22EE">
        <w:rPr>
          <w:rFonts w:ascii="Times New Roman" w:eastAsiaTheme="minorEastAsia" w:hAnsi="Times New Roman" w:cs="Times New Roman"/>
          <w:color w:val="000000"/>
          <w:kern w:val="0"/>
          <w:sz w:val="24"/>
          <w:szCs w:val="24"/>
          <w14:ligatures w14:val="none"/>
        </w:rPr>
        <w:t>62</w:t>
      </w:r>
    </w:p>
    <w:p w14:paraId="35D52985"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Ukoha K and Ugbokhare F, ‘Prospects and Challenges of Telemedicine in Nigeria’ [2012] (3) </w:t>
      </w:r>
      <w:r w:rsidRPr="002A22EE">
        <w:rPr>
          <w:rFonts w:ascii="Times New Roman" w:eastAsiaTheme="minorEastAsia" w:hAnsi="Times New Roman" w:cs="Times New Roman"/>
          <w:i/>
          <w:iCs/>
          <w:color w:val="000000"/>
          <w:kern w:val="0"/>
          <w:sz w:val="24"/>
          <w:szCs w:val="24"/>
          <w14:ligatures w14:val="none"/>
        </w:rPr>
        <w:t>Journal of Medicine and Biomedical Services </w:t>
      </w:r>
      <w:r w:rsidRPr="002A22EE">
        <w:rPr>
          <w:rFonts w:ascii="Times New Roman" w:eastAsiaTheme="minorEastAsia" w:hAnsi="Times New Roman" w:cs="Times New Roman"/>
          <w:color w:val="000000"/>
          <w:kern w:val="0"/>
          <w:sz w:val="24"/>
          <w:szCs w:val="24"/>
          <w14:ligatures w14:val="none"/>
        </w:rPr>
        <w:t>65</w:t>
      </w:r>
    </w:p>
    <w:p w14:paraId="4DA69CAC" w14:textId="77777777" w:rsidR="00C64CEC" w:rsidRPr="002A22EE" w:rsidRDefault="00C64CEC" w:rsidP="002A22EE">
      <w:pPr>
        <w:spacing w:before="120" w:after="60" w:line="240" w:lineRule="auto"/>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b/>
          <w:bCs/>
          <w:i/>
          <w:iCs/>
          <w:color w:val="000000"/>
          <w:kern w:val="0"/>
          <w:sz w:val="24"/>
          <w:szCs w:val="24"/>
          <w14:ligatures w14:val="none"/>
        </w:rPr>
        <w:t>(iii)  Online Sources and Other Materials</w:t>
      </w:r>
    </w:p>
    <w:p w14:paraId="0BD545A9"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Abdulsalam M, ‘A Review of Medical Negligence in the Nigerian Healthcare Sector: Utilising the Law as a Panacea’ (SPA Ajibade &amp; Co, 2025) &lt;https://spaajibade.com/a-review-of-medical-negligence-in-the-nigerian-healthcare-sector-utilising-the-law-as-a-panacea/&gt; accessed 8 February 2026</w:t>
      </w:r>
    </w:p>
    <w:p w14:paraId="0FDE0956"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Adejumo O A and Adejumo O A, ‘Legal Perspectives on Liability for Medical Negligence and Malpractices in Nigeria’ &lt;https://www.ncbi.nlm.nih.gov/pmc/articles/PMC7245980/&gt; accessed 27 May 2024</w:t>
      </w:r>
    </w:p>
    <w:p w14:paraId="5418F0C6"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Ajang P, ‘The Rights of the Patients and Its Enforcement in the Healthcare System of Nigeria’ &lt;https://www.academia.edu/68068324/&gt; accessed 5 December 2023</w:t>
      </w:r>
    </w:p>
    <w:p w14:paraId="5BD9AF2C"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Bello S, ‘Enforcing the Right to Emergency Medical Care in Nigeria: A Legal Analysis of Section 20 of the National Health Act, 2014’ (SSRN, 2023) &lt;https://papers.ssrn.com/sol3/papers.cfm?abstract_id=5351066&gt; accessed 7 February 2025</w:t>
      </w:r>
    </w:p>
    <w:p w14:paraId="4922239E"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Davis C P, ‘Patient Rights’ (eMedicineHealth) &lt;https://www.emedicinehealth.com/patient_rights/article_em.htm&gt; accessed 12 October 2023</w:t>
      </w:r>
    </w:p>
    <w:p w14:paraId="3DBD4F2C"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Fakrogha D, ‘Civil Society in the Fight for Universal Health Coverage in Nigeria’ (Centre for Democracy and Development West Africa) &lt;https://www.cddwestafrica.org/blog/civil-society-in-the-fight-for-universal-health-coverage-in-nigeria/&gt; accessed 5 January 2026</w:t>
      </w:r>
    </w:p>
    <w:p w14:paraId="22931E9B"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Federal Competition and Consumer Protection Commission, </w:t>
      </w:r>
      <w:r w:rsidRPr="002A22EE">
        <w:rPr>
          <w:rFonts w:ascii="Times New Roman" w:eastAsiaTheme="minorEastAsia" w:hAnsi="Times New Roman" w:cs="Times New Roman"/>
          <w:i/>
          <w:iCs/>
          <w:color w:val="000000"/>
          <w:kern w:val="0"/>
          <w:sz w:val="24"/>
          <w:szCs w:val="24"/>
          <w14:ligatures w14:val="none"/>
        </w:rPr>
        <w:t>Patients’ Bill of Rights </w:t>
      </w:r>
      <w:r w:rsidRPr="002A22EE">
        <w:rPr>
          <w:rFonts w:ascii="Times New Roman" w:eastAsiaTheme="minorEastAsia" w:hAnsi="Times New Roman" w:cs="Times New Roman"/>
          <w:color w:val="000000"/>
          <w:kern w:val="0"/>
          <w:sz w:val="24"/>
          <w:szCs w:val="24"/>
          <w14:ligatures w14:val="none"/>
        </w:rPr>
        <w:t>(Federal Ministry of Health 2018)</w:t>
      </w:r>
    </w:p>
    <w:p w14:paraId="0109EF10"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Gamzhi C M, ‘Challenges of Enforcement of Fundamental Human Rights Under the Constitution of the Federal Republic of Nigeria, 1999’ (NIALS) &lt;http://www.nialsnigeria.org/projects/CHALLENGES%20OF%20ENFORCEMENT%20PROJECT.pdf&gt; accessed 9 December 2023</w:t>
      </w:r>
    </w:p>
    <w:p w14:paraId="7524E89D"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International Health Management Services Limited, ‘Access to Healthcare in Nigeria: Challenges and Opportunities for Families’ &lt;https://www.linkedin.com/pulse/access-healthcare-nigeria-challenges/&gt; accessed 6 December 2023</w:t>
      </w:r>
    </w:p>
    <w:p w14:paraId="23FCCAE5"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Lau P L, ‘Rights of Patients’ (Oxford Scholarly Authorities on International Law) &lt;https://oxcon.ouplaw.com/display/10.1093/law-mpeccol/lawmpeccole150&gt; accessed 14 October 2023</w:t>
      </w:r>
    </w:p>
    <w:p w14:paraId="34007BF3"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Obafemi K A R, ‘Medical Negligence Litigation in Nigeria: Identifying the Challenges and Proposing a Model Law Reform Act’ [2017] (TCD) &lt;www.tara.tcd.ie/bitstream/handle/2262/81835/Download%20File.pdf?sequence=1&gt; accessed 12 October 2020</w:t>
      </w:r>
    </w:p>
    <w:p w14:paraId="119FDB11"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Oche M O and Adamu H, ‘Barriers to Accessing Health Care in Nigeria: Implications for Child Survival’ &lt;https://www.ncbi.nlm.nih.gov/pmc/articles/PMC3957799/&gt; accessed 15 March 2026</w:t>
      </w:r>
    </w:p>
    <w:p w14:paraId="3CA3E116"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 xml:space="preserve">Ojo O O, ‘Informed Consent in Nigeria’s Healthcare System: A Silent Crisis Undermining Patients’ Rights’ (This Day Live, 3 June 2025) </w:t>
      </w:r>
      <w:r w:rsidRPr="002A22EE">
        <w:rPr>
          <w:rFonts w:ascii="Times New Roman" w:eastAsiaTheme="minorEastAsia" w:hAnsi="Times New Roman" w:cs="Times New Roman"/>
          <w:color w:val="000000"/>
          <w:kern w:val="0"/>
          <w:sz w:val="24"/>
          <w:szCs w:val="24"/>
          <w14:ligatures w14:val="none"/>
        </w:rPr>
        <w:lastRenderedPageBreak/>
        <w:t>&lt;https://www.thisdaylive.com/2025/06/03/informed-consent-in-nigerias-healthcare-system-a-silent-crisis-undermining-patients-rights/&gt; accessed 1 April 2026</w:t>
      </w:r>
    </w:p>
    <w:p w14:paraId="75FECE86"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Okonofua F, ‘Medical Negligence in Nigeria: What’s Known, and What Needs to Be Done’ (The Conversation, 2025) &lt;https://theconversation.com/medical-negligence-in-nigeria-whats-known-and-what-needs-to-be-done-273592&gt; accessed 1 March 2026</w:t>
      </w:r>
    </w:p>
    <w:p w14:paraId="4B45DA19"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Olufinlua T, ‘Medical Negligence in Nigeria (Part 2): The Slow Road to Justice’ (Radiant Health Magazine) &lt;www.radianthealthmag.com/medical-negligence-in-nigeria-the-long-road-to-justice&gt; accessed 2 February 2023</w:t>
      </w:r>
    </w:p>
    <w:p w14:paraId="51CCCED1"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Piron L and O’Neil T, ‘Integrating Human Rights into Development: Donor Approaches, Experiences and Challenges’ (World Bank, 3rd edn) &lt;https://documents1.worldbank.org/curated/en/330771484198697118/pdf/&gt; accessed 30 November 2025</w:t>
      </w:r>
    </w:p>
    <w:p w14:paraId="39270AAF"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Umeike E and Eze C, ‘Navigating the Regulatory Landscape of Telemedicine’ (BusinessDay, 2023) &lt;https://businessday.ng/author/businessday2015/&gt; accessed 15 December 2024</w:t>
      </w:r>
    </w:p>
    <w:p w14:paraId="29D19E7D"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United Clinical Services, ‘The Challenges of Informed Consent and Its Impact on Clinical Research in Nigeria’ &lt;https://unitedclinicalss.com/the-challenges-of-informed-consent-and-its-impact-on-clinical-research-in-nigeria/&gt; accessed 1 May 2026</w:t>
      </w:r>
    </w:p>
    <w:p w14:paraId="69B9DCC0" w14:textId="77777777" w:rsidR="00C64CEC" w:rsidRPr="002A22EE" w:rsidRDefault="00C64CEC" w:rsidP="002A22EE">
      <w:pPr>
        <w:spacing w:after="90" w:line="240" w:lineRule="auto"/>
        <w:ind w:left="540" w:hanging="540"/>
        <w:jc w:val="both"/>
        <w:rPr>
          <w:rFonts w:ascii="-webkit-standard" w:eastAsiaTheme="minorEastAsia" w:hAnsi="-webkit-standard" w:cs="Times New Roman"/>
          <w:color w:val="000000"/>
          <w:kern w:val="0"/>
          <w:sz w:val="24"/>
          <w:szCs w:val="24"/>
          <w14:ligatures w14:val="none"/>
        </w:rPr>
      </w:pPr>
      <w:r w:rsidRPr="002A22EE">
        <w:rPr>
          <w:rFonts w:ascii="Times New Roman" w:eastAsiaTheme="minorEastAsia" w:hAnsi="Times New Roman" w:cs="Times New Roman"/>
          <w:color w:val="000000"/>
          <w:kern w:val="0"/>
          <w:sz w:val="24"/>
          <w:szCs w:val="24"/>
          <w14:ligatures w14:val="none"/>
        </w:rPr>
        <w:t>World Health Organization, </w:t>
      </w:r>
      <w:r w:rsidRPr="002A22EE">
        <w:rPr>
          <w:rFonts w:ascii="Times New Roman" w:eastAsiaTheme="minorEastAsia" w:hAnsi="Times New Roman" w:cs="Times New Roman"/>
          <w:i/>
          <w:iCs/>
          <w:color w:val="000000"/>
          <w:kern w:val="0"/>
          <w:sz w:val="24"/>
          <w:szCs w:val="24"/>
          <w14:ligatures w14:val="none"/>
        </w:rPr>
        <w:t>Quality of Care: A Process for Making Strategic Choices in Health Systems </w:t>
      </w:r>
      <w:r w:rsidRPr="002A22EE">
        <w:rPr>
          <w:rFonts w:ascii="Times New Roman" w:eastAsiaTheme="minorEastAsia" w:hAnsi="Times New Roman" w:cs="Times New Roman"/>
          <w:color w:val="000000"/>
          <w:kern w:val="0"/>
          <w:sz w:val="24"/>
          <w:szCs w:val="24"/>
          <w14:ligatures w14:val="none"/>
        </w:rPr>
        <w:t>(WHO Press 2006) &lt;https://iris.who.int/handle/10665/43470&gt; accessed 2 April 2026</w:t>
      </w:r>
    </w:p>
    <w:p w14:paraId="389CF5BE" w14:textId="77777777" w:rsidR="00C64B3A" w:rsidRPr="002A22EE" w:rsidRDefault="00C64B3A" w:rsidP="002A22EE">
      <w:pPr>
        <w:spacing w:line="480" w:lineRule="auto"/>
        <w:jc w:val="both"/>
        <w:rPr>
          <w:rFonts w:ascii="Times New Roman" w:hAnsi="Times New Roman" w:cs="Times New Roman"/>
          <w:sz w:val="24"/>
          <w:szCs w:val="24"/>
        </w:rPr>
      </w:pPr>
    </w:p>
    <w:sectPr w:rsidR="00C64B3A" w:rsidRPr="002A22EE" w:rsidSect="00BD2DDD">
      <w:pgSz w:w="11906" w:h="16838"/>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A6D11" w14:textId="77777777" w:rsidR="001C65F4" w:rsidRDefault="001C65F4" w:rsidP="001660BC">
      <w:pPr>
        <w:spacing w:after="0" w:line="240" w:lineRule="auto"/>
      </w:pPr>
      <w:r>
        <w:separator/>
      </w:r>
    </w:p>
  </w:endnote>
  <w:endnote w:type="continuationSeparator" w:id="0">
    <w:p w14:paraId="7D481454" w14:textId="77777777" w:rsidR="001C65F4" w:rsidRDefault="001C65F4" w:rsidP="001660BC">
      <w:pPr>
        <w:spacing w:after="0" w:line="240" w:lineRule="auto"/>
      </w:pPr>
      <w:r>
        <w:continuationSeparator/>
      </w:r>
    </w:p>
  </w:endnote>
  <w:endnote w:type="continuationNotice" w:id="1">
    <w:p w14:paraId="40E84D05" w14:textId="77777777" w:rsidR="001C65F4" w:rsidRDefault="001C65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F UI">
    <w:altName w:val="Cambria"/>
    <w:charset w:val="00"/>
    <w:family w:val="roman"/>
    <w:pitch w:val="default"/>
  </w:font>
  <w:font w:name=".SFUI-Regular">
    <w:altName w:val="Cambria"/>
    <w:charset w:val="00"/>
    <w:family w:val="roman"/>
    <w:pitch w:val="default"/>
  </w:font>
  <w:font w:name="-webkit-standar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0695762"/>
      <w:docPartObj>
        <w:docPartGallery w:val="Page Numbers (Bottom of Page)"/>
        <w:docPartUnique/>
      </w:docPartObj>
    </w:sdtPr>
    <w:sdtEndPr>
      <w:rPr>
        <w:noProof/>
      </w:rPr>
    </w:sdtEndPr>
    <w:sdtContent>
      <w:p w14:paraId="7DD42C6E" w14:textId="194694CE" w:rsidR="00BD2DDD" w:rsidRDefault="00BD2DDD">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p w14:paraId="653279CF" w14:textId="77777777" w:rsidR="002A22EE" w:rsidRDefault="002A22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BE702" w14:textId="77777777" w:rsidR="001C65F4" w:rsidRDefault="001C65F4" w:rsidP="001660BC">
      <w:pPr>
        <w:spacing w:after="0" w:line="240" w:lineRule="auto"/>
      </w:pPr>
      <w:r>
        <w:separator/>
      </w:r>
    </w:p>
  </w:footnote>
  <w:footnote w:type="continuationSeparator" w:id="0">
    <w:p w14:paraId="19B6F138" w14:textId="77777777" w:rsidR="001C65F4" w:rsidRDefault="001C65F4" w:rsidP="001660BC">
      <w:pPr>
        <w:spacing w:after="0" w:line="240" w:lineRule="auto"/>
      </w:pPr>
      <w:r>
        <w:continuationSeparator/>
      </w:r>
    </w:p>
  </w:footnote>
  <w:footnote w:type="continuationNotice" w:id="1">
    <w:p w14:paraId="251A4395" w14:textId="77777777" w:rsidR="001C65F4" w:rsidRDefault="001C65F4">
      <w:pPr>
        <w:spacing w:after="0" w:line="240" w:lineRule="auto"/>
      </w:pPr>
    </w:p>
  </w:footnote>
  <w:footnote w:id="2">
    <w:p w14:paraId="0FB2BB28"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African Charter on Human and Peoples’ Rights 1981, Article 16.</w:t>
      </w:r>
    </w:p>
  </w:footnote>
  <w:footnote w:id="3">
    <w:p w14:paraId="56C29E29"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National Health Act 2014, S.20.</w:t>
      </w:r>
    </w:p>
  </w:footnote>
  <w:footnote w:id="4">
    <w:p w14:paraId="033A6051"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Federal Competition and Consumer Protection Commission, Patients` Bill of Rights (2018).</w:t>
      </w:r>
    </w:p>
  </w:footnote>
  <w:footnote w:id="5">
    <w:p w14:paraId="718DB999"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(2018).</w:t>
      </w:r>
    </w:p>
  </w:footnote>
  <w:footnote w:id="6">
    <w:p w14:paraId="651608EF"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Ogundipe O. and others, 'Relationship between Patients and Medical Professionals: Expectations towards Healthcare Services in Nigeria'. [</w:t>
      </w:r>
      <w:r>
        <w:rPr>
          <w:rFonts w:ascii="Times New Roman" w:hAnsi="Times New Roman" w:cs="Times New Roman"/>
          <w:color w:val="000000" w:themeColor="text1"/>
          <w:shd w:val="clear" w:color="auto" w:fill="FFFFFF"/>
        </w:rPr>
        <w:t>2023] (86)(1) 13-15.&lt;</w:t>
      </w:r>
      <w:r>
        <w:rPr>
          <w:rFonts w:ascii="Times New Roman" w:hAnsi="Times New Roman" w:cs="Times New Roman"/>
          <w:color w:val="000000" w:themeColor="text1"/>
        </w:rPr>
        <w:t xml:space="preserve"> </w:t>
      </w:r>
      <w:hyperlink r:id="rId1" w:history="1">
        <w:r>
          <w:rPr>
            <w:rStyle w:val="Hyperlink"/>
            <w:rFonts w:ascii="Times New Roman" w:hAnsi="Times New Roman" w:cs="Times New Roman"/>
            <w:color w:val="000000" w:themeColor="text1"/>
            <w:shd w:val="clear" w:color="auto" w:fill="FFFFFF"/>
          </w:rPr>
          <w:t>https://pmc.ncbi.nlm.nih.gov/articles/PMC10783226/</w:t>
        </w:r>
      </w:hyperlink>
      <w:r>
        <w:rPr>
          <w:rFonts w:ascii="Times New Roman" w:hAnsi="Times New Roman" w:cs="Times New Roman"/>
          <w:color w:val="000000" w:themeColor="text1"/>
          <w:shd w:val="clear" w:color="auto" w:fill="FFFFFF"/>
        </w:rPr>
        <w:t>&gt; accessed 18 January 2026.</w:t>
      </w:r>
    </w:p>
  </w:footnote>
  <w:footnote w:id="7">
    <w:p w14:paraId="1961AE64"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8">
    <w:p w14:paraId="536BE594"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9">
    <w:p w14:paraId="6D5341E5"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10">
    <w:p w14:paraId="2E13D3F2" w14:textId="77777777" w:rsidR="009A4A6F" w:rsidRDefault="009A4A6F" w:rsidP="009A4A6F">
      <w:pPr>
        <w:pStyle w:val="FootnoteText"/>
        <w:rPr>
          <w:rFonts w:ascii="Times New Roman" w:hAnsi="Times New Roman" w:cs="Times New Roman"/>
          <w:color w:val="000000" w:themeColor="text1"/>
          <w:lang w:val="en-GB"/>
        </w:rPr>
      </w:pPr>
      <w:r>
        <w:rPr>
          <w:rStyle w:val="FootnoteReference"/>
          <w:color w:val="000000" w:themeColor="text1"/>
        </w:rPr>
        <w:footnoteRef/>
      </w:r>
      <w:r>
        <w:rPr>
          <w:rFonts w:ascii="Times New Roman" w:hAnsi="Times New Roman" w:cs="Times New Roman"/>
          <w:color w:val="000000" w:themeColor="text1"/>
        </w:rPr>
        <w:t xml:space="preserve"> Ogundipe O. and others, 'Relationship between Patients and Medical Professionals: Expectations towards Healthcare Services in Nigeria'. [</w:t>
      </w:r>
      <w:r>
        <w:rPr>
          <w:rFonts w:ascii="Times New Roman" w:hAnsi="Times New Roman" w:cs="Times New Roman"/>
          <w:color w:val="000000" w:themeColor="text1"/>
          <w:shd w:val="clear" w:color="auto" w:fill="FFFFFF"/>
        </w:rPr>
        <w:t>2023] (86)(1) 13-15.&lt;</w:t>
      </w:r>
      <w:r>
        <w:rPr>
          <w:rFonts w:ascii="Times New Roman" w:hAnsi="Times New Roman" w:cs="Times New Roman"/>
          <w:color w:val="000000" w:themeColor="text1"/>
        </w:rPr>
        <w:t xml:space="preserve"> </w:t>
      </w:r>
      <w:hyperlink r:id="rId2" w:history="1">
        <w:r>
          <w:rPr>
            <w:rStyle w:val="Hyperlink"/>
            <w:rFonts w:ascii="Times New Roman" w:hAnsi="Times New Roman" w:cs="Times New Roman"/>
            <w:color w:val="000000" w:themeColor="text1"/>
            <w:shd w:val="clear" w:color="auto" w:fill="FFFFFF"/>
          </w:rPr>
          <w:t>https://pmc.ncbi.nlm.nih.gov/articles/PMC10783226/</w:t>
        </w:r>
      </w:hyperlink>
      <w:r>
        <w:rPr>
          <w:rFonts w:ascii="Times New Roman" w:hAnsi="Times New Roman" w:cs="Times New Roman"/>
          <w:color w:val="000000" w:themeColor="text1"/>
          <w:shd w:val="clear" w:color="auto" w:fill="FFFFFF"/>
        </w:rPr>
        <w:t>&gt; accessed 18 January 2026.</w:t>
      </w:r>
    </w:p>
  </w:footnote>
  <w:footnote w:id="11">
    <w:p w14:paraId="49B6B82A"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12">
    <w:p w14:paraId="01C40784" w14:textId="77777777" w:rsidR="009A4A6F" w:rsidRDefault="009A4A6F" w:rsidP="009A4A6F">
      <w:pPr>
        <w:pStyle w:val="FootnoteText"/>
        <w:rPr>
          <w:rFonts w:ascii="Times New Roman" w:hAnsi="Times New Roman" w:cs="Times New Roman"/>
          <w:lang w:val="en-GB"/>
        </w:rPr>
      </w:pPr>
      <w:r>
        <w:rPr>
          <w:rStyle w:val="FootnoteReference"/>
        </w:rPr>
        <w:footnoteRef/>
      </w:r>
      <w:r>
        <w:rPr>
          <w:rFonts w:ascii="Times New Roman" w:hAnsi="Times New Roman" w:cs="Times New Roman"/>
        </w:rPr>
        <w:t xml:space="preserve"> </w:t>
      </w:r>
      <w:r>
        <w:rPr>
          <w:rFonts w:ascii="Times New Roman" w:hAnsi="Times New Roman" w:cs="Times New Roman"/>
          <w:color w:val="000000" w:themeColor="text1"/>
        </w:rPr>
        <w:t>Section 20.</w:t>
      </w:r>
    </w:p>
  </w:footnote>
  <w:footnote w:id="13">
    <w:p w14:paraId="586107C7"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Federal Competition and Consumer Protection Act 2018.</w:t>
      </w:r>
    </w:p>
  </w:footnote>
  <w:footnote w:id="14">
    <w:p w14:paraId="1D74394F"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Medical and Dental Practitioners Act, CAP M8. 2004 LFN.</w:t>
      </w:r>
    </w:p>
  </w:footnote>
  <w:footnote w:id="15">
    <w:p w14:paraId="0EC75847"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w:t>
      </w:r>
      <w:r>
        <w:rPr>
          <w:rFonts w:ascii="Times New Roman" w:hAnsi="Times New Roman" w:cs="Times New Roman"/>
          <w:color w:val="000000" w:themeColor="text1"/>
          <w:shd w:val="clear" w:color="auto" w:fill="FFFFFF"/>
        </w:rPr>
        <w:t>Olusegun O.O, Odunsi B., `Advancing the Rights of Patients in Nigeria: Analysing the Patients' Bill of Rights`. J Law Med. (2023).</w:t>
      </w:r>
    </w:p>
  </w:footnote>
  <w:footnote w:id="16">
    <w:p w14:paraId="109267B3"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Bello Sandra. "Enforcing the Right to Emergency Medical Care in Nigeria: A Legal Analysis of Section 20 of the National Health Act, 2014.&lt; </w:t>
      </w:r>
      <w:hyperlink r:id="rId3" w:history="1">
        <w:r>
          <w:rPr>
            <w:rStyle w:val="Hyperlink"/>
            <w:rFonts w:ascii="Times New Roman" w:hAnsi="Times New Roman" w:cs="Times New Roman"/>
            <w:color w:val="000000" w:themeColor="text1"/>
          </w:rPr>
          <w:t>https://papers.ssrn.com/sol3/papers.cfm?abstract_id=5351066</w:t>
        </w:r>
      </w:hyperlink>
      <w:r>
        <w:rPr>
          <w:rFonts w:ascii="Times New Roman" w:hAnsi="Times New Roman" w:cs="Times New Roman"/>
          <w:color w:val="000000" w:themeColor="text1"/>
        </w:rPr>
        <w:t xml:space="preserve">&gt; accessed 7 February 2025. </w:t>
      </w:r>
    </w:p>
  </w:footnote>
  <w:footnote w:id="17">
    <w:p w14:paraId="5BA0F194" w14:textId="77777777" w:rsidR="009A4A6F" w:rsidRDefault="009A4A6F" w:rsidP="009A4A6F">
      <w:pPr>
        <w:pStyle w:val="FootnoteText"/>
        <w:rPr>
          <w:rFonts w:ascii="Times New Roman" w:hAnsi="Times New Roman" w:cs="Times New Roman"/>
          <w:lang w:val="en-GB"/>
        </w:rPr>
      </w:pPr>
      <w:r>
        <w:rPr>
          <w:rStyle w:val="FootnoteReference"/>
        </w:rPr>
        <w:footnoteRef/>
      </w:r>
      <w:r>
        <w:rPr>
          <w:rFonts w:ascii="Times New Roman" w:hAnsi="Times New Roman" w:cs="Times New Roman"/>
        </w:rPr>
        <w:t xml:space="preserve"> </w:t>
      </w:r>
      <w:r>
        <w:rPr>
          <w:rFonts w:ascii="Times New Roman" w:hAnsi="Times New Roman" w:cs="Times New Roman"/>
          <w:color w:val="000000" w:themeColor="text1"/>
        </w:rPr>
        <w:t>Section 20 of NHA.</w:t>
      </w:r>
    </w:p>
  </w:footnote>
  <w:footnote w:id="18">
    <w:p w14:paraId="48609368"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Onyi H. Obioma, Ngozi C. Uzoka and Tina C. Dimkpa, `Beyond awareness and semantics: Patients’ rights in tertiary health institutions in Anambra State Nigeria.` [2024] (10)(3) 229-232. &lt; </w:t>
      </w:r>
      <w:hyperlink r:id="rId4" w:history="1">
        <w:r>
          <w:rPr>
            <w:rStyle w:val="Hyperlink"/>
            <w:rFonts w:ascii="Times New Roman" w:hAnsi="Times New Roman" w:cs="Times New Roman"/>
            <w:color w:val="000000" w:themeColor="text1"/>
          </w:rPr>
          <w:t>https://www.lawjournals.org/assets/archives/2024/vol10issue3/10136.pdf</w:t>
        </w:r>
      </w:hyperlink>
      <w:r>
        <w:rPr>
          <w:rFonts w:ascii="Times New Roman" w:hAnsi="Times New Roman" w:cs="Times New Roman"/>
          <w:color w:val="000000" w:themeColor="text1"/>
        </w:rPr>
        <w:t>&gt; accessed 8 May 2025.</w:t>
      </w:r>
    </w:p>
  </w:footnote>
  <w:footnote w:id="19">
    <w:p w14:paraId="3C03D20D" w14:textId="77777777" w:rsidR="009A4A6F" w:rsidRDefault="009A4A6F" w:rsidP="009A4A6F">
      <w:pPr>
        <w:pStyle w:val="Heading1"/>
        <w:shd w:val="clear" w:color="auto" w:fill="FFFFFF"/>
        <w:spacing w:before="0"/>
        <w:rPr>
          <w:rFonts w:ascii="Times New Roman" w:hAnsi="Times New Roman" w:cs="Times New Roman"/>
          <w:color w:val="000000" w:themeColor="text1"/>
          <w:sz w:val="20"/>
          <w:szCs w:val="20"/>
          <w:lang w:val="en-GB"/>
        </w:rPr>
      </w:pPr>
      <w:r>
        <w:rPr>
          <w:rStyle w:val="FootnoteReference"/>
          <w:rFonts w:eastAsia="Arial"/>
          <w:color w:val="000000" w:themeColor="text1"/>
          <w:sz w:val="20"/>
          <w:szCs w:val="20"/>
        </w:rPr>
        <w:footnoteRef/>
      </w:r>
      <w:r>
        <w:rPr>
          <w:color w:val="000000" w:themeColor="text1"/>
          <w:sz w:val="20"/>
          <w:szCs w:val="20"/>
        </w:rPr>
        <w:t xml:space="preserve"> </w:t>
      </w:r>
      <w:r>
        <w:rPr>
          <w:b/>
          <w:color w:val="000000" w:themeColor="text1"/>
          <w:sz w:val="20"/>
          <w:szCs w:val="20"/>
        </w:rPr>
        <w:t>Olaniyan H.A., `</w:t>
      </w:r>
      <w:r>
        <w:rPr>
          <w:b/>
          <w:bCs/>
          <w:color w:val="000000" w:themeColor="text1"/>
          <w:sz w:val="20"/>
          <w:szCs w:val="20"/>
        </w:rPr>
        <w:t>Liability for medical negligence in Nigeria`. [2006] (4)(2) 67-79. &lt;https://www.researchgate.net/publication/272461034_Liability_for_medical_negligence_in_Nigeria&gt; accessed 8 June 2025.</w:t>
      </w:r>
    </w:p>
  </w:footnote>
  <w:footnote w:id="20">
    <w:p w14:paraId="799E0B52"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Paasche-Orlow, M. K., Jacob, D. M., Hochhauser, M., &amp; Parker, R. M., `National survey of patients' bill of rights statutes`. [2009] (</w:t>
      </w:r>
      <w:r>
        <w:rPr>
          <w:rStyle w:val="Emphasis"/>
          <w:i w:val="0"/>
          <w:color w:val="000000" w:themeColor="text1"/>
        </w:rPr>
        <w:t>24</w:t>
      </w:r>
      <w:r>
        <w:rPr>
          <w:rStyle w:val="Emphasis"/>
          <w:color w:val="000000" w:themeColor="text1"/>
        </w:rPr>
        <w:t>)</w:t>
      </w:r>
      <w:r>
        <w:rPr>
          <w:rFonts w:ascii="Times New Roman" w:hAnsi="Times New Roman" w:cs="Times New Roman"/>
          <w:color w:val="000000" w:themeColor="text1"/>
        </w:rPr>
        <w:t xml:space="preserve"> 489–494. </w:t>
      </w:r>
      <w:r>
        <w:rPr>
          <w:rStyle w:val="Emphasis"/>
          <w:rFonts w:ascii="Times New Roman" w:hAnsi="Times New Roman" w:cs="Times New Roman"/>
          <w:color w:val="000000" w:themeColor="text1"/>
        </w:rPr>
        <w:t>Journal of General Internal Medicine</w:t>
      </w:r>
      <w:r>
        <w:rPr>
          <w:rFonts w:ascii="Times New Roman" w:hAnsi="Times New Roman" w:cs="Times New Roman"/>
          <w:color w:val="000000" w:themeColor="text1"/>
        </w:rPr>
        <w:t xml:space="preserve"> &lt;</w:t>
      </w:r>
      <w:hyperlink r:id="rId5" w:history="1">
        <w:r>
          <w:rPr>
            <w:rStyle w:val="Hyperlink"/>
            <w:rFonts w:ascii="Times New Roman" w:hAnsi="Times New Roman" w:cs="Times New Roman"/>
            <w:color w:val="000000" w:themeColor="text1"/>
          </w:rPr>
          <w:t>https://doi.org/10.1007/s11606-009-0914-z</w:t>
        </w:r>
      </w:hyperlink>
      <w:r>
        <w:rPr>
          <w:rFonts w:ascii="Times New Roman" w:hAnsi="Times New Roman" w:cs="Times New Roman"/>
          <w:color w:val="000000" w:themeColor="text1"/>
        </w:rPr>
        <w:t>&gt; accessed 17 October 2022.</w:t>
      </w:r>
    </w:p>
  </w:footnote>
  <w:footnote w:id="21">
    <w:p w14:paraId="3F253762"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22">
    <w:p w14:paraId="11CA8857" w14:textId="77777777" w:rsidR="009A4A6F" w:rsidRDefault="009A4A6F" w:rsidP="009A4A6F">
      <w:pPr>
        <w:pStyle w:val="FootnoteText"/>
        <w:rPr>
          <w:rFonts w:ascii="Times New Roman" w:hAnsi="Times New Roman" w:cs="Times New Roman"/>
          <w:color w:val="000000" w:themeColor="text1"/>
          <w:lang w:val="en-GB"/>
        </w:rPr>
      </w:pPr>
      <w:r>
        <w:rPr>
          <w:rStyle w:val="FootnoteReference"/>
          <w:color w:val="000000" w:themeColor="text1"/>
        </w:rPr>
        <w:footnoteRef/>
      </w:r>
      <w:r>
        <w:rPr>
          <w:rFonts w:ascii="Times New Roman" w:hAnsi="Times New Roman" w:cs="Times New Roman"/>
          <w:color w:val="000000" w:themeColor="text1"/>
        </w:rPr>
        <w:t xml:space="preserve"> American Medical Association, </w:t>
      </w:r>
      <w:r>
        <w:rPr>
          <w:rStyle w:val="Emphasis"/>
          <w:rFonts w:ascii="Times New Roman" w:hAnsi="Times New Roman" w:cs="Times New Roman"/>
          <w:color w:val="000000" w:themeColor="text1"/>
        </w:rPr>
        <w:t>AMA Code of Medical Ethics</w:t>
      </w:r>
      <w:r>
        <w:rPr>
          <w:rFonts w:ascii="Times New Roman" w:hAnsi="Times New Roman" w:cs="Times New Roman"/>
          <w:color w:val="000000" w:themeColor="text1"/>
        </w:rPr>
        <w:t xml:space="preserve"> (AMA 2016) Opinion 1.1.3 (Patient Rights).</w:t>
      </w:r>
    </w:p>
  </w:footnote>
  <w:footnote w:id="23">
    <w:p w14:paraId="21DD2E00"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24">
    <w:p w14:paraId="3D3A78E9"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25">
    <w:p w14:paraId="073D645B"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26">
    <w:p w14:paraId="593FA523"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27">
    <w:p w14:paraId="79AF24C0"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28">
    <w:p w14:paraId="4F21CF50"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 </w:t>
      </w:r>
    </w:p>
  </w:footnote>
  <w:footnote w:id="29">
    <w:p w14:paraId="5F1B09C0"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C. R. Gresenz and D.M. Studdert., `Patients in conflict with managed care: A profile of appeals in two HMOs.` [2002] (</w:t>
      </w:r>
      <w:r>
        <w:rPr>
          <w:rStyle w:val="Emphasis"/>
          <w:i w:val="0"/>
          <w:color w:val="000000" w:themeColor="text1"/>
        </w:rPr>
        <w:t>21</w:t>
      </w:r>
      <w:r>
        <w:rPr>
          <w:rFonts w:ascii="Times New Roman" w:hAnsi="Times New Roman" w:cs="Times New Roman"/>
          <w:color w:val="000000" w:themeColor="text1"/>
        </w:rPr>
        <w:t xml:space="preserve">)(4), 189–196. </w:t>
      </w:r>
      <w:r>
        <w:rPr>
          <w:rStyle w:val="Emphasis"/>
          <w:rFonts w:ascii="Times New Roman" w:hAnsi="Times New Roman" w:cs="Times New Roman"/>
          <w:color w:val="000000" w:themeColor="text1"/>
        </w:rPr>
        <w:t>Health Affairs</w:t>
      </w:r>
      <w:r>
        <w:rPr>
          <w:rFonts w:ascii="Times New Roman" w:hAnsi="Times New Roman" w:cs="Times New Roman"/>
          <w:color w:val="000000" w:themeColor="text1"/>
        </w:rPr>
        <w:t>, &lt;</w:t>
      </w:r>
      <w:hyperlink r:id="rId6" w:history="1">
        <w:r>
          <w:rPr>
            <w:rStyle w:val="Hyperlink"/>
            <w:rFonts w:ascii="Times New Roman" w:hAnsi="Times New Roman" w:cs="Times New Roman"/>
            <w:color w:val="000000" w:themeColor="text1"/>
          </w:rPr>
          <w:t>https://doi.org/10.1377/hlthaff.21.4.189</w:t>
        </w:r>
      </w:hyperlink>
      <w:r>
        <w:rPr>
          <w:rFonts w:ascii="Times New Roman" w:hAnsi="Times New Roman" w:cs="Times New Roman"/>
          <w:color w:val="000000" w:themeColor="text1"/>
        </w:rPr>
        <w:t xml:space="preserve">&gt; accessed 8 July 2020. </w:t>
      </w:r>
    </w:p>
  </w:footnote>
  <w:footnote w:id="30">
    <w:p w14:paraId="2B51F4DA"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31">
    <w:p w14:paraId="022B0A78" w14:textId="77777777" w:rsidR="009A4A6F" w:rsidRDefault="009A4A6F" w:rsidP="009A4A6F">
      <w:pPr>
        <w:pStyle w:val="FootnoteText"/>
        <w:rPr>
          <w:rFonts w:ascii="Times New Roman" w:hAnsi="Times New Roman" w:cs="Times New Roman"/>
          <w:color w:val="000000" w:themeColor="text1"/>
          <w:lang w:val="en-GB"/>
        </w:rPr>
      </w:pPr>
      <w:r>
        <w:rPr>
          <w:rStyle w:val="FootnoteReference"/>
          <w:color w:val="000000" w:themeColor="text1"/>
        </w:rPr>
        <w:footnoteRef/>
      </w:r>
      <w:r>
        <w:rPr>
          <w:rFonts w:ascii="Times New Roman" w:hAnsi="Times New Roman" w:cs="Times New Roman"/>
          <w:color w:val="000000" w:themeColor="text1"/>
        </w:rPr>
        <w:t xml:space="preserve"> (1946).</w:t>
      </w:r>
    </w:p>
  </w:footnote>
  <w:footnote w:id="32">
    <w:p w14:paraId="483D44B5"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WHO Constitution (1946).</w:t>
      </w:r>
    </w:p>
  </w:footnote>
  <w:footnote w:id="33">
    <w:p w14:paraId="7181A68D"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European Union Charter (2000). </w:t>
      </w:r>
    </w:p>
  </w:footnote>
  <w:footnote w:id="34">
    <w:p w14:paraId="15DF550E" w14:textId="77777777" w:rsidR="009A4A6F" w:rsidRDefault="009A4A6F" w:rsidP="009A4A6F">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&lt; </w:t>
      </w:r>
      <w:hyperlink r:id="rId7" w:history="1">
        <w:r>
          <w:rPr>
            <w:rStyle w:val="Hyperlink"/>
            <w:rFonts w:ascii="Times New Roman" w:hAnsi="Times New Roman" w:cs="Times New Roman"/>
          </w:rPr>
          <w:t>https://law.justia.com/codes/illinois/chapter-410/act-410-ilcs-50/</w:t>
        </w:r>
      </w:hyperlink>
      <w:r>
        <w:rPr>
          <w:rFonts w:ascii="Times New Roman" w:hAnsi="Times New Roman" w:cs="Times New Roman"/>
        </w:rPr>
        <w:t xml:space="preserve">&gt; accessed 19 November 2025. </w:t>
      </w:r>
    </w:p>
  </w:footnote>
  <w:footnote w:id="35">
    <w:p w14:paraId="33CEA7DE" w14:textId="77777777" w:rsidR="009A4A6F" w:rsidRDefault="009A4A6F" w:rsidP="009A4A6F">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Ibid.</w:t>
      </w:r>
    </w:p>
  </w:footnote>
  <w:footnote w:id="36">
    <w:p w14:paraId="1A0AC8D1" w14:textId="77777777" w:rsidR="009A4A6F" w:rsidRDefault="009A4A6F" w:rsidP="009A4A6F">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Ibid.</w:t>
      </w:r>
    </w:p>
  </w:footnote>
  <w:footnote w:id="37">
    <w:p w14:paraId="2AC6B33F" w14:textId="77777777" w:rsidR="009A4A6F" w:rsidRDefault="009A4A6F" w:rsidP="009A4A6F">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Ibid.</w:t>
      </w:r>
    </w:p>
  </w:footnote>
  <w:footnote w:id="38">
    <w:p w14:paraId="23D75001" w14:textId="77777777" w:rsidR="009A4A6F" w:rsidRDefault="009A4A6F" w:rsidP="009A4A6F">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Ibid.</w:t>
      </w:r>
    </w:p>
  </w:footnote>
  <w:footnote w:id="39">
    <w:p w14:paraId="16250138"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Willy Palm and Herman Nys, ‘Achieving Person-Centered Health Systems Evidence, Strategies and Challenges: Patients’ rights: from recognition to implementation’,’</w:t>
      </w:r>
      <w:r>
        <w:rPr>
          <w:rFonts w:ascii="Times New Roman" w:hAnsi="Times New Roman" w:cs="Times New Roman"/>
          <w:i/>
          <w:iCs/>
          <w:color w:val="000000" w:themeColor="text1"/>
        </w:rPr>
        <w:t>Cambridge University Press’</w:t>
      </w:r>
      <w:r>
        <w:rPr>
          <w:rFonts w:ascii="Times New Roman" w:hAnsi="Times New Roman" w:cs="Times New Roman"/>
          <w:color w:val="000000" w:themeColor="text1"/>
        </w:rPr>
        <w:t xml:space="preserve"> [2020] 347–386. &lt; </w:t>
      </w:r>
      <w:hyperlink r:id="rId8" w:history="1">
        <w:r>
          <w:rPr>
            <w:rStyle w:val="Hyperlink"/>
            <w:rFonts w:ascii="Times New Roman" w:hAnsi="Times New Roman" w:cs="Times New Roman"/>
            <w:color w:val="000000" w:themeColor="text1"/>
          </w:rPr>
          <w:t>https://www.cambridge.org/core/books/achieving-personcentred-health-systems/patients-rights-from-recognition-to-implementation/5767D25112F3C4079962F6E01A4881DA</w:t>
        </w:r>
      </w:hyperlink>
      <w:r>
        <w:rPr>
          <w:rFonts w:ascii="Times New Roman" w:hAnsi="Times New Roman" w:cs="Times New Roman"/>
          <w:color w:val="000000" w:themeColor="text1"/>
        </w:rPr>
        <w:t xml:space="preserve">&gt; accessed 9 July 2025. </w:t>
      </w:r>
    </w:p>
  </w:footnote>
  <w:footnote w:id="40">
    <w:p w14:paraId="24AC866E"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Charles P. Davis, ‘Patient Right’, &lt;https://www.emedicinehealth.com/patient_rights/article_em.htm &gt;accessed 6 December 2025.</w:t>
      </w:r>
    </w:p>
  </w:footnote>
  <w:footnote w:id="41">
    <w:p w14:paraId="09ADEF93"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Pin L. Lau, ‘Rights of Patients’, &lt;https://oxcon.ouplaw.com/display/10.1093/law-mpeccol/lawmpeccole150#:~:text=On%20this%20basis%2C%20patients'%20rights,and%20the%20right%20to%20refuse&gt; accessed 23 March 2026.</w:t>
      </w:r>
    </w:p>
  </w:footnote>
  <w:footnote w:id="42">
    <w:p w14:paraId="70CC840F" w14:textId="77777777" w:rsidR="009A4A6F" w:rsidRDefault="009A4A6F" w:rsidP="009A4A6F">
      <w:pPr>
        <w:pStyle w:val="FootnoteText"/>
        <w:rPr>
          <w:rFonts w:ascii="Times New Roman" w:hAnsi="Times New Roman" w:cs="Times New Roman"/>
          <w:color w:val="000000" w:themeColor="text1"/>
          <w:lang w:val="en-GB"/>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43">
    <w:p w14:paraId="70F33359"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44">
    <w:p w14:paraId="3D05DFEF"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Willy Palm and Herman Nys, ‘Achieving Person-Centered Health Systems Evidence, Strategies and Challenges: Patients’ rights: from recognition to implementation’, [2020] 347–386. &lt; </w:t>
      </w:r>
      <w:hyperlink r:id="rId9" w:history="1">
        <w:r>
          <w:rPr>
            <w:rStyle w:val="Hyperlink"/>
            <w:rFonts w:ascii="Times New Roman" w:hAnsi="Times New Roman" w:cs="Times New Roman"/>
            <w:color w:val="000000" w:themeColor="text1"/>
          </w:rPr>
          <w:t>https://www.cambridge.org/core/books/achieving-personcentred-health-systems/patients-rights-from-recognition-to-implementation/5767D25112F3C4079962F6E01A4881DA</w:t>
        </w:r>
      </w:hyperlink>
      <w:r>
        <w:rPr>
          <w:rFonts w:ascii="Times New Roman" w:hAnsi="Times New Roman" w:cs="Times New Roman"/>
          <w:color w:val="000000" w:themeColor="text1"/>
        </w:rPr>
        <w:t>&gt; accessed 9 July 2025.</w:t>
      </w:r>
    </w:p>
  </w:footnote>
  <w:footnote w:id="45">
    <w:p w14:paraId="256C9E61"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46">
    <w:p w14:paraId="5304BED0"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 </w:t>
      </w:r>
    </w:p>
  </w:footnote>
  <w:footnote w:id="47">
    <w:p w14:paraId="781907A7" w14:textId="77777777" w:rsidR="009A4A6F" w:rsidRDefault="009A4A6F" w:rsidP="009A4A6F">
      <w:pPr>
        <w:pStyle w:val="FootnoteText"/>
        <w:rPr>
          <w:rFonts w:ascii="Times New Roman" w:hAnsi="Times New Roman" w:cs="Times New Roman"/>
          <w:color w:val="000000" w:themeColor="text1"/>
          <w:lang w:val="en-GB"/>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48">
    <w:p w14:paraId="7347868E"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49">
    <w:p w14:paraId="1A01DD37"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50">
    <w:p w14:paraId="5490428C"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Garner BA (ed), </w:t>
      </w:r>
      <w:r>
        <w:rPr>
          <w:rFonts w:ascii="Times New Roman" w:hAnsi="Times New Roman" w:cs="Times New Roman"/>
          <w:i/>
          <w:color w:val="000000" w:themeColor="text1"/>
        </w:rPr>
        <w:t>Black`s Law Dictionary</w:t>
      </w:r>
      <w:r>
        <w:rPr>
          <w:rFonts w:ascii="Times New Roman" w:hAnsi="Times New Roman" w:cs="Times New Roman"/>
          <w:color w:val="000000" w:themeColor="text1"/>
        </w:rPr>
        <w:t>, (11</w:t>
      </w:r>
      <w:r>
        <w:rPr>
          <w:rFonts w:ascii="Times New Roman" w:hAnsi="Times New Roman" w:cs="Times New Roman"/>
          <w:color w:val="000000" w:themeColor="text1"/>
          <w:vertAlign w:val="superscript"/>
        </w:rPr>
        <w:t>th</w:t>
      </w:r>
      <w:r>
        <w:rPr>
          <w:rFonts w:ascii="Times New Roman" w:hAnsi="Times New Roman" w:cs="Times New Roman"/>
          <w:color w:val="000000" w:themeColor="text1"/>
        </w:rPr>
        <w:t xml:space="preserve"> ed., Thomson Reuters 2019) 129.</w:t>
      </w:r>
    </w:p>
  </w:footnote>
  <w:footnote w:id="51">
    <w:p w14:paraId="3D55DE36"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Patricia I. Gbobo and Mercy Oke-Chinda, ‘An Analysis of the Doctrine of Informed Consent in Nigeria’s Health Care Services’. </w:t>
      </w:r>
      <w:r>
        <w:rPr>
          <w:rFonts w:ascii="Times New Roman" w:hAnsi="Times New Roman" w:cs="Times New Roman"/>
          <w:i/>
          <w:color w:val="000000" w:themeColor="text1"/>
        </w:rPr>
        <w:t>Journal of Law, Policy and Globalization</w:t>
      </w:r>
      <w:r>
        <w:rPr>
          <w:rFonts w:ascii="Times New Roman" w:hAnsi="Times New Roman" w:cs="Times New Roman"/>
          <w:color w:val="000000" w:themeColor="text1"/>
        </w:rPr>
        <w:t xml:space="preserve"> [2018] (69)15-25..&lt; https://fileserver-az.core.ac.uk/download/pdf/234651747.pdf&gt; accessed 8 June 2025.</w:t>
      </w:r>
    </w:p>
  </w:footnote>
  <w:footnote w:id="52">
    <w:p w14:paraId="223A7FEE"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53">
    <w:p w14:paraId="394A9DC9" w14:textId="77777777" w:rsidR="009A4A6F" w:rsidRDefault="009A4A6F" w:rsidP="009A4A6F">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Ibid. </w:t>
      </w:r>
    </w:p>
  </w:footnote>
  <w:footnote w:id="54">
    <w:p w14:paraId="7E93F711"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55">
    <w:p w14:paraId="0D7A3938"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[2001] 7 NWLR (Part 711) 79.</w:t>
      </w:r>
    </w:p>
  </w:footnote>
  <w:footnote w:id="56">
    <w:p w14:paraId="24F1DE81" w14:textId="77777777" w:rsidR="009A4A6F" w:rsidRDefault="009A4A6F" w:rsidP="009A4A6F">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Ibid.</w:t>
      </w:r>
    </w:p>
  </w:footnote>
  <w:footnote w:id="57">
    <w:p w14:paraId="6DF1C770" w14:textId="77777777" w:rsidR="009A4A6F" w:rsidRDefault="009A4A6F" w:rsidP="009A4A6F">
      <w:pPr>
        <w:pStyle w:val="FootnoteText"/>
        <w:rPr>
          <w:rFonts w:ascii="Times New Roman" w:hAnsi="Times New Roman" w:cs="Times New Roman"/>
          <w:color w:val="000000" w:themeColor="text1"/>
          <w:lang w:val="en-GB"/>
        </w:rPr>
      </w:pPr>
      <w:r>
        <w:rPr>
          <w:rStyle w:val="FootnoteReference"/>
          <w:color w:val="000000" w:themeColor="text1"/>
        </w:rPr>
        <w:footnoteRef/>
      </w:r>
      <w:r>
        <w:rPr>
          <w:rFonts w:ascii="Times New Roman" w:hAnsi="Times New Roman" w:cs="Times New Roman"/>
          <w:color w:val="000000" w:themeColor="text1"/>
        </w:rPr>
        <w:t xml:space="preserve"> Hon Mr Justice M D Kirby, ‘Informed Consent: What does it mean?’ </w:t>
      </w:r>
      <w:r>
        <w:rPr>
          <w:rFonts w:ascii="Times New Roman" w:hAnsi="Times New Roman" w:cs="Times New Roman"/>
          <w:i/>
          <w:color w:val="000000" w:themeColor="text1"/>
        </w:rPr>
        <w:t>Journal of Medical Ethics</w:t>
      </w:r>
      <w:r>
        <w:rPr>
          <w:rFonts w:ascii="Times New Roman" w:hAnsi="Times New Roman" w:cs="Times New Roman"/>
          <w:color w:val="000000" w:themeColor="text1"/>
        </w:rPr>
        <w:t xml:space="preserve"> [1983] (9)(2) 69-75. &lt; </w:t>
      </w:r>
      <w:hyperlink r:id="rId10" w:history="1">
        <w:r>
          <w:rPr>
            <w:rStyle w:val="Hyperlink"/>
            <w:rFonts w:ascii="Times New Roman" w:hAnsi="Times New Roman" w:cs="Times New Roman"/>
            <w:color w:val="000000" w:themeColor="text1"/>
          </w:rPr>
          <w:t>http://jme.bmj.com/content/9/2/69.full.pdf</w:t>
        </w:r>
      </w:hyperlink>
      <w:r>
        <w:rPr>
          <w:rFonts w:ascii="Times New Roman" w:hAnsi="Times New Roman" w:cs="Times New Roman"/>
          <w:color w:val="000000" w:themeColor="text1"/>
        </w:rPr>
        <w:t>&gt; accessed 19 January 2026.</w:t>
      </w:r>
    </w:p>
  </w:footnote>
  <w:footnote w:id="58">
    <w:p w14:paraId="6F7D05F3"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59">
    <w:p w14:paraId="2A5A3BA2"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60">
    <w:p w14:paraId="62AE6F2B"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61">
    <w:p w14:paraId="58EBC319"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 </w:t>
      </w:r>
    </w:p>
  </w:footnote>
  <w:footnote w:id="62">
    <w:p w14:paraId="67A8874C" w14:textId="77777777" w:rsidR="009A4A6F" w:rsidRDefault="009A4A6F" w:rsidP="009A4A6F">
      <w:pPr>
        <w:pStyle w:val="FootnoteText"/>
        <w:rPr>
          <w:rFonts w:ascii="Times New Roman" w:hAnsi="Times New Roman" w:cs="Times New Roman"/>
          <w:color w:val="000000" w:themeColor="text1"/>
          <w:lang w:val="en-GB"/>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63">
    <w:p w14:paraId="475B5A0E"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W. V. H., Rogers, Winfield and Jolowicz on Tort, (17th ed., London: Sweet &amp; Maxwell, 2006), P. 155.</w:t>
      </w:r>
    </w:p>
  </w:footnote>
  <w:footnote w:id="64">
    <w:p w14:paraId="169AB70F"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65">
    <w:p w14:paraId="486D8A79"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I.P Enemo, `Medical Negligence: Liability of Health Care Providers and Hospitals,` [2016] (10). &lt;https://law.unn.edu.ng/wp-content/uploads/sites/12/2016/08/6.-Medical-Negligence-Liability-of-Health-Care-Providers-and-Hospitals-I.-P.-Enemo.pdf&gt; accessed 18 December 2025.</w:t>
      </w:r>
    </w:p>
  </w:footnote>
  <w:footnote w:id="66">
    <w:p w14:paraId="2D661D7F"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67">
    <w:p w14:paraId="41866D4C"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68">
    <w:p w14:paraId="5D1BE67B"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69">
    <w:p w14:paraId="1265EFC7"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Garner BA (ed), </w:t>
      </w:r>
      <w:r>
        <w:rPr>
          <w:rFonts w:ascii="Times New Roman" w:hAnsi="Times New Roman" w:cs="Times New Roman"/>
          <w:i/>
          <w:color w:val="000000" w:themeColor="text1"/>
        </w:rPr>
        <w:t>Black`s Law Dictionary</w:t>
      </w:r>
      <w:r>
        <w:rPr>
          <w:rFonts w:ascii="Times New Roman" w:hAnsi="Times New Roman" w:cs="Times New Roman"/>
          <w:color w:val="000000" w:themeColor="text1"/>
        </w:rPr>
        <w:t>, (11</w:t>
      </w:r>
      <w:r>
        <w:rPr>
          <w:rFonts w:ascii="Times New Roman" w:hAnsi="Times New Roman" w:cs="Times New Roman"/>
          <w:color w:val="000000" w:themeColor="text1"/>
          <w:vertAlign w:val="superscript"/>
        </w:rPr>
        <w:t>th</w:t>
      </w:r>
      <w:r>
        <w:rPr>
          <w:rFonts w:ascii="Times New Roman" w:hAnsi="Times New Roman" w:cs="Times New Roman"/>
          <w:color w:val="000000" w:themeColor="text1"/>
        </w:rPr>
        <w:t xml:space="preserve"> ed., Thomson Reuters 2019) 129.</w:t>
      </w:r>
    </w:p>
  </w:footnote>
  <w:footnote w:id="70">
    <w:p w14:paraId="6BAC58C4"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[1992] 4 NWLR (Pt. 233) p. 17.</w:t>
      </w:r>
    </w:p>
  </w:footnote>
  <w:footnote w:id="71">
    <w:p w14:paraId="4DD64F3D"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(1942) 8 WACA 5.</w:t>
      </w:r>
    </w:p>
  </w:footnote>
  <w:footnote w:id="72">
    <w:p w14:paraId="31AAB0B3"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w:t>
      </w:r>
      <w:r>
        <w:rPr>
          <w:rFonts w:ascii="Times New Roman" w:hAnsi="Times New Roman" w:cs="Times New Roman"/>
          <w:color w:val="000000" w:themeColor="text1"/>
          <w:shd w:val="clear" w:color="auto" w:fill="FFFFFF"/>
        </w:rPr>
        <w:t>1969) AIR SC 128.</w:t>
      </w:r>
    </w:p>
  </w:footnote>
  <w:footnote w:id="73">
    <w:p w14:paraId="7C499F30"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w:t>
      </w:r>
      <w:r>
        <w:rPr>
          <w:rFonts w:ascii="Times New Roman" w:hAnsi="Times New Roman" w:cs="Times New Roman"/>
          <w:color w:val="000000" w:themeColor="text1"/>
          <w:shd w:val="clear" w:color="auto" w:fill="FFFFFF"/>
        </w:rPr>
        <w:t>1989) AIR SC 1570.</w:t>
      </w:r>
    </w:p>
  </w:footnote>
  <w:footnote w:id="74">
    <w:p w14:paraId="2F6CDE50" w14:textId="77777777" w:rsidR="009A4A6F" w:rsidRDefault="009A4A6F" w:rsidP="009A4A6F">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Ibid.</w:t>
      </w:r>
    </w:p>
  </w:footnote>
  <w:footnote w:id="75">
    <w:p w14:paraId="7E996FDC" w14:textId="77777777" w:rsidR="009A4A6F" w:rsidRDefault="009A4A6F" w:rsidP="009A4A6F">
      <w:pPr>
        <w:pStyle w:val="FootnoteText"/>
        <w:rPr>
          <w:rFonts w:ascii="Times New Roman" w:hAnsi="Times New Roman" w:cs="Times New Roman"/>
          <w:color w:val="000000" w:themeColor="text1"/>
          <w:lang w:val="en-GB"/>
        </w:rPr>
      </w:pPr>
      <w:r>
        <w:rPr>
          <w:rStyle w:val="FootnoteReference"/>
          <w:color w:val="000000" w:themeColor="text1"/>
        </w:rPr>
        <w:footnoteRef/>
      </w:r>
      <w:r>
        <w:rPr>
          <w:rFonts w:ascii="Times New Roman" w:hAnsi="Times New Roman" w:cs="Times New Roman"/>
          <w:color w:val="000000" w:themeColor="text1"/>
        </w:rPr>
        <w:t xml:space="preserve"> </w:t>
      </w:r>
      <w:r>
        <w:rPr>
          <w:rFonts w:ascii="Times New Roman" w:hAnsi="Times New Roman" w:cs="Times New Roman"/>
          <w:color w:val="000000" w:themeColor="text1"/>
          <w:shd w:val="clear" w:color="auto" w:fill="FFFFFF"/>
        </w:rPr>
        <w:t xml:space="preserve">Guyer P. Kant, `Theory and Practice of Autonomy.` </w:t>
      </w:r>
      <w:r>
        <w:rPr>
          <w:rFonts w:ascii="Times New Roman" w:hAnsi="Times New Roman" w:cs="Times New Roman"/>
          <w:i/>
          <w:color w:val="000000" w:themeColor="text1"/>
          <w:shd w:val="clear" w:color="auto" w:fill="FFFFFF"/>
        </w:rPr>
        <w:t>Social Philosophy and Policy.</w:t>
      </w:r>
      <w:r>
        <w:rPr>
          <w:rFonts w:ascii="Times New Roman" w:hAnsi="Times New Roman" w:cs="Times New Roman"/>
          <w:color w:val="000000" w:themeColor="text1"/>
          <w:shd w:val="clear" w:color="auto" w:fill="FFFFFF"/>
        </w:rPr>
        <w:t xml:space="preserve"> [2003] 70-98. &lt;</w:t>
      </w:r>
      <w:r>
        <w:rPr>
          <w:rFonts w:ascii="Times New Roman" w:hAnsi="Times New Roman" w:cs="Times New Roman"/>
          <w:color w:val="000000" w:themeColor="text1"/>
        </w:rPr>
        <w:t xml:space="preserve"> </w:t>
      </w:r>
      <w:hyperlink r:id="rId11" w:history="1">
        <w:r>
          <w:rPr>
            <w:rStyle w:val="Hyperlink"/>
            <w:rFonts w:ascii="Times New Roman" w:hAnsi="Times New Roman" w:cs="Times New Roman"/>
            <w:color w:val="000000" w:themeColor="text1"/>
            <w:shd w:val="clear" w:color="auto" w:fill="FFFFFF"/>
          </w:rPr>
          <w:t>https://www.cambridge.org/core/books/autonomy/kant-on-the-theory-and-practice-of-autonomy/51D42476C0749B1D88E9B928977EC397?utm_campaign=shareaholic&amp;utm_medium=copy_link&amp;utm_source=bookmark</w:t>
        </w:r>
      </w:hyperlink>
      <w:r>
        <w:rPr>
          <w:rFonts w:ascii="Times New Roman" w:hAnsi="Times New Roman" w:cs="Times New Roman"/>
          <w:color w:val="000000" w:themeColor="text1"/>
          <w:shd w:val="clear" w:color="auto" w:fill="FFFFFF"/>
        </w:rPr>
        <w:t>&gt; accessed 21 November 2025.</w:t>
      </w:r>
    </w:p>
  </w:footnote>
  <w:footnote w:id="76">
    <w:p w14:paraId="5F655217"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77">
    <w:p w14:paraId="4D0B3045"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78">
    <w:p w14:paraId="4147A0D5"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79">
    <w:p w14:paraId="73F1D614"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80">
    <w:p w14:paraId="1FAEC124"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Patients`s Care Partnership &lt; </w:t>
      </w:r>
      <w:hyperlink r:id="rId12" w:history="1">
        <w:r>
          <w:rPr>
            <w:rStyle w:val="Hyperlink"/>
            <w:rFonts w:ascii="Times New Roman" w:hAnsi="Times New Roman" w:cs="Times New Roman"/>
            <w:color w:val="000000" w:themeColor="text1"/>
          </w:rPr>
          <w:t>https://samples.jbpub.com/9780763773274/73274_morrison_ch02.pdf</w:t>
        </w:r>
      </w:hyperlink>
      <w:r>
        <w:rPr>
          <w:rFonts w:ascii="Times New Roman" w:hAnsi="Times New Roman" w:cs="Times New Roman"/>
          <w:color w:val="000000" w:themeColor="text1"/>
        </w:rPr>
        <w:t xml:space="preserve">&gt; accessed 30 April 2026. </w:t>
      </w:r>
    </w:p>
  </w:footnote>
  <w:footnote w:id="81">
    <w:p w14:paraId="0E344FEF"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w:t>
      </w:r>
      <w:r>
        <w:rPr>
          <w:rFonts w:ascii="Times New Roman" w:eastAsia="Times New Roman" w:hAnsi="Times New Roman" w:cs="Times New Roman"/>
          <w:color w:val="000000" w:themeColor="text1"/>
          <w:lang w:eastAsia="en-GB"/>
        </w:rPr>
        <w:t>Beauchamp T.L and Childress J.E., `Principles of Biomedical Ethics`.[2009] 115-127 &lt;</w:t>
      </w:r>
      <w:r>
        <w:rPr>
          <w:rFonts w:ascii="Times New Roman" w:hAnsi="Times New Roman" w:cs="Times New Roman"/>
          <w:color w:val="000000" w:themeColor="text1"/>
        </w:rPr>
        <w:t xml:space="preserve"> </w:t>
      </w:r>
      <w:hyperlink r:id="rId13" w:history="1">
        <w:r>
          <w:rPr>
            <w:rStyle w:val="Hyperlink"/>
            <w:rFonts w:ascii="Times New Roman" w:eastAsia="Times New Roman" w:hAnsi="Times New Roman" w:cs="Times New Roman"/>
            <w:color w:val="000000" w:themeColor="text1"/>
            <w:lang w:eastAsia="en-GB"/>
          </w:rPr>
          <w:t>https://www.researchgate.net/publication/394157036_Beauchamp_and_Childress_Principles_of_Biomedical_Ethics</w:t>
        </w:r>
      </w:hyperlink>
      <w:r>
        <w:rPr>
          <w:rFonts w:ascii="Times New Roman" w:eastAsia="Times New Roman" w:hAnsi="Times New Roman" w:cs="Times New Roman"/>
          <w:color w:val="000000" w:themeColor="text1"/>
          <w:lang w:eastAsia="en-GB"/>
        </w:rPr>
        <w:t>&gt; accessed 20 March 2026.</w:t>
      </w:r>
    </w:p>
  </w:footnote>
  <w:footnote w:id="82">
    <w:p w14:paraId="07EB2CBD"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83">
    <w:p w14:paraId="642008E1"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84">
    <w:p w14:paraId="3C017EBF"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85">
    <w:p w14:paraId="20684B84"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86">
    <w:p w14:paraId="5C25D088"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87">
    <w:p w14:paraId="31BDD97C"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w:t>
      </w:r>
      <w:r>
        <w:rPr>
          <w:rFonts w:ascii="Times New Roman" w:eastAsia="Times New Roman" w:hAnsi="Times New Roman" w:cs="Times New Roman"/>
          <w:color w:val="000000" w:themeColor="text1"/>
          <w:lang w:eastAsia="en-GB"/>
        </w:rPr>
        <w:t>Beauchamp T.L and Childress J.E., `Principles of Biomedical Ethics`. [2009] 115-127 &lt;</w:t>
      </w:r>
      <w:r>
        <w:rPr>
          <w:rFonts w:ascii="Times New Roman" w:hAnsi="Times New Roman" w:cs="Times New Roman"/>
          <w:color w:val="000000" w:themeColor="text1"/>
        </w:rPr>
        <w:t xml:space="preserve"> </w:t>
      </w:r>
      <w:hyperlink r:id="rId14" w:history="1">
        <w:r>
          <w:rPr>
            <w:rStyle w:val="Hyperlink"/>
            <w:rFonts w:ascii="Times New Roman" w:eastAsia="Times New Roman" w:hAnsi="Times New Roman" w:cs="Times New Roman"/>
            <w:color w:val="000000" w:themeColor="text1"/>
            <w:lang w:eastAsia="en-GB"/>
          </w:rPr>
          <w:t>https://www.researchgate.net/publication/394157036_Beauchamp_and_Childress_Principles_of_Biomedical_Ethics</w:t>
        </w:r>
      </w:hyperlink>
      <w:r>
        <w:rPr>
          <w:rFonts w:ascii="Times New Roman" w:eastAsia="Times New Roman" w:hAnsi="Times New Roman" w:cs="Times New Roman"/>
          <w:color w:val="000000" w:themeColor="text1"/>
          <w:lang w:eastAsia="en-GB"/>
        </w:rPr>
        <w:t>&gt; accessed 20 March 2026.</w:t>
      </w:r>
    </w:p>
  </w:footnote>
  <w:footnote w:id="88">
    <w:p w14:paraId="5B4D28FC"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w:t>
      </w:r>
      <w:r>
        <w:rPr>
          <w:rStyle w:val="amacitation"/>
          <w:rFonts w:ascii="Times New Roman" w:hAnsi="Times New Roman" w:cs="Times New Roman"/>
          <w:color w:val="000000" w:themeColor="text1"/>
          <w:shd w:val="clear" w:color="auto" w:fill="F9F9F9"/>
        </w:rPr>
        <w:t>Jonsen AR, Siegler M, Winslade WJ., </w:t>
      </w:r>
      <w:r>
        <w:rPr>
          <w:rStyle w:val="amacitation"/>
          <w:rFonts w:ascii="Times New Roman" w:hAnsi="Times New Roman" w:cs="Times New Roman"/>
          <w:i/>
          <w:color w:val="000000" w:themeColor="text1"/>
          <w:shd w:val="clear" w:color="auto" w:fill="F9F9F9"/>
        </w:rPr>
        <w:t>`</w:t>
      </w:r>
      <w:r>
        <w:rPr>
          <w:rStyle w:val="Emphasis"/>
          <w:rFonts w:ascii="Times New Roman" w:hAnsi="Times New Roman" w:cs="Times New Roman"/>
          <w:i w:val="0"/>
          <w:color w:val="000000" w:themeColor="text1"/>
          <w:shd w:val="clear" w:color="auto" w:fill="F9F9F9"/>
        </w:rPr>
        <w:t xml:space="preserve">Clinical Ethics: A Practical Approach to Ethical Decisions in Clinical Medicine`. </w:t>
      </w:r>
      <w:r>
        <w:rPr>
          <w:rFonts w:ascii="Times New Roman" w:hAnsi="Times New Roman" w:cs="Times New Roman"/>
          <w:i/>
          <w:color w:val="000000" w:themeColor="text1"/>
          <w:shd w:val="clear" w:color="auto" w:fill="F9F9F9"/>
        </w:rPr>
        <w:t>Journal of Legal Medicine</w:t>
      </w:r>
      <w:r>
        <w:rPr>
          <w:rStyle w:val="Emphasis"/>
          <w:rFonts w:ascii="Times New Roman" w:hAnsi="Times New Roman" w:cs="Times New Roman"/>
          <w:i w:val="0"/>
          <w:color w:val="000000" w:themeColor="text1"/>
          <w:shd w:val="clear" w:color="auto" w:fill="F9F9F9"/>
        </w:rPr>
        <w:t xml:space="preserve"> [2009] </w:t>
      </w:r>
      <w:r>
        <w:rPr>
          <w:rFonts w:ascii="Times New Roman" w:hAnsi="Times New Roman" w:cs="Times New Roman"/>
          <w:color w:val="000000" w:themeColor="text1"/>
          <w:shd w:val="clear" w:color="auto" w:fill="F9F9F9"/>
        </w:rPr>
        <w:t>(3)(3) 490-495.</w:t>
      </w:r>
      <w:r>
        <w:rPr>
          <w:rFonts w:ascii="Times New Roman" w:hAnsi="Times New Roman" w:cs="Times New Roman"/>
          <w:i/>
          <w:color w:val="000000" w:themeColor="text1"/>
          <w:shd w:val="clear" w:color="auto" w:fill="F9F9F9"/>
        </w:rPr>
        <w:t xml:space="preserve">. </w:t>
      </w:r>
      <w:r>
        <w:rPr>
          <w:rFonts w:ascii="Times New Roman" w:hAnsi="Times New Roman" w:cs="Times New Roman"/>
          <w:color w:val="000000" w:themeColor="text1"/>
          <w:shd w:val="clear" w:color="auto" w:fill="F9F9F9"/>
        </w:rPr>
        <w:t>&lt; </w:t>
      </w:r>
      <w:hyperlink r:id="rId15" w:history="1">
        <w:r>
          <w:rPr>
            <w:rStyle w:val="Hyperlink"/>
            <w:rFonts w:ascii="Times New Roman" w:hAnsi="Times New Roman" w:cs="Times New Roman"/>
            <w:color w:val="000000" w:themeColor="text1"/>
            <w:shd w:val="clear" w:color="auto" w:fill="F9F9F9"/>
          </w:rPr>
          <w:t>https://www.researchgate.net/publication/261686859_Clinical_Ethics_A_Practical_Approach_To_Ethical_Decisions_in_Clinical_Medicine</w:t>
        </w:r>
      </w:hyperlink>
      <w:r>
        <w:rPr>
          <w:rFonts w:ascii="Times New Roman" w:hAnsi="Times New Roman" w:cs="Times New Roman"/>
          <w:color w:val="000000" w:themeColor="text1"/>
          <w:shd w:val="clear" w:color="auto" w:fill="F9F9F9"/>
        </w:rPr>
        <w:t xml:space="preserve">&gt; </w:t>
      </w:r>
      <w:r>
        <w:rPr>
          <w:rStyle w:val="urllink"/>
          <w:rFonts w:ascii="Times New Roman" w:hAnsi="Times New Roman" w:cs="Times New Roman"/>
          <w:color w:val="000000" w:themeColor="text1"/>
          <w:shd w:val="clear" w:color="auto" w:fill="F9F9F9"/>
        </w:rPr>
        <w:t xml:space="preserve"> </w:t>
      </w:r>
      <w:r>
        <w:rPr>
          <w:rFonts w:ascii="Times New Roman" w:hAnsi="Times New Roman" w:cs="Times New Roman"/>
          <w:color w:val="000000" w:themeColor="text1"/>
          <w:shd w:val="clear" w:color="auto" w:fill="F9F9F9"/>
        </w:rPr>
        <w:t>accessed May 5 2026.</w:t>
      </w:r>
    </w:p>
  </w:footnote>
  <w:footnote w:id="89">
    <w:p w14:paraId="3A2A3B91"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90">
    <w:p w14:paraId="013BF25C" w14:textId="77777777" w:rsidR="009A4A6F" w:rsidRDefault="009A4A6F" w:rsidP="009A4A6F">
      <w:pPr>
        <w:pStyle w:val="FootnoteText"/>
        <w:rPr>
          <w:rFonts w:ascii="Times New Roman" w:hAnsi="Times New Roman" w:cs="Times New Roman"/>
          <w:color w:val="000000" w:themeColor="text1"/>
          <w:lang w:val="en-GB"/>
        </w:rPr>
      </w:pPr>
      <w:r>
        <w:rPr>
          <w:rStyle w:val="FootnoteReference"/>
          <w:color w:val="000000" w:themeColor="text1"/>
        </w:rPr>
        <w:footnoteRef/>
      </w:r>
      <w:r>
        <w:rPr>
          <w:rFonts w:ascii="Times New Roman" w:hAnsi="Times New Roman" w:cs="Times New Roman"/>
          <w:color w:val="000000" w:themeColor="text1"/>
        </w:rPr>
        <w:t xml:space="preserve"> O’Neill Onora, `Autonomy and Trust in Bioethics.`[2002] &lt; </w:t>
      </w:r>
      <w:hyperlink r:id="rId16" w:history="1">
        <w:r>
          <w:rPr>
            <w:rStyle w:val="Hyperlink"/>
            <w:rFonts w:ascii="Times New Roman" w:hAnsi="Times New Roman" w:cs="Times New Roman"/>
            <w:color w:val="000000" w:themeColor="text1"/>
          </w:rPr>
          <w:t>https://www.cambridge.org/core/books/autonomy-and-trust-in-bioethics/901685A151865B0C07590E711BDBD2C9?utm_campaign=shareaholic&amp;utm_medium=copy_link&amp;utm_source=bookmark</w:t>
        </w:r>
      </w:hyperlink>
      <w:r>
        <w:rPr>
          <w:rFonts w:ascii="Times New Roman" w:hAnsi="Times New Roman" w:cs="Times New Roman"/>
          <w:color w:val="000000" w:themeColor="text1"/>
        </w:rPr>
        <w:t>&gt; accessed May 1 2026.</w:t>
      </w:r>
    </w:p>
  </w:footnote>
  <w:footnote w:id="91">
    <w:p w14:paraId="73CD6E3D"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 </w:t>
      </w:r>
    </w:p>
  </w:footnote>
  <w:footnote w:id="92">
    <w:p w14:paraId="2B0B0A8E"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w:t>
      </w:r>
      <w:r>
        <w:rPr>
          <w:rStyle w:val="amacitation"/>
          <w:rFonts w:ascii="Times New Roman" w:hAnsi="Times New Roman" w:cs="Times New Roman"/>
          <w:color w:val="000000" w:themeColor="text1"/>
          <w:shd w:val="clear" w:color="auto" w:fill="F9F9F9"/>
        </w:rPr>
        <w:t xml:space="preserve">Jonsen AR, Siegler M, Winslade WJ., </w:t>
      </w:r>
      <w:r>
        <w:rPr>
          <w:rStyle w:val="amacitation"/>
          <w:rFonts w:ascii="Times New Roman" w:hAnsi="Times New Roman" w:cs="Times New Roman"/>
          <w:i/>
          <w:color w:val="000000" w:themeColor="text1"/>
          <w:shd w:val="clear" w:color="auto" w:fill="F9F9F9"/>
        </w:rPr>
        <w:t>`</w:t>
      </w:r>
      <w:r>
        <w:rPr>
          <w:rStyle w:val="Emphasis"/>
          <w:rFonts w:ascii="Times New Roman" w:hAnsi="Times New Roman" w:cs="Times New Roman"/>
          <w:i w:val="0"/>
          <w:color w:val="000000" w:themeColor="text1"/>
          <w:shd w:val="clear" w:color="auto" w:fill="F9F9F9"/>
        </w:rPr>
        <w:t xml:space="preserve">Clinical Ethics: A Practical Approach to Ethical Decisions in Clinical Medicine.` </w:t>
      </w:r>
      <w:r>
        <w:rPr>
          <w:rFonts w:ascii="Times New Roman" w:hAnsi="Times New Roman" w:cs="Times New Roman"/>
          <w:i/>
          <w:color w:val="000000" w:themeColor="text1"/>
          <w:shd w:val="clear" w:color="auto" w:fill="F9F9F9"/>
        </w:rPr>
        <w:t>Journal of Legal Medicine</w:t>
      </w:r>
      <w:r>
        <w:rPr>
          <w:rStyle w:val="Emphasis"/>
          <w:rFonts w:ascii="Times New Roman" w:hAnsi="Times New Roman" w:cs="Times New Roman"/>
          <w:i w:val="0"/>
          <w:color w:val="000000" w:themeColor="text1"/>
          <w:shd w:val="clear" w:color="auto" w:fill="F9F9F9"/>
        </w:rPr>
        <w:t xml:space="preserve"> [2009] </w:t>
      </w:r>
      <w:r>
        <w:rPr>
          <w:rFonts w:ascii="Times New Roman" w:hAnsi="Times New Roman" w:cs="Times New Roman"/>
          <w:color w:val="000000" w:themeColor="text1"/>
          <w:shd w:val="clear" w:color="auto" w:fill="F9F9F9"/>
        </w:rPr>
        <w:t>(3)(3) 490-495.</w:t>
      </w:r>
      <w:r>
        <w:rPr>
          <w:rFonts w:ascii="Times New Roman" w:hAnsi="Times New Roman" w:cs="Times New Roman"/>
          <w:i/>
          <w:color w:val="000000" w:themeColor="text1"/>
          <w:shd w:val="clear" w:color="auto" w:fill="F9F9F9"/>
        </w:rPr>
        <w:t>.</w:t>
      </w:r>
      <w:r>
        <w:rPr>
          <w:rFonts w:ascii="Times New Roman" w:hAnsi="Times New Roman" w:cs="Times New Roman"/>
          <w:color w:val="000000" w:themeColor="text1"/>
          <w:shd w:val="clear" w:color="auto" w:fill="F9F9F9"/>
        </w:rPr>
        <w:t> &lt;</w:t>
      </w:r>
      <w:r>
        <w:rPr>
          <w:rStyle w:val="urllink"/>
          <w:rFonts w:ascii="Times New Roman" w:hAnsi="Times New Roman" w:cs="Times New Roman"/>
          <w:color w:val="000000" w:themeColor="text1"/>
          <w:shd w:val="clear" w:color="auto" w:fill="F9F9F9"/>
        </w:rPr>
        <w:t xml:space="preserve">https://accessmedicine.mhmedical.com/content.aspx?bookid=1521&amp;sectionid=86965756&gt; </w:t>
      </w:r>
      <w:r>
        <w:rPr>
          <w:rFonts w:ascii="Times New Roman" w:hAnsi="Times New Roman" w:cs="Times New Roman"/>
          <w:color w:val="000000" w:themeColor="text1"/>
          <w:shd w:val="clear" w:color="auto" w:fill="F9F9F9"/>
        </w:rPr>
        <w:t xml:space="preserve">Accessed May 05 2026. </w:t>
      </w:r>
    </w:p>
  </w:footnote>
  <w:footnote w:id="93">
    <w:p w14:paraId="61A0BA48"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94">
    <w:p w14:paraId="6E174E0B"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95">
    <w:p w14:paraId="0F19FFCC" w14:textId="77777777" w:rsidR="009A4A6F" w:rsidRDefault="009A4A6F" w:rsidP="009A4A6F">
      <w:pPr>
        <w:pStyle w:val="FootnoteText"/>
        <w:rPr>
          <w:rFonts w:ascii="Times New Roman" w:hAnsi="Times New Roman" w:cs="Times New Roman"/>
          <w:color w:val="000000" w:themeColor="text1"/>
          <w:lang w:val="en-GB"/>
        </w:rPr>
      </w:pPr>
      <w:r>
        <w:rPr>
          <w:rStyle w:val="FootnoteReference"/>
          <w:color w:val="000000" w:themeColor="text1"/>
        </w:rPr>
        <w:footnoteRef/>
      </w:r>
      <w:r>
        <w:rPr>
          <w:rFonts w:ascii="Times New Roman" w:hAnsi="Times New Roman" w:cs="Times New Roman"/>
          <w:color w:val="000000" w:themeColor="text1"/>
        </w:rPr>
        <w:t xml:space="preserve"> Article 25.</w:t>
      </w:r>
    </w:p>
  </w:footnote>
  <w:footnote w:id="96">
    <w:p w14:paraId="7376FC10"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Gruskin, S., D. Bogecho, and L. Ferguson. ‘Rights-based Approaches’ to Health Policies and Programs: Articulations, Ambiguities, and Assessment`.. </w:t>
      </w:r>
      <w:r>
        <w:rPr>
          <w:rFonts w:ascii="Times New Roman" w:hAnsi="Times New Roman" w:cs="Times New Roman"/>
          <w:i/>
          <w:color w:val="000000" w:themeColor="text1"/>
        </w:rPr>
        <w:t>Journal of Public Health Policy</w:t>
      </w:r>
      <w:r>
        <w:rPr>
          <w:rFonts w:ascii="Times New Roman" w:hAnsi="Times New Roman" w:cs="Times New Roman"/>
          <w:color w:val="000000" w:themeColor="text1"/>
        </w:rPr>
        <w:t>.  [2010] (31) (2) 12–45&lt;https://pubmed.ncbi.nlm.nih.gov/20535096/&gt; accessed February 10 2026.</w:t>
      </w:r>
    </w:p>
  </w:footnote>
  <w:footnote w:id="97">
    <w:p w14:paraId="36B0F28A" w14:textId="77777777" w:rsidR="009A4A6F" w:rsidRDefault="009A4A6F" w:rsidP="009A4A6F">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Ibid.</w:t>
      </w:r>
    </w:p>
  </w:footnote>
  <w:footnote w:id="98">
    <w:p w14:paraId="3D55745F"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Meier, B., and A. Yamin. `Right to Health Litigation and HIV/AIDS Policy`. </w:t>
      </w:r>
      <w:r>
        <w:rPr>
          <w:rFonts w:ascii="Times New Roman" w:hAnsi="Times New Roman" w:cs="Times New Roman"/>
          <w:i/>
          <w:color w:val="000000" w:themeColor="text1"/>
        </w:rPr>
        <w:t>Journal of Law, Medicine and Ethics</w:t>
      </w:r>
      <w:r>
        <w:rPr>
          <w:rFonts w:ascii="Times New Roman" w:hAnsi="Times New Roman" w:cs="Times New Roman"/>
          <w:color w:val="000000" w:themeColor="text1"/>
        </w:rPr>
        <w:t xml:space="preserve"> [2011] (39) (1). 8–40.</w:t>
      </w:r>
      <w:r>
        <w:rPr>
          <w:rFonts w:ascii="Times New Roman" w:hAnsi="Times New Roman" w:cs="Times New Roman"/>
          <w:i/>
          <w:color w:val="000000" w:themeColor="text1"/>
        </w:rPr>
        <w:t>.</w:t>
      </w:r>
      <w:r>
        <w:rPr>
          <w:rFonts w:ascii="Times New Roman" w:hAnsi="Times New Roman" w:cs="Times New Roman"/>
          <w:color w:val="000000" w:themeColor="text1"/>
        </w:rPr>
        <w:t xml:space="preserve"> &lt; </w:t>
      </w:r>
      <w:hyperlink r:id="rId17" w:history="1">
        <w:r>
          <w:rPr>
            <w:rStyle w:val="Hyperlink"/>
            <w:rFonts w:ascii="Times New Roman" w:hAnsi="Times New Roman" w:cs="Times New Roman"/>
            <w:color w:val="000000" w:themeColor="text1"/>
          </w:rPr>
          <w:t>https://bmeier.web.unc.edu/wp-content/uploads/sites/700/2011/02/Meier-Yamin-2011.pdf</w:t>
        </w:r>
      </w:hyperlink>
      <w:r>
        <w:rPr>
          <w:rFonts w:ascii="Times New Roman" w:hAnsi="Times New Roman" w:cs="Times New Roman"/>
          <w:color w:val="000000" w:themeColor="text1"/>
        </w:rPr>
        <w:t>&gt; accessed February 15 2025.</w:t>
      </w:r>
    </w:p>
  </w:footnote>
  <w:footnote w:id="99">
    <w:p w14:paraId="125E2AFE"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Dowler, E., and D. O’Connor. `Rights-based Approaches to Addressing Food Poverty and Food Insecurity in Ireland and UK`. [2012] (74)(1) 44–51. &lt; </w:t>
      </w:r>
      <w:hyperlink r:id="rId18" w:history="1">
        <w:r>
          <w:rPr>
            <w:rStyle w:val="Hyperlink"/>
            <w:rFonts w:ascii="Times New Roman" w:hAnsi="Times New Roman" w:cs="Times New Roman"/>
            <w:color w:val="000000" w:themeColor="text1"/>
          </w:rPr>
          <w:t>https://pubmed.ncbi.nlm.nih.gov/22000764/</w:t>
        </w:r>
      </w:hyperlink>
      <w:r>
        <w:rPr>
          <w:rFonts w:ascii="Times New Roman" w:hAnsi="Times New Roman" w:cs="Times New Roman"/>
          <w:color w:val="000000" w:themeColor="text1"/>
        </w:rPr>
        <w:t>&gt; accessed 10 April 2025.</w:t>
      </w:r>
    </w:p>
  </w:footnote>
  <w:footnote w:id="100">
    <w:p w14:paraId="41A41AE1" w14:textId="77777777" w:rsidR="009A4A6F" w:rsidRDefault="009A4A6F" w:rsidP="009A4A6F">
      <w:pPr>
        <w:pStyle w:val="FootnoteText"/>
        <w:rPr>
          <w:rFonts w:ascii="Times New Roman" w:hAnsi="Times New Roman" w:cs="Times New Roman"/>
          <w:color w:val="000000" w:themeColor="text1"/>
          <w:lang w:val="en-GB"/>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101">
    <w:p w14:paraId="4FA803F4" w14:textId="77777777" w:rsidR="009A4A6F" w:rsidRDefault="009A4A6F" w:rsidP="009A4A6F">
      <w:pPr>
        <w:pStyle w:val="FootnoteText"/>
        <w:jc w:val="both"/>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Hixon A.L., Yamada S.. and others, `</w:t>
      </w:r>
      <w:r>
        <w:rPr>
          <w:rStyle w:val="Strong"/>
          <w:rFonts w:ascii="Times New Roman" w:hAnsi="Times New Roman" w:cs="Times New Roman"/>
          <w:b w:val="0"/>
          <w:color w:val="000000" w:themeColor="text1"/>
        </w:rPr>
        <w:t xml:space="preserve">Social justice: The heart of medical education.` </w:t>
      </w:r>
      <w:r>
        <w:rPr>
          <w:rFonts w:ascii="Times New Roman" w:hAnsi="Times New Roman" w:cs="Times New Roman"/>
          <w:i/>
          <w:color w:val="000000" w:themeColor="text1"/>
        </w:rPr>
        <w:t xml:space="preserve">Journal of </w:t>
      </w:r>
      <w:r>
        <w:rPr>
          <w:rStyle w:val="Emphasis"/>
          <w:rFonts w:ascii="Times New Roman" w:hAnsi="Times New Roman" w:cs="Times New Roman"/>
          <w:color w:val="000000" w:themeColor="text1"/>
        </w:rPr>
        <w:t>Social Medicine</w:t>
      </w:r>
      <w:r>
        <w:rPr>
          <w:rStyle w:val="Strong"/>
          <w:rFonts w:ascii="Times New Roman" w:hAnsi="Times New Roman" w:cs="Times New Roman"/>
          <w:b w:val="0"/>
          <w:color w:val="000000" w:themeColor="text1"/>
        </w:rPr>
        <w:t xml:space="preserve"> [2013] </w:t>
      </w:r>
      <w:r>
        <w:rPr>
          <w:rFonts w:ascii="Times New Roman" w:hAnsi="Times New Roman" w:cs="Times New Roman"/>
          <w:color w:val="000000" w:themeColor="text1"/>
        </w:rPr>
        <w:t>(7)(3) 161–168. &lt;</w:t>
      </w:r>
      <w:hyperlink r:id="rId19" w:history="1">
        <w:r>
          <w:rPr>
            <w:rStyle w:val="Hyperlink"/>
            <w:rFonts w:ascii="Times New Roman" w:hAnsi="Times New Roman" w:cs="Times New Roman"/>
            <w:color w:val="000000" w:themeColor="text1"/>
          </w:rPr>
          <w:t>https://doi.org/10.71164/socialmedicine.v7i3.2013.671</w:t>
        </w:r>
      </w:hyperlink>
      <w:r>
        <w:rPr>
          <w:rFonts w:ascii="Times New Roman" w:hAnsi="Times New Roman" w:cs="Times New Roman"/>
          <w:color w:val="000000" w:themeColor="text1"/>
        </w:rPr>
        <w:t>&gt; accessed 7 February 2025.</w:t>
      </w:r>
    </w:p>
  </w:footnote>
  <w:footnote w:id="102">
    <w:p w14:paraId="7BAC75CA"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103">
    <w:p w14:paraId="222FB188"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104">
    <w:p w14:paraId="1ABA7EA8"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105">
    <w:p w14:paraId="7F99BB1C"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106">
    <w:p w14:paraId="47AC1755"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Ndugbu K. U., `Building a healthier Nigeria: The social justice case for universal health insurance`.. </w:t>
      </w:r>
      <w:r>
        <w:rPr>
          <w:rStyle w:val="Emphasis"/>
          <w:rFonts w:ascii="Times New Roman" w:hAnsi="Times New Roman" w:cs="Times New Roman"/>
          <w:color w:val="000000" w:themeColor="text1"/>
        </w:rPr>
        <w:t>Journal of Healthcare Ethics &amp; Administration</w:t>
      </w:r>
      <w:r>
        <w:rPr>
          <w:rFonts w:ascii="Times New Roman" w:hAnsi="Times New Roman" w:cs="Times New Roman"/>
          <w:color w:val="000000" w:themeColor="text1"/>
        </w:rPr>
        <w:t xml:space="preserve"> [2024] (</w:t>
      </w:r>
      <w:r>
        <w:rPr>
          <w:rStyle w:val="Emphasis"/>
          <w:rFonts w:ascii="Times New Roman" w:hAnsi="Times New Roman" w:cs="Times New Roman"/>
          <w:i w:val="0"/>
          <w:color w:val="000000" w:themeColor="text1"/>
        </w:rPr>
        <w:t>10</w:t>
      </w:r>
      <w:r>
        <w:rPr>
          <w:rFonts w:ascii="Times New Roman" w:hAnsi="Times New Roman" w:cs="Times New Roman"/>
          <w:color w:val="000000" w:themeColor="text1"/>
        </w:rPr>
        <w:t>)(2) 46–57 &lt;</w:t>
      </w:r>
      <w:hyperlink r:id="rId20" w:history="1">
        <w:r>
          <w:rPr>
            <w:rStyle w:val="Hyperlink"/>
            <w:rFonts w:ascii="Times New Roman" w:hAnsi="Times New Roman" w:cs="Times New Roman"/>
            <w:color w:val="000000" w:themeColor="text1"/>
          </w:rPr>
          <w:t>https://doi.org/10.22461/jhea.1.71646</w:t>
        </w:r>
      </w:hyperlink>
      <w:r>
        <w:rPr>
          <w:rFonts w:ascii="Times New Roman" w:hAnsi="Times New Roman" w:cs="Times New Roman"/>
          <w:color w:val="000000" w:themeColor="text1"/>
        </w:rPr>
        <w:t xml:space="preserve">&gt; accessed 12 January 2025. </w:t>
      </w:r>
    </w:p>
  </w:footnote>
  <w:footnote w:id="107">
    <w:p w14:paraId="300802F4"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108">
    <w:p w14:paraId="3E6613C5"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109">
    <w:p w14:paraId="6D115131"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Kansal.N., Graham.B., Kruse .M. and others, `Transforming our relationship with the social determinants of health: A scoping review of social justice interventions in Canadian medical schools.` [2020] (</w:t>
      </w:r>
      <w:r>
        <w:rPr>
          <w:rStyle w:val="Emphasis"/>
          <w:rFonts w:ascii="Times New Roman" w:hAnsi="Times New Roman" w:cs="Times New Roman"/>
          <w:i w:val="0"/>
          <w:color w:val="000000" w:themeColor="text1"/>
        </w:rPr>
        <w:t>9)</w:t>
      </w:r>
      <w:r>
        <w:rPr>
          <w:rFonts w:ascii="Times New Roman" w:hAnsi="Times New Roman" w:cs="Times New Roman"/>
          <w:color w:val="000000" w:themeColor="text1"/>
        </w:rPr>
        <w:t xml:space="preserve"> 191. &lt;</w:t>
      </w:r>
      <w:hyperlink r:id="rId21" w:history="1">
        <w:r>
          <w:rPr>
            <w:rStyle w:val="Hyperlink"/>
            <w:rFonts w:ascii="Times New Roman" w:hAnsi="Times New Roman" w:cs="Times New Roman"/>
            <w:color w:val="000000" w:themeColor="text1"/>
          </w:rPr>
          <w:t>https://doi.org/10.15694/mep.2020.000191.1</w:t>
        </w:r>
      </w:hyperlink>
      <w:r>
        <w:rPr>
          <w:rFonts w:ascii="Times New Roman" w:hAnsi="Times New Roman" w:cs="Times New Roman"/>
          <w:color w:val="000000" w:themeColor="text1"/>
        </w:rPr>
        <w:t xml:space="preserve">&gt; accessed 1 April 2026. </w:t>
      </w:r>
    </w:p>
  </w:footnote>
  <w:footnote w:id="110">
    <w:p w14:paraId="4C64C2D4"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111">
    <w:p w14:paraId="50932CEF"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Schiff.T., Rieth .K., Maskarinec .G., Yamada .S. and others, `Social justice in medical education: Strengths and challenges of a student-driven social justice curriculum. . </w:t>
      </w:r>
      <w:r>
        <w:rPr>
          <w:rStyle w:val="Emphasis"/>
          <w:rFonts w:ascii="Times New Roman" w:hAnsi="Times New Roman" w:cs="Times New Roman"/>
          <w:color w:val="000000" w:themeColor="text1"/>
        </w:rPr>
        <w:t>Hawaiʻi Journal of Medicine &amp; Public Health</w:t>
      </w:r>
      <w:r>
        <w:rPr>
          <w:rFonts w:ascii="Times New Roman" w:hAnsi="Times New Roman" w:cs="Times New Roman"/>
          <w:color w:val="000000" w:themeColor="text1"/>
        </w:rPr>
        <w:t>.  [2014] (</w:t>
      </w:r>
      <w:r>
        <w:rPr>
          <w:rStyle w:val="Emphasis"/>
          <w:rFonts w:ascii="Times New Roman" w:hAnsi="Times New Roman" w:cs="Times New Roman"/>
          <w:i w:val="0"/>
          <w:color w:val="000000" w:themeColor="text1"/>
        </w:rPr>
        <w:t>73)</w:t>
      </w:r>
      <w:r>
        <w:rPr>
          <w:rFonts w:ascii="Times New Roman" w:hAnsi="Times New Roman" w:cs="Times New Roman"/>
          <w:color w:val="000000" w:themeColor="text1"/>
        </w:rPr>
        <w:t>(8), 244–250&lt;</w:t>
      </w:r>
      <w:hyperlink r:id="rId22" w:history="1">
        <w:r>
          <w:rPr>
            <w:rStyle w:val="Hyperlink"/>
            <w:rFonts w:ascii="Times New Roman" w:hAnsi="Times New Roman" w:cs="Times New Roman"/>
            <w:color w:val="000000" w:themeColor="text1"/>
          </w:rPr>
          <w:t>https://www.ncbi.nlm.nih.gov/pmc/articles/PMC4142578/</w:t>
        </w:r>
      </w:hyperlink>
      <w:r>
        <w:rPr>
          <w:rFonts w:ascii="Times New Roman" w:hAnsi="Times New Roman" w:cs="Times New Roman"/>
          <w:color w:val="000000" w:themeColor="text1"/>
        </w:rPr>
        <w:t xml:space="preserve">&gt; accessed 1 May 2025. </w:t>
      </w:r>
    </w:p>
  </w:footnote>
  <w:footnote w:id="112">
    <w:p w14:paraId="392FB892" w14:textId="77777777" w:rsidR="009A4A6F" w:rsidRDefault="009A4A6F" w:rsidP="009A4A6F">
      <w:pPr>
        <w:pStyle w:val="font-claude-response-body"/>
        <w:rPr>
          <w:color w:val="000000" w:themeColor="text1"/>
          <w:sz w:val="20"/>
          <w:szCs w:val="20"/>
        </w:rPr>
      </w:pPr>
      <w:r>
        <w:rPr>
          <w:rStyle w:val="FootnoteReference"/>
          <w:sz w:val="20"/>
          <w:szCs w:val="20"/>
        </w:rPr>
        <w:footnoteRef/>
      </w:r>
      <w:r>
        <w:rPr>
          <w:sz w:val="20"/>
          <w:szCs w:val="20"/>
        </w:rPr>
        <w:t xml:space="preserve"> </w:t>
      </w:r>
      <w:r>
        <w:rPr>
          <w:color w:val="000000" w:themeColor="text1"/>
          <w:sz w:val="20"/>
          <w:szCs w:val="20"/>
        </w:rPr>
        <w:t xml:space="preserve">Newdick, C., </w:t>
      </w:r>
      <w:r>
        <w:rPr>
          <w:i/>
          <w:color w:val="000000" w:themeColor="text1"/>
          <w:sz w:val="20"/>
          <w:szCs w:val="20"/>
        </w:rPr>
        <w:t>`</w:t>
      </w:r>
      <w:r>
        <w:rPr>
          <w:rStyle w:val="Emphasis"/>
          <w:i w:val="0"/>
          <w:color w:val="000000" w:themeColor="text1"/>
          <w:sz w:val="20"/>
          <w:szCs w:val="20"/>
        </w:rPr>
        <w:t>Who should we treat? Rights, rationing, and resources in the NHS`.</w:t>
      </w:r>
      <w:r>
        <w:rPr>
          <w:color w:val="000000" w:themeColor="text1"/>
          <w:sz w:val="20"/>
          <w:szCs w:val="20"/>
        </w:rPr>
        <w:t xml:space="preserve"> (2nd ed.). Oxford University Press. &lt;</w:t>
      </w:r>
      <w:hyperlink r:id="rId23" w:history="1">
        <w:r>
          <w:rPr>
            <w:rStyle w:val="Hyperlink"/>
            <w:color w:val="000000" w:themeColor="text1"/>
            <w:sz w:val="20"/>
            <w:szCs w:val="20"/>
          </w:rPr>
          <w:t>https://doi.org/10.1093/acprof:oso/9780199264186.001.0001</w:t>
        </w:r>
      </w:hyperlink>
      <w:r>
        <w:rPr>
          <w:color w:val="000000" w:themeColor="text1"/>
          <w:sz w:val="20"/>
          <w:szCs w:val="20"/>
        </w:rPr>
        <w:t>&gt; accessed 9 February 2026.</w:t>
      </w:r>
    </w:p>
    <w:p w14:paraId="76C89A85" w14:textId="77777777" w:rsidR="009A4A6F" w:rsidRDefault="009A4A6F" w:rsidP="00C26010">
      <w:pPr>
        <w:pStyle w:val="FootnoteText"/>
        <w:ind w:left="0" w:firstLine="0"/>
        <w:rPr>
          <w:rFonts w:ascii="Times New Roman" w:hAnsi="Times New Roman" w:cs="Times New Roman"/>
        </w:rPr>
      </w:pPr>
    </w:p>
  </w:footnote>
  <w:footnote w:id="113">
    <w:p w14:paraId="08DCC639" w14:textId="77777777" w:rsidR="009A4A6F" w:rsidRDefault="009A4A6F" w:rsidP="009A4A6F">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Ibid.</w:t>
      </w:r>
    </w:p>
  </w:footnote>
  <w:footnote w:id="114">
    <w:p w14:paraId="18AD2D62" w14:textId="77777777" w:rsidR="009A4A6F" w:rsidRDefault="009A4A6F" w:rsidP="009A4A6F">
      <w:pPr>
        <w:pStyle w:val="font-claude-response-body"/>
        <w:rPr>
          <w:color w:val="000000" w:themeColor="text1"/>
          <w:sz w:val="20"/>
          <w:szCs w:val="20"/>
        </w:rPr>
      </w:pPr>
      <w:r>
        <w:rPr>
          <w:rStyle w:val="FootnoteReference"/>
          <w:rFonts w:eastAsia="Arial"/>
          <w:color w:val="000000" w:themeColor="text1"/>
          <w:sz w:val="20"/>
          <w:szCs w:val="20"/>
        </w:rPr>
        <w:footnoteRef/>
      </w:r>
      <w:r>
        <w:rPr>
          <w:color w:val="000000" w:themeColor="text1"/>
          <w:sz w:val="20"/>
          <w:szCs w:val="20"/>
        </w:rPr>
        <w:t xml:space="preserve"> Newdick, C., </w:t>
      </w:r>
      <w:r>
        <w:rPr>
          <w:i/>
          <w:color w:val="000000" w:themeColor="text1"/>
          <w:sz w:val="20"/>
          <w:szCs w:val="20"/>
        </w:rPr>
        <w:t>`</w:t>
      </w:r>
      <w:r>
        <w:rPr>
          <w:rStyle w:val="Emphasis"/>
          <w:i w:val="0"/>
          <w:color w:val="000000" w:themeColor="text1"/>
          <w:sz w:val="20"/>
          <w:szCs w:val="20"/>
        </w:rPr>
        <w:t>Who should we treat? Rights, rationing, and resources in the NHS`.</w:t>
      </w:r>
      <w:r>
        <w:rPr>
          <w:color w:val="000000" w:themeColor="text1"/>
          <w:sz w:val="20"/>
          <w:szCs w:val="20"/>
        </w:rPr>
        <w:t xml:space="preserve"> (2nd ed.). Oxford University Press. &lt;</w:t>
      </w:r>
      <w:hyperlink r:id="rId24" w:history="1">
        <w:r>
          <w:rPr>
            <w:rStyle w:val="Hyperlink"/>
            <w:color w:val="000000" w:themeColor="text1"/>
            <w:sz w:val="20"/>
            <w:szCs w:val="20"/>
          </w:rPr>
          <w:t>https://doi.org/10.1093/acprof:oso/9780199264186.001.0001</w:t>
        </w:r>
      </w:hyperlink>
      <w:r>
        <w:rPr>
          <w:color w:val="000000" w:themeColor="text1"/>
          <w:sz w:val="20"/>
          <w:szCs w:val="20"/>
        </w:rPr>
        <w:t>&gt; accessed 9 February 2026.</w:t>
      </w:r>
    </w:p>
  </w:footnote>
  <w:footnote w:id="115">
    <w:p w14:paraId="46B2D6AD"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116">
    <w:p w14:paraId="55E28F07"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Donabedian, A., `The quality of care: How can it be assessed?` .</w:t>
      </w:r>
      <w:r>
        <w:rPr>
          <w:rStyle w:val="Emphasis"/>
          <w:rFonts w:ascii="Times New Roman" w:hAnsi="Times New Roman" w:cs="Times New Roman"/>
          <w:color w:val="000000" w:themeColor="text1"/>
        </w:rPr>
        <w:t xml:space="preserve"> The Journal of the American Medical Association</w:t>
      </w:r>
      <w:r>
        <w:rPr>
          <w:rFonts w:ascii="Times New Roman" w:hAnsi="Times New Roman" w:cs="Times New Roman"/>
          <w:color w:val="000000" w:themeColor="text1"/>
        </w:rPr>
        <w:t>. [1998] (</w:t>
      </w:r>
      <w:r>
        <w:rPr>
          <w:rStyle w:val="Emphasis"/>
          <w:rFonts w:ascii="Times New Roman" w:hAnsi="Times New Roman" w:cs="Times New Roman"/>
          <w:i w:val="0"/>
          <w:color w:val="000000" w:themeColor="text1"/>
        </w:rPr>
        <w:t>260)</w:t>
      </w:r>
      <w:r>
        <w:rPr>
          <w:rFonts w:ascii="Times New Roman" w:hAnsi="Times New Roman" w:cs="Times New Roman"/>
          <w:color w:val="000000" w:themeColor="text1"/>
        </w:rPr>
        <w:t>(12) 1743–1748 &lt;</w:t>
      </w:r>
      <w:hyperlink r:id="rId25" w:history="1">
        <w:r>
          <w:rPr>
            <w:rStyle w:val="Hyperlink"/>
            <w:rFonts w:ascii="Times New Roman" w:hAnsi="Times New Roman" w:cs="Times New Roman"/>
            <w:color w:val="000000" w:themeColor="text1"/>
          </w:rPr>
          <w:t>https://doi.org/10.1001/jama.1988.03410120089033</w:t>
        </w:r>
      </w:hyperlink>
      <w:r>
        <w:rPr>
          <w:rFonts w:ascii="Times New Roman" w:hAnsi="Times New Roman" w:cs="Times New Roman"/>
          <w:color w:val="000000" w:themeColor="text1"/>
        </w:rPr>
        <w:t xml:space="preserve">&gt; accessed 4 March 2026. </w:t>
      </w:r>
    </w:p>
  </w:footnote>
  <w:footnote w:id="117">
    <w:p w14:paraId="6F95D3C3"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World Health Organization. </w:t>
      </w:r>
      <w:r>
        <w:rPr>
          <w:rStyle w:val="Emphasis"/>
          <w:rFonts w:ascii="Times New Roman" w:hAnsi="Times New Roman" w:cs="Times New Roman"/>
          <w:i w:val="0"/>
          <w:color w:val="000000" w:themeColor="text1"/>
        </w:rPr>
        <w:t>Quality of care: `A process for making strategic choices in health systems</w:t>
      </w:r>
      <w:r>
        <w:rPr>
          <w:rFonts w:ascii="Times New Roman" w:hAnsi="Times New Roman" w:cs="Times New Roman"/>
          <w:i/>
          <w:color w:val="000000" w:themeColor="text1"/>
        </w:rPr>
        <w:t>.</w:t>
      </w:r>
      <w:r>
        <w:rPr>
          <w:rFonts w:ascii="Times New Roman" w:hAnsi="Times New Roman" w:cs="Times New Roman"/>
          <w:color w:val="000000" w:themeColor="text1"/>
        </w:rPr>
        <w:t>` WHO Press. &lt;</w:t>
      </w:r>
      <w:hyperlink r:id="rId26" w:history="1">
        <w:r>
          <w:rPr>
            <w:rStyle w:val="Hyperlink"/>
            <w:rFonts w:ascii="Times New Roman" w:hAnsi="Times New Roman" w:cs="Times New Roman"/>
            <w:color w:val="000000" w:themeColor="text1"/>
          </w:rPr>
          <w:t>https://iris.who.int/handle/10665/43470</w:t>
        </w:r>
      </w:hyperlink>
      <w:r>
        <w:rPr>
          <w:rFonts w:ascii="Times New Roman" w:hAnsi="Times New Roman" w:cs="Times New Roman"/>
          <w:color w:val="000000" w:themeColor="text1"/>
        </w:rPr>
        <w:t xml:space="preserve">&gt; accessed 2 April 2026. </w:t>
      </w:r>
    </w:p>
  </w:footnote>
  <w:footnote w:id="118">
    <w:p w14:paraId="61E9BFF9"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Brazier, M., &amp; Cave, E., `</w:t>
      </w:r>
      <w:r>
        <w:rPr>
          <w:rStyle w:val="Emphasis"/>
          <w:rFonts w:ascii="Times New Roman" w:hAnsi="Times New Roman" w:cs="Times New Roman"/>
          <w:i w:val="0"/>
          <w:color w:val="000000" w:themeColor="text1"/>
        </w:rPr>
        <w:t>Medicine, patients and the law`</w:t>
      </w:r>
      <w:r>
        <w:rPr>
          <w:rFonts w:ascii="Times New Roman" w:hAnsi="Times New Roman" w:cs="Times New Roman"/>
          <w:color w:val="000000" w:themeColor="text1"/>
        </w:rPr>
        <w:t xml:space="preserve">(6th ed.). Manchester University Press.&lt; </w:t>
      </w:r>
      <w:hyperlink r:id="rId27" w:history="1">
        <w:r>
          <w:rPr>
            <w:rStyle w:val="Hyperlink"/>
            <w:rFonts w:ascii="Times New Roman" w:hAnsi="Times New Roman" w:cs="Times New Roman"/>
            <w:color w:val="000000" w:themeColor="text1"/>
          </w:rPr>
          <w:t>https://www.abebooks.co.uk/9781784991364/Medicine-patients-law-Contemporary-Issues-1784991368/plp</w:t>
        </w:r>
      </w:hyperlink>
      <w:r>
        <w:rPr>
          <w:rFonts w:ascii="Times New Roman" w:hAnsi="Times New Roman" w:cs="Times New Roman"/>
          <w:color w:val="000000" w:themeColor="text1"/>
        </w:rPr>
        <w:t xml:space="preserve">&gt; accessed 12 February 2024. </w:t>
      </w:r>
    </w:p>
  </w:footnote>
  <w:footnote w:id="119">
    <w:p w14:paraId="5F768F18"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120">
    <w:p w14:paraId="625C6B2D" w14:textId="77777777" w:rsidR="009A4A6F" w:rsidRDefault="009A4A6F" w:rsidP="009A4A6F">
      <w:pPr>
        <w:pStyle w:val="FootnoteText"/>
        <w:rPr>
          <w:rFonts w:ascii="Times New Roman" w:hAnsi="Times New Roman" w:cs="Times New Roman"/>
          <w:color w:val="000000" w:themeColor="text1"/>
          <w:lang w:val="en-GB"/>
        </w:rPr>
      </w:pPr>
      <w:r>
        <w:rPr>
          <w:rStyle w:val="FootnoteReference"/>
          <w:color w:val="000000" w:themeColor="text1"/>
        </w:rPr>
        <w:footnoteRef/>
      </w:r>
      <w:r>
        <w:rPr>
          <w:rFonts w:ascii="Times New Roman" w:hAnsi="Times New Roman" w:cs="Times New Roman"/>
          <w:color w:val="000000" w:themeColor="text1"/>
        </w:rPr>
        <w:t xml:space="preserve"> [1957] 1 WLR 582.</w:t>
      </w:r>
    </w:p>
  </w:footnote>
  <w:footnote w:id="121">
    <w:p w14:paraId="0E8886ED"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Herring, J., </w:t>
      </w:r>
      <w:r>
        <w:rPr>
          <w:rFonts w:ascii="Times New Roman" w:hAnsi="Times New Roman" w:cs="Times New Roman"/>
          <w:i/>
          <w:color w:val="000000" w:themeColor="text1"/>
        </w:rPr>
        <w:t>`</w:t>
      </w:r>
      <w:r>
        <w:rPr>
          <w:rStyle w:val="Emphasis"/>
          <w:rFonts w:ascii="Times New Roman" w:hAnsi="Times New Roman" w:cs="Times New Roman"/>
          <w:i w:val="0"/>
          <w:color w:val="000000" w:themeColor="text1"/>
        </w:rPr>
        <w:t>Medical law and ethics</w:t>
      </w:r>
      <w:r>
        <w:rPr>
          <w:rFonts w:ascii="Times New Roman" w:hAnsi="Times New Roman" w:cs="Times New Roman"/>
          <w:color w:val="000000" w:themeColor="text1"/>
        </w:rPr>
        <w:t xml:space="preserve">.` (8th ed.). Oxford University Press. &lt;https://www.amazon.com/Medical-Law-Ethics-Jonathan-Herring/dp/0198846959&gt; accessed 23 June 2024. </w:t>
      </w:r>
    </w:p>
  </w:footnote>
  <w:footnote w:id="122">
    <w:p w14:paraId="26ACE2F4"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Schneider, C. E., `</w:t>
      </w:r>
      <w:r>
        <w:rPr>
          <w:rStyle w:val="Emphasis"/>
          <w:rFonts w:ascii="Times New Roman" w:hAnsi="Times New Roman" w:cs="Times New Roman"/>
          <w:i w:val="0"/>
          <w:color w:val="000000" w:themeColor="text1"/>
        </w:rPr>
        <w:t>The practice of autonomy: Patients, doctors, and medical decisions</w:t>
      </w:r>
      <w:r>
        <w:rPr>
          <w:rFonts w:ascii="Times New Roman" w:hAnsi="Times New Roman" w:cs="Times New Roman"/>
          <w:i/>
          <w:color w:val="000000" w:themeColor="text1"/>
        </w:rPr>
        <w:t>.`</w:t>
      </w:r>
      <w:r>
        <w:rPr>
          <w:rFonts w:ascii="Times New Roman" w:hAnsi="Times New Roman" w:cs="Times New Roman"/>
          <w:color w:val="000000" w:themeColor="text1"/>
        </w:rPr>
        <w:t xml:space="preserve"> Oxford University Press. &lt;https://academic.oup.com/book/54495&gt; accessed 8 May 2023. </w:t>
      </w:r>
    </w:p>
  </w:footnote>
  <w:footnote w:id="123">
    <w:p w14:paraId="518B6E9A"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Oleribe.O., Ezieme.I. P., Oladipo.O., and others, `Industrial action by healthcare workers in Nigeria in 2013–2015: An inquiry into causes, consequences and control. `. </w:t>
      </w:r>
      <w:r>
        <w:rPr>
          <w:rStyle w:val="Emphasis"/>
          <w:rFonts w:ascii="Times New Roman" w:hAnsi="Times New Roman" w:cs="Times New Roman"/>
          <w:color w:val="000000" w:themeColor="text1"/>
        </w:rPr>
        <w:t>Human Resources for Health</w:t>
      </w:r>
      <w:r>
        <w:rPr>
          <w:rFonts w:ascii="Times New Roman" w:hAnsi="Times New Roman" w:cs="Times New Roman"/>
          <w:color w:val="000000" w:themeColor="text1"/>
        </w:rPr>
        <w:t xml:space="preserve"> [2016] (</w:t>
      </w:r>
      <w:r>
        <w:rPr>
          <w:rStyle w:val="Emphasis"/>
          <w:rFonts w:ascii="Times New Roman" w:hAnsi="Times New Roman" w:cs="Times New Roman"/>
          <w:i w:val="0"/>
          <w:color w:val="000000" w:themeColor="text1"/>
        </w:rPr>
        <w:t>14)</w:t>
      </w:r>
      <w:r>
        <w:rPr>
          <w:rFonts w:ascii="Times New Roman" w:hAnsi="Times New Roman" w:cs="Times New Roman"/>
          <w:color w:val="000000" w:themeColor="text1"/>
        </w:rPr>
        <w:t>(1) 46. &lt;</w:t>
      </w:r>
      <w:hyperlink r:id="rId28" w:history="1">
        <w:r>
          <w:rPr>
            <w:rStyle w:val="Hyperlink"/>
            <w:rFonts w:ascii="Times New Roman" w:hAnsi="Times New Roman" w:cs="Times New Roman"/>
            <w:color w:val="000000" w:themeColor="text1"/>
          </w:rPr>
          <w:t>https://doi.org/10.1186/s12960-016-0142-5</w:t>
        </w:r>
      </w:hyperlink>
      <w:r>
        <w:rPr>
          <w:rFonts w:ascii="Times New Roman" w:hAnsi="Times New Roman" w:cs="Times New Roman"/>
          <w:color w:val="000000" w:themeColor="text1"/>
        </w:rPr>
        <w:t>&gt; accessed 5 January 2025.</w:t>
      </w:r>
    </w:p>
  </w:footnote>
  <w:footnote w:id="124">
    <w:p w14:paraId="6D1EDA1E"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w:t>
      </w:r>
      <w:r>
        <w:rPr>
          <w:rFonts w:ascii="Times New Roman" w:eastAsia="Times New Roman" w:hAnsi="Times New Roman" w:cs="Times New Roman"/>
          <w:color w:val="000000" w:themeColor="text1"/>
          <w:lang w:eastAsia="en-GB"/>
        </w:rPr>
        <w:t>Beauchamp T.L and Childress J.E., `Principles of Biomedical Ethics`. [2009] 115-127 &lt;</w:t>
      </w:r>
      <w:r>
        <w:rPr>
          <w:rFonts w:ascii="Times New Roman" w:hAnsi="Times New Roman" w:cs="Times New Roman"/>
          <w:color w:val="000000" w:themeColor="text1"/>
        </w:rPr>
        <w:t xml:space="preserve"> </w:t>
      </w:r>
      <w:hyperlink r:id="rId29" w:history="1">
        <w:r>
          <w:rPr>
            <w:rStyle w:val="Hyperlink"/>
            <w:rFonts w:ascii="Times New Roman" w:eastAsia="Times New Roman" w:hAnsi="Times New Roman" w:cs="Times New Roman"/>
            <w:color w:val="000000" w:themeColor="text1"/>
            <w:lang w:eastAsia="en-GB"/>
          </w:rPr>
          <w:t>https://www.researchgate.net/publication/394157036_Beauchamp_and_Childress_Principles_of_Biomedical_Ethics</w:t>
        </w:r>
      </w:hyperlink>
      <w:r>
        <w:rPr>
          <w:rFonts w:ascii="Times New Roman" w:eastAsia="Times New Roman" w:hAnsi="Times New Roman" w:cs="Times New Roman"/>
          <w:color w:val="000000" w:themeColor="text1"/>
          <w:lang w:eastAsia="en-GB"/>
        </w:rPr>
        <w:t>&gt; accessed 20 March 2026.</w:t>
      </w:r>
    </w:p>
    <w:p w14:paraId="53A29860" w14:textId="77777777" w:rsidR="009A4A6F" w:rsidRDefault="009A4A6F" w:rsidP="009A4A6F">
      <w:pPr>
        <w:pStyle w:val="FootnoteText"/>
        <w:rPr>
          <w:rFonts w:ascii="Times New Roman" w:hAnsi="Times New Roman" w:cs="Times New Roman"/>
          <w:color w:val="000000" w:themeColor="text1"/>
        </w:rPr>
      </w:pPr>
    </w:p>
  </w:footnote>
  <w:footnote w:id="125">
    <w:p w14:paraId="1FBC6EDF" w14:textId="77777777" w:rsidR="009A4A6F" w:rsidRDefault="009A4A6F" w:rsidP="009A4A6F">
      <w:pPr>
        <w:pStyle w:val="FootnoteText"/>
        <w:rPr>
          <w:rFonts w:ascii="Times New Roman" w:hAnsi="Times New Roman" w:cs="Times New Roman"/>
          <w:color w:val="000000" w:themeColor="text1"/>
          <w:lang w:val="en-GB"/>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126">
    <w:p w14:paraId="1AF62C3E"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UN General Assembly, </w:t>
      </w:r>
      <w:r>
        <w:rPr>
          <w:rStyle w:val="Emphasis"/>
          <w:rFonts w:ascii="Times New Roman" w:hAnsi="Times New Roman" w:cs="Times New Roman"/>
          <w:color w:val="000000" w:themeColor="text1"/>
        </w:rPr>
        <w:t>Universal Declaration of Human Rights</w:t>
      </w:r>
      <w:r>
        <w:rPr>
          <w:rFonts w:ascii="Times New Roman" w:hAnsi="Times New Roman" w:cs="Times New Roman"/>
          <w:color w:val="000000" w:themeColor="text1"/>
        </w:rPr>
        <w:t>, Resolution 217 A, 10 December 1948.</w:t>
      </w:r>
    </w:p>
  </w:footnote>
  <w:footnote w:id="127">
    <w:p w14:paraId="710C0815"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UN General Assembly, </w:t>
      </w:r>
      <w:r>
        <w:rPr>
          <w:rStyle w:val="Emphasis"/>
          <w:rFonts w:ascii="Times New Roman" w:hAnsi="Times New Roman" w:cs="Times New Roman"/>
          <w:color w:val="000000" w:themeColor="text1"/>
        </w:rPr>
        <w:t>International Covenant on Civil and Political Rights</w:t>
      </w:r>
      <w:r>
        <w:rPr>
          <w:rFonts w:ascii="Times New Roman" w:hAnsi="Times New Roman" w:cs="Times New Roman"/>
          <w:color w:val="000000" w:themeColor="text1"/>
        </w:rPr>
        <w:t xml:space="preserve"> (ICCPR), Resolution 2200A (XXI), 16 December 1966.</w:t>
      </w:r>
    </w:p>
  </w:footnote>
  <w:footnote w:id="128">
    <w:p w14:paraId="759F0B5B"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World Medical Association, </w:t>
      </w:r>
      <w:r>
        <w:rPr>
          <w:rStyle w:val="Emphasis"/>
          <w:rFonts w:ascii="Times New Roman" w:hAnsi="Times New Roman" w:cs="Times New Roman"/>
          <w:color w:val="000000" w:themeColor="text1"/>
        </w:rPr>
        <w:t>Declaration of Lisbon on the Rights of the Patient</w:t>
      </w:r>
      <w:r>
        <w:rPr>
          <w:rFonts w:ascii="Times New Roman" w:hAnsi="Times New Roman" w:cs="Times New Roman"/>
          <w:color w:val="000000" w:themeColor="text1"/>
        </w:rPr>
        <w:t xml:space="preserve"> (adopted 1981, amended 1995, revised 2005).</w:t>
      </w:r>
    </w:p>
  </w:footnote>
  <w:footnote w:id="129">
    <w:p w14:paraId="71839A77" w14:textId="77777777" w:rsidR="009A4A6F" w:rsidRDefault="009A4A6F" w:rsidP="009A4A6F">
      <w:pPr>
        <w:pStyle w:val="FootnoteText"/>
        <w:rPr>
          <w:rFonts w:ascii="Times New Roman" w:hAnsi="Times New Roman" w:cs="Times New Roman"/>
          <w:color w:val="000000" w:themeColor="text1"/>
          <w:lang w:val="en-GB"/>
        </w:rPr>
      </w:pPr>
      <w:r>
        <w:rPr>
          <w:rStyle w:val="FootnoteReference"/>
          <w:color w:val="000000" w:themeColor="text1"/>
        </w:rPr>
        <w:footnoteRef/>
      </w:r>
      <w:r>
        <w:rPr>
          <w:rFonts w:ascii="Times New Roman" w:hAnsi="Times New Roman" w:cs="Times New Roman"/>
          <w:color w:val="000000" w:themeColor="text1"/>
        </w:rPr>
        <w:t xml:space="preserve"> World Health Organization, </w:t>
      </w:r>
      <w:r>
        <w:rPr>
          <w:rStyle w:val="Emphasis"/>
          <w:rFonts w:ascii="Times New Roman" w:hAnsi="Times New Roman" w:cs="Times New Roman"/>
          <w:color w:val="000000" w:themeColor="text1"/>
        </w:rPr>
        <w:t>Declaration on the Promotion of Patients' Rights in Europe</w:t>
      </w:r>
      <w:r>
        <w:rPr>
          <w:rFonts w:ascii="Times New Roman" w:hAnsi="Times New Roman" w:cs="Times New Roman"/>
          <w:color w:val="000000" w:themeColor="text1"/>
        </w:rPr>
        <w:t xml:space="preserve"> (WHO Regional Office for Europe 1994).</w:t>
      </w:r>
    </w:p>
  </w:footnote>
  <w:footnote w:id="130">
    <w:p w14:paraId="60C9C389"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World Health Organization, </w:t>
      </w:r>
      <w:r>
        <w:rPr>
          <w:rStyle w:val="Emphasis"/>
          <w:rFonts w:ascii="Times New Roman" w:hAnsi="Times New Roman" w:cs="Times New Roman"/>
          <w:color w:val="000000" w:themeColor="text1"/>
        </w:rPr>
        <w:t>Patient Safety Rights Charter</w:t>
      </w:r>
      <w:r>
        <w:rPr>
          <w:rFonts w:ascii="Times New Roman" w:hAnsi="Times New Roman" w:cs="Times New Roman"/>
          <w:color w:val="000000" w:themeColor="text1"/>
        </w:rPr>
        <w:t xml:space="preserve"> (WHO 2024).</w:t>
      </w:r>
    </w:p>
  </w:footnote>
  <w:footnote w:id="131">
    <w:p w14:paraId="375F45CC" w14:textId="77777777" w:rsidR="009A4A6F" w:rsidRDefault="009A4A6F" w:rsidP="009A4A6F">
      <w:pPr>
        <w:pStyle w:val="FootnoteText"/>
        <w:rPr>
          <w:rFonts w:ascii="Times New Roman" w:hAnsi="Times New Roman" w:cs="Times New Roman"/>
          <w:color w:val="000000" w:themeColor="text1"/>
          <w:lang w:val="en-GB"/>
        </w:rPr>
      </w:pPr>
      <w:r>
        <w:rPr>
          <w:rStyle w:val="FootnoteReference"/>
          <w:color w:val="000000" w:themeColor="text1"/>
        </w:rPr>
        <w:footnoteRef/>
      </w:r>
      <w:r>
        <w:rPr>
          <w:rFonts w:ascii="Times New Roman" w:hAnsi="Times New Roman" w:cs="Times New Roman"/>
          <w:color w:val="000000" w:themeColor="text1"/>
        </w:rPr>
        <w:t xml:space="preserve"> </w:t>
      </w:r>
      <w:r>
        <w:rPr>
          <w:rFonts w:ascii="Times New Roman" w:hAnsi="Times New Roman" w:cs="Times New Roman"/>
          <w:color w:val="000000" w:themeColor="text1"/>
          <w:shd w:val="clear" w:color="auto" w:fill="FFFFFF"/>
        </w:rPr>
        <w:t>(2014).</w:t>
      </w:r>
    </w:p>
  </w:footnote>
  <w:footnote w:id="132">
    <w:p w14:paraId="5D057395"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w:t>
      </w:r>
      <w:r>
        <w:rPr>
          <w:rFonts w:ascii="Times New Roman" w:hAnsi="Times New Roman" w:cs="Times New Roman"/>
          <w:color w:val="000000" w:themeColor="text1"/>
          <w:shd w:val="clear" w:color="auto" w:fill="FFFFFF"/>
        </w:rPr>
        <w:t>Section 17(3)(d) of the 1999 Constitution.</w:t>
      </w:r>
    </w:p>
  </w:footnote>
  <w:footnote w:id="133">
    <w:p w14:paraId="352FF81E"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1999 CFRN (as amended).</w:t>
      </w:r>
    </w:p>
  </w:footnote>
  <w:footnote w:id="134">
    <w:p w14:paraId="0C4E5A56"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1999 CFRN (as amended).</w:t>
      </w:r>
    </w:p>
  </w:footnote>
  <w:footnote w:id="135">
    <w:p w14:paraId="34EC5B00" w14:textId="77777777" w:rsidR="009A4A6F" w:rsidRDefault="009A4A6F" w:rsidP="009A4A6F">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w:t>
      </w:r>
      <w:r>
        <w:rPr>
          <w:rFonts w:ascii="Times New Roman" w:hAnsi="Times New Roman" w:cs="Times New Roman"/>
          <w:color w:val="0F141A"/>
          <w:shd w:val="clear" w:color="auto" w:fill="FFFFFF"/>
        </w:rPr>
        <w:t>WMA Declaration of Lisbon.</w:t>
      </w:r>
    </w:p>
  </w:footnote>
  <w:footnote w:id="136">
    <w:p w14:paraId="6A6BECF5"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w:t>
      </w:r>
      <w:r>
        <w:rPr>
          <w:rFonts w:ascii="Times New Roman" w:hAnsi="Times New Roman" w:cs="Times New Roman"/>
          <w:color w:val="000000" w:themeColor="text1"/>
          <w:shd w:val="clear" w:color="auto" w:fill="FFFFFF"/>
        </w:rPr>
        <w:t xml:space="preserve">(2005). </w:t>
      </w:r>
    </w:p>
  </w:footnote>
  <w:footnote w:id="137">
    <w:p w14:paraId="496E6AAA"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w:t>
      </w:r>
      <w:r>
        <w:rPr>
          <w:rFonts w:ascii="Times New Roman" w:hAnsi="Times New Roman" w:cs="Times New Roman"/>
          <w:color w:val="000000" w:themeColor="text1"/>
          <w:shd w:val="clear" w:color="auto" w:fill="FFFFFF"/>
        </w:rPr>
        <w:t>(2002).</w:t>
      </w:r>
    </w:p>
  </w:footnote>
  <w:footnote w:id="138">
    <w:p w14:paraId="2BFED8AC"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w:t>
      </w:r>
      <w:r>
        <w:rPr>
          <w:rFonts w:ascii="Times New Roman" w:hAnsi="Times New Roman" w:cs="Times New Roman"/>
          <w:color w:val="000000" w:themeColor="text1"/>
          <w:shd w:val="clear" w:color="auto" w:fill="FFFFFF"/>
        </w:rPr>
        <w:t>(2024).</w:t>
      </w:r>
    </w:p>
  </w:footnote>
  <w:footnote w:id="139">
    <w:p w14:paraId="6ACAFAF3" w14:textId="77777777" w:rsidR="009A4A6F" w:rsidRDefault="009A4A6F" w:rsidP="009A4A6F">
      <w:pPr>
        <w:pStyle w:val="FootnoteText"/>
        <w:rPr>
          <w:rFonts w:ascii="Times New Roman" w:hAnsi="Times New Roman" w:cs="Times New Roman"/>
          <w:color w:val="000000" w:themeColor="text1"/>
          <w:lang w:val="en-GB"/>
        </w:rPr>
      </w:pPr>
      <w:r>
        <w:rPr>
          <w:rStyle w:val="FootnoteReference"/>
          <w:color w:val="000000" w:themeColor="text1"/>
        </w:rPr>
        <w:footnoteRef/>
      </w:r>
      <w:r>
        <w:rPr>
          <w:rFonts w:ascii="Times New Roman" w:hAnsi="Times New Roman" w:cs="Times New Roman"/>
          <w:color w:val="000000" w:themeColor="text1"/>
        </w:rPr>
        <w:t xml:space="preserve"> Section 17(3) of CFRN 1999.</w:t>
      </w:r>
    </w:p>
  </w:footnote>
  <w:footnote w:id="140">
    <w:p w14:paraId="080A2C86"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Section 6(6) of CFRN 1999.</w:t>
      </w:r>
    </w:p>
  </w:footnote>
  <w:footnote w:id="141">
    <w:p w14:paraId="095AC80E"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Section 4(2) of CFRN 1999.</w:t>
      </w:r>
    </w:p>
  </w:footnote>
  <w:footnote w:id="142">
    <w:p w14:paraId="7AB97D7A"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CFRN 1999, Second Schedule, Legislative Powers, Exclusive Legislative list, Part.1.</w:t>
      </w:r>
    </w:p>
  </w:footnote>
  <w:footnote w:id="143">
    <w:p w14:paraId="390F9A98" w14:textId="77777777" w:rsidR="009A4A6F" w:rsidRDefault="009A4A6F" w:rsidP="009A4A6F">
      <w:pPr>
        <w:pStyle w:val="FootnoteText"/>
        <w:rPr>
          <w:rFonts w:ascii="Times New Roman" w:hAnsi="Times New Roman" w:cs="Times New Roman"/>
          <w:color w:val="000000" w:themeColor="text1"/>
        </w:rPr>
      </w:pPr>
      <w:r>
        <w:rPr>
          <w:rStyle w:val="FootnoteReference"/>
        </w:rPr>
        <w:footnoteRef/>
      </w:r>
      <w:r>
        <w:rPr>
          <w:rFonts w:ascii="Times New Roman" w:hAnsi="Times New Roman" w:cs="Times New Roman"/>
        </w:rPr>
        <w:t xml:space="preserve"> </w:t>
      </w:r>
      <w:r>
        <w:rPr>
          <w:rFonts w:ascii="Times New Roman" w:hAnsi="Times New Roman" w:cs="Times New Roman"/>
          <w:color w:val="000000" w:themeColor="text1"/>
        </w:rPr>
        <w:t xml:space="preserve">Enabulele, Osahon, and Joan, Emien Enabulele. “Nigeria's National Health Act: An assessment of health professionals' knowledge and perception.” </w:t>
      </w:r>
      <w:r>
        <w:rPr>
          <w:rFonts w:ascii="Times New Roman" w:hAnsi="Times New Roman" w:cs="Times New Roman"/>
          <w:i/>
          <w:color w:val="000000" w:themeColor="text1"/>
        </w:rPr>
        <w:t>Nigerian Medical Journal: Journal of the Nigeria Medical Association</w:t>
      </w:r>
      <w:r>
        <w:rPr>
          <w:rFonts w:ascii="Times New Roman" w:hAnsi="Times New Roman" w:cs="Times New Roman"/>
          <w:color w:val="000000" w:themeColor="text1"/>
        </w:rPr>
        <w:t xml:space="preserve">. [2016] (57)(5) 260-265. &lt;  </w:t>
      </w:r>
      <w:hyperlink r:id="rId30" w:history="1">
        <w:r>
          <w:rPr>
            <w:rStyle w:val="Hyperlink"/>
            <w:rFonts w:ascii="Times New Roman" w:hAnsi="Times New Roman" w:cs="Times New Roman"/>
            <w:color w:val="000000" w:themeColor="text1"/>
          </w:rPr>
          <w:t>https://www.researchgate.net/publication/308130354_Nigeria's_National_Health_Act_An_assessment_of_health_professionals'_knowledge_and_perception</w:t>
        </w:r>
      </w:hyperlink>
      <w:r>
        <w:rPr>
          <w:rFonts w:ascii="Times New Roman" w:hAnsi="Times New Roman" w:cs="Times New Roman"/>
          <w:color w:val="000000" w:themeColor="text1"/>
        </w:rPr>
        <w:t>&gt; accessed 4 January 2025.</w:t>
      </w:r>
    </w:p>
  </w:footnote>
  <w:footnote w:id="144">
    <w:p w14:paraId="26AA9B01"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145">
    <w:p w14:paraId="7A092A69" w14:textId="77777777" w:rsidR="009A4A6F" w:rsidRDefault="009A4A6F" w:rsidP="009A4A6F">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National Health Act 2014.</w:t>
      </w:r>
    </w:p>
  </w:footnote>
  <w:footnote w:id="146">
    <w:p w14:paraId="4CACEF10" w14:textId="77777777" w:rsidR="009A4A6F" w:rsidRDefault="009A4A6F" w:rsidP="009A4A6F">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Ibid.</w:t>
      </w:r>
    </w:p>
  </w:footnote>
  <w:footnote w:id="147">
    <w:p w14:paraId="215C0877" w14:textId="77777777" w:rsidR="009A4A6F" w:rsidRDefault="009A4A6F" w:rsidP="009A4A6F">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National Health Act, 2014.</w:t>
      </w:r>
    </w:p>
  </w:footnote>
  <w:footnote w:id="148">
    <w:p w14:paraId="62BD73ED"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National Health Act, 2014, Part V.</w:t>
      </w:r>
    </w:p>
  </w:footnote>
  <w:footnote w:id="149">
    <w:p w14:paraId="19153BDE" w14:textId="77777777" w:rsidR="009A4A6F" w:rsidRDefault="009A4A6F" w:rsidP="009A4A6F">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National Health Act 2014.</w:t>
      </w:r>
    </w:p>
  </w:footnote>
  <w:footnote w:id="150">
    <w:p w14:paraId="5EA67549"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National Health Act, 2014.</w:t>
      </w:r>
    </w:p>
  </w:footnote>
  <w:footnote w:id="151">
    <w:p w14:paraId="32EE4FDB"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National Health Act, 2014.</w:t>
      </w:r>
    </w:p>
  </w:footnote>
  <w:footnote w:id="152">
    <w:p w14:paraId="7B7A5255"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153">
    <w:p w14:paraId="1EB5758D" w14:textId="77777777" w:rsidR="009A4A6F" w:rsidRDefault="009A4A6F" w:rsidP="009A4A6F">
      <w:pPr>
        <w:pStyle w:val="FootnoteText"/>
        <w:rPr>
          <w:rFonts w:ascii="Times New Roman" w:hAnsi="Times New Roman" w:cs="Times New Roman"/>
          <w:color w:val="000000" w:themeColor="text1"/>
          <w:lang w:val="en-GB"/>
        </w:rPr>
      </w:pPr>
      <w:r>
        <w:rPr>
          <w:rStyle w:val="FootnoteReference"/>
          <w:color w:val="000000" w:themeColor="text1"/>
        </w:rPr>
        <w:footnoteRef/>
      </w:r>
      <w:r>
        <w:rPr>
          <w:rFonts w:ascii="Times New Roman" w:hAnsi="Times New Roman" w:cs="Times New Roman"/>
          <w:color w:val="000000" w:themeColor="text1"/>
        </w:rPr>
        <w:t xml:space="preserve"> National Health Act, 2014.</w:t>
      </w:r>
    </w:p>
  </w:footnote>
  <w:footnote w:id="154">
    <w:p w14:paraId="326B60A4"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155">
    <w:p w14:paraId="5C6732D1"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National Health Act, 2014.</w:t>
      </w:r>
    </w:p>
  </w:footnote>
  <w:footnote w:id="156">
    <w:p w14:paraId="7E156173" w14:textId="77777777" w:rsidR="009A4A6F" w:rsidRDefault="009A4A6F" w:rsidP="009A4A6F">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2014.</w:t>
      </w:r>
    </w:p>
  </w:footnote>
  <w:footnote w:id="157">
    <w:p w14:paraId="15487DB4" w14:textId="77777777" w:rsidR="009A4A6F" w:rsidRDefault="009A4A6F" w:rsidP="009A4A6F">
      <w:pPr>
        <w:pStyle w:val="FootnoteText"/>
        <w:rPr>
          <w:rFonts w:ascii="Times New Roman" w:hAnsi="Times New Roman" w:cs="Times New Roman"/>
          <w:color w:val="000000" w:themeColor="text1"/>
          <w:lang w:val="en-GB"/>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158">
    <w:p w14:paraId="190B1EDC"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(2011)</w:t>
      </w:r>
    </w:p>
  </w:footnote>
  <w:footnote w:id="159">
    <w:p w14:paraId="5AABA7CD"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160">
    <w:p w14:paraId="06514110"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Cap. C25, Laws of the Federation of Nigeria, 2004.</w:t>
      </w:r>
    </w:p>
  </w:footnote>
  <w:footnote w:id="161">
    <w:p w14:paraId="7639B144" w14:textId="77777777" w:rsidR="009A4A6F" w:rsidRDefault="009A4A6F" w:rsidP="009A4A6F">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Ibid.</w:t>
      </w:r>
    </w:p>
  </w:footnote>
  <w:footnote w:id="162">
    <w:p w14:paraId="1E526F39" w14:textId="77777777" w:rsidR="009A4A6F" w:rsidRDefault="009A4A6F" w:rsidP="009A4A6F">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Ibid.</w:t>
      </w:r>
    </w:p>
  </w:footnote>
  <w:footnote w:id="163">
    <w:p w14:paraId="5B819860" w14:textId="77777777" w:rsidR="009A4A6F" w:rsidRDefault="009A4A6F" w:rsidP="009A4A6F">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Ibid.</w:t>
      </w:r>
    </w:p>
  </w:footnote>
  <w:footnote w:id="164">
    <w:p w14:paraId="15BF7D55" w14:textId="77777777" w:rsidR="009A4A6F" w:rsidRDefault="009A4A6F" w:rsidP="009A4A6F">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Cap M8 LFN 2004.</w:t>
      </w:r>
    </w:p>
  </w:footnote>
  <w:footnote w:id="165">
    <w:p w14:paraId="6E37F347" w14:textId="77777777" w:rsidR="009A4A6F" w:rsidRDefault="009A4A6F" w:rsidP="009A4A6F">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Ibid.</w:t>
      </w:r>
    </w:p>
  </w:footnote>
  <w:footnote w:id="166">
    <w:p w14:paraId="737CDCFB" w14:textId="77777777" w:rsidR="009A4A6F" w:rsidRDefault="009A4A6F" w:rsidP="009A4A6F">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Ibid.</w:t>
      </w:r>
    </w:p>
  </w:footnote>
  <w:footnote w:id="167">
    <w:p w14:paraId="1836827F"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Section 8 of Medical and Dental Practitioners Act 2004.</w:t>
      </w:r>
    </w:p>
  </w:footnote>
  <w:footnote w:id="168">
    <w:p w14:paraId="7E38F89B"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Sections 1, 9, 10 of Medical and Dental Practitioners Act 2004. </w:t>
      </w:r>
    </w:p>
  </w:footnote>
  <w:footnote w:id="169">
    <w:p w14:paraId="6AA65488" w14:textId="77777777" w:rsidR="009A4A6F" w:rsidRDefault="009A4A6F" w:rsidP="009A4A6F">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w:t>
      </w:r>
      <w:r>
        <w:rPr>
          <w:rFonts w:ascii="Times New Roman" w:hAnsi="Times New Roman" w:cs="Times New Roman"/>
          <w:color w:val="000000" w:themeColor="text1"/>
        </w:rPr>
        <w:t>Medical and Dental Practitioners Act Cap M8 LFN 2004.</w:t>
      </w:r>
    </w:p>
  </w:footnote>
  <w:footnote w:id="170">
    <w:p w14:paraId="0A05D9EC"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Section 16 of Medical and Dental Practitioners Act 2004.</w:t>
      </w:r>
    </w:p>
  </w:footnote>
  <w:footnote w:id="171">
    <w:p w14:paraId="1D85F785" w14:textId="77777777" w:rsidR="009A4A6F" w:rsidRDefault="009A4A6F" w:rsidP="009A4A6F">
      <w:pPr>
        <w:pStyle w:val="FootnoteText"/>
        <w:rPr>
          <w:rFonts w:ascii="Times New Roman" w:hAnsi="Times New Roman" w:cs="Times New Roman"/>
          <w:lang w:val="en-GB"/>
        </w:rPr>
      </w:pPr>
      <w:r>
        <w:rPr>
          <w:rStyle w:val="FootnoteReference"/>
        </w:rPr>
        <w:footnoteRef/>
      </w:r>
      <w:r>
        <w:rPr>
          <w:rFonts w:ascii="Times New Roman" w:hAnsi="Times New Roman" w:cs="Times New Roman"/>
        </w:rPr>
        <w:t xml:space="preserve"> </w:t>
      </w:r>
      <w:r>
        <w:rPr>
          <w:rFonts w:ascii="Times New Roman" w:hAnsi="Times New Roman" w:cs="Times New Roman"/>
          <w:color w:val="000000" w:themeColor="text1"/>
        </w:rPr>
        <w:t>Medical and Dental Practitioners Act Cap M8 LFN 2004.</w:t>
      </w:r>
    </w:p>
  </w:footnote>
  <w:footnote w:id="172">
    <w:p w14:paraId="3775796A" w14:textId="77777777" w:rsidR="009A4A6F" w:rsidRDefault="009A4A6F" w:rsidP="009A4A6F">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2018.</w:t>
      </w:r>
    </w:p>
  </w:footnote>
  <w:footnote w:id="173">
    <w:p w14:paraId="30BFB804" w14:textId="77777777" w:rsidR="009A4A6F" w:rsidRDefault="009A4A6F" w:rsidP="009A4A6F">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2003.</w:t>
      </w:r>
    </w:p>
  </w:footnote>
  <w:footnote w:id="174">
    <w:p w14:paraId="4603497E" w14:textId="77777777" w:rsidR="009A4A6F" w:rsidRDefault="009A4A6F" w:rsidP="009A4A6F">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2011.</w:t>
      </w:r>
    </w:p>
  </w:footnote>
  <w:footnote w:id="175">
    <w:p w14:paraId="07275107" w14:textId="77777777" w:rsidR="009A4A6F" w:rsidRDefault="009A4A6F" w:rsidP="009A4A6F">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2014.</w:t>
      </w:r>
    </w:p>
  </w:footnote>
  <w:footnote w:id="176">
    <w:p w14:paraId="0A5C1C63" w14:textId="77777777" w:rsidR="009A4A6F" w:rsidRDefault="009A4A6F" w:rsidP="009A4A6F">
      <w:pPr>
        <w:pStyle w:val="FootnoteText"/>
        <w:rPr>
          <w:rFonts w:ascii="Times New Roman" w:hAnsi="Times New Roman" w:cs="Times New Roman"/>
          <w:color w:val="000000" w:themeColor="text1"/>
          <w:lang w:val="en-GB"/>
        </w:rPr>
      </w:pPr>
      <w:r>
        <w:rPr>
          <w:rStyle w:val="FootnoteReference"/>
          <w:color w:val="000000" w:themeColor="text1"/>
        </w:rPr>
        <w:footnoteRef/>
      </w:r>
      <w:r>
        <w:rPr>
          <w:rFonts w:ascii="Times New Roman" w:hAnsi="Times New Roman" w:cs="Times New Roman"/>
          <w:color w:val="000000" w:themeColor="text1"/>
        </w:rPr>
        <w:t xml:space="preserve"> Cap N42, LFN 2004.</w:t>
      </w:r>
    </w:p>
  </w:footnote>
  <w:footnote w:id="177">
    <w:p w14:paraId="0AB9C734" w14:textId="77777777" w:rsidR="009A4A6F" w:rsidRDefault="009A4A6F" w:rsidP="009A4A6F">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Ibid.</w:t>
      </w:r>
    </w:p>
  </w:footnote>
  <w:footnote w:id="178">
    <w:p w14:paraId="141BC313" w14:textId="77777777" w:rsidR="009A4A6F" w:rsidRDefault="009A4A6F" w:rsidP="009A4A6F">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Section 13 of NHIA Act. </w:t>
      </w:r>
    </w:p>
  </w:footnote>
  <w:footnote w:id="179">
    <w:p w14:paraId="081777B0" w14:textId="77777777" w:rsidR="009A4A6F" w:rsidRDefault="009A4A6F" w:rsidP="009A4A6F">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Section 14 of NHIA Act.</w:t>
      </w:r>
    </w:p>
  </w:footnote>
  <w:footnote w:id="180">
    <w:p w14:paraId="07574EDE" w14:textId="77777777" w:rsidR="009A4A6F" w:rsidRDefault="009A4A6F" w:rsidP="009A4A6F">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Section 13 of NHIA Act. </w:t>
      </w:r>
    </w:p>
  </w:footnote>
  <w:footnote w:id="181">
    <w:p w14:paraId="3B794968" w14:textId="77777777" w:rsidR="009A4A6F" w:rsidRDefault="009A4A6F" w:rsidP="009A4A6F">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Ibid.</w:t>
      </w:r>
    </w:p>
  </w:footnote>
  <w:footnote w:id="182">
    <w:p w14:paraId="3701DB72"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Okonofua .F., </w:t>
      </w:r>
      <w:r>
        <w:rPr>
          <w:rFonts w:ascii="Times New Roman" w:hAnsi="Times New Roman" w:cs="Times New Roman"/>
          <w:i/>
          <w:color w:val="000000" w:themeColor="text1"/>
        </w:rPr>
        <w:t>`</w:t>
      </w:r>
      <w:r>
        <w:rPr>
          <w:rStyle w:val="Emphasis"/>
          <w:rFonts w:ascii="Times New Roman" w:hAnsi="Times New Roman" w:cs="Times New Roman"/>
          <w:color w:val="000000" w:themeColor="text1"/>
        </w:rPr>
        <w:t>Medical negligence in Nigeria: What's known, and what needs to be done</w:t>
      </w:r>
      <w:r>
        <w:rPr>
          <w:rFonts w:ascii="Times New Roman" w:hAnsi="Times New Roman" w:cs="Times New Roman"/>
          <w:i/>
          <w:color w:val="000000" w:themeColor="text1"/>
        </w:rPr>
        <w:t>. `</w:t>
      </w:r>
      <w:r>
        <w:rPr>
          <w:rFonts w:ascii="Times New Roman" w:hAnsi="Times New Roman" w:cs="Times New Roman"/>
          <w:color w:val="000000" w:themeColor="text1"/>
        </w:rPr>
        <w:t xml:space="preserve"> &lt;</w:t>
      </w:r>
      <w:hyperlink r:id="rId31" w:history="1">
        <w:r>
          <w:rPr>
            <w:rStyle w:val="Hyperlink"/>
            <w:rFonts w:ascii="Times New Roman" w:hAnsi="Times New Roman" w:cs="Times New Roman"/>
            <w:color w:val="000000" w:themeColor="text1"/>
          </w:rPr>
          <w:t>https://theconversation.com/medical-negligence-in-nigeria-whats-known-and-what-needs-to-be-done-273592</w:t>
        </w:r>
      </w:hyperlink>
      <w:r>
        <w:rPr>
          <w:rFonts w:ascii="Times New Roman" w:hAnsi="Times New Roman" w:cs="Times New Roman"/>
          <w:color w:val="000000" w:themeColor="text1"/>
        </w:rPr>
        <w:t xml:space="preserve">&gt; 1 March 2026. </w:t>
      </w:r>
    </w:p>
  </w:footnote>
  <w:footnote w:id="183">
    <w:p w14:paraId="5D4C74E3"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184">
    <w:p w14:paraId="592D0573"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185">
    <w:p w14:paraId="2F36F694"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 </w:t>
      </w:r>
    </w:p>
  </w:footnote>
  <w:footnote w:id="186">
    <w:p w14:paraId="6A9E5186"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 </w:t>
      </w:r>
    </w:p>
  </w:footnote>
  <w:footnote w:id="187">
    <w:p w14:paraId="56AA5FA4"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w:t>
      </w:r>
      <w:r>
        <w:rPr>
          <w:rFonts w:ascii="Times New Roman" w:hAnsi="Times New Roman" w:cs="Times New Roman"/>
          <w:color w:val="000000" w:themeColor="text1"/>
          <w:shd w:val="clear" w:color="auto" w:fill="FFFFFF"/>
        </w:rPr>
        <w:t>(2019) LPELR 46961 (SC).</w:t>
      </w:r>
    </w:p>
  </w:footnote>
  <w:footnote w:id="188">
    <w:p w14:paraId="6123E7E0"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w:t>
      </w:r>
      <w:r>
        <w:rPr>
          <w:rFonts w:ascii="Times New Roman" w:hAnsi="Times New Roman" w:cs="Times New Roman"/>
          <w:i/>
          <w:color w:val="000000" w:themeColor="text1"/>
        </w:rPr>
        <w:t xml:space="preserve">Raimi Jenyo and F. A. Aderemi (Administrators of the Estate of Basiratu Raimi (Deceased)) v Akinsanmi Akinreti and Anor </w:t>
      </w:r>
      <w:r>
        <w:rPr>
          <w:rFonts w:ascii="Times New Roman" w:hAnsi="Times New Roman" w:cs="Times New Roman"/>
          <w:color w:val="000000" w:themeColor="text1"/>
        </w:rPr>
        <w:t>(1990) NWLR (Pt. 135) 663.</w:t>
      </w:r>
    </w:p>
  </w:footnote>
  <w:footnote w:id="189">
    <w:p w14:paraId="39835949"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Sections 303 and 305 of Criminal Code.</w:t>
      </w:r>
    </w:p>
  </w:footnote>
  <w:footnote w:id="190">
    <w:p w14:paraId="7F052859"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Sections 1, 3, 15 and 16 of Medical and Dental Practitioners Act.</w:t>
      </w:r>
    </w:p>
  </w:footnote>
  <w:footnote w:id="191">
    <w:p w14:paraId="03E9CE94"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w:t>
      </w:r>
      <w:r>
        <w:rPr>
          <w:rFonts w:ascii="Times New Roman" w:hAnsi="Times New Roman" w:cs="Times New Roman"/>
          <w:i/>
          <w:color w:val="000000" w:themeColor="text1"/>
        </w:rPr>
        <w:t>Medical and Dental Practitioners Disciplinary Tribunal v Okonkwo</w:t>
      </w:r>
      <w:r>
        <w:rPr>
          <w:rFonts w:ascii="Times New Roman" w:hAnsi="Times New Roman" w:cs="Times New Roman"/>
          <w:color w:val="000000" w:themeColor="text1"/>
        </w:rPr>
        <w:t xml:space="preserve"> (2001) 7 N.W.L.R. (Pt 711) 206.</w:t>
      </w:r>
    </w:p>
  </w:footnote>
  <w:footnote w:id="192">
    <w:p w14:paraId="3BA6BB23"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(1961) WNLR.</w:t>
      </w:r>
    </w:p>
  </w:footnote>
  <w:footnote w:id="193">
    <w:p w14:paraId="06661079"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O.A Adejumo and O.A Adejumo, ‘Legal Perspectives on Liability for Medical Negligence and Malpractices in Nigeria, &lt; https://www.ncbi.nlm.nih.gov/pmc/articles/PMC7245980/&gt; accessed 27 May 2024.</w:t>
      </w:r>
    </w:p>
  </w:footnote>
  <w:footnote w:id="194">
    <w:p w14:paraId="1492B4DF" w14:textId="77777777" w:rsidR="009A4A6F" w:rsidRDefault="009A4A6F" w:rsidP="009A4A6F">
      <w:pPr>
        <w:pStyle w:val="FootnoteText"/>
        <w:rPr>
          <w:rFonts w:ascii="Times New Roman" w:hAnsi="Times New Roman" w:cs="Times New Roman"/>
          <w:color w:val="000000" w:themeColor="text1"/>
          <w:lang w:val="en-GB"/>
        </w:rPr>
      </w:pPr>
      <w:r>
        <w:rPr>
          <w:rStyle w:val="FootnoteReference"/>
          <w:color w:val="000000" w:themeColor="text1"/>
        </w:rPr>
        <w:footnoteRef/>
      </w:r>
      <w:r>
        <w:rPr>
          <w:rFonts w:ascii="Times New Roman" w:hAnsi="Times New Roman" w:cs="Times New Roman"/>
          <w:color w:val="000000" w:themeColor="text1"/>
        </w:rPr>
        <w:t xml:space="preserve"> Ehigiator and Ucheagwu Okoye, ‘Medical Negligence &amp; Criminal Liability: An evaluation of the Nigerian Position’. [2021] (6)(2). &lt; </w:t>
      </w:r>
      <w:hyperlink r:id="rId32" w:history="1">
        <w:r>
          <w:rPr>
            <w:rStyle w:val="Hyperlink"/>
            <w:rFonts w:ascii="Times New Roman" w:hAnsi="Times New Roman" w:cs="Times New Roman"/>
            <w:color w:val="000000" w:themeColor="text1"/>
          </w:rPr>
          <w:t>https://journals.ezenwaohaetorc.org/index.php/MUNFOLLJ/article/view/1536</w:t>
        </w:r>
      </w:hyperlink>
      <w:r>
        <w:rPr>
          <w:rFonts w:ascii="Times New Roman" w:hAnsi="Times New Roman" w:cs="Times New Roman"/>
          <w:color w:val="000000" w:themeColor="text1"/>
        </w:rPr>
        <w:t xml:space="preserve">&gt; accessed 19 April 2026.  </w:t>
      </w:r>
    </w:p>
  </w:footnote>
  <w:footnote w:id="195">
    <w:p w14:paraId="5B318A5B"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Okonkwo and Naish, Criminal Law in Nigeria (Spectrum Books Ltd ,2009).</w:t>
      </w:r>
    </w:p>
  </w:footnote>
  <w:footnote w:id="196">
    <w:p w14:paraId="16959981"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Section 326 of Criminal Code.</w:t>
      </w:r>
    </w:p>
  </w:footnote>
  <w:footnote w:id="197">
    <w:p w14:paraId="042EB88B"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(1992) 2 SCR 138.</w:t>
      </w:r>
    </w:p>
  </w:footnote>
  <w:footnote w:id="198">
    <w:p w14:paraId="0F6A5556"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(1990) 69 DLR.</w:t>
      </w:r>
    </w:p>
  </w:footnote>
  <w:footnote w:id="199">
    <w:p w14:paraId="7D58777D"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Section 30 (1) &amp; (2) of National Health Act. (2014).</w:t>
      </w:r>
    </w:p>
  </w:footnote>
  <w:footnote w:id="200">
    <w:p w14:paraId="45ECFFE7"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Section 29 (2) (j) (ii).</w:t>
      </w:r>
    </w:p>
  </w:footnote>
  <w:footnote w:id="201">
    <w:p w14:paraId="302226BF"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HIV and AIDS (Anti-Discrimination) Act. (2004).</w:t>
      </w:r>
    </w:p>
  </w:footnote>
  <w:footnote w:id="202">
    <w:p w14:paraId="29354175"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[1990] 1 AC 109.</w:t>
      </w:r>
    </w:p>
  </w:footnote>
  <w:footnote w:id="203">
    <w:p w14:paraId="7B1CF7B2"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Section 44 of Medical and Dental Practitioners Act, (2004).</w:t>
      </w:r>
    </w:p>
  </w:footnote>
  <w:footnote w:id="204">
    <w:p w14:paraId="215771D6"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205">
    <w:p w14:paraId="32B6D01F"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Section 39 of FCCPA.</w:t>
      </w:r>
    </w:p>
  </w:footnote>
  <w:footnote w:id="206">
    <w:p w14:paraId="2A5B03A3" w14:textId="77777777" w:rsidR="009A4A6F" w:rsidRDefault="009A4A6F" w:rsidP="009A4A6F">
      <w:pPr>
        <w:pStyle w:val="FootnoteText"/>
        <w:rPr>
          <w:rFonts w:ascii="Times New Roman" w:hAnsi="Times New Roman" w:cs="Times New Roman"/>
          <w:color w:val="000000" w:themeColor="text1"/>
          <w:lang w:val="en-GB"/>
        </w:rPr>
      </w:pPr>
      <w:r>
        <w:rPr>
          <w:rStyle w:val="FootnoteReference"/>
          <w:color w:val="000000" w:themeColor="text1"/>
        </w:rPr>
        <w:footnoteRef/>
      </w:r>
      <w:r>
        <w:rPr>
          <w:rFonts w:ascii="Times New Roman" w:hAnsi="Times New Roman" w:cs="Times New Roman"/>
          <w:color w:val="000000" w:themeColor="text1"/>
        </w:rPr>
        <w:t xml:space="preserve"> </w:t>
      </w:r>
      <w:r>
        <w:rPr>
          <w:rFonts w:ascii="Times New Roman" w:hAnsi="Times New Roman" w:cs="Times New Roman"/>
          <w:color w:val="000000" w:themeColor="text1"/>
          <w:spacing w:val="9"/>
          <w:shd w:val="clear" w:color="auto" w:fill="FFFFFF"/>
        </w:rPr>
        <w:t> </w:t>
      </w:r>
      <w:r>
        <w:rPr>
          <w:rFonts w:ascii="Times New Roman" w:hAnsi="Times New Roman" w:cs="Times New Roman"/>
          <w:color w:val="000000" w:themeColor="text1"/>
        </w:rPr>
        <w:t>Section 39(2) of FCCPA.</w:t>
      </w:r>
    </w:p>
  </w:footnote>
  <w:footnote w:id="207">
    <w:p w14:paraId="00A75DE8"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Section 47(1) of FCCPA.</w:t>
      </w:r>
    </w:p>
  </w:footnote>
  <w:footnote w:id="208">
    <w:p w14:paraId="2FCA5105"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Section 54 of FCCPA.</w:t>
      </w:r>
    </w:p>
  </w:footnote>
  <w:footnote w:id="209">
    <w:p w14:paraId="7F92E815" w14:textId="77777777" w:rsidR="009A4A6F" w:rsidRDefault="009A4A6F" w:rsidP="009A4A6F">
      <w:pPr>
        <w:pStyle w:val="FootnoteText"/>
        <w:jc w:val="both"/>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Section 55(1) of FCCPA.</w:t>
      </w:r>
    </w:p>
  </w:footnote>
  <w:footnote w:id="210">
    <w:p w14:paraId="41DE6CF8" w14:textId="77777777" w:rsidR="009A4A6F" w:rsidRDefault="009A4A6F" w:rsidP="009A4A6F">
      <w:pPr>
        <w:pStyle w:val="FootnoteText"/>
        <w:jc w:val="both"/>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Section 146 of FCCPA.</w:t>
      </w:r>
    </w:p>
  </w:footnote>
  <w:footnote w:id="211">
    <w:p w14:paraId="0D074794"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&lt; </w:t>
      </w:r>
      <w:hyperlink r:id="rId33" w:history="1">
        <w:r>
          <w:rPr>
            <w:rStyle w:val="Hyperlink"/>
            <w:rFonts w:ascii="Times New Roman" w:hAnsi="Times New Roman" w:cs="Times New Roman"/>
            <w:color w:val="000000" w:themeColor="text1"/>
          </w:rPr>
          <w:t>https://hmb.fcta.gov.ng/</w:t>
        </w:r>
      </w:hyperlink>
      <w:r>
        <w:rPr>
          <w:rFonts w:ascii="Times New Roman" w:hAnsi="Times New Roman" w:cs="Times New Roman"/>
          <w:color w:val="000000" w:themeColor="text1"/>
        </w:rPr>
        <w:t>&gt; accessed 10 April 2026.</w:t>
      </w:r>
    </w:p>
  </w:footnote>
  <w:footnote w:id="212">
    <w:p w14:paraId="6B51B84D"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213">
    <w:p w14:paraId="39186360"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214">
    <w:p w14:paraId="77A92806"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215">
    <w:p w14:paraId="2F715954" w14:textId="77777777" w:rsidR="009A4A6F" w:rsidRDefault="009A4A6F" w:rsidP="009A4A6F">
      <w:pPr>
        <w:pStyle w:val="FootnoteText"/>
        <w:rPr>
          <w:rFonts w:ascii="Times New Roman" w:hAnsi="Times New Roman" w:cs="Times New Roman"/>
          <w:color w:val="000000" w:themeColor="text1"/>
          <w:lang w:val="en-GB"/>
        </w:rPr>
      </w:pPr>
      <w:r>
        <w:rPr>
          <w:rStyle w:val="FootnoteReference"/>
          <w:color w:val="000000" w:themeColor="text1"/>
        </w:rPr>
        <w:footnoteRef/>
      </w:r>
      <w:r>
        <w:rPr>
          <w:rFonts w:ascii="Times New Roman" w:hAnsi="Times New Roman" w:cs="Times New Roman"/>
          <w:color w:val="000000" w:themeColor="text1"/>
        </w:rPr>
        <w:t xml:space="preserve"> &lt; </w:t>
      </w:r>
      <w:hyperlink r:id="rId34" w:history="1">
        <w:r>
          <w:rPr>
            <w:rStyle w:val="Hyperlink"/>
            <w:rFonts w:ascii="Times New Roman" w:hAnsi="Times New Roman" w:cs="Times New Roman"/>
            <w:color w:val="000000" w:themeColor="text1"/>
          </w:rPr>
          <w:t>https://www.cddwestafrica.org/blog/civil-society-in-the-fight-for-universal-health-coverage-in-nigeria/</w:t>
        </w:r>
      </w:hyperlink>
      <w:r>
        <w:rPr>
          <w:rFonts w:ascii="Times New Roman" w:hAnsi="Times New Roman" w:cs="Times New Roman"/>
          <w:color w:val="000000" w:themeColor="text1"/>
        </w:rPr>
        <w:t>&gt; accessed 9 April 2026.</w:t>
      </w:r>
    </w:p>
  </w:footnote>
  <w:footnote w:id="216">
    <w:p w14:paraId="2A7CBBC4"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 </w:t>
      </w:r>
    </w:p>
  </w:footnote>
  <w:footnote w:id="217">
    <w:p w14:paraId="0E3C164A"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Fakrogha, D., </w:t>
      </w:r>
      <w:r>
        <w:rPr>
          <w:rFonts w:ascii="Times New Roman" w:hAnsi="Times New Roman" w:cs="Times New Roman"/>
          <w:i/>
          <w:color w:val="000000" w:themeColor="text1"/>
        </w:rPr>
        <w:t>`</w:t>
      </w:r>
      <w:r>
        <w:rPr>
          <w:rStyle w:val="Emphasis"/>
          <w:rFonts w:ascii="Times New Roman" w:hAnsi="Times New Roman" w:cs="Times New Roman"/>
          <w:color w:val="000000" w:themeColor="text1"/>
        </w:rPr>
        <w:t>Civil society in the fight for universal health coverage in Nigeria</w:t>
      </w:r>
      <w:r>
        <w:rPr>
          <w:rFonts w:ascii="Times New Roman" w:hAnsi="Times New Roman" w:cs="Times New Roman"/>
          <w:i/>
          <w:color w:val="000000" w:themeColor="text1"/>
        </w:rPr>
        <w:t xml:space="preserve">. </w:t>
      </w:r>
      <w:r>
        <w:rPr>
          <w:rFonts w:ascii="Times New Roman" w:hAnsi="Times New Roman" w:cs="Times New Roman"/>
          <w:color w:val="000000" w:themeColor="text1"/>
        </w:rPr>
        <w:t>Centre for Democracy and Development West Africa.</w:t>
      </w:r>
      <w:r>
        <w:rPr>
          <w:rFonts w:ascii="Times New Roman" w:hAnsi="Times New Roman" w:cs="Times New Roman"/>
          <w:i/>
          <w:color w:val="000000" w:themeColor="text1"/>
        </w:rPr>
        <w:t>`</w:t>
      </w:r>
      <w:r>
        <w:rPr>
          <w:rFonts w:ascii="Times New Roman" w:hAnsi="Times New Roman" w:cs="Times New Roman"/>
          <w:color w:val="000000" w:themeColor="text1"/>
        </w:rPr>
        <w:t xml:space="preserve"> &lt;</w:t>
      </w:r>
      <w:hyperlink r:id="rId35" w:history="1">
        <w:r>
          <w:rPr>
            <w:rStyle w:val="Hyperlink"/>
            <w:rFonts w:ascii="Times New Roman" w:hAnsi="Times New Roman" w:cs="Times New Roman"/>
            <w:color w:val="000000" w:themeColor="text1"/>
          </w:rPr>
          <w:t>https://www.cddwestafrica.org/blog/civil-society-in-the-fight-for-universal-health-coverage-in-nigeria/</w:t>
        </w:r>
      </w:hyperlink>
      <w:r>
        <w:rPr>
          <w:rFonts w:ascii="Times New Roman" w:hAnsi="Times New Roman" w:cs="Times New Roman"/>
          <w:color w:val="000000" w:themeColor="text1"/>
        </w:rPr>
        <w:t xml:space="preserve">&gt; accessed 5 January 2026. </w:t>
      </w:r>
    </w:p>
  </w:footnote>
  <w:footnote w:id="218">
    <w:p w14:paraId="322FBE52"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 </w:t>
      </w:r>
    </w:p>
  </w:footnote>
  <w:footnote w:id="219">
    <w:p w14:paraId="6CA5146C"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 </w:t>
      </w:r>
    </w:p>
  </w:footnote>
  <w:footnote w:id="220">
    <w:p w14:paraId="140D5BC3"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221">
    <w:p w14:paraId="5F860A4D"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 </w:t>
      </w:r>
    </w:p>
  </w:footnote>
  <w:footnote w:id="222">
    <w:p w14:paraId="34460A3C"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w:t>
      </w:r>
    </w:p>
  </w:footnote>
  <w:footnote w:id="223">
    <w:p w14:paraId="7E03669A"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 </w:t>
      </w:r>
    </w:p>
  </w:footnote>
  <w:footnote w:id="224">
    <w:p w14:paraId="638414BC" w14:textId="77777777" w:rsidR="009A4A6F" w:rsidRDefault="009A4A6F" w:rsidP="009A4A6F">
      <w:pPr>
        <w:pStyle w:val="FootnoteText"/>
        <w:rPr>
          <w:rFonts w:ascii="Times New Roman" w:hAnsi="Times New Roman" w:cs="Times New Roman"/>
          <w:color w:val="000000" w:themeColor="text1"/>
        </w:rPr>
      </w:pPr>
      <w:r>
        <w:rPr>
          <w:rStyle w:val="FootnoteReference"/>
          <w:color w:val="000000" w:themeColor="text1"/>
        </w:rPr>
        <w:footnoteRef/>
      </w:r>
      <w:r>
        <w:rPr>
          <w:rFonts w:ascii="Times New Roman" w:hAnsi="Times New Roman" w:cs="Times New Roman"/>
          <w:color w:val="000000" w:themeColor="text1"/>
        </w:rPr>
        <w:t xml:space="preserve"> Ibid. </w:t>
      </w:r>
    </w:p>
  </w:footnote>
  <w:footnote w:id="225">
    <w:p w14:paraId="5D1C54A0" w14:textId="77777777" w:rsidR="009A4A6F" w:rsidRDefault="009A4A6F" w:rsidP="009A4A6F">
      <w:pPr>
        <w:pStyle w:val="FootnoteText"/>
        <w:rPr>
          <w:rFonts w:ascii="Times New Roman" w:hAnsi="Times New Roman" w:cs="Times New Roman"/>
          <w:color w:val="000000" w:themeColor="text1"/>
          <w:lang w:val="en-GB" w:eastAsia="en-GB"/>
        </w:rPr>
      </w:pPr>
      <w:r>
        <w:rPr>
          <w:rStyle w:val="FootnoteReference"/>
          <w:color w:val="000000" w:themeColor="text1"/>
        </w:rPr>
        <w:footnoteRef/>
      </w:r>
      <w:r>
        <w:rPr>
          <w:rFonts w:ascii="Times New Roman" w:hAnsi="Times New Roman" w:cs="Times New Roman"/>
          <w:color w:val="000000" w:themeColor="text1"/>
          <w:lang w:eastAsia="en-GB"/>
        </w:rPr>
        <w:t xml:space="preserve"> Ajang Precious, ‘’The Rights of the Patients and its Enforcement in the Healthcare System of Nigeria’’, &lt; https://www.academia.edu/68068324/THE_RIGHTS_OF_THE_PATIENTS_AND_ITS_ENFORCEMENT_IN _THE_HEALTH_CARE_SYSTEM_OF_NIGERIA &gt; accessed 6 December 5, 2023.</w:t>
      </w:r>
    </w:p>
  </w:footnote>
  <w:footnote w:id="226">
    <w:p w14:paraId="22E76048" w14:textId="77777777" w:rsidR="009A4A6F" w:rsidRDefault="009A4A6F" w:rsidP="009A4A6F">
      <w:pPr>
        <w:pStyle w:val="FootnoteText"/>
        <w:rPr>
          <w:rFonts w:ascii="Times New Roman" w:hAnsi="Times New Roman" w:cs="Times New Roman"/>
          <w:color w:val="000000" w:themeColor="text1"/>
          <w:lang w:eastAsia="en-GB"/>
        </w:rPr>
      </w:pPr>
      <w:r>
        <w:rPr>
          <w:rStyle w:val="FootnoteReference"/>
          <w:color w:val="000000" w:themeColor="text1"/>
        </w:rPr>
        <w:footnoteRef/>
      </w:r>
      <w:r>
        <w:rPr>
          <w:rFonts w:ascii="Times New Roman" w:hAnsi="Times New Roman" w:cs="Times New Roman"/>
          <w:color w:val="000000" w:themeColor="text1"/>
          <w:lang w:eastAsia="en-GB"/>
        </w:rPr>
        <w:t xml:space="preserve"> Ibid.</w:t>
      </w:r>
    </w:p>
  </w:footnote>
  <w:footnote w:id="227">
    <w:p w14:paraId="2165820D" w14:textId="77777777" w:rsidR="009A4A6F" w:rsidRDefault="009A4A6F" w:rsidP="009A4A6F">
      <w:pPr>
        <w:pStyle w:val="FootnoteText"/>
        <w:rPr>
          <w:rFonts w:ascii="Times New Roman" w:hAnsi="Times New Roman" w:cs="Times New Roman"/>
          <w:color w:val="000000" w:themeColor="text1"/>
          <w:lang w:eastAsia="en-GB"/>
        </w:rPr>
      </w:pPr>
      <w:r>
        <w:rPr>
          <w:rStyle w:val="FootnoteReference"/>
          <w:color w:val="000000" w:themeColor="text1"/>
        </w:rPr>
        <w:footnoteRef/>
      </w:r>
      <w:r>
        <w:rPr>
          <w:rFonts w:ascii="Times New Roman" w:hAnsi="Times New Roman" w:cs="Times New Roman"/>
          <w:color w:val="000000" w:themeColor="text1"/>
          <w:lang w:eastAsia="en-GB"/>
        </w:rPr>
        <w:t xml:space="preserve"> Olanrewaju Tejuoso, Gafar Alawode &amp; Elaine Baruwa, ‘Health and the Legislature: The Case of Nigeria’’. [2018] (4)(2) 62-64.</w:t>
      </w:r>
      <w:r>
        <w:rPr>
          <w:rFonts w:ascii="Times New Roman" w:hAnsi="Times New Roman" w:cs="Times New Roman"/>
          <w:i/>
          <w:color w:val="000000" w:themeColor="text1"/>
          <w:lang w:eastAsia="en-GB"/>
        </w:rPr>
        <w:t xml:space="preserve"> Health Systems &amp; Reform</w:t>
      </w:r>
      <w:r>
        <w:rPr>
          <w:rFonts w:ascii="Times New Roman" w:hAnsi="Times New Roman" w:cs="Times New Roman"/>
          <w:color w:val="000000" w:themeColor="text1"/>
          <w:lang w:eastAsia="en-GB"/>
        </w:rPr>
        <w:t>. &lt;https://www.tandfonline.com/doi/abs/10.1080/23288604.2018.1441622&gt; accessed 7 March 2026.</w:t>
      </w:r>
    </w:p>
  </w:footnote>
  <w:footnote w:id="228">
    <w:p w14:paraId="4E3AE2AC" w14:textId="77777777" w:rsidR="009A4A6F" w:rsidRDefault="009A4A6F" w:rsidP="009A4A6F">
      <w:pPr>
        <w:pStyle w:val="FootnoteText"/>
        <w:rPr>
          <w:rFonts w:ascii="Times New Roman" w:hAnsi="Times New Roman" w:cs="Times New Roman"/>
          <w:color w:val="000000" w:themeColor="text1"/>
          <w:lang w:eastAsia="en-GB"/>
        </w:rPr>
      </w:pPr>
      <w:r>
        <w:rPr>
          <w:rStyle w:val="FootnoteReference"/>
          <w:color w:val="000000" w:themeColor="text1"/>
        </w:rPr>
        <w:footnoteRef/>
      </w:r>
      <w:r>
        <w:rPr>
          <w:rFonts w:ascii="Times New Roman" w:hAnsi="Times New Roman" w:cs="Times New Roman"/>
          <w:color w:val="000000" w:themeColor="text1"/>
          <w:lang w:eastAsia="en-GB"/>
        </w:rPr>
        <w:t xml:space="preserve"> Ibid.</w:t>
      </w:r>
    </w:p>
  </w:footnote>
  <w:footnote w:id="229">
    <w:p w14:paraId="4416B1EE" w14:textId="77777777" w:rsidR="009A4A6F" w:rsidRDefault="009A4A6F" w:rsidP="009A4A6F">
      <w:pPr>
        <w:pStyle w:val="FootnoteText"/>
        <w:rPr>
          <w:rFonts w:ascii="Times New Roman" w:hAnsi="Times New Roman" w:cs="Times New Roman"/>
          <w:color w:val="000000" w:themeColor="text1"/>
          <w:lang w:eastAsia="en-GB"/>
        </w:rPr>
      </w:pPr>
      <w:r>
        <w:rPr>
          <w:rStyle w:val="FootnoteReference"/>
          <w:color w:val="000000" w:themeColor="text1"/>
        </w:rPr>
        <w:footnoteRef/>
      </w:r>
      <w:r>
        <w:rPr>
          <w:rFonts w:ascii="Times New Roman" w:hAnsi="Times New Roman" w:cs="Times New Roman"/>
          <w:color w:val="000000" w:themeColor="text1"/>
          <w:lang w:eastAsia="en-GB"/>
        </w:rPr>
        <w:t xml:space="preserve"> Isreal Ademiluyi and Sunday Aluko-Arowolo, ‘Infrastructural Distribution of Healthcare Services in Nigeria: An overview’’. [2009] (2)(5) 104-110. </w:t>
      </w:r>
      <w:r>
        <w:rPr>
          <w:rFonts w:ascii="Times New Roman" w:hAnsi="Times New Roman" w:cs="Times New Roman"/>
          <w:i/>
          <w:color w:val="000000" w:themeColor="text1"/>
          <w:lang w:eastAsia="en-GB"/>
        </w:rPr>
        <w:t>Journal of Geography and Regional Planning</w:t>
      </w:r>
      <w:r>
        <w:rPr>
          <w:rFonts w:ascii="Times New Roman" w:hAnsi="Times New Roman" w:cs="Times New Roman"/>
          <w:color w:val="000000" w:themeColor="text1"/>
          <w:lang w:eastAsia="en-GB"/>
        </w:rPr>
        <w:t>. &lt;https://www.researchgate.net/publication/242150632_Infrastructural_distribution_of_healthcare_services_in_Nigeria_An_overview&gt; accessed 8 December 2025.</w:t>
      </w:r>
    </w:p>
  </w:footnote>
  <w:footnote w:id="230">
    <w:p w14:paraId="35B4E24F" w14:textId="77777777" w:rsidR="009A4A6F" w:rsidRDefault="009A4A6F" w:rsidP="009A4A6F">
      <w:pPr>
        <w:pStyle w:val="FootnoteText"/>
        <w:rPr>
          <w:rFonts w:ascii="Times New Roman" w:hAnsi="Times New Roman" w:cs="Times New Roman"/>
          <w:color w:val="000000" w:themeColor="text1"/>
          <w:lang w:eastAsia="en-GB"/>
        </w:rPr>
      </w:pPr>
      <w:r>
        <w:rPr>
          <w:rStyle w:val="FootnoteReference"/>
          <w:color w:val="000000" w:themeColor="text1"/>
        </w:rPr>
        <w:footnoteRef/>
      </w:r>
      <w:r>
        <w:rPr>
          <w:rFonts w:ascii="Times New Roman" w:hAnsi="Times New Roman" w:cs="Times New Roman"/>
          <w:color w:val="000000" w:themeColor="text1"/>
          <w:lang w:eastAsia="en-GB"/>
        </w:rPr>
        <w:t xml:space="preserve"> International Health Management Services Limited, ‘’Access to Healthcare in Nigeria: Challenges and Opportunities for Families’’, &lt; https://www.linkedin.com/pulse/access-healthcare-nigeria-challenges/ &gt; accessed 6 December 2023.</w:t>
      </w:r>
    </w:p>
  </w:footnote>
  <w:footnote w:id="231">
    <w:p w14:paraId="775ACB49" w14:textId="77777777" w:rsidR="009A4A6F" w:rsidRDefault="009A4A6F" w:rsidP="009A4A6F">
      <w:pPr>
        <w:pStyle w:val="FootnoteText"/>
        <w:rPr>
          <w:rFonts w:ascii="Times New Roman" w:hAnsi="Times New Roman" w:cs="Times New Roman"/>
          <w:color w:val="000000" w:themeColor="text1"/>
          <w:lang w:eastAsia="en-GB"/>
        </w:rPr>
      </w:pPr>
      <w:r>
        <w:rPr>
          <w:rStyle w:val="FootnoteReference"/>
          <w:color w:val="000000" w:themeColor="text1"/>
        </w:rPr>
        <w:footnoteRef/>
      </w:r>
      <w:r>
        <w:rPr>
          <w:rFonts w:ascii="Times New Roman" w:hAnsi="Times New Roman" w:cs="Times New Roman"/>
          <w:color w:val="000000" w:themeColor="text1"/>
          <w:lang w:eastAsia="en-GB"/>
        </w:rPr>
        <w:t xml:space="preserve"> Ibid.</w:t>
      </w:r>
    </w:p>
  </w:footnote>
  <w:footnote w:id="232">
    <w:p w14:paraId="7135A082" w14:textId="77777777" w:rsidR="009A4A6F" w:rsidRDefault="009A4A6F" w:rsidP="009A4A6F">
      <w:pPr>
        <w:pStyle w:val="FootnoteText"/>
        <w:rPr>
          <w:rFonts w:ascii="Times New Roman" w:hAnsi="Times New Roman" w:cs="Times New Roman"/>
          <w:color w:val="000000" w:themeColor="text1"/>
          <w:lang w:eastAsia="en-GB"/>
        </w:rPr>
      </w:pPr>
      <w:r>
        <w:rPr>
          <w:rStyle w:val="FootnoteReference"/>
          <w:color w:val="000000" w:themeColor="text1"/>
        </w:rPr>
        <w:footnoteRef/>
      </w:r>
      <w:r>
        <w:rPr>
          <w:rFonts w:ascii="Times New Roman" w:hAnsi="Times New Roman" w:cs="Times New Roman"/>
          <w:color w:val="000000" w:themeColor="text1"/>
          <w:lang w:eastAsia="en-GB"/>
        </w:rPr>
        <w:t xml:space="preserve"> Mubarak, Al, S. Abdul Aameed, ‘’HRM Issues and Challenges in Healthcare’’, [2016] (7)(2) 166-176. </w:t>
      </w:r>
      <w:r>
        <w:rPr>
          <w:rFonts w:ascii="Times New Roman" w:hAnsi="Times New Roman" w:cs="Times New Roman"/>
          <w:i/>
          <w:color w:val="000000" w:themeColor="text1"/>
          <w:lang w:eastAsia="en-GB"/>
        </w:rPr>
        <w:t>International Journal of Management</w:t>
      </w:r>
      <w:r>
        <w:rPr>
          <w:rFonts w:ascii="Times New Roman" w:hAnsi="Times New Roman" w:cs="Times New Roman"/>
          <w:color w:val="000000" w:themeColor="text1"/>
          <w:lang w:eastAsia="en-GB"/>
        </w:rPr>
        <w:t xml:space="preserve">. &lt; </w:t>
      </w:r>
      <w:hyperlink r:id="rId36" w:history="1">
        <w:r>
          <w:rPr>
            <w:rStyle w:val="Hyperlink"/>
            <w:rFonts w:ascii="Times New Roman" w:hAnsi="Times New Roman" w:cs="Times New Roman"/>
            <w:color w:val="000000" w:themeColor="text1"/>
          </w:rPr>
          <w:t>https://iaeme.com/MasterAdmin/Journal_uploads/IJM/VOLUME_7_ISSUE_2/IJM_07_02_019.pdf</w:t>
        </w:r>
      </w:hyperlink>
      <w:r>
        <w:rPr>
          <w:rFonts w:ascii="Times New Roman" w:hAnsi="Times New Roman" w:cs="Times New Roman"/>
          <w:color w:val="000000" w:themeColor="text1"/>
          <w:lang w:eastAsia="en-GB"/>
        </w:rPr>
        <w:t>&gt; accessed 14 March 2026.</w:t>
      </w:r>
    </w:p>
  </w:footnote>
  <w:footnote w:id="233">
    <w:p w14:paraId="315B9822" w14:textId="77777777" w:rsidR="009A4A6F" w:rsidRDefault="009A4A6F" w:rsidP="009A4A6F">
      <w:pPr>
        <w:pStyle w:val="FootnoteText"/>
        <w:rPr>
          <w:rFonts w:ascii="Times New Roman" w:hAnsi="Times New Roman" w:cs="Times New Roman"/>
          <w:color w:val="000000" w:themeColor="text1"/>
          <w:lang w:eastAsia="en-GB"/>
        </w:rPr>
      </w:pPr>
      <w:r>
        <w:rPr>
          <w:rStyle w:val="FootnoteReference"/>
          <w:color w:val="000000" w:themeColor="text1"/>
        </w:rPr>
        <w:footnoteRef/>
      </w:r>
      <w:r>
        <w:rPr>
          <w:rFonts w:ascii="Times New Roman" w:hAnsi="Times New Roman" w:cs="Times New Roman"/>
          <w:color w:val="000000" w:themeColor="text1"/>
          <w:lang w:eastAsia="en-GB"/>
        </w:rPr>
        <w:t xml:space="preserve"> Ibid.</w:t>
      </w:r>
    </w:p>
  </w:footnote>
  <w:footnote w:id="234">
    <w:p w14:paraId="21E82266" w14:textId="77777777" w:rsidR="009A4A6F" w:rsidRDefault="009A4A6F" w:rsidP="009A4A6F">
      <w:pPr>
        <w:pStyle w:val="FootnoteText"/>
        <w:rPr>
          <w:rFonts w:ascii="Times New Roman" w:hAnsi="Times New Roman" w:cs="Times New Roman"/>
          <w:color w:val="000000" w:themeColor="text1"/>
          <w:lang w:eastAsia="en-GB"/>
        </w:rPr>
      </w:pPr>
      <w:r>
        <w:rPr>
          <w:rStyle w:val="FootnoteReference"/>
          <w:color w:val="000000" w:themeColor="text1"/>
        </w:rPr>
        <w:footnoteRef/>
      </w:r>
      <w:r>
        <w:rPr>
          <w:rFonts w:ascii="Times New Roman" w:hAnsi="Times New Roman" w:cs="Times New Roman"/>
          <w:color w:val="000000" w:themeColor="text1"/>
          <w:lang w:eastAsia="en-GB"/>
        </w:rPr>
        <w:t xml:space="preserve"> Ojo, O.O. `</w:t>
      </w:r>
      <w:r>
        <w:rPr>
          <w:rStyle w:val="Emphasis"/>
          <w:rFonts w:ascii="Times New Roman" w:hAnsi="Times New Roman" w:cs="Times New Roman"/>
          <w:color w:val="000000" w:themeColor="text1"/>
          <w:lang w:eastAsia="en-GB"/>
        </w:rPr>
        <w:t>Informed Consent in Nigeria's Healthcare System: A Silent Crisis Undermining Patients' Rights</w:t>
      </w:r>
      <w:r>
        <w:rPr>
          <w:rFonts w:ascii="Times New Roman" w:hAnsi="Times New Roman" w:cs="Times New Roman"/>
          <w:i/>
          <w:color w:val="000000" w:themeColor="text1"/>
          <w:lang w:eastAsia="en-GB"/>
        </w:rPr>
        <w:t>.</w:t>
      </w:r>
      <w:r>
        <w:rPr>
          <w:rFonts w:ascii="Times New Roman" w:hAnsi="Times New Roman" w:cs="Times New Roman"/>
          <w:color w:val="000000" w:themeColor="text1"/>
          <w:lang w:eastAsia="en-GB"/>
        </w:rPr>
        <w:t xml:space="preserve">`&lt; </w:t>
      </w:r>
      <w:hyperlink r:id="rId37" w:history="1">
        <w:r>
          <w:rPr>
            <w:rStyle w:val="Hyperlink"/>
            <w:rFonts w:ascii="Times New Roman" w:hAnsi="Times New Roman" w:cs="Times New Roman"/>
            <w:color w:val="000000" w:themeColor="text1"/>
          </w:rPr>
          <w:t>https://www.thisdaylive.com/2025/06/03/informed-consent-in-nigerias-healthcare-system-a-silent-crisis-undermining-patients-rights/</w:t>
        </w:r>
      </w:hyperlink>
      <w:r>
        <w:rPr>
          <w:rFonts w:ascii="Times New Roman" w:hAnsi="Times New Roman" w:cs="Times New Roman"/>
          <w:color w:val="000000" w:themeColor="text1"/>
          <w:lang w:eastAsia="en-GB"/>
        </w:rPr>
        <w:t xml:space="preserve"> &gt; accessed 1 April 2026.</w:t>
      </w:r>
    </w:p>
  </w:footnote>
  <w:footnote w:id="235">
    <w:p w14:paraId="617C78EC" w14:textId="77777777" w:rsidR="009A4A6F" w:rsidRDefault="009A4A6F" w:rsidP="009A4A6F">
      <w:pPr>
        <w:pStyle w:val="FootnoteText"/>
        <w:rPr>
          <w:rFonts w:ascii="Times New Roman" w:hAnsi="Times New Roman" w:cs="Times New Roman"/>
          <w:color w:val="000000" w:themeColor="text1"/>
          <w:lang w:eastAsia="en-GB"/>
        </w:rPr>
      </w:pPr>
      <w:r>
        <w:rPr>
          <w:rStyle w:val="FootnoteReference"/>
          <w:color w:val="000000" w:themeColor="text1"/>
        </w:rPr>
        <w:footnoteRef/>
      </w:r>
      <w:r>
        <w:rPr>
          <w:rFonts w:ascii="Times New Roman" w:hAnsi="Times New Roman" w:cs="Times New Roman"/>
          <w:color w:val="000000" w:themeColor="text1"/>
          <w:lang w:eastAsia="en-GB"/>
        </w:rPr>
        <w:t xml:space="preserve"> </w:t>
      </w:r>
      <w:r>
        <w:rPr>
          <w:rStyle w:val="Emphasis"/>
          <w:rFonts w:ascii="Times New Roman" w:hAnsi="Times New Roman" w:cs="Times New Roman"/>
          <w:color w:val="000000" w:themeColor="text1"/>
          <w:lang w:eastAsia="en-GB"/>
        </w:rPr>
        <w:t>Medical Ethics and Patient Rights in Nigeria: Challenges and Solutions</w:t>
      </w:r>
      <w:r>
        <w:rPr>
          <w:rFonts w:ascii="Times New Roman" w:hAnsi="Times New Roman" w:cs="Times New Roman"/>
          <w:color w:val="000000" w:themeColor="text1"/>
          <w:lang w:eastAsia="en-GB"/>
        </w:rPr>
        <w:t>. &lt;</w:t>
      </w:r>
      <w:hyperlink r:id="rId38" w:history="1">
        <w:r>
          <w:rPr>
            <w:rStyle w:val="Hyperlink"/>
            <w:rFonts w:ascii="Times New Roman" w:hAnsi="Times New Roman" w:cs="Times New Roman"/>
            <w:color w:val="000000" w:themeColor="text1"/>
          </w:rPr>
          <w:t>https://www.surjen.com/blog-details/medical-ethics-and-patient-rights-in-nigeria</w:t>
        </w:r>
      </w:hyperlink>
      <w:r>
        <w:rPr>
          <w:rFonts w:ascii="Times New Roman" w:hAnsi="Times New Roman" w:cs="Times New Roman"/>
          <w:color w:val="000000" w:themeColor="text1"/>
          <w:lang w:eastAsia="en-GB"/>
        </w:rPr>
        <w:t>&gt; accessed 11 March 2026.</w:t>
      </w:r>
    </w:p>
  </w:footnote>
  <w:footnote w:id="236">
    <w:p w14:paraId="7F37D5B7" w14:textId="77777777" w:rsidR="009A4A6F" w:rsidRDefault="009A4A6F" w:rsidP="009A4A6F">
      <w:pPr>
        <w:pStyle w:val="FootnoteText"/>
        <w:rPr>
          <w:rFonts w:ascii="Times New Roman" w:hAnsi="Times New Roman" w:cs="Times New Roman"/>
          <w:color w:val="000000" w:themeColor="text1"/>
          <w:lang w:eastAsia="en-GB"/>
        </w:rPr>
      </w:pPr>
      <w:r>
        <w:rPr>
          <w:rStyle w:val="FootnoteReference"/>
          <w:color w:val="000000" w:themeColor="text1"/>
        </w:rPr>
        <w:footnoteRef/>
      </w:r>
      <w:r>
        <w:rPr>
          <w:rFonts w:ascii="Times New Roman" w:hAnsi="Times New Roman" w:cs="Times New Roman"/>
          <w:color w:val="000000" w:themeColor="text1"/>
          <w:lang w:eastAsia="en-GB"/>
        </w:rPr>
        <w:t xml:space="preserve"> Ibid.</w:t>
      </w:r>
    </w:p>
  </w:footnote>
  <w:footnote w:id="237">
    <w:p w14:paraId="1C0EC179" w14:textId="77777777" w:rsidR="009A4A6F" w:rsidRDefault="009A4A6F" w:rsidP="009A4A6F">
      <w:pPr>
        <w:pStyle w:val="FootnoteText"/>
        <w:rPr>
          <w:rFonts w:ascii="Times New Roman" w:hAnsi="Times New Roman" w:cs="Times New Roman"/>
          <w:color w:val="000000" w:themeColor="text1"/>
          <w:lang w:eastAsia="en-GB"/>
        </w:rPr>
      </w:pPr>
      <w:r>
        <w:rPr>
          <w:rStyle w:val="FootnoteReference"/>
          <w:color w:val="000000" w:themeColor="text1"/>
        </w:rPr>
        <w:footnoteRef/>
      </w:r>
      <w:r>
        <w:rPr>
          <w:rFonts w:ascii="Times New Roman" w:hAnsi="Times New Roman" w:cs="Times New Roman"/>
          <w:color w:val="000000" w:themeColor="text1"/>
          <w:lang w:eastAsia="en-GB"/>
        </w:rPr>
        <w:t xml:space="preserve"> Ibid.</w:t>
      </w:r>
    </w:p>
  </w:footnote>
  <w:footnote w:id="238">
    <w:p w14:paraId="7D20F953" w14:textId="77777777" w:rsidR="009A4A6F" w:rsidRDefault="009A4A6F" w:rsidP="009A4A6F">
      <w:pPr>
        <w:pStyle w:val="FootnoteText"/>
        <w:rPr>
          <w:rFonts w:ascii="Times New Roman" w:hAnsi="Times New Roman" w:cs="Times New Roman"/>
          <w:color w:val="000000" w:themeColor="text1"/>
          <w:lang w:eastAsia="en-GB"/>
        </w:rPr>
      </w:pPr>
      <w:r>
        <w:rPr>
          <w:rStyle w:val="FootnoteReference"/>
          <w:color w:val="000000" w:themeColor="text1"/>
        </w:rPr>
        <w:footnoteRef/>
      </w:r>
      <w:r>
        <w:rPr>
          <w:rFonts w:ascii="Times New Roman" w:hAnsi="Times New Roman" w:cs="Times New Roman"/>
          <w:color w:val="000000" w:themeColor="text1"/>
          <w:lang w:eastAsia="en-GB"/>
        </w:rPr>
        <w:t xml:space="preserve"> Oche, M.O. and Adamu, H., `</w:t>
      </w:r>
      <w:r>
        <w:rPr>
          <w:rStyle w:val="Emphasis"/>
          <w:rFonts w:ascii="Times New Roman" w:hAnsi="Times New Roman" w:cs="Times New Roman"/>
          <w:color w:val="000000" w:themeColor="text1"/>
          <w:lang w:eastAsia="en-GB"/>
        </w:rPr>
        <w:t>Barriers to Accessing Health Care in Nigeria: Implications for Child Survival</w:t>
      </w:r>
      <w:r>
        <w:rPr>
          <w:rFonts w:ascii="Times New Roman" w:hAnsi="Times New Roman" w:cs="Times New Roman"/>
          <w:i/>
          <w:color w:val="000000" w:themeColor="text1"/>
          <w:lang w:eastAsia="en-GB"/>
        </w:rPr>
        <w:t>.</w:t>
      </w:r>
      <w:r>
        <w:rPr>
          <w:rFonts w:ascii="Times New Roman" w:hAnsi="Times New Roman" w:cs="Times New Roman"/>
          <w:color w:val="000000" w:themeColor="text1"/>
          <w:lang w:eastAsia="en-GB"/>
        </w:rPr>
        <w:t>`&lt;</w:t>
      </w:r>
      <w:hyperlink r:id="rId39" w:history="1">
        <w:r>
          <w:rPr>
            <w:rStyle w:val="Hyperlink"/>
            <w:rFonts w:ascii="Times New Roman" w:hAnsi="Times New Roman" w:cs="Times New Roman"/>
            <w:color w:val="000000" w:themeColor="text1"/>
          </w:rPr>
          <w:t>https://www.ncbi.nlm.nih.gov/pmc/articles/PMC3957799/</w:t>
        </w:r>
      </w:hyperlink>
      <w:r>
        <w:rPr>
          <w:rFonts w:ascii="Times New Roman" w:hAnsi="Times New Roman" w:cs="Times New Roman"/>
          <w:color w:val="000000" w:themeColor="text1"/>
          <w:lang w:eastAsia="en-GB"/>
        </w:rPr>
        <w:t>&gt; accessed 15 March 2026.</w:t>
      </w:r>
    </w:p>
  </w:footnote>
  <w:footnote w:id="239">
    <w:p w14:paraId="7509D218" w14:textId="77777777" w:rsidR="009A4A6F" w:rsidRDefault="009A4A6F" w:rsidP="009A4A6F">
      <w:pPr>
        <w:pStyle w:val="FootnoteText"/>
        <w:rPr>
          <w:rFonts w:ascii="Times New Roman" w:hAnsi="Times New Roman" w:cs="Times New Roman"/>
          <w:color w:val="000000" w:themeColor="text1"/>
          <w:lang w:eastAsia="en-GB"/>
        </w:rPr>
      </w:pPr>
      <w:r>
        <w:rPr>
          <w:rStyle w:val="FootnoteReference"/>
          <w:color w:val="000000" w:themeColor="text1"/>
        </w:rPr>
        <w:footnoteRef/>
      </w:r>
      <w:r>
        <w:rPr>
          <w:rFonts w:ascii="Times New Roman" w:hAnsi="Times New Roman" w:cs="Times New Roman"/>
          <w:color w:val="000000" w:themeColor="text1"/>
          <w:lang w:eastAsia="en-GB"/>
        </w:rPr>
        <w:t xml:space="preserve"> Ibid.</w:t>
      </w:r>
    </w:p>
  </w:footnote>
  <w:footnote w:id="240">
    <w:p w14:paraId="14CDE71F" w14:textId="77777777" w:rsidR="009A4A6F" w:rsidRDefault="009A4A6F" w:rsidP="009A4A6F">
      <w:pPr>
        <w:pStyle w:val="FootnoteText"/>
        <w:rPr>
          <w:rFonts w:ascii="Times New Roman" w:hAnsi="Times New Roman" w:cs="Times New Roman"/>
          <w:color w:val="000000" w:themeColor="text1"/>
          <w:lang w:eastAsia="en-GB"/>
        </w:rPr>
      </w:pPr>
      <w:r>
        <w:rPr>
          <w:rStyle w:val="FootnoteReference"/>
          <w:color w:val="000000" w:themeColor="text1"/>
        </w:rPr>
        <w:footnoteRef/>
      </w:r>
      <w:r>
        <w:rPr>
          <w:rFonts w:ascii="Times New Roman" w:hAnsi="Times New Roman" w:cs="Times New Roman"/>
          <w:color w:val="000000" w:themeColor="text1"/>
          <w:lang w:eastAsia="en-GB"/>
        </w:rPr>
        <w:t xml:space="preserve"> Ibid.</w:t>
      </w:r>
    </w:p>
  </w:footnote>
  <w:footnote w:id="241">
    <w:p w14:paraId="3A28423D" w14:textId="77777777" w:rsidR="009A4A6F" w:rsidRDefault="009A4A6F" w:rsidP="009A4A6F">
      <w:pPr>
        <w:pStyle w:val="FootnoteText"/>
        <w:rPr>
          <w:rFonts w:ascii="Times New Roman" w:hAnsi="Times New Roman" w:cs="Times New Roman"/>
          <w:color w:val="000000" w:themeColor="text1"/>
          <w:lang w:eastAsia="en-GB"/>
        </w:rPr>
      </w:pPr>
      <w:r>
        <w:rPr>
          <w:rStyle w:val="FootnoteReference"/>
          <w:color w:val="000000" w:themeColor="text1"/>
        </w:rPr>
        <w:footnoteRef/>
      </w:r>
      <w:r>
        <w:rPr>
          <w:rFonts w:ascii="Times New Roman" w:hAnsi="Times New Roman" w:cs="Times New Roman"/>
          <w:color w:val="000000" w:themeColor="text1"/>
          <w:lang w:eastAsia="en-GB"/>
        </w:rPr>
        <w:t xml:space="preserve"> Chiroma M. Gamzhi, “Challenges of Enforcement of Fundamental Human Rights Under the Constitution of the Federal Republic of Nigeria, 1999” &lt; http://www.nialsnigeria.org/projects/CHALLENGES%20OF%20ENFORCEMENT%20PROJECT.pdf &gt; accessed 10 December 9, 2023.</w:t>
      </w:r>
    </w:p>
  </w:footnote>
  <w:footnote w:id="242">
    <w:p w14:paraId="3581FDEB" w14:textId="77777777" w:rsidR="009A4A6F" w:rsidRDefault="009A4A6F" w:rsidP="009A4A6F">
      <w:pPr>
        <w:pStyle w:val="FootnoteText"/>
        <w:rPr>
          <w:rFonts w:ascii="Times New Roman" w:hAnsi="Times New Roman" w:cs="Times New Roman"/>
          <w:color w:val="000000" w:themeColor="text1"/>
          <w:lang w:eastAsia="en-GB"/>
        </w:rPr>
      </w:pPr>
      <w:r>
        <w:rPr>
          <w:rStyle w:val="FootnoteReference"/>
          <w:color w:val="000000" w:themeColor="text1"/>
        </w:rPr>
        <w:footnoteRef/>
      </w:r>
      <w:r>
        <w:rPr>
          <w:rFonts w:ascii="Times New Roman" w:hAnsi="Times New Roman" w:cs="Times New Roman"/>
          <w:color w:val="000000" w:themeColor="text1"/>
          <w:lang w:eastAsia="en-GB"/>
        </w:rPr>
        <w:t xml:space="preserve"> Ibid.</w:t>
      </w:r>
    </w:p>
  </w:footnote>
  <w:footnote w:id="243">
    <w:p w14:paraId="56F6FF74" w14:textId="77777777" w:rsidR="009A4A6F" w:rsidRDefault="009A4A6F" w:rsidP="009A4A6F">
      <w:pPr>
        <w:pStyle w:val="FootnoteText"/>
        <w:rPr>
          <w:rFonts w:ascii="Times New Roman" w:hAnsi="Times New Roman" w:cs="Times New Roman"/>
          <w:color w:val="000000" w:themeColor="text1"/>
          <w:lang w:eastAsia="en-GB"/>
        </w:rPr>
      </w:pPr>
      <w:r>
        <w:rPr>
          <w:rStyle w:val="FootnoteReference"/>
          <w:color w:val="000000" w:themeColor="text1"/>
        </w:rPr>
        <w:footnoteRef/>
      </w:r>
      <w:r>
        <w:rPr>
          <w:rFonts w:ascii="Times New Roman" w:hAnsi="Times New Roman" w:cs="Times New Roman"/>
          <w:color w:val="000000" w:themeColor="text1"/>
          <w:lang w:eastAsia="en-GB"/>
        </w:rPr>
        <w:t xml:space="preserve"> Physician Weekly, ‘Proving a Medical Malpractice Case I – Proving Negligence (Part I)’ &lt; </w:t>
      </w:r>
      <w:hyperlink r:id="rId40" w:history="1">
        <w:r>
          <w:rPr>
            <w:rStyle w:val="Hyperlink"/>
            <w:rFonts w:ascii="Times New Roman" w:hAnsi="Times New Roman" w:cs="Times New Roman"/>
            <w:color w:val="000000" w:themeColor="text1"/>
          </w:rPr>
          <w:t>https://www.physiciansweekly.com/proving-a-medical-malpractice-case-i-proving-negligence-part-i</w:t>
        </w:r>
      </w:hyperlink>
      <w:r>
        <w:rPr>
          <w:rFonts w:ascii="Times New Roman" w:hAnsi="Times New Roman" w:cs="Times New Roman"/>
          <w:color w:val="000000" w:themeColor="text1"/>
          <w:lang w:eastAsia="en-GB"/>
        </w:rPr>
        <w:t xml:space="preserve">&gt; accessed 29 September 2021. </w:t>
      </w:r>
    </w:p>
  </w:footnote>
  <w:footnote w:id="244">
    <w:p w14:paraId="5CB2F23C" w14:textId="77777777" w:rsidR="009A4A6F" w:rsidRDefault="009A4A6F" w:rsidP="009A4A6F">
      <w:pPr>
        <w:pStyle w:val="FootnoteText"/>
        <w:rPr>
          <w:rFonts w:ascii="Times New Roman" w:hAnsi="Times New Roman" w:cs="Times New Roman"/>
          <w:color w:val="000000" w:themeColor="text1"/>
          <w:lang w:eastAsia="en-GB"/>
        </w:rPr>
      </w:pPr>
      <w:r>
        <w:rPr>
          <w:rStyle w:val="FootnoteReference"/>
          <w:color w:val="000000" w:themeColor="text1"/>
        </w:rPr>
        <w:footnoteRef/>
      </w:r>
      <w:r>
        <w:rPr>
          <w:rFonts w:ascii="Times New Roman" w:hAnsi="Times New Roman" w:cs="Times New Roman"/>
          <w:color w:val="000000" w:themeColor="text1"/>
          <w:lang w:eastAsia="en-GB"/>
        </w:rPr>
        <w:t xml:space="preserve"> Olufinlua, T., `Medical Negligence in Nigeria [Part 2]: The slow road to justice. Radiant Health Magazine.` &lt;</w:t>
      </w:r>
      <w:hyperlink r:id="rId41" w:history="1">
        <w:r>
          <w:rPr>
            <w:rStyle w:val="Hyperlink"/>
            <w:rFonts w:ascii="Times New Roman" w:hAnsi="Times New Roman" w:cs="Times New Roman"/>
            <w:color w:val="000000" w:themeColor="text1"/>
          </w:rPr>
          <w:t>www.radianthealthmag.com/.../medical-negligence-in nigeria-the-long-road-to-justice.</w:t>
        </w:r>
      </w:hyperlink>
      <w:r>
        <w:rPr>
          <w:rFonts w:ascii="Times New Roman" w:hAnsi="Times New Roman" w:cs="Times New Roman"/>
          <w:color w:val="000000" w:themeColor="text1"/>
          <w:lang w:eastAsia="en-GB"/>
        </w:rPr>
        <w:t>&gt; accessed 2 February 2023.</w:t>
      </w:r>
    </w:p>
  </w:footnote>
  <w:footnote w:id="245">
    <w:p w14:paraId="5803D39E" w14:textId="77777777" w:rsidR="009A4A6F" w:rsidRDefault="009A4A6F" w:rsidP="009A4A6F">
      <w:pPr>
        <w:pStyle w:val="FootnoteText"/>
        <w:rPr>
          <w:rFonts w:ascii="Times New Roman" w:hAnsi="Times New Roman" w:cs="Times New Roman"/>
          <w:color w:val="000000" w:themeColor="text1"/>
          <w:lang w:eastAsia="en-GB"/>
        </w:rPr>
      </w:pPr>
      <w:r>
        <w:rPr>
          <w:rStyle w:val="FootnoteReference"/>
          <w:color w:val="000000" w:themeColor="text1"/>
        </w:rPr>
        <w:footnoteRef/>
      </w:r>
      <w:r>
        <w:rPr>
          <w:rFonts w:ascii="Times New Roman" w:hAnsi="Times New Roman" w:cs="Times New Roman"/>
          <w:color w:val="000000" w:themeColor="text1"/>
          <w:lang w:eastAsia="en-GB"/>
        </w:rPr>
        <w:t xml:space="preserve"> Odunsi Babafemi, `Medical negligence and its litigation in Nigeria.` [2023] (14)(2) 1090-1122. </w:t>
      </w:r>
      <w:r>
        <w:rPr>
          <w:rFonts w:ascii="Times New Roman" w:hAnsi="Times New Roman" w:cs="Times New Roman"/>
          <w:i/>
          <w:color w:val="000000" w:themeColor="text1"/>
          <w:lang w:eastAsia="en-GB"/>
        </w:rPr>
        <w:t>Beijing Law Review</w:t>
      </w:r>
      <w:r>
        <w:rPr>
          <w:rFonts w:ascii="Times New Roman" w:hAnsi="Times New Roman" w:cs="Times New Roman"/>
          <w:color w:val="000000" w:themeColor="text1"/>
          <w:lang w:eastAsia="en-GB"/>
        </w:rPr>
        <w:t>, &lt;https://doi.org/10.4236/blr.2023.142058.&gt; accessed 6 June 2025.</w:t>
      </w:r>
    </w:p>
  </w:footnote>
  <w:footnote w:id="246">
    <w:p w14:paraId="25DA3CDA" w14:textId="77777777" w:rsidR="009A4A6F" w:rsidRDefault="009A4A6F" w:rsidP="009A4A6F">
      <w:pPr>
        <w:pStyle w:val="FootnoteText"/>
        <w:rPr>
          <w:rFonts w:ascii="Times New Roman" w:hAnsi="Times New Roman" w:cs="Times New Roman"/>
          <w:color w:val="000000" w:themeColor="text1"/>
          <w:lang w:eastAsia="en-GB"/>
        </w:rPr>
      </w:pPr>
      <w:r>
        <w:rPr>
          <w:rStyle w:val="FootnoteReference"/>
          <w:color w:val="000000" w:themeColor="text1"/>
        </w:rPr>
        <w:footnoteRef/>
      </w:r>
      <w:r>
        <w:rPr>
          <w:rFonts w:ascii="Times New Roman" w:hAnsi="Times New Roman" w:cs="Times New Roman"/>
          <w:color w:val="000000" w:themeColor="text1"/>
          <w:lang w:eastAsia="en-GB"/>
        </w:rPr>
        <w:t xml:space="preserve"> Ibid.</w:t>
      </w:r>
    </w:p>
  </w:footnote>
  <w:footnote w:id="247">
    <w:p w14:paraId="405D329D" w14:textId="77777777" w:rsidR="009A4A6F" w:rsidRDefault="009A4A6F" w:rsidP="009A4A6F">
      <w:pPr>
        <w:pStyle w:val="FootnoteText"/>
        <w:rPr>
          <w:rFonts w:ascii="Times New Roman" w:hAnsi="Times New Roman" w:cs="Times New Roman"/>
          <w:lang w:eastAsia="en-GB"/>
        </w:rPr>
      </w:pPr>
      <w:r>
        <w:rPr>
          <w:rStyle w:val="FootnoteReference"/>
        </w:rPr>
        <w:footnoteRef/>
      </w:r>
      <w:r>
        <w:rPr>
          <w:rFonts w:ascii="Times New Roman" w:hAnsi="Times New Roman" w:cs="Times New Roman"/>
          <w:lang w:eastAsia="en-GB"/>
        </w:rPr>
        <w:t xml:space="preserve"> </w:t>
      </w:r>
      <w:r>
        <w:rPr>
          <w:rFonts w:ascii="Times New Roman" w:hAnsi="Times New Roman" w:cs="Times New Roman"/>
          <w:color w:val="000000" w:themeColor="text1"/>
          <w:lang w:eastAsia="en-GB"/>
        </w:rPr>
        <w:t>&lt;https://bbc.com/news/articles/cp8rrk5ngngo&gt; accessed 20 April 2026.</w:t>
      </w:r>
    </w:p>
  </w:footnote>
  <w:footnote w:id="248">
    <w:p w14:paraId="526B8C72" w14:textId="77777777" w:rsidR="009A4A6F" w:rsidRDefault="009A4A6F" w:rsidP="009A4A6F">
      <w:pPr>
        <w:pStyle w:val="FootnoteText"/>
        <w:rPr>
          <w:rFonts w:ascii="Times New Roman" w:hAnsi="Times New Roman" w:cs="Times New Roman"/>
          <w:lang w:eastAsia="en-GB"/>
        </w:rPr>
      </w:pPr>
      <w:r>
        <w:rPr>
          <w:rStyle w:val="FootnoteReference"/>
        </w:rPr>
        <w:footnoteRef/>
      </w:r>
      <w:r>
        <w:rPr>
          <w:rFonts w:ascii="Times New Roman" w:hAnsi="Times New Roman" w:cs="Times New Roman"/>
          <w:lang w:eastAsia="en-GB"/>
        </w:rPr>
        <w:t xml:space="preserve"> </w:t>
      </w:r>
      <w:r>
        <w:rPr>
          <w:rFonts w:ascii="Times New Roman" w:hAnsi="Times New Roman" w:cs="Times New Roman"/>
          <w:color w:val="000000" w:themeColor="text1"/>
          <w:spacing w:val="9"/>
          <w:shd w:val="clear" w:color="auto" w:fill="FFFFFF"/>
          <w:lang w:eastAsia="en-GB"/>
        </w:rPr>
        <w:t>(2019) LPELR-47699(CA).</w:t>
      </w:r>
    </w:p>
  </w:footnote>
  <w:footnote w:id="249">
    <w:p w14:paraId="02F7E256" w14:textId="77777777" w:rsidR="009A4A6F" w:rsidRDefault="009A4A6F" w:rsidP="009A4A6F">
      <w:pPr>
        <w:pStyle w:val="FootnoteText"/>
        <w:rPr>
          <w:rFonts w:ascii="Times New Roman" w:hAnsi="Times New Roman" w:cs="Times New Roman"/>
          <w:color w:val="000000" w:themeColor="text1"/>
          <w:lang w:eastAsia="en-GB"/>
        </w:rPr>
      </w:pPr>
      <w:r>
        <w:rPr>
          <w:rStyle w:val="FootnoteReference"/>
          <w:color w:val="000000" w:themeColor="text1"/>
        </w:rPr>
        <w:footnoteRef/>
      </w:r>
      <w:r>
        <w:rPr>
          <w:rFonts w:ascii="Times New Roman" w:hAnsi="Times New Roman" w:cs="Times New Roman"/>
          <w:color w:val="000000" w:themeColor="text1"/>
          <w:lang w:eastAsia="en-GB"/>
        </w:rPr>
        <w:t xml:space="preserve"> Umeike E. and Eze C., `Navigating the Regulatory Landscape of Telemedicine.` [2023] &lt;https://businessday.ng/author/ businessday2015/&gt; accessed on 15 December 2024.</w:t>
      </w:r>
    </w:p>
  </w:footnote>
  <w:footnote w:id="250">
    <w:p w14:paraId="7AB2A673" w14:textId="77777777" w:rsidR="009A4A6F" w:rsidRDefault="009A4A6F" w:rsidP="009A4A6F">
      <w:pPr>
        <w:pStyle w:val="FootnoteText"/>
        <w:rPr>
          <w:rFonts w:ascii="Times New Roman" w:hAnsi="Times New Roman" w:cs="Times New Roman"/>
          <w:color w:val="000000" w:themeColor="text1"/>
          <w:lang w:eastAsia="en-GB"/>
        </w:rPr>
      </w:pPr>
      <w:r>
        <w:rPr>
          <w:rStyle w:val="FootnoteReference"/>
          <w:color w:val="000000" w:themeColor="text1"/>
        </w:rPr>
        <w:footnoteRef/>
      </w:r>
      <w:r>
        <w:rPr>
          <w:rFonts w:ascii="Times New Roman" w:hAnsi="Times New Roman" w:cs="Times New Roman"/>
          <w:color w:val="000000" w:themeColor="text1"/>
          <w:lang w:eastAsia="en-GB"/>
        </w:rPr>
        <w:t xml:space="preserve"> Ibid.</w:t>
      </w:r>
    </w:p>
  </w:footnote>
  <w:footnote w:id="251">
    <w:p w14:paraId="32A8863D" w14:textId="77777777" w:rsidR="009A4A6F" w:rsidRDefault="009A4A6F" w:rsidP="009A4A6F">
      <w:pPr>
        <w:pStyle w:val="FootnoteText"/>
        <w:rPr>
          <w:rFonts w:ascii="Times New Roman" w:hAnsi="Times New Roman" w:cs="Times New Roman"/>
          <w:color w:val="000000" w:themeColor="text1"/>
          <w:lang w:eastAsia="en-GB"/>
        </w:rPr>
      </w:pPr>
      <w:r>
        <w:rPr>
          <w:rStyle w:val="FootnoteReference"/>
          <w:color w:val="000000" w:themeColor="text1"/>
        </w:rPr>
        <w:footnoteRef/>
      </w:r>
      <w:r>
        <w:rPr>
          <w:rFonts w:ascii="Times New Roman" w:hAnsi="Times New Roman" w:cs="Times New Roman"/>
          <w:color w:val="000000" w:themeColor="text1"/>
          <w:lang w:eastAsia="en-GB"/>
        </w:rPr>
        <w:t xml:space="preserve"> Ibid.</w:t>
      </w:r>
    </w:p>
  </w:footnote>
  <w:footnote w:id="252">
    <w:p w14:paraId="06329154" w14:textId="77777777" w:rsidR="009A4A6F" w:rsidRDefault="009A4A6F" w:rsidP="009A4A6F">
      <w:pPr>
        <w:pStyle w:val="FootnoteText"/>
        <w:rPr>
          <w:rFonts w:ascii="Times New Roman" w:hAnsi="Times New Roman" w:cs="Times New Roman"/>
          <w:color w:val="000000" w:themeColor="text1"/>
          <w:lang w:eastAsia="en-GB"/>
        </w:rPr>
      </w:pPr>
      <w:r>
        <w:rPr>
          <w:rStyle w:val="FootnoteReference"/>
          <w:color w:val="000000" w:themeColor="text1"/>
        </w:rPr>
        <w:footnoteRef/>
      </w:r>
      <w:r>
        <w:rPr>
          <w:rFonts w:ascii="Times New Roman" w:hAnsi="Times New Roman" w:cs="Times New Roman"/>
          <w:color w:val="000000" w:themeColor="text1"/>
          <w:lang w:eastAsia="en-GB"/>
        </w:rPr>
        <w:t xml:space="preserve"> Ukoha, K., and Ugbokhare, F., `Prospects and Challenges of Telemedicine in Nigeria.` [2012] (3) 65–70. </w:t>
      </w:r>
      <w:r>
        <w:rPr>
          <w:rFonts w:ascii="Times New Roman" w:hAnsi="Times New Roman" w:cs="Times New Roman"/>
          <w:i/>
          <w:color w:val="000000" w:themeColor="text1"/>
          <w:lang w:eastAsia="en-GB"/>
        </w:rPr>
        <w:t>Journal of Medicine and Biomedical Services.</w:t>
      </w:r>
      <w:r>
        <w:rPr>
          <w:rFonts w:ascii="Times New Roman" w:hAnsi="Times New Roman" w:cs="Times New Roman"/>
          <w:color w:val="000000" w:themeColor="text1"/>
          <w:lang w:eastAsia="en-GB"/>
        </w:rPr>
        <w:t xml:space="preserve"> &lt; </w:t>
      </w:r>
      <w:hyperlink r:id="rId42" w:history="1">
        <w:r>
          <w:rPr>
            <w:rStyle w:val="Hyperlink"/>
            <w:rFonts w:ascii="Times New Roman" w:hAnsi="Times New Roman" w:cs="Times New Roman"/>
            <w:color w:val="000000" w:themeColor="text1"/>
          </w:rPr>
          <w:t>https://www.researchgate.net/publication/272877000_Prospects_and_challenges_of_telemedicine_in_Nigeria</w:t>
        </w:r>
      </w:hyperlink>
      <w:r>
        <w:rPr>
          <w:rFonts w:ascii="Times New Roman" w:hAnsi="Times New Roman" w:cs="Times New Roman"/>
          <w:color w:val="000000" w:themeColor="text1"/>
          <w:lang w:eastAsia="en-GB"/>
        </w:rPr>
        <w:t>&gt; accessed 9 October 2025.</w:t>
      </w:r>
    </w:p>
  </w:footnote>
  <w:footnote w:id="253">
    <w:p w14:paraId="5CFDFBB6" w14:textId="77777777" w:rsidR="009A4A6F" w:rsidRDefault="009A4A6F" w:rsidP="009A4A6F">
      <w:pPr>
        <w:pStyle w:val="FootnoteText"/>
        <w:rPr>
          <w:rFonts w:ascii="Times New Roman" w:hAnsi="Times New Roman" w:cs="Times New Roman"/>
          <w:color w:val="000000" w:themeColor="text1"/>
          <w:lang w:eastAsia="en-GB"/>
        </w:rPr>
      </w:pPr>
      <w:r>
        <w:rPr>
          <w:rStyle w:val="FootnoteReference"/>
          <w:color w:val="000000" w:themeColor="text1"/>
        </w:rPr>
        <w:footnoteRef/>
      </w:r>
      <w:r>
        <w:rPr>
          <w:rFonts w:ascii="Times New Roman" w:hAnsi="Times New Roman" w:cs="Times New Roman"/>
          <w:color w:val="000000" w:themeColor="text1"/>
          <w:lang w:eastAsia="en-GB"/>
        </w:rPr>
        <w:t xml:space="preserve"> Ibid.</w:t>
      </w:r>
    </w:p>
  </w:footnote>
  <w:footnote w:id="254">
    <w:p w14:paraId="16AE57CD" w14:textId="77777777" w:rsidR="009A4A6F" w:rsidRDefault="009A4A6F" w:rsidP="009A4A6F">
      <w:pPr>
        <w:pStyle w:val="FootnoteText"/>
        <w:rPr>
          <w:rFonts w:ascii="Times New Roman" w:hAnsi="Times New Roman" w:cs="Times New Roman"/>
          <w:color w:val="000000" w:themeColor="text1"/>
          <w:lang w:eastAsia="en-GB"/>
        </w:rPr>
      </w:pPr>
      <w:r>
        <w:rPr>
          <w:rStyle w:val="FootnoteReference"/>
          <w:color w:val="000000" w:themeColor="text1"/>
        </w:rPr>
        <w:footnoteRef/>
      </w:r>
      <w:r>
        <w:rPr>
          <w:rFonts w:ascii="Times New Roman" w:hAnsi="Times New Roman" w:cs="Times New Roman"/>
          <w:color w:val="000000" w:themeColor="text1"/>
          <w:lang w:eastAsia="en-GB"/>
        </w:rPr>
        <w:t xml:space="preserve"> Ukoha, K., and Ugbokhare, F., `Prospects and challenges of telemedicine in Nigeria.` [2012] (3) 65–70. </w:t>
      </w:r>
      <w:r>
        <w:rPr>
          <w:rFonts w:ascii="Times New Roman" w:hAnsi="Times New Roman" w:cs="Times New Roman"/>
          <w:i/>
          <w:color w:val="000000" w:themeColor="text1"/>
          <w:lang w:eastAsia="en-GB"/>
        </w:rPr>
        <w:t>Journal of Medicine and Biomedical Services.</w:t>
      </w:r>
      <w:r>
        <w:rPr>
          <w:rFonts w:ascii="Times New Roman" w:hAnsi="Times New Roman" w:cs="Times New Roman"/>
          <w:color w:val="000000" w:themeColor="text1"/>
          <w:lang w:eastAsia="en-GB"/>
        </w:rPr>
        <w:t xml:space="preserve"> &lt; </w:t>
      </w:r>
      <w:hyperlink r:id="rId43" w:history="1">
        <w:r>
          <w:rPr>
            <w:rStyle w:val="Hyperlink"/>
            <w:rFonts w:ascii="Times New Roman" w:hAnsi="Times New Roman" w:cs="Times New Roman"/>
            <w:color w:val="000000" w:themeColor="text1"/>
          </w:rPr>
          <w:t>https://www.researchgate.net/publication/272877000_Prospects_and_challenges_of_telemedicine_in_Nigeria</w:t>
        </w:r>
      </w:hyperlink>
      <w:r>
        <w:rPr>
          <w:rFonts w:ascii="Times New Roman" w:hAnsi="Times New Roman" w:cs="Times New Roman"/>
          <w:color w:val="000000" w:themeColor="text1"/>
          <w:lang w:eastAsia="en-GB"/>
        </w:rPr>
        <w:t>&gt; accessed 9 October 2025.</w:t>
      </w:r>
    </w:p>
  </w:footnote>
  <w:footnote w:id="255">
    <w:p w14:paraId="396B0F6B" w14:textId="77777777" w:rsidR="009A4A6F" w:rsidRDefault="009A4A6F" w:rsidP="009A4A6F">
      <w:pPr>
        <w:pStyle w:val="FootnoteText"/>
        <w:rPr>
          <w:rFonts w:ascii="Times New Roman" w:hAnsi="Times New Roman" w:cs="Times New Roman"/>
          <w:color w:val="000000" w:themeColor="text1"/>
          <w:lang w:eastAsia="en-GB"/>
        </w:rPr>
      </w:pPr>
      <w:r>
        <w:rPr>
          <w:rStyle w:val="FootnoteReference"/>
          <w:color w:val="000000" w:themeColor="text1"/>
        </w:rPr>
        <w:footnoteRef/>
      </w:r>
      <w:r>
        <w:rPr>
          <w:rFonts w:ascii="Times New Roman" w:hAnsi="Times New Roman" w:cs="Times New Roman"/>
          <w:color w:val="000000" w:themeColor="text1"/>
          <w:lang w:eastAsia="en-GB"/>
        </w:rPr>
        <w:t xml:space="preserve"> Ibid.</w:t>
      </w:r>
    </w:p>
  </w:footnote>
  <w:footnote w:id="256">
    <w:p w14:paraId="5B3B3B56" w14:textId="77777777" w:rsidR="009A4A6F" w:rsidRDefault="009A4A6F" w:rsidP="009A4A6F">
      <w:pPr>
        <w:pStyle w:val="FootnoteText"/>
        <w:rPr>
          <w:rFonts w:ascii="Times New Roman" w:hAnsi="Times New Roman" w:cs="Times New Roman"/>
          <w:color w:val="000000" w:themeColor="text1"/>
          <w:lang w:val="en-GB" w:eastAsia="en-GB"/>
        </w:rPr>
      </w:pPr>
      <w:r>
        <w:rPr>
          <w:rStyle w:val="FootnoteReference"/>
          <w:color w:val="000000" w:themeColor="text1"/>
        </w:rPr>
        <w:footnoteRef/>
      </w:r>
      <w:r>
        <w:rPr>
          <w:rFonts w:ascii="Times New Roman" w:hAnsi="Times New Roman" w:cs="Times New Roman"/>
          <w:color w:val="000000" w:themeColor="text1"/>
          <w:lang w:eastAsia="en-GB"/>
        </w:rPr>
        <w:t xml:space="preserve"> Ibid.</w:t>
      </w:r>
    </w:p>
  </w:footnote>
  <w:footnote w:id="257">
    <w:p w14:paraId="0A602651" w14:textId="77777777" w:rsidR="009A4A6F" w:rsidRDefault="009A4A6F" w:rsidP="009A4A6F">
      <w:pPr>
        <w:pStyle w:val="FootnoteText"/>
        <w:rPr>
          <w:rFonts w:ascii="Times New Roman" w:hAnsi="Times New Roman" w:cs="Times New Roman"/>
          <w:color w:val="000000" w:themeColor="text1"/>
          <w:lang w:eastAsia="en-GB"/>
        </w:rPr>
      </w:pPr>
      <w:r>
        <w:rPr>
          <w:rStyle w:val="FootnoteReference"/>
          <w:color w:val="000000" w:themeColor="text1"/>
        </w:rPr>
        <w:footnoteRef/>
      </w:r>
      <w:r>
        <w:rPr>
          <w:rFonts w:ascii="Times New Roman" w:hAnsi="Times New Roman" w:cs="Times New Roman"/>
          <w:color w:val="000000" w:themeColor="text1"/>
          <w:lang w:eastAsia="en-GB"/>
        </w:rPr>
        <w:t xml:space="preserve"> Ibid.</w:t>
      </w:r>
    </w:p>
  </w:footnote>
  <w:footnote w:id="258">
    <w:p w14:paraId="25AA9D43" w14:textId="77777777" w:rsidR="009A4A6F" w:rsidRDefault="009A4A6F" w:rsidP="009A4A6F">
      <w:pPr>
        <w:pStyle w:val="FootnoteText"/>
        <w:rPr>
          <w:rFonts w:ascii="Times New Roman" w:hAnsi="Times New Roman" w:cs="Times New Roman"/>
          <w:color w:val="000000" w:themeColor="text1"/>
          <w:lang w:eastAsia="en-GB"/>
        </w:rPr>
      </w:pPr>
      <w:r>
        <w:rPr>
          <w:rStyle w:val="FootnoteReference"/>
          <w:color w:val="000000" w:themeColor="text1"/>
        </w:rPr>
        <w:footnoteRef/>
      </w:r>
      <w:r>
        <w:rPr>
          <w:rFonts w:ascii="Times New Roman" w:hAnsi="Times New Roman" w:cs="Times New Roman"/>
          <w:color w:val="000000" w:themeColor="text1"/>
          <w:lang w:eastAsia="en-GB"/>
        </w:rPr>
        <w:t xml:space="preserve"> Ibid.</w:t>
      </w:r>
    </w:p>
  </w:footnote>
  <w:footnote w:id="259">
    <w:p w14:paraId="1D5FD0C9" w14:textId="77777777" w:rsidR="009A4A6F" w:rsidRDefault="009A4A6F" w:rsidP="009A4A6F">
      <w:pPr>
        <w:pStyle w:val="FootnoteText"/>
        <w:rPr>
          <w:rFonts w:ascii="Times New Roman" w:hAnsi="Times New Roman" w:cs="Times New Roman"/>
          <w:color w:val="000000" w:themeColor="text1"/>
          <w:lang w:eastAsia="en-GB"/>
        </w:rPr>
      </w:pPr>
      <w:r>
        <w:rPr>
          <w:rStyle w:val="FootnoteReference"/>
          <w:color w:val="000000" w:themeColor="text1"/>
        </w:rPr>
        <w:footnoteRef/>
      </w:r>
      <w:r>
        <w:rPr>
          <w:rFonts w:ascii="Times New Roman" w:hAnsi="Times New Roman" w:cs="Times New Roman"/>
          <w:color w:val="000000" w:themeColor="text1"/>
          <w:lang w:eastAsia="en-GB"/>
        </w:rPr>
        <w:t xml:space="preserve"> Ibid.</w:t>
      </w:r>
    </w:p>
  </w:footnote>
  <w:footnote w:id="260">
    <w:p w14:paraId="7FD96065" w14:textId="77777777" w:rsidR="009A4A6F" w:rsidRDefault="009A4A6F" w:rsidP="009A4A6F">
      <w:pPr>
        <w:pStyle w:val="FootnoteText"/>
        <w:rPr>
          <w:rFonts w:ascii="Times New Roman" w:hAnsi="Times New Roman" w:cs="Times New Roman"/>
          <w:color w:val="000000" w:themeColor="text1"/>
          <w:lang w:eastAsia="en-GB"/>
        </w:rPr>
      </w:pPr>
      <w:r>
        <w:rPr>
          <w:rStyle w:val="FootnoteReference"/>
          <w:color w:val="000000" w:themeColor="text1"/>
        </w:rPr>
        <w:footnoteRef/>
      </w:r>
      <w:r>
        <w:rPr>
          <w:rFonts w:ascii="Times New Roman" w:hAnsi="Times New Roman" w:cs="Times New Roman"/>
          <w:color w:val="000000" w:themeColor="text1"/>
          <w:lang w:eastAsia="en-GB"/>
        </w:rPr>
        <w:t xml:space="preserve"> Ibid.</w:t>
      </w:r>
    </w:p>
  </w:footnote>
  <w:footnote w:id="261">
    <w:p w14:paraId="5153F76E" w14:textId="77777777" w:rsidR="009A4A6F" w:rsidRDefault="009A4A6F" w:rsidP="009A4A6F">
      <w:pPr>
        <w:pStyle w:val="FootnoteText"/>
        <w:rPr>
          <w:rFonts w:ascii="Times New Roman" w:hAnsi="Times New Roman" w:cs="Times New Roman"/>
          <w:color w:val="000000" w:themeColor="text1"/>
          <w:lang w:eastAsia="en-GB"/>
        </w:rPr>
      </w:pPr>
      <w:r>
        <w:rPr>
          <w:rStyle w:val="FootnoteReference"/>
          <w:color w:val="000000" w:themeColor="text1"/>
        </w:rPr>
        <w:footnoteRef/>
      </w:r>
      <w:r>
        <w:rPr>
          <w:rFonts w:ascii="Times New Roman" w:hAnsi="Times New Roman" w:cs="Times New Roman"/>
          <w:color w:val="000000" w:themeColor="text1"/>
          <w:lang w:eastAsia="en-GB"/>
        </w:rPr>
        <w:t xml:space="preserve"> &lt; </w:t>
      </w:r>
      <w:hyperlink r:id="rId44" w:history="1">
        <w:r>
          <w:rPr>
            <w:rStyle w:val="Hyperlink"/>
            <w:rFonts w:ascii="Times New Roman" w:hAnsi="Times New Roman" w:cs="Times New Roman"/>
          </w:rPr>
          <w:t>https://unitedclinicalss.com/the-challenges-of-informed-consent-and-its-impact-on-clinical-research-in-nigeria/</w:t>
        </w:r>
      </w:hyperlink>
      <w:r>
        <w:rPr>
          <w:rFonts w:ascii="Times New Roman" w:hAnsi="Times New Roman" w:cs="Times New Roman"/>
          <w:color w:val="000000" w:themeColor="text1"/>
          <w:lang w:eastAsia="en-GB"/>
        </w:rPr>
        <w:t>&gt; accessed 1 May 2026.</w:t>
      </w:r>
    </w:p>
  </w:footnote>
  <w:footnote w:id="262">
    <w:p w14:paraId="1D4810CD" w14:textId="77777777" w:rsidR="009A4A6F" w:rsidRDefault="009A4A6F" w:rsidP="009A4A6F">
      <w:pPr>
        <w:pStyle w:val="FootnoteText"/>
        <w:rPr>
          <w:rFonts w:ascii="Times New Roman" w:hAnsi="Times New Roman" w:cs="Times New Roman"/>
          <w:color w:val="000000" w:themeColor="text1"/>
          <w:lang w:eastAsia="en-GB"/>
        </w:rPr>
      </w:pPr>
      <w:r>
        <w:rPr>
          <w:rStyle w:val="FootnoteReference"/>
          <w:color w:val="000000" w:themeColor="text1"/>
        </w:rPr>
        <w:footnoteRef/>
      </w:r>
      <w:r>
        <w:rPr>
          <w:rFonts w:ascii="Times New Roman" w:hAnsi="Times New Roman" w:cs="Times New Roman"/>
          <w:color w:val="000000" w:themeColor="text1"/>
          <w:lang w:eastAsia="en-GB"/>
        </w:rPr>
        <w:t xml:space="preserve"> Ibid.</w:t>
      </w:r>
    </w:p>
  </w:footnote>
  <w:footnote w:id="263">
    <w:p w14:paraId="70B95A24" w14:textId="77777777" w:rsidR="009A4A6F" w:rsidRDefault="009A4A6F" w:rsidP="009A4A6F">
      <w:pPr>
        <w:pStyle w:val="FootnoteText"/>
        <w:rPr>
          <w:rFonts w:ascii="Times New Roman" w:hAnsi="Times New Roman" w:cs="Times New Roman"/>
          <w:color w:val="000000" w:themeColor="text1"/>
          <w:lang w:eastAsia="en-GB"/>
        </w:rPr>
      </w:pPr>
      <w:r>
        <w:rPr>
          <w:rStyle w:val="FootnoteReference"/>
          <w:color w:val="000000" w:themeColor="text1"/>
        </w:rPr>
        <w:footnoteRef/>
      </w:r>
      <w:r>
        <w:rPr>
          <w:rFonts w:ascii="Times New Roman" w:hAnsi="Times New Roman" w:cs="Times New Roman"/>
          <w:color w:val="000000" w:themeColor="text1"/>
          <w:lang w:eastAsia="en-GB"/>
        </w:rPr>
        <w:t xml:space="preserve"> Ibid.</w:t>
      </w:r>
    </w:p>
  </w:footnote>
  <w:footnote w:id="264">
    <w:p w14:paraId="11C416D6" w14:textId="77777777" w:rsidR="009A4A6F" w:rsidRDefault="009A4A6F" w:rsidP="009A4A6F">
      <w:pPr>
        <w:pStyle w:val="FootnoteText"/>
        <w:rPr>
          <w:rFonts w:ascii="Times New Roman" w:hAnsi="Times New Roman" w:cs="Times New Roman"/>
          <w:color w:val="000000" w:themeColor="text1"/>
          <w:lang w:eastAsia="en-GB"/>
        </w:rPr>
      </w:pPr>
      <w:r>
        <w:rPr>
          <w:rStyle w:val="FootnoteReference"/>
          <w:color w:val="000000" w:themeColor="text1"/>
        </w:rPr>
        <w:footnoteRef/>
      </w:r>
      <w:r>
        <w:rPr>
          <w:rFonts w:ascii="Times New Roman" w:hAnsi="Times New Roman" w:cs="Times New Roman"/>
          <w:color w:val="000000" w:themeColor="text1"/>
          <w:lang w:eastAsia="en-GB"/>
        </w:rPr>
        <w:t xml:space="preserve"> Ibid.</w:t>
      </w:r>
    </w:p>
  </w:footnote>
  <w:footnote w:id="265">
    <w:p w14:paraId="2AACB7AE" w14:textId="77777777" w:rsidR="009A4A6F" w:rsidRDefault="009A4A6F" w:rsidP="009A4A6F">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Ibid.</w:t>
      </w:r>
    </w:p>
  </w:footnote>
  <w:footnote w:id="266">
    <w:p w14:paraId="3F0F60EF" w14:textId="77777777" w:rsidR="009A4A6F" w:rsidRDefault="009A4A6F" w:rsidP="009A4A6F">
      <w:pPr>
        <w:pStyle w:val="FootnoteText"/>
        <w:rPr>
          <w:rFonts w:ascii="Times New Roman" w:hAnsi="Times New Roman" w:cs="Times New Roman"/>
          <w:color w:val="000000" w:themeColor="text1"/>
          <w:lang w:val="en-GB" w:eastAsia="en-GB"/>
        </w:rPr>
      </w:pPr>
      <w:r>
        <w:rPr>
          <w:rStyle w:val="FootnoteReference"/>
          <w:color w:val="000000" w:themeColor="text1"/>
        </w:rPr>
        <w:footnoteRef/>
      </w:r>
      <w:r>
        <w:rPr>
          <w:rFonts w:ascii="Times New Roman" w:hAnsi="Times New Roman" w:cs="Times New Roman"/>
          <w:color w:val="000000" w:themeColor="text1"/>
          <w:lang w:eastAsia="en-GB"/>
        </w:rPr>
        <w:t xml:space="preserve"> </w:t>
      </w:r>
      <w:r>
        <w:rPr>
          <w:rFonts w:ascii="Times New Roman" w:hAnsi="Times New Roman" w:cs="Times New Roman"/>
          <w:i/>
          <w:color w:val="000000" w:themeColor="text1"/>
          <w:lang w:eastAsia="en-GB"/>
        </w:rPr>
        <w:t xml:space="preserve">Wyatt v. Stickney </w:t>
      </w:r>
      <w:r>
        <w:rPr>
          <w:rFonts w:ascii="Times New Roman" w:hAnsi="Times New Roman" w:cs="Times New Roman"/>
          <w:color w:val="000000" w:themeColor="text1"/>
          <w:lang w:eastAsia="en-GB"/>
        </w:rPr>
        <w:t>325 F. supp. 781 (M.D. Ala. 1971).</w:t>
      </w:r>
    </w:p>
  </w:footnote>
  <w:footnote w:id="267">
    <w:p w14:paraId="4C0678AE" w14:textId="77777777" w:rsidR="009A4A6F" w:rsidRDefault="009A4A6F" w:rsidP="009A4A6F">
      <w:pPr>
        <w:pStyle w:val="FootnoteText"/>
        <w:rPr>
          <w:rFonts w:ascii="Times New Roman" w:hAnsi="Times New Roman" w:cs="Times New Roman"/>
          <w:color w:val="000000" w:themeColor="text1"/>
          <w:lang w:eastAsia="en-GB"/>
        </w:rPr>
      </w:pPr>
      <w:r>
        <w:rPr>
          <w:rStyle w:val="FootnoteReference"/>
          <w:color w:val="000000" w:themeColor="text1"/>
        </w:rPr>
        <w:footnoteRef/>
      </w:r>
      <w:r>
        <w:rPr>
          <w:rFonts w:ascii="Times New Roman" w:hAnsi="Times New Roman" w:cs="Times New Roman"/>
          <w:color w:val="000000" w:themeColor="text1"/>
          <w:lang w:eastAsia="en-GB"/>
        </w:rPr>
        <w:t xml:space="preserve"> Article 25, United Nations Universal Declaration of Human Rights, 1948.</w:t>
      </w:r>
    </w:p>
  </w:footnote>
  <w:footnote w:id="268">
    <w:p w14:paraId="2F508C78" w14:textId="77777777" w:rsidR="009A4A6F" w:rsidRDefault="009A4A6F" w:rsidP="009A4A6F">
      <w:pPr>
        <w:pStyle w:val="FootnoteText"/>
        <w:rPr>
          <w:rFonts w:ascii="Times New Roman" w:hAnsi="Times New Roman" w:cs="Times New Roman"/>
          <w:color w:val="000000" w:themeColor="text1"/>
          <w:lang w:eastAsia="en-GB"/>
        </w:rPr>
      </w:pPr>
      <w:r>
        <w:rPr>
          <w:rStyle w:val="FootnoteReference"/>
          <w:color w:val="000000" w:themeColor="text1"/>
        </w:rPr>
        <w:footnoteRef/>
      </w:r>
      <w:r>
        <w:rPr>
          <w:rFonts w:ascii="Times New Roman" w:hAnsi="Times New Roman" w:cs="Times New Roman"/>
          <w:color w:val="000000" w:themeColor="text1"/>
          <w:lang w:eastAsia="en-GB"/>
        </w:rPr>
        <w:t xml:space="preserve"> S.20(1), National Health Act, 2014.</w:t>
      </w:r>
    </w:p>
  </w:footnote>
  <w:footnote w:id="269">
    <w:p w14:paraId="4029A897" w14:textId="77777777" w:rsidR="009A4A6F" w:rsidRDefault="009A4A6F" w:rsidP="009A4A6F">
      <w:pPr>
        <w:pStyle w:val="FootnoteText"/>
        <w:rPr>
          <w:rFonts w:ascii="Times New Roman" w:hAnsi="Times New Roman" w:cs="Times New Roman"/>
          <w:color w:val="000000" w:themeColor="text1"/>
          <w:lang w:eastAsia="en-GB"/>
        </w:rPr>
      </w:pPr>
      <w:r>
        <w:rPr>
          <w:rStyle w:val="FootnoteReference"/>
          <w:color w:val="000000" w:themeColor="text1"/>
        </w:rPr>
        <w:footnoteRef/>
      </w:r>
      <w:r>
        <w:rPr>
          <w:rFonts w:ascii="Times New Roman" w:hAnsi="Times New Roman" w:cs="Times New Roman"/>
          <w:color w:val="000000" w:themeColor="text1"/>
          <w:lang w:eastAsia="en-GB"/>
        </w:rPr>
        <w:t xml:space="preserve"> S. 20(2), National Health Act, 2014.</w:t>
      </w:r>
    </w:p>
  </w:footnote>
  <w:footnote w:id="270">
    <w:p w14:paraId="19359042" w14:textId="77777777" w:rsidR="009A4A6F" w:rsidRDefault="009A4A6F" w:rsidP="009A4A6F">
      <w:pPr>
        <w:pStyle w:val="FootnoteText"/>
        <w:rPr>
          <w:rFonts w:ascii="Times New Roman" w:hAnsi="Times New Roman" w:cs="Times New Roman"/>
          <w:lang w:eastAsia="en-GB"/>
        </w:rPr>
      </w:pPr>
      <w:r>
        <w:rPr>
          <w:rStyle w:val="FootnoteReference"/>
        </w:rPr>
        <w:footnoteRef/>
      </w:r>
      <w:r>
        <w:rPr>
          <w:rFonts w:ascii="Times New Roman" w:hAnsi="Times New Roman" w:cs="Times New Roman"/>
          <w:lang w:eastAsia="en-GB"/>
        </w:rPr>
        <w:t xml:space="preserve"> &lt; </w:t>
      </w:r>
      <w:hyperlink r:id="rId45" w:history="1">
        <w:r>
          <w:rPr>
            <w:rStyle w:val="Hyperlink"/>
            <w:rFonts w:ascii="Times New Roman" w:hAnsi="Times New Roman" w:cs="Times New Roman"/>
          </w:rPr>
          <w:t>https://wilanglobal.org/reimagining-nigerias-healthcare-system-addressing-the-urgent-needs/</w:t>
        </w:r>
      </w:hyperlink>
      <w:r>
        <w:rPr>
          <w:rFonts w:ascii="Times New Roman" w:hAnsi="Times New Roman" w:cs="Times New Roman"/>
          <w:lang w:eastAsia="en-GB"/>
        </w:rPr>
        <w:t>&gt; accessed 8April 2026.</w:t>
      </w:r>
    </w:p>
  </w:footnote>
  <w:footnote w:id="271">
    <w:p w14:paraId="36EC00EE" w14:textId="77777777" w:rsidR="009A4A6F" w:rsidRDefault="009A4A6F" w:rsidP="009A4A6F">
      <w:pPr>
        <w:pStyle w:val="FootnoteText"/>
        <w:rPr>
          <w:rFonts w:ascii="Times New Roman" w:hAnsi="Times New Roman" w:cs="Times New Roman"/>
          <w:lang w:val="en-GB" w:eastAsia="en-GB"/>
        </w:rPr>
      </w:pPr>
      <w:r>
        <w:rPr>
          <w:rStyle w:val="FootnoteReference"/>
        </w:rPr>
        <w:footnoteRef/>
      </w:r>
      <w:r>
        <w:rPr>
          <w:rFonts w:ascii="Times New Roman" w:hAnsi="Times New Roman" w:cs="Times New Roman"/>
          <w:lang w:eastAsia="en-GB"/>
        </w:rPr>
        <w:t xml:space="preserve"> Ibid.</w:t>
      </w:r>
    </w:p>
  </w:footnote>
  <w:footnote w:id="272">
    <w:p w14:paraId="16EC72D8" w14:textId="77777777" w:rsidR="009A4A6F" w:rsidRDefault="009A4A6F" w:rsidP="009A4A6F">
      <w:pPr>
        <w:pStyle w:val="FootnoteText"/>
        <w:rPr>
          <w:rFonts w:ascii="Times New Roman" w:hAnsi="Times New Roman" w:cs="Times New Roman"/>
          <w:lang w:eastAsia="en-GB"/>
        </w:rPr>
      </w:pPr>
      <w:r>
        <w:rPr>
          <w:rStyle w:val="FootnoteReference"/>
        </w:rPr>
        <w:footnoteRef/>
      </w:r>
      <w:r>
        <w:rPr>
          <w:rFonts w:ascii="Times New Roman" w:hAnsi="Times New Roman" w:cs="Times New Roman"/>
          <w:lang w:eastAsia="en-GB"/>
        </w:rPr>
        <w:t xml:space="preserve"> Ibid.</w:t>
      </w:r>
    </w:p>
  </w:footnote>
  <w:footnote w:id="273">
    <w:p w14:paraId="07FE8DC8" w14:textId="77777777" w:rsidR="009A4A6F" w:rsidRDefault="009A4A6F" w:rsidP="009A4A6F">
      <w:pPr>
        <w:pStyle w:val="FootnoteText"/>
        <w:rPr>
          <w:rFonts w:ascii="Times New Roman" w:hAnsi="Times New Roman" w:cs="Times New Roman"/>
          <w:lang w:eastAsia="en-GB"/>
        </w:rPr>
      </w:pPr>
      <w:r>
        <w:rPr>
          <w:rStyle w:val="FootnoteReference"/>
        </w:rPr>
        <w:footnoteRef/>
      </w:r>
      <w:r>
        <w:rPr>
          <w:rFonts w:ascii="Times New Roman" w:hAnsi="Times New Roman" w:cs="Times New Roman"/>
          <w:lang w:eastAsia="en-GB"/>
        </w:rPr>
        <w:t xml:space="preserve"> Ibid.</w:t>
      </w:r>
    </w:p>
  </w:footnote>
  <w:footnote w:id="274">
    <w:p w14:paraId="4B91E5CE" w14:textId="77777777" w:rsidR="009A4A6F" w:rsidRDefault="009A4A6F" w:rsidP="009A4A6F">
      <w:pPr>
        <w:pStyle w:val="FootnoteText"/>
        <w:rPr>
          <w:rFonts w:ascii="Times New Roman" w:hAnsi="Times New Roman" w:cs="Times New Roman"/>
          <w:lang w:eastAsia="en-GB"/>
        </w:rPr>
      </w:pPr>
      <w:r>
        <w:rPr>
          <w:rStyle w:val="FootnoteReference"/>
        </w:rPr>
        <w:footnoteRef/>
      </w:r>
      <w:r>
        <w:rPr>
          <w:rFonts w:ascii="Times New Roman" w:hAnsi="Times New Roman" w:cs="Times New Roman"/>
          <w:lang w:eastAsia="en-GB"/>
        </w:rPr>
        <w:t xml:space="preserve"> Ibid. </w:t>
      </w:r>
    </w:p>
  </w:footnote>
  <w:footnote w:id="275">
    <w:p w14:paraId="3729F9DC" w14:textId="77777777" w:rsidR="009A4A6F" w:rsidRDefault="009A4A6F" w:rsidP="009A4A6F">
      <w:pPr>
        <w:pStyle w:val="FootnoteText"/>
        <w:rPr>
          <w:rFonts w:ascii="Times New Roman" w:hAnsi="Times New Roman" w:cs="Times New Roman"/>
          <w:lang w:eastAsia="en-GB"/>
        </w:rPr>
      </w:pPr>
      <w:r>
        <w:rPr>
          <w:rStyle w:val="FootnoteReference"/>
        </w:rPr>
        <w:footnoteRef/>
      </w:r>
      <w:r>
        <w:rPr>
          <w:rFonts w:ascii="Times New Roman" w:hAnsi="Times New Roman" w:cs="Times New Roman"/>
          <w:lang w:eastAsia="en-GB"/>
        </w:rPr>
        <w:t xml:space="preserve"> Ibid.</w:t>
      </w:r>
    </w:p>
  </w:footnote>
  <w:footnote w:id="276">
    <w:p w14:paraId="60634795" w14:textId="77777777" w:rsidR="009A4A6F" w:rsidRDefault="009A4A6F" w:rsidP="009A4A6F">
      <w:pPr>
        <w:pStyle w:val="FootnoteText"/>
        <w:rPr>
          <w:rFonts w:ascii="Times New Roman" w:hAnsi="Times New Roman" w:cs="Times New Roman"/>
          <w:lang w:eastAsia="en-GB"/>
        </w:rPr>
      </w:pPr>
      <w:r>
        <w:rPr>
          <w:rStyle w:val="FootnoteReference"/>
        </w:rPr>
        <w:footnoteRef/>
      </w:r>
      <w:r>
        <w:rPr>
          <w:rFonts w:ascii="Times New Roman" w:hAnsi="Times New Roman" w:cs="Times New Roman"/>
          <w:lang w:eastAsia="en-GB"/>
        </w:rPr>
        <w:t xml:space="preserve"> Ibid.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50FC1"/>
    <w:multiLevelType w:val="multilevel"/>
    <w:tmpl w:val="325C500E"/>
    <w:lvl w:ilvl="0">
      <w:start w:val="1"/>
      <w:numFmt w:val="decimal"/>
      <w:lvlText w:val="%1"/>
      <w:lvlJc w:val="left"/>
      <w:pPr>
        <w:ind w:left="360" w:hanging="360"/>
      </w:pPr>
    </w:lvl>
    <w:lvl w:ilvl="1">
      <w:start w:val="6"/>
      <w:numFmt w:val="decimal"/>
      <w:lvlText w:val="%1.%2"/>
      <w:lvlJc w:val="left"/>
      <w:pPr>
        <w:ind w:left="345" w:hanging="360"/>
      </w:pPr>
    </w:lvl>
    <w:lvl w:ilvl="2">
      <w:start w:val="1"/>
      <w:numFmt w:val="decimal"/>
      <w:lvlText w:val="%1.%2.%3"/>
      <w:lvlJc w:val="left"/>
      <w:pPr>
        <w:ind w:left="690" w:hanging="720"/>
      </w:pPr>
    </w:lvl>
    <w:lvl w:ilvl="3">
      <w:start w:val="1"/>
      <w:numFmt w:val="decimal"/>
      <w:lvlText w:val="%1.%2.%3.%4"/>
      <w:lvlJc w:val="left"/>
      <w:pPr>
        <w:ind w:left="675" w:hanging="720"/>
      </w:pPr>
    </w:lvl>
    <w:lvl w:ilvl="4">
      <w:start w:val="1"/>
      <w:numFmt w:val="decimal"/>
      <w:lvlText w:val="%1.%2.%3.%4.%5"/>
      <w:lvlJc w:val="left"/>
      <w:pPr>
        <w:ind w:left="1020" w:hanging="1080"/>
      </w:pPr>
    </w:lvl>
    <w:lvl w:ilvl="5">
      <w:start w:val="1"/>
      <w:numFmt w:val="decimal"/>
      <w:lvlText w:val="%1.%2.%3.%4.%5.%6"/>
      <w:lvlJc w:val="left"/>
      <w:pPr>
        <w:ind w:left="1005" w:hanging="1080"/>
      </w:pPr>
    </w:lvl>
    <w:lvl w:ilvl="6">
      <w:start w:val="1"/>
      <w:numFmt w:val="decimal"/>
      <w:lvlText w:val="%1.%2.%3.%4.%5.%6.%7"/>
      <w:lvlJc w:val="left"/>
      <w:pPr>
        <w:ind w:left="1350" w:hanging="1440"/>
      </w:pPr>
    </w:lvl>
    <w:lvl w:ilvl="7">
      <w:start w:val="1"/>
      <w:numFmt w:val="decimal"/>
      <w:lvlText w:val="%1.%2.%3.%4.%5.%6.%7.%8"/>
      <w:lvlJc w:val="left"/>
      <w:pPr>
        <w:ind w:left="1335" w:hanging="1440"/>
      </w:pPr>
    </w:lvl>
    <w:lvl w:ilvl="8">
      <w:start w:val="1"/>
      <w:numFmt w:val="decimal"/>
      <w:lvlText w:val="%1.%2.%3.%4.%5.%6.%7.%8.%9"/>
      <w:lvlJc w:val="left"/>
      <w:pPr>
        <w:ind w:left="1680" w:hanging="1800"/>
      </w:pPr>
    </w:lvl>
  </w:abstractNum>
  <w:abstractNum w:abstractNumId="1" w15:restartNumberingAfterBreak="0">
    <w:nsid w:val="072C4EFC"/>
    <w:multiLevelType w:val="hybridMultilevel"/>
    <w:tmpl w:val="7CA67386"/>
    <w:lvl w:ilvl="0" w:tplc="F2D2EED8">
      <w:start w:val="1"/>
      <w:numFmt w:val="lowerRoman"/>
      <w:lvlText w:val="%1."/>
      <w:lvlJc w:val="left"/>
      <w:pPr>
        <w:ind w:left="730" w:hanging="720"/>
      </w:pPr>
    </w:lvl>
    <w:lvl w:ilvl="1" w:tplc="08090019">
      <w:start w:val="1"/>
      <w:numFmt w:val="lowerLetter"/>
      <w:lvlText w:val="%2."/>
      <w:lvlJc w:val="left"/>
      <w:pPr>
        <w:ind w:left="1090" w:hanging="360"/>
      </w:pPr>
    </w:lvl>
    <w:lvl w:ilvl="2" w:tplc="0809001B">
      <w:start w:val="1"/>
      <w:numFmt w:val="lowerRoman"/>
      <w:lvlText w:val="%3."/>
      <w:lvlJc w:val="right"/>
      <w:pPr>
        <w:ind w:left="1810" w:hanging="180"/>
      </w:pPr>
    </w:lvl>
    <w:lvl w:ilvl="3" w:tplc="0809000F">
      <w:start w:val="1"/>
      <w:numFmt w:val="decimal"/>
      <w:lvlText w:val="%4."/>
      <w:lvlJc w:val="left"/>
      <w:pPr>
        <w:ind w:left="2530" w:hanging="360"/>
      </w:pPr>
    </w:lvl>
    <w:lvl w:ilvl="4" w:tplc="08090019">
      <w:start w:val="1"/>
      <w:numFmt w:val="lowerLetter"/>
      <w:lvlText w:val="%5."/>
      <w:lvlJc w:val="left"/>
      <w:pPr>
        <w:ind w:left="3250" w:hanging="360"/>
      </w:pPr>
    </w:lvl>
    <w:lvl w:ilvl="5" w:tplc="0809001B">
      <w:start w:val="1"/>
      <w:numFmt w:val="lowerRoman"/>
      <w:lvlText w:val="%6."/>
      <w:lvlJc w:val="right"/>
      <w:pPr>
        <w:ind w:left="3970" w:hanging="180"/>
      </w:pPr>
    </w:lvl>
    <w:lvl w:ilvl="6" w:tplc="0809000F">
      <w:start w:val="1"/>
      <w:numFmt w:val="decimal"/>
      <w:lvlText w:val="%7."/>
      <w:lvlJc w:val="left"/>
      <w:pPr>
        <w:ind w:left="4690" w:hanging="360"/>
      </w:pPr>
    </w:lvl>
    <w:lvl w:ilvl="7" w:tplc="08090019">
      <w:start w:val="1"/>
      <w:numFmt w:val="lowerLetter"/>
      <w:lvlText w:val="%8."/>
      <w:lvlJc w:val="left"/>
      <w:pPr>
        <w:ind w:left="5410" w:hanging="360"/>
      </w:pPr>
    </w:lvl>
    <w:lvl w:ilvl="8" w:tplc="0809001B">
      <w:start w:val="1"/>
      <w:numFmt w:val="lowerRoman"/>
      <w:lvlText w:val="%9."/>
      <w:lvlJc w:val="right"/>
      <w:pPr>
        <w:ind w:left="6130" w:hanging="180"/>
      </w:pPr>
    </w:lvl>
  </w:abstractNum>
  <w:abstractNum w:abstractNumId="2" w15:restartNumberingAfterBreak="0">
    <w:nsid w:val="0D233518"/>
    <w:multiLevelType w:val="hybridMultilevel"/>
    <w:tmpl w:val="3E547B8C"/>
    <w:lvl w:ilvl="0" w:tplc="505686F8">
      <w:start w:val="1"/>
      <w:numFmt w:val="decimal"/>
      <w:lvlText w:val="%1."/>
      <w:lvlJc w:val="left"/>
      <w:pPr>
        <w:ind w:left="1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37A06312">
      <w:start w:val="1"/>
      <w:numFmt w:val="lowerLetter"/>
      <w:lvlText w:val="%2"/>
      <w:lvlJc w:val="left"/>
      <w:pPr>
        <w:ind w:left="10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24F2C8A4">
      <w:start w:val="1"/>
      <w:numFmt w:val="lowerRoman"/>
      <w:lvlText w:val="%3"/>
      <w:lvlJc w:val="left"/>
      <w:pPr>
        <w:ind w:left="18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D0C496D6">
      <w:start w:val="1"/>
      <w:numFmt w:val="decimal"/>
      <w:lvlText w:val="%4"/>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1040BC0A">
      <w:start w:val="1"/>
      <w:numFmt w:val="lowerLetter"/>
      <w:lvlText w:val="%5"/>
      <w:lvlJc w:val="left"/>
      <w:pPr>
        <w:ind w:left="32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64EE84DC">
      <w:start w:val="1"/>
      <w:numFmt w:val="lowerRoman"/>
      <w:lvlText w:val="%6"/>
      <w:lvlJc w:val="left"/>
      <w:pPr>
        <w:ind w:left="39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8920F7B6">
      <w:start w:val="1"/>
      <w:numFmt w:val="decimal"/>
      <w:lvlText w:val="%7"/>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C15A3A6A">
      <w:start w:val="1"/>
      <w:numFmt w:val="lowerLetter"/>
      <w:lvlText w:val="%8"/>
      <w:lvlJc w:val="left"/>
      <w:pPr>
        <w:ind w:left="54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6F00CF62">
      <w:start w:val="1"/>
      <w:numFmt w:val="lowerRoman"/>
      <w:lvlText w:val="%9"/>
      <w:lvlJc w:val="left"/>
      <w:pPr>
        <w:ind w:left="61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3" w15:restartNumberingAfterBreak="0">
    <w:nsid w:val="1A9B5B08"/>
    <w:multiLevelType w:val="hybridMultilevel"/>
    <w:tmpl w:val="A356A2D2"/>
    <w:lvl w:ilvl="0" w:tplc="0409001B">
      <w:start w:val="1"/>
      <w:numFmt w:val="lowerRoman"/>
      <w:lvlText w:val="%1."/>
      <w:lvlJc w:val="right"/>
      <w:pPr>
        <w:ind w:left="960" w:hanging="360"/>
      </w:p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4" w15:restartNumberingAfterBreak="0">
    <w:nsid w:val="218B76D0"/>
    <w:multiLevelType w:val="hybridMultilevel"/>
    <w:tmpl w:val="A972FFBA"/>
    <w:lvl w:ilvl="0" w:tplc="2000000F">
      <w:start w:val="1"/>
      <w:numFmt w:val="decimal"/>
      <w:lvlText w:val="%1."/>
      <w:lvlJc w:val="left"/>
      <w:pPr>
        <w:ind w:left="785" w:hanging="360"/>
      </w:pPr>
    </w:lvl>
    <w:lvl w:ilvl="1" w:tplc="20000019" w:tentative="1">
      <w:start w:val="1"/>
      <w:numFmt w:val="lowerLetter"/>
      <w:lvlText w:val="%2."/>
      <w:lvlJc w:val="left"/>
      <w:pPr>
        <w:ind w:left="1505" w:hanging="360"/>
      </w:pPr>
    </w:lvl>
    <w:lvl w:ilvl="2" w:tplc="2000001B" w:tentative="1">
      <w:start w:val="1"/>
      <w:numFmt w:val="lowerRoman"/>
      <w:lvlText w:val="%3."/>
      <w:lvlJc w:val="right"/>
      <w:pPr>
        <w:ind w:left="2225" w:hanging="180"/>
      </w:pPr>
    </w:lvl>
    <w:lvl w:ilvl="3" w:tplc="2000000F" w:tentative="1">
      <w:start w:val="1"/>
      <w:numFmt w:val="decimal"/>
      <w:lvlText w:val="%4."/>
      <w:lvlJc w:val="left"/>
      <w:pPr>
        <w:ind w:left="2945" w:hanging="360"/>
      </w:pPr>
    </w:lvl>
    <w:lvl w:ilvl="4" w:tplc="20000019" w:tentative="1">
      <w:start w:val="1"/>
      <w:numFmt w:val="lowerLetter"/>
      <w:lvlText w:val="%5."/>
      <w:lvlJc w:val="left"/>
      <w:pPr>
        <w:ind w:left="3665" w:hanging="360"/>
      </w:pPr>
    </w:lvl>
    <w:lvl w:ilvl="5" w:tplc="2000001B" w:tentative="1">
      <w:start w:val="1"/>
      <w:numFmt w:val="lowerRoman"/>
      <w:lvlText w:val="%6."/>
      <w:lvlJc w:val="right"/>
      <w:pPr>
        <w:ind w:left="4385" w:hanging="180"/>
      </w:pPr>
    </w:lvl>
    <w:lvl w:ilvl="6" w:tplc="2000000F" w:tentative="1">
      <w:start w:val="1"/>
      <w:numFmt w:val="decimal"/>
      <w:lvlText w:val="%7."/>
      <w:lvlJc w:val="left"/>
      <w:pPr>
        <w:ind w:left="5105" w:hanging="360"/>
      </w:pPr>
    </w:lvl>
    <w:lvl w:ilvl="7" w:tplc="20000019" w:tentative="1">
      <w:start w:val="1"/>
      <w:numFmt w:val="lowerLetter"/>
      <w:lvlText w:val="%8."/>
      <w:lvlJc w:val="left"/>
      <w:pPr>
        <w:ind w:left="5825" w:hanging="360"/>
      </w:pPr>
    </w:lvl>
    <w:lvl w:ilvl="8" w:tplc="2000001B" w:tentative="1">
      <w:start w:val="1"/>
      <w:numFmt w:val="lowerRoman"/>
      <w:lvlText w:val="%9."/>
      <w:lvlJc w:val="right"/>
      <w:pPr>
        <w:ind w:left="6545" w:hanging="180"/>
      </w:pPr>
    </w:lvl>
  </w:abstractNum>
  <w:abstractNum w:abstractNumId="5" w15:restartNumberingAfterBreak="0">
    <w:nsid w:val="23F64226"/>
    <w:multiLevelType w:val="hybridMultilevel"/>
    <w:tmpl w:val="D42C28CA"/>
    <w:lvl w:ilvl="0" w:tplc="04090013">
      <w:start w:val="1"/>
      <w:numFmt w:val="upp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2A4E218E"/>
    <w:multiLevelType w:val="hybridMultilevel"/>
    <w:tmpl w:val="0D78F758"/>
    <w:lvl w:ilvl="0" w:tplc="F2D2EED8">
      <w:start w:val="1"/>
      <w:numFmt w:val="lowerRoman"/>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AE834D2"/>
    <w:multiLevelType w:val="hybridMultilevel"/>
    <w:tmpl w:val="BFE65D90"/>
    <w:lvl w:ilvl="0" w:tplc="C0CA8014">
      <w:start w:val="1"/>
      <w:numFmt w:val="lowerRoman"/>
      <w:lvlText w:val="%1."/>
      <w:lvlJc w:val="left"/>
      <w:pPr>
        <w:ind w:left="1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0AD4AC92">
      <w:start w:val="1"/>
      <w:numFmt w:val="lowerLetter"/>
      <w:lvlText w:val="%2"/>
      <w:lvlJc w:val="left"/>
      <w:pPr>
        <w:ind w:left="10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DE1EC6F8">
      <w:start w:val="1"/>
      <w:numFmt w:val="lowerRoman"/>
      <w:lvlText w:val="%3"/>
      <w:lvlJc w:val="left"/>
      <w:pPr>
        <w:ind w:left="18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95B003BA">
      <w:start w:val="1"/>
      <w:numFmt w:val="decimal"/>
      <w:lvlText w:val="%4"/>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30DCC630">
      <w:start w:val="1"/>
      <w:numFmt w:val="lowerLetter"/>
      <w:lvlText w:val="%5"/>
      <w:lvlJc w:val="left"/>
      <w:pPr>
        <w:ind w:left="32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A81020E8">
      <w:start w:val="1"/>
      <w:numFmt w:val="lowerRoman"/>
      <w:lvlText w:val="%6"/>
      <w:lvlJc w:val="left"/>
      <w:pPr>
        <w:ind w:left="39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E6225F9C">
      <w:start w:val="1"/>
      <w:numFmt w:val="decimal"/>
      <w:lvlText w:val="%7"/>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69508378">
      <w:start w:val="1"/>
      <w:numFmt w:val="lowerLetter"/>
      <w:lvlText w:val="%8"/>
      <w:lvlJc w:val="left"/>
      <w:pPr>
        <w:ind w:left="54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F1608FE4">
      <w:start w:val="1"/>
      <w:numFmt w:val="lowerRoman"/>
      <w:lvlText w:val="%9"/>
      <w:lvlJc w:val="left"/>
      <w:pPr>
        <w:ind w:left="61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8" w15:restartNumberingAfterBreak="0">
    <w:nsid w:val="3B0E56D0"/>
    <w:multiLevelType w:val="hybridMultilevel"/>
    <w:tmpl w:val="4EA0D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D14659"/>
    <w:multiLevelType w:val="multilevel"/>
    <w:tmpl w:val="FF423F4C"/>
    <w:lvl w:ilvl="0">
      <w:start w:val="1"/>
      <w:numFmt w:val="decimal"/>
      <w:lvlText w:val="%1"/>
      <w:lvlJc w:val="left"/>
      <w:pPr>
        <w:ind w:left="480" w:hanging="480"/>
      </w:pPr>
    </w:lvl>
    <w:lvl w:ilvl="1">
      <w:start w:val="7"/>
      <w:numFmt w:val="decimal"/>
      <w:lvlText w:val="%1.%2"/>
      <w:lvlJc w:val="left"/>
      <w:pPr>
        <w:ind w:left="473" w:hanging="480"/>
      </w:pPr>
    </w:lvl>
    <w:lvl w:ilvl="2">
      <w:start w:val="3"/>
      <w:numFmt w:val="decimal"/>
      <w:lvlText w:val="%1.%2.%3"/>
      <w:lvlJc w:val="left"/>
      <w:pPr>
        <w:ind w:left="706" w:hanging="720"/>
      </w:pPr>
    </w:lvl>
    <w:lvl w:ilvl="3">
      <w:start w:val="1"/>
      <w:numFmt w:val="decimal"/>
      <w:lvlText w:val="%1.%2.%3.%4"/>
      <w:lvlJc w:val="left"/>
      <w:pPr>
        <w:ind w:left="699" w:hanging="720"/>
      </w:pPr>
    </w:lvl>
    <w:lvl w:ilvl="4">
      <w:start w:val="1"/>
      <w:numFmt w:val="decimal"/>
      <w:lvlText w:val="%1.%2.%3.%4.%5"/>
      <w:lvlJc w:val="left"/>
      <w:pPr>
        <w:ind w:left="1052" w:hanging="1080"/>
      </w:pPr>
    </w:lvl>
    <w:lvl w:ilvl="5">
      <w:start w:val="1"/>
      <w:numFmt w:val="decimal"/>
      <w:lvlText w:val="%1.%2.%3.%4.%5.%6"/>
      <w:lvlJc w:val="left"/>
      <w:pPr>
        <w:ind w:left="1045" w:hanging="1080"/>
      </w:pPr>
    </w:lvl>
    <w:lvl w:ilvl="6">
      <w:start w:val="1"/>
      <w:numFmt w:val="decimal"/>
      <w:lvlText w:val="%1.%2.%3.%4.%5.%6.%7"/>
      <w:lvlJc w:val="left"/>
      <w:pPr>
        <w:ind w:left="1398" w:hanging="1440"/>
      </w:pPr>
    </w:lvl>
    <w:lvl w:ilvl="7">
      <w:start w:val="1"/>
      <w:numFmt w:val="decimal"/>
      <w:lvlText w:val="%1.%2.%3.%4.%5.%6.%7.%8"/>
      <w:lvlJc w:val="left"/>
      <w:pPr>
        <w:ind w:left="1391" w:hanging="1440"/>
      </w:pPr>
    </w:lvl>
    <w:lvl w:ilvl="8">
      <w:start w:val="1"/>
      <w:numFmt w:val="decimal"/>
      <w:lvlText w:val="%1.%2.%3.%4.%5.%6.%7.%8.%9"/>
      <w:lvlJc w:val="left"/>
      <w:pPr>
        <w:ind w:left="1744" w:hanging="1800"/>
      </w:pPr>
    </w:lvl>
  </w:abstractNum>
  <w:abstractNum w:abstractNumId="10" w15:restartNumberingAfterBreak="0">
    <w:nsid w:val="40ED04AC"/>
    <w:multiLevelType w:val="hybridMultilevel"/>
    <w:tmpl w:val="E286C12C"/>
    <w:lvl w:ilvl="0" w:tplc="280CE076">
      <w:start w:val="1"/>
      <w:numFmt w:val="lowerRoman"/>
      <w:lvlText w:val="%1."/>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A32882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21E604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47AA0C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020AAA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B3C1F4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AEC7DC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6C4599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3C8AE1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46BA0435"/>
    <w:multiLevelType w:val="hybridMultilevel"/>
    <w:tmpl w:val="CB9E079E"/>
    <w:lvl w:ilvl="0" w:tplc="FFFFFFFF">
      <w:numFmt w:val="bullet"/>
      <w:lvlText w:val="–"/>
      <w:lvlJc w:val="left"/>
      <w:pPr>
        <w:ind w:left="600" w:hanging="360"/>
      </w:pPr>
      <w:rPr>
        <w:rFonts w:ascii="Times New Roman" w:eastAsiaTheme="minorHAnsi" w:hAnsi="Times New Roman" w:cs="Times New Roman"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12" w15:restartNumberingAfterBreak="0">
    <w:nsid w:val="48650915"/>
    <w:multiLevelType w:val="hybridMultilevel"/>
    <w:tmpl w:val="4746CFE0"/>
    <w:lvl w:ilvl="0" w:tplc="50C403EE">
      <w:start w:val="1"/>
      <w:numFmt w:val="lowerRoman"/>
      <w:lvlText w:val="%1."/>
      <w:lvlJc w:val="left"/>
      <w:pPr>
        <w:ind w:left="1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26D06308">
      <w:start w:val="1"/>
      <w:numFmt w:val="lowerLetter"/>
      <w:lvlText w:val="%2"/>
      <w:lvlJc w:val="left"/>
      <w:pPr>
        <w:ind w:left="10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B7469D6A">
      <w:start w:val="1"/>
      <w:numFmt w:val="lowerRoman"/>
      <w:lvlText w:val="%3"/>
      <w:lvlJc w:val="left"/>
      <w:pPr>
        <w:ind w:left="18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519E756C">
      <w:start w:val="1"/>
      <w:numFmt w:val="decimal"/>
      <w:lvlText w:val="%4"/>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3FCA753E">
      <w:start w:val="1"/>
      <w:numFmt w:val="lowerLetter"/>
      <w:lvlText w:val="%5"/>
      <w:lvlJc w:val="left"/>
      <w:pPr>
        <w:ind w:left="32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4142F8D2">
      <w:start w:val="1"/>
      <w:numFmt w:val="lowerRoman"/>
      <w:lvlText w:val="%6"/>
      <w:lvlJc w:val="left"/>
      <w:pPr>
        <w:ind w:left="39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152EFC3C">
      <w:start w:val="1"/>
      <w:numFmt w:val="decimal"/>
      <w:lvlText w:val="%7"/>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297264C4">
      <w:start w:val="1"/>
      <w:numFmt w:val="lowerLetter"/>
      <w:lvlText w:val="%8"/>
      <w:lvlJc w:val="left"/>
      <w:pPr>
        <w:ind w:left="54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2BC240AA">
      <w:start w:val="1"/>
      <w:numFmt w:val="lowerRoman"/>
      <w:lvlText w:val="%9"/>
      <w:lvlJc w:val="left"/>
      <w:pPr>
        <w:ind w:left="61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13" w15:restartNumberingAfterBreak="0">
    <w:nsid w:val="4F2C170D"/>
    <w:multiLevelType w:val="hybridMultilevel"/>
    <w:tmpl w:val="19927546"/>
    <w:lvl w:ilvl="0" w:tplc="9F4EDCBC">
      <w:start w:val="1"/>
      <w:numFmt w:val="lowerRoman"/>
      <w:lvlText w:val="%1."/>
      <w:lvlJc w:val="left"/>
      <w:pPr>
        <w:ind w:left="1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BA3E89A6">
      <w:start w:val="1"/>
      <w:numFmt w:val="lowerLetter"/>
      <w:lvlText w:val="%2"/>
      <w:lvlJc w:val="left"/>
      <w:pPr>
        <w:ind w:left="10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353CC5B6">
      <w:start w:val="1"/>
      <w:numFmt w:val="lowerRoman"/>
      <w:lvlText w:val="%3"/>
      <w:lvlJc w:val="left"/>
      <w:pPr>
        <w:ind w:left="18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543C09F6">
      <w:start w:val="1"/>
      <w:numFmt w:val="decimal"/>
      <w:lvlText w:val="%4"/>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993E5310">
      <w:start w:val="1"/>
      <w:numFmt w:val="lowerLetter"/>
      <w:lvlText w:val="%5"/>
      <w:lvlJc w:val="left"/>
      <w:pPr>
        <w:ind w:left="32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197E61A8">
      <w:start w:val="1"/>
      <w:numFmt w:val="lowerRoman"/>
      <w:lvlText w:val="%6"/>
      <w:lvlJc w:val="left"/>
      <w:pPr>
        <w:ind w:left="39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DF10083A">
      <w:start w:val="1"/>
      <w:numFmt w:val="decimal"/>
      <w:lvlText w:val="%7"/>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1A16081E">
      <w:start w:val="1"/>
      <w:numFmt w:val="lowerLetter"/>
      <w:lvlText w:val="%8"/>
      <w:lvlJc w:val="left"/>
      <w:pPr>
        <w:ind w:left="54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DDB04346">
      <w:start w:val="1"/>
      <w:numFmt w:val="lowerRoman"/>
      <w:lvlText w:val="%9"/>
      <w:lvlJc w:val="left"/>
      <w:pPr>
        <w:ind w:left="61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14" w15:restartNumberingAfterBreak="0">
    <w:nsid w:val="68C101B2"/>
    <w:multiLevelType w:val="hybridMultilevel"/>
    <w:tmpl w:val="937A2660"/>
    <w:lvl w:ilvl="0" w:tplc="04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20738D5"/>
    <w:multiLevelType w:val="hybridMultilevel"/>
    <w:tmpl w:val="0D7A7E82"/>
    <w:lvl w:ilvl="0" w:tplc="AE686E9E">
      <w:start w:val="1"/>
      <w:numFmt w:val="lowerRoman"/>
      <w:lvlText w:val="%1."/>
      <w:lvlJc w:val="left"/>
      <w:pPr>
        <w:ind w:left="15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1E889326">
      <w:start w:val="1"/>
      <w:numFmt w:val="lowerLetter"/>
      <w:lvlText w:val="%2"/>
      <w:lvlJc w:val="left"/>
      <w:pPr>
        <w:ind w:left="10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9A30BC4A">
      <w:start w:val="1"/>
      <w:numFmt w:val="lowerRoman"/>
      <w:lvlText w:val="%3"/>
      <w:lvlJc w:val="left"/>
      <w:pPr>
        <w:ind w:left="18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F51489A0">
      <w:start w:val="1"/>
      <w:numFmt w:val="decimal"/>
      <w:lvlText w:val="%4"/>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3EA6E1C2">
      <w:start w:val="1"/>
      <w:numFmt w:val="lowerLetter"/>
      <w:lvlText w:val="%5"/>
      <w:lvlJc w:val="left"/>
      <w:pPr>
        <w:ind w:left="32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5DB42622">
      <w:start w:val="1"/>
      <w:numFmt w:val="lowerRoman"/>
      <w:lvlText w:val="%6"/>
      <w:lvlJc w:val="left"/>
      <w:pPr>
        <w:ind w:left="39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718C726E">
      <w:start w:val="1"/>
      <w:numFmt w:val="decimal"/>
      <w:lvlText w:val="%7"/>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56DEDF84">
      <w:start w:val="1"/>
      <w:numFmt w:val="lowerLetter"/>
      <w:lvlText w:val="%8"/>
      <w:lvlJc w:val="left"/>
      <w:pPr>
        <w:ind w:left="54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8B105D9E">
      <w:start w:val="1"/>
      <w:numFmt w:val="lowerRoman"/>
      <w:lvlText w:val="%9"/>
      <w:lvlJc w:val="left"/>
      <w:pPr>
        <w:ind w:left="61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16" w15:restartNumberingAfterBreak="0">
    <w:nsid w:val="75B57427"/>
    <w:multiLevelType w:val="hybridMultilevel"/>
    <w:tmpl w:val="A0E874FA"/>
    <w:lvl w:ilvl="0" w:tplc="C0CA8014">
      <w:start w:val="1"/>
      <w:numFmt w:val="lowerRoman"/>
      <w:lvlText w:val="%1."/>
      <w:lvlJc w:val="left"/>
      <w:pPr>
        <w:ind w:left="1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37A06312">
      <w:start w:val="1"/>
      <w:numFmt w:val="lowerLetter"/>
      <w:lvlText w:val="%2"/>
      <w:lvlJc w:val="left"/>
      <w:pPr>
        <w:ind w:left="10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24F2C8A4">
      <w:start w:val="1"/>
      <w:numFmt w:val="lowerRoman"/>
      <w:lvlText w:val="%3"/>
      <w:lvlJc w:val="left"/>
      <w:pPr>
        <w:ind w:left="18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D0C496D6">
      <w:start w:val="1"/>
      <w:numFmt w:val="decimal"/>
      <w:lvlText w:val="%4"/>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1040BC0A">
      <w:start w:val="1"/>
      <w:numFmt w:val="lowerLetter"/>
      <w:lvlText w:val="%5"/>
      <w:lvlJc w:val="left"/>
      <w:pPr>
        <w:ind w:left="32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64EE84DC">
      <w:start w:val="1"/>
      <w:numFmt w:val="lowerRoman"/>
      <w:lvlText w:val="%6"/>
      <w:lvlJc w:val="left"/>
      <w:pPr>
        <w:ind w:left="39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8920F7B6">
      <w:start w:val="1"/>
      <w:numFmt w:val="decimal"/>
      <w:lvlText w:val="%7"/>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C15A3A6A">
      <w:start w:val="1"/>
      <w:numFmt w:val="lowerLetter"/>
      <w:lvlText w:val="%8"/>
      <w:lvlJc w:val="left"/>
      <w:pPr>
        <w:ind w:left="54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6F00CF62">
      <w:start w:val="1"/>
      <w:numFmt w:val="lowerRoman"/>
      <w:lvlText w:val="%9"/>
      <w:lvlJc w:val="left"/>
      <w:pPr>
        <w:ind w:left="61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17" w15:restartNumberingAfterBreak="0">
    <w:nsid w:val="792976F5"/>
    <w:multiLevelType w:val="hybridMultilevel"/>
    <w:tmpl w:val="D9FC1D68"/>
    <w:lvl w:ilvl="0" w:tplc="04090013">
      <w:start w:val="1"/>
      <w:numFmt w:val="upperRoman"/>
      <w:lvlText w:val="%1."/>
      <w:lvlJc w:val="righ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8" w15:restartNumberingAfterBreak="0">
    <w:nsid w:val="7CD8390B"/>
    <w:multiLevelType w:val="hybridMultilevel"/>
    <w:tmpl w:val="30CA0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1195261">
    <w:abstractNumId w:val="4"/>
  </w:num>
  <w:num w:numId="2" w16cid:durableId="9270394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878469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4767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64270075">
    <w:abstractNumId w:val="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010255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857263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71515336">
    <w:abstractNumId w:val="9"/>
    <w:lvlOverride w:ilvl="0">
      <w:startOverride w:val="1"/>
    </w:lvlOverride>
    <w:lvlOverride w:ilvl="1">
      <w:startOverride w:val="7"/>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816224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48209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33789774">
    <w:abstractNumId w:val="10"/>
  </w:num>
  <w:num w:numId="12" w16cid:durableId="940528019">
    <w:abstractNumId w:val="14"/>
  </w:num>
  <w:num w:numId="13" w16cid:durableId="247545033">
    <w:abstractNumId w:val="5"/>
  </w:num>
  <w:num w:numId="14" w16cid:durableId="1609116692">
    <w:abstractNumId w:val="18"/>
  </w:num>
  <w:num w:numId="15" w16cid:durableId="1786340197">
    <w:abstractNumId w:val="11"/>
  </w:num>
  <w:num w:numId="16" w16cid:durableId="666178882">
    <w:abstractNumId w:val="17"/>
  </w:num>
  <w:num w:numId="17" w16cid:durableId="1569807023">
    <w:abstractNumId w:val="3"/>
  </w:num>
  <w:num w:numId="18" w16cid:durableId="18590014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80378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613069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337814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850363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12924541">
    <w:abstractNumId w:val="1"/>
  </w:num>
  <w:num w:numId="24" w16cid:durableId="14676255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106"/>
    <w:rsid w:val="000039EC"/>
    <w:rsid w:val="00027FD4"/>
    <w:rsid w:val="00037A09"/>
    <w:rsid w:val="00052FF0"/>
    <w:rsid w:val="0005717D"/>
    <w:rsid w:val="0006076B"/>
    <w:rsid w:val="0006295F"/>
    <w:rsid w:val="00077706"/>
    <w:rsid w:val="00081208"/>
    <w:rsid w:val="000855B2"/>
    <w:rsid w:val="000A041C"/>
    <w:rsid w:val="000B07CE"/>
    <w:rsid w:val="000B5D1E"/>
    <w:rsid w:val="000C54A1"/>
    <w:rsid w:val="000C711B"/>
    <w:rsid w:val="000C7F0A"/>
    <w:rsid w:val="000D2567"/>
    <w:rsid w:val="000F2EA5"/>
    <w:rsid w:val="000F5014"/>
    <w:rsid w:val="00102CEB"/>
    <w:rsid w:val="00110A5D"/>
    <w:rsid w:val="001120E9"/>
    <w:rsid w:val="0011298E"/>
    <w:rsid w:val="00117DFF"/>
    <w:rsid w:val="001231F3"/>
    <w:rsid w:val="001460EA"/>
    <w:rsid w:val="00155BF0"/>
    <w:rsid w:val="0016162A"/>
    <w:rsid w:val="001660BC"/>
    <w:rsid w:val="0017579A"/>
    <w:rsid w:val="00184AF4"/>
    <w:rsid w:val="00190404"/>
    <w:rsid w:val="001A0D3F"/>
    <w:rsid w:val="001A7407"/>
    <w:rsid w:val="001B05E5"/>
    <w:rsid w:val="001B1706"/>
    <w:rsid w:val="001C2F82"/>
    <w:rsid w:val="001C65CB"/>
    <w:rsid w:val="001C65F4"/>
    <w:rsid w:val="001C7601"/>
    <w:rsid w:val="001C7DFD"/>
    <w:rsid w:val="001E1B24"/>
    <w:rsid w:val="001E2C9B"/>
    <w:rsid w:val="001E7EE3"/>
    <w:rsid w:val="00204208"/>
    <w:rsid w:val="00205F24"/>
    <w:rsid w:val="00206B0F"/>
    <w:rsid w:val="002126AA"/>
    <w:rsid w:val="00244602"/>
    <w:rsid w:val="002474CD"/>
    <w:rsid w:val="00263F68"/>
    <w:rsid w:val="0027546C"/>
    <w:rsid w:val="002768FF"/>
    <w:rsid w:val="00276DB9"/>
    <w:rsid w:val="002863EF"/>
    <w:rsid w:val="00286BA1"/>
    <w:rsid w:val="00290FEC"/>
    <w:rsid w:val="002926E7"/>
    <w:rsid w:val="00292E8A"/>
    <w:rsid w:val="00297FA2"/>
    <w:rsid w:val="002A22EE"/>
    <w:rsid w:val="002A310A"/>
    <w:rsid w:val="002B0F2D"/>
    <w:rsid w:val="002B65BC"/>
    <w:rsid w:val="002C5362"/>
    <w:rsid w:val="002D1C33"/>
    <w:rsid w:val="002D2251"/>
    <w:rsid w:val="002D6957"/>
    <w:rsid w:val="002D7BF6"/>
    <w:rsid w:val="002D7F58"/>
    <w:rsid w:val="002E0D1C"/>
    <w:rsid w:val="002F6069"/>
    <w:rsid w:val="00307BD5"/>
    <w:rsid w:val="00310D0C"/>
    <w:rsid w:val="003128FD"/>
    <w:rsid w:val="00317614"/>
    <w:rsid w:val="003229AA"/>
    <w:rsid w:val="00322D4E"/>
    <w:rsid w:val="00324EB7"/>
    <w:rsid w:val="00331176"/>
    <w:rsid w:val="00332364"/>
    <w:rsid w:val="00371FFA"/>
    <w:rsid w:val="0037248D"/>
    <w:rsid w:val="003964DB"/>
    <w:rsid w:val="003A6974"/>
    <w:rsid w:val="003B0C2C"/>
    <w:rsid w:val="003C3A12"/>
    <w:rsid w:val="003D3241"/>
    <w:rsid w:val="003D406C"/>
    <w:rsid w:val="003D42C3"/>
    <w:rsid w:val="003D628E"/>
    <w:rsid w:val="003D7465"/>
    <w:rsid w:val="003E0C6A"/>
    <w:rsid w:val="003E1D57"/>
    <w:rsid w:val="003E756C"/>
    <w:rsid w:val="003F54FD"/>
    <w:rsid w:val="003F6350"/>
    <w:rsid w:val="004048C7"/>
    <w:rsid w:val="00406547"/>
    <w:rsid w:val="00417ACA"/>
    <w:rsid w:val="0044701C"/>
    <w:rsid w:val="00447DB7"/>
    <w:rsid w:val="00450FE7"/>
    <w:rsid w:val="00454736"/>
    <w:rsid w:val="00455B81"/>
    <w:rsid w:val="00461422"/>
    <w:rsid w:val="0046165A"/>
    <w:rsid w:val="00470A64"/>
    <w:rsid w:val="004732F0"/>
    <w:rsid w:val="0047586A"/>
    <w:rsid w:val="0047616E"/>
    <w:rsid w:val="00476179"/>
    <w:rsid w:val="004821B5"/>
    <w:rsid w:val="00494175"/>
    <w:rsid w:val="00494FDD"/>
    <w:rsid w:val="0049510A"/>
    <w:rsid w:val="004A6527"/>
    <w:rsid w:val="004A6EF1"/>
    <w:rsid w:val="004B1B52"/>
    <w:rsid w:val="004B2083"/>
    <w:rsid w:val="004B5D66"/>
    <w:rsid w:val="004D14B0"/>
    <w:rsid w:val="004F3E16"/>
    <w:rsid w:val="004F7B11"/>
    <w:rsid w:val="0050439A"/>
    <w:rsid w:val="005073B8"/>
    <w:rsid w:val="00507525"/>
    <w:rsid w:val="00513B77"/>
    <w:rsid w:val="00515999"/>
    <w:rsid w:val="00516431"/>
    <w:rsid w:val="00523F29"/>
    <w:rsid w:val="0053094C"/>
    <w:rsid w:val="00534FC4"/>
    <w:rsid w:val="00536F31"/>
    <w:rsid w:val="0054104B"/>
    <w:rsid w:val="005561B6"/>
    <w:rsid w:val="00560F25"/>
    <w:rsid w:val="00561ED4"/>
    <w:rsid w:val="00565AF6"/>
    <w:rsid w:val="0056755E"/>
    <w:rsid w:val="0057128A"/>
    <w:rsid w:val="00575FC2"/>
    <w:rsid w:val="00582CF4"/>
    <w:rsid w:val="005A4F54"/>
    <w:rsid w:val="005B1ED3"/>
    <w:rsid w:val="005B5FBE"/>
    <w:rsid w:val="005C074E"/>
    <w:rsid w:val="005C412A"/>
    <w:rsid w:val="005C5138"/>
    <w:rsid w:val="005C62C3"/>
    <w:rsid w:val="005D19B6"/>
    <w:rsid w:val="005D6694"/>
    <w:rsid w:val="005E47CD"/>
    <w:rsid w:val="006025A9"/>
    <w:rsid w:val="006033B7"/>
    <w:rsid w:val="00611AB7"/>
    <w:rsid w:val="0061687A"/>
    <w:rsid w:val="006173ED"/>
    <w:rsid w:val="0063255D"/>
    <w:rsid w:val="00633713"/>
    <w:rsid w:val="00634A33"/>
    <w:rsid w:val="00641537"/>
    <w:rsid w:val="00644C28"/>
    <w:rsid w:val="00646277"/>
    <w:rsid w:val="006474E1"/>
    <w:rsid w:val="00647E7A"/>
    <w:rsid w:val="00652C03"/>
    <w:rsid w:val="00656378"/>
    <w:rsid w:val="00656FC8"/>
    <w:rsid w:val="00661C8B"/>
    <w:rsid w:val="00663AE9"/>
    <w:rsid w:val="00664F0D"/>
    <w:rsid w:val="0067669C"/>
    <w:rsid w:val="00683466"/>
    <w:rsid w:val="00684F5A"/>
    <w:rsid w:val="006B1D0F"/>
    <w:rsid w:val="006B573F"/>
    <w:rsid w:val="006C574F"/>
    <w:rsid w:val="006D4B23"/>
    <w:rsid w:val="006D7D91"/>
    <w:rsid w:val="006E0B01"/>
    <w:rsid w:val="006E13DF"/>
    <w:rsid w:val="006E4D35"/>
    <w:rsid w:val="006F354E"/>
    <w:rsid w:val="006F52CD"/>
    <w:rsid w:val="00700052"/>
    <w:rsid w:val="00701AF7"/>
    <w:rsid w:val="00711137"/>
    <w:rsid w:val="00714340"/>
    <w:rsid w:val="00716921"/>
    <w:rsid w:val="00717D93"/>
    <w:rsid w:val="00720989"/>
    <w:rsid w:val="00720B76"/>
    <w:rsid w:val="00721ED9"/>
    <w:rsid w:val="00724D76"/>
    <w:rsid w:val="007366D5"/>
    <w:rsid w:val="0076302D"/>
    <w:rsid w:val="00776C9D"/>
    <w:rsid w:val="0078761B"/>
    <w:rsid w:val="00790002"/>
    <w:rsid w:val="0079352F"/>
    <w:rsid w:val="007B0354"/>
    <w:rsid w:val="007B33B1"/>
    <w:rsid w:val="007C008D"/>
    <w:rsid w:val="007C1D87"/>
    <w:rsid w:val="007C2360"/>
    <w:rsid w:val="007C7F2E"/>
    <w:rsid w:val="007D07E3"/>
    <w:rsid w:val="007D636D"/>
    <w:rsid w:val="007E0465"/>
    <w:rsid w:val="007E2819"/>
    <w:rsid w:val="007E47BB"/>
    <w:rsid w:val="007E52D3"/>
    <w:rsid w:val="007E5D52"/>
    <w:rsid w:val="007F2584"/>
    <w:rsid w:val="007F4542"/>
    <w:rsid w:val="007F6B77"/>
    <w:rsid w:val="007F7F87"/>
    <w:rsid w:val="0081244A"/>
    <w:rsid w:val="00814346"/>
    <w:rsid w:val="00821217"/>
    <w:rsid w:val="00824B79"/>
    <w:rsid w:val="00835C71"/>
    <w:rsid w:val="00844C91"/>
    <w:rsid w:val="0084558A"/>
    <w:rsid w:val="008622D8"/>
    <w:rsid w:val="00863C40"/>
    <w:rsid w:val="0087036D"/>
    <w:rsid w:val="00875BB5"/>
    <w:rsid w:val="00876C1B"/>
    <w:rsid w:val="0088513B"/>
    <w:rsid w:val="00893827"/>
    <w:rsid w:val="008A0881"/>
    <w:rsid w:val="008C1476"/>
    <w:rsid w:val="008C22F7"/>
    <w:rsid w:val="008D0D8A"/>
    <w:rsid w:val="008D2782"/>
    <w:rsid w:val="008E0770"/>
    <w:rsid w:val="008E2F95"/>
    <w:rsid w:val="008F4685"/>
    <w:rsid w:val="009149AE"/>
    <w:rsid w:val="00933EB8"/>
    <w:rsid w:val="00934773"/>
    <w:rsid w:val="00940C00"/>
    <w:rsid w:val="00941329"/>
    <w:rsid w:val="009422F9"/>
    <w:rsid w:val="00953133"/>
    <w:rsid w:val="00955DA8"/>
    <w:rsid w:val="00957E02"/>
    <w:rsid w:val="00965866"/>
    <w:rsid w:val="00967EA6"/>
    <w:rsid w:val="009704CB"/>
    <w:rsid w:val="009705C2"/>
    <w:rsid w:val="009A166F"/>
    <w:rsid w:val="009A4A6F"/>
    <w:rsid w:val="009A7106"/>
    <w:rsid w:val="009B1238"/>
    <w:rsid w:val="009B36CE"/>
    <w:rsid w:val="009B6563"/>
    <w:rsid w:val="009B7D3E"/>
    <w:rsid w:val="009D1772"/>
    <w:rsid w:val="009D5272"/>
    <w:rsid w:val="009D6677"/>
    <w:rsid w:val="009E59DE"/>
    <w:rsid w:val="009E62F5"/>
    <w:rsid w:val="009E635A"/>
    <w:rsid w:val="009E6BDB"/>
    <w:rsid w:val="009F06D7"/>
    <w:rsid w:val="009F11CA"/>
    <w:rsid w:val="009F6076"/>
    <w:rsid w:val="009F6AF5"/>
    <w:rsid w:val="00A04869"/>
    <w:rsid w:val="00A110E3"/>
    <w:rsid w:val="00A212B6"/>
    <w:rsid w:val="00A217F3"/>
    <w:rsid w:val="00A25767"/>
    <w:rsid w:val="00A31EFE"/>
    <w:rsid w:val="00A33D1B"/>
    <w:rsid w:val="00A37295"/>
    <w:rsid w:val="00A4056C"/>
    <w:rsid w:val="00A504D2"/>
    <w:rsid w:val="00A7104D"/>
    <w:rsid w:val="00A77ECA"/>
    <w:rsid w:val="00A80DAC"/>
    <w:rsid w:val="00A8304F"/>
    <w:rsid w:val="00A83B80"/>
    <w:rsid w:val="00A91D43"/>
    <w:rsid w:val="00A9351E"/>
    <w:rsid w:val="00AB610D"/>
    <w:rsid w:val="00AB6937"/>
    <w:rsid w:val="00AE65D2"/>
    <w:rsid w:val="00AF28CB"/>
    <w:rsid w:val="00AF3809"/>
    <w:rsid w:val="00AF51EA"/>
    <w:rsid w:val="00AF64D8"/>
    <w:rsid w:val="00AF76C8"/>
    <w:rsid w:val="00B07FF6"/>
    <w:rsid w:val="00B10AB0"/>
    <w:rsid w:val="00B17064"/>
    <w:rsid w:val="00B2501A"/>
    <w:rsid w:val="00B31F52"/>
    <w:rsid w:val="00B32BB6"/>
    <w:rsid w:val="00B330F7"/>
    <w:rsid w:val="00B3459B"/>
    <w:rsid w:val="00B37C3C"/>
    <w:rsid w:val="00B44799"/>
    <w:rsid w:val="00B52728"/>
    <w:rsid w:val="00B54CBA"/>
    <w:rsid w:val="00B6077E"/>
    <w:rsid w:val="00B731D8"/>
    <w:rsid w:val="00B7445E"/>
    <w:rsid w:val="00B8096F"/>
    <w:rsid w:val="00B912A6"/>
    <w:rsid w:val="00B931BE"/>
    <w:rsid w:val="00BB5593"/>
    <w:rsid w:val="00BB6B63"/>
    <w:rsid w:val="00BC10F5"/>
    <w:rsid w:val="00BC2215"/>
    <w:rsid w:val="00BC2F32"/>
    <w:rsid w:val="00BC7DCD"/>
    <w:rsid w:val="00BD2DDD"/>
    <w:rsid w:val="00BD30C4"/>
    <w:rsid w:val="00BE2F40"/>
    <w:rsid w:val="00BF4B4F"/>
    <w:rsid w:val="00BF5B1D"/>
    <w:rsid w:val="00C00065"/>
    <w:rsid w:val="00C102F1"/>
    <w:rsid w:val="00C117C8"/>
    <w:rsid w:val="00C14654"/>
    <w:rsid w:val="00C26010"/>
    <w:rsid w:val="00C2625D"/>
    <w:rsid w:val="00C33278"/>
    <w:rsid w:val="00C33893"/>
    <w:rsid w:val="00C40583"/>
    <w:rsid w:val="00C448A6"/>
    <w:rsid w:val="00C54C84"/>
    <w:rsid w:val="00C5583B"/>
    <w:rsid w:val="00C61614"/>
    <w:rsid w:val="00C624ED"/>
    <w:rsid w:val="00C63905"/>
    <w:rsid w:val="00C64B3A"/>
    <w:rsid w:val="00C64CEC"/>
    <w:rsid w:val="00C6523E"/>
    <w:rsid w:val="00C67916"/>
    <w:rsid w:val="00C743B7"/>
    <w:rsid w:val="00C82E11"/>
    <w:rsid w:val="00C8315E"/>
    <w:rsid w:val="00C84298"/>
    <w:rsid w:val="00C87B39"/>
    <w:rsid w:val="00C92633"/>
    <w:rsid w:val="00C969EB"/>
    <w:rsid w:val="00CC33AB"/>
    <w:rsid w:val="00CC3EA1"/>
    <w:rsid w:val="00CD2784"/>
    <w:rsid w:val="00CE0B76"/>
    <w:rsid w:val="00CE51C1"/>
    <w:rsid w:val="00CE6973"/>
    <w:rsid w:val="00CE6C83"/>
    <w:rsid w:val="00D15AFB"/>
    <w:rsid w:val="00D267B9"/>
    <w:rsid w:val="00D32004"/>
    <w:rsid w:val="00D422DF"/>
    <w:rsid w:val="00D464F2"/>
    <w:rsid w:val="00D52AB7"/>
    <w:rsid w:val="00D55E2F"/>
    <w:rsid w:val="00D61E02"/>
    <w:rsid w:val="00D65528"/>
    <w:rsid w:val="00D661EF"/>
    <w:rsid w:val="00D666D2"/>
    <w:rsid w:val="00D67DC8"/>
    <w:rsid w:val="00D74C71"/>
    <w:rsid w:val="00D854A0"/>
    <w:rsid w:val="00D96F1D"/>
    <w:rsid w:val="00DA1F7A"/>
    <w:rsid w:val="00DA2C99"/>
    <w:rsid w:val="00DA551B"/>
    <w:rsid w:val="00DB3E82"/>
    <w:rsid w:val="00DB5A91"/>
    <w:rsid w:val="00DB7D9C"/>
    <w:rsid w:val="00DC49E8"/>
    <w:rsid w:val="00DE1029"/>
    <w:rsid w:val="00DE21F7"/>
    <w:rsid w:val="00DE4F70"/>
    <w:rsid w:val="00DE5DC0"/>
    <w:rsid w:val="00DE762F"/>
    <w:rsid w:val="00DF0D87"/>
    <w:rsid w:val="00DF6D20"/>
    <w:rsid w:val="00E015B3"/>
    <w:rsid w:val="00E03DD2"/>
    <w:rsid w:val="00E04B1B"/>
    <w:rsid w:val="00E12B52"/>
    <w:rsid w:val="00E13FC2"/>
    <w:rsid w:val="00E14AD5"/>
    <w:rsid w:val="00E25D40"/>
    <w:rsid w:val="00E278B9"/>
    <w:rsid w:val="00E33F75"/>
    <w:rsid w:val="00E400BE"/>
    <w:rsid w:val="00E44904"/>
    <w:rsid w:val="00E46AC3"/>
    <w:rsid w:val="00E46CFE"/>
    <w:rsid w:val="00E55A55"/>
    <w:rsid w:val="00E55FB2"/>
    <w:rsid w:val="00E60E72"/>
    <w:rsid w:val="00E7755F"/>
    <w:rsid w:val="00E84DA5"/>
    <w:rsid w:val="00E87116"/>
    <w:rsid w:val="00E92B38"/>
    <w:rsid w:val="00EA2907"/>
    <w:rsid w:val="00EA3AC0"/>
    <w:rsid w:val="00EA7DD7"/>
    <w:rsid w:val="00EB1D0E"/>
    <w:rsid w:val="00EB7DB7"/>
    <w:rsid w:val="00EC0A1E"/>
    <w:rsid w:val="00ED2E3E"/>
    <w:rsid w:val="00EE1204"/>
    <w:rsid w:val="00EE26F0"/>
    <w:rsid w:val="00EE31BF"/>
    <w:rsid w:val="00EF4282"/>
    <w:rsid w:val="00EF5E01"/>
    <w:rsid w:val="00F01652"/>
    <w:rsid w:val="00F06109"/>
    <w:rsid w:val="00F07D3A"/>
    <w:rsid w:val="00F101A0"/>
    <w:rsid w:val="00F3146A"/>
    <w:rsid w:val="00F327B9"/>
    <w:rsid w:val="00F46175"/>
    <w:rsid w:val="00F52D62"/>
    <w:rsid w:val="00F6051A"/>
    <w:rsid w:val="00F6067C"/>
    <w:rsid w:val="00F614DC"/>
    <w:rsid w:val="00F7064E"/>
    <w:rsid w:val="00F72246"/>
    <w:rsid w:val="00F76A19"/>
    <w:rsid w:val="00F826C6"/>
    <w:rsid w:val="00F8387A"/>
    <w:rsid w:val="00F86237"/>
    <w:rsid w:val="00F93C88"/>
    <w:rsid w:val="00F97E16"/>
    <w:rsid w:val="00FA24A4"/>
    <w:rsid w:val="00FA3CC2"/>
    <w:rsid w:val="00FA4E24"/>
    <w:rsid w:val="00FC3313"/>
    <w:rsid w:val="00FC732B"/>
    <w:rsid w:val="00FD5C8F"/>
    <w:rsid w:val="00FF2157"/>
    <w:rsid w:val="00FF260B"/>
    <w:rsid w:val="00FF3090"/>
    <w:rsid w:val="00FF524F"/>
    <w:rsid w:val="00FF7AFB"/>
    <w:rsid w:val="00FF7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DB25C"/>
  <w15:chartTrackingRefBased/>
  <w15:docId w15:val="{E7C55C70-789E-484E-BB80-6310F6F2D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B63"/>
  </w:style>
  <w:style w:type="paragraph" w:styleId="Heading1">
    <w:name w:val="heading 1"/>
    <w:basedOn w:val="Normal"/>
    <w:next w:val="Normal"/>
    <w:link w:val="Heading1Char"/>
    <w:uiPriority w:val="9"/>
    <w:qFormat/>
    <w:rsid w:val="0046142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1231F3"/>
    <w:pPr>
      <w:spacing w:before="100" w:beforeAutospacing="1" w:after="100" w:afterAutospacing="1" w:line="240" w:lineRule="auto"/>
      <w:outlineLvl w:val="2"/>
    </w:pPr>
    <w:rPr>
      <w:rFonts w:ascii="Times New Roman" w:eastAsia="Times New Roman" w:hAnsi="Times New Roman" w:cs="Times New Roman"/>
      <w:b/>
      <w:bCs/>
      <w:kern w:val="0"/>
      <w:sz w:val="27"/>
      <w:szCs w:val="27"/>
      <w:lang w:val="en-GB" w:eastAsia="en-GB"/>
      <w14:ligatures w14:val="none"/>
    </w:rPr>
  </w:style>
  <w:style w:type="paragraph" w:styleId="Heading5">
    <w:name w:val="heading 5"/>
    <w:basedOn w:val="Normal"/>
    <w:next w:val="Normal"/>
    <w:link w:val="Heading5Char"/>
    <w:uiPriority w:val="9"/>
    <w:semiHidden/>
    <w:unhideWhenUsed/>
    <w:qFormat/>
    <w:rsid w:val="001231F3"/>
    <w:pPr>
      <w:keepNext/>
      <w:keepLines/>
      <w:spacing w:before="40" w:after="0"/>
      <w:outlineLvl w:val="4"/>
    </w:pPr>
    <w:rPr>
      <w:rFonts w:asciiTheme="majorHAnsi" w:eastAsiaTheme="majorEastAsia" w:hAnsiTheme="majorHAnsi" w:cstheme="majorBidi"/>
      <w:color w:val="2F5496" w:themeColor="accent1" w:themeShade="BF"/>
      <w:kern w:val="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3B80"/>
    <w:pPr>
      <w:ind w:left="720"/>
      <w:contextualSpacing/>
    </w:pPr>
  </w:style>
  <w:style w:type="paragraph" w:styleId="Header">
    <w:name w:val="header"/>
    <w:basedOn w:val="Normal"/>
    <w:link w:val="HeaderChar"/>
    <w:uiPriority w:val="99"/>
    <w:unhideWhenUsed/>
    <w:rsid w:val="001660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60BC"/>
  </w:style>
  <w:style w:type="paragraph" w:styleId="Footer">
    <w:name w:val="footer"/>
    <w:basedOn w:val="Normal"/>
    <w:link w:val="FooterChar"/>
    <w:uiPriority w:val="99"/>
    <w:unhideWhenUsed/>
    <w:rsid w:val="001660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60BC"/>
  </w:style>
  <w:style w:type="character" w:customStyle="1" w:styleId="Heading1Char">
    <w:name w:val="Heading 1 Char"/>
    <w:basedOn w:val="DefaultParagraphFont"/>
    <w:link w:val="Heading1"/>
    <w:uiPriority w:val="9"/>
    <w:rsid w:val="00461422"/>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461422"/>
    <w:rPr>
      <w:color w:val="0563C1" w:themeColor="hyperlink"/>
      <w:u w:val="single"/>
    </w:rPr>
  </w:style>
  <w:style w:type="paragraph" w:styleId="FootnoteText">
    <w:name w:val="footnote text"/>
    <w:basedOn w:val="Normal"/>
    <w:link w:val="FootnoteTextChar"/>
    <w:uiPriority w:val="99"/>
    <w:unhideWhenUsed/>
    <w:rsid w:val="00461422"/>
    <w:pPr>
      <w:spacing w:after="0" w:line="240" w:lineRule="auto"/>
      <w:ind w:left="10" w:hanging="10"/>
    </w:pPr>
    <w:rPr>
      <w:rFonts w:ascii="Arial" w:eastAsia="Arial" w:hAnsi="Arial" w:cs="Arial"/>
      <w:color w:val="000000"/>
      <w:sz w:val="20"/>
      <w:szCs w:val="20"/>
    </w:rPr>
  </w:style>
  <w:style w:type="character" w:customStyle="1" w:styleId="FootnoteTextChar">
    <w:name w:val="Footnote Text Char"/>
    <w:basedOn w:val="DefaultParagraphFont"/>
    <w:link w:val="FootnoteText"/>
    <w:uiPriority w:val="99"/>
    <w:rsid w:val="00461422"/>
    <w:rPr>
      <w:rFonts w:ascii="Arial" w:eastAsia="Arial" w:hAnsi="Arial" w:cs="Arial"/>
      <w:color w:val="000000"/>
      <w:sz w:val="20"/>
      <w:szCs w:val="20"/>
    </w:rPr>
  </w:style>
  <w:style w:type="character" w:styleId="FootnoteReference">
    <w:name w:val="footnote reference"/>
    <w:basedOn w:val="DefaultParagraphFont"/>
    <w:uiPriority w:val="99"/>
    <w:semiHidden/>
    <w:unhideWhenUsed/>
    <w:rsid w:val="00461422"/>
    <w:rPr>
      <w:vertAlign w:val="superscript"/>
    </w:rPr>
  </w:style>
  <w:style w:type="character" w:styleId="Emphasis">
    <w:name w:val="Emphasis"/>
    <w:basedOn w:val="DefaultParagraphFont"/>
    <w:uiPriority w:val="20"/>
    <w:qFormat/>
    <w:rsid w:val="00461422"/>
    <w:rPr>
      <w:i/>
      <w:iCs/>
    </w:rPr>
  </w:style>
  <w:style w:type="character" w:customStyle="1" w:styleId="Heading3Char">
    <w:name w:val="Heading 3 Char"/>
    <w:basedOn w:val="DefaultParagraphFont"/>
    <w:link w:val="Heading3"/>
    <w:uiPriority w:val="9"/>
    <w:rsid w:val="001231F3"/>
    <w:rPr>
      <w:rFonts w:ascii="Times New Roman" w:eastAsia="Times New Roman" w:hAnsi="Times New Roman" w:cs="Times New Roman"/>
      <w:b/>
      <w:bCs/>
      <w:kern w:val="0"/>
      <w:sz w:val="27"/>
      <w:szCs w:val="27"/>
      <w:lang w:val="en-GB" w:eastAsia="en-GB"/>
      <w14:ligatures w14:val="none"/>
    </w:rPr>
  </w:style>
  <w:style w:type="character" w:customStyle="1" w:styleId="Heading5Char">
    <w:name w:val="Heading 5 Char"/>
    <w:basedOn w:val="DefaultParagraphFont"/>
    <w:link w:val="Heading5"/>
    <w:uiPriority w:val="9"/>
    <w:semiHidden/>
    <w:rsid w:val="001231F3"/>
    <w:rPr>
      <w:rFonts w:asciiTheme="majorHAnsi" w:eastAsiaTheme="majorEastAsia" w:hAnsiTheme="majorHAnsi" w:cstheme="majorBidi"/>
      <w:color w:val="2F5496" w:themeColor="accent1" w:themeShade="BF"/>
      <w:kern w:val="0"/>
      <w:lang w:val="en-GB"/>
      <w14:ligatures w14:val="none"/>
    </w:rPr>
  </w:style>
  <w:style w:type="character" w:customStyle="1" w:styleId="cite-bracket">
    <w:name w:val="cite-bracket"/>
    <w:basedOn w:val="DefaultParagraphFont"/>
    <w:rsid w:val="001231F3"/>
  </w:style>
  <w:style w:type="paragraph" w:styleId="NormalWeb">
    <w:name w:val="Normal (Web)"/>
    <w:basedOn w:val="Normal"/>
    <w:uiPriority w:val="99"/>
    <w:unhideWhenUsed/>
    <w:rsid w:val="001231F3"/>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paragraph" w:styleId="NoSpacing">
    <w:name w:val="No Spacing"/>
    <w:uiPriority w:val="1"/>
    <w:qFormat/>
    <w:rsid w:val="001231F3"/>
    <w:pPr>
      <w:spacing w:after="0" w:line="240" w:lineRule="auto"/>
    </w:pPr>
    <w:rPr>
      <w:kern w:val="0"/>
      <w:lang w:val="en-GB"/>
      <w14:ligatures w14:val="none"/>
    </w:rPr>
  </w:style>
  <w:style w:type="paragraph" w:customStyle="1" w:styleId="font-claude-response-body">
    <w:name w:val="font-claude-response-body"/>
    <w:basedOn w:val="Normal"/>
    <w:uiPriority w:val="99"/>
    <w:rsid w:val="001231F3"/>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character" w:styleId="Strong">
    <w:name w:val="Strong"/>
    <w:basedOn w:val="DefaultParagraphFont"/>
    <w:uiPriority w:val="22"/>
    <w:qFormat/>
    <w:rsid w:val="001231F3"/>
    <w:rPr>
      <w:b/>
      <w:bCs/>
    </w:rPr>
  </w:style>
  <w:style w:type="character" w:customStyle="1" w:styleId="editor">
    <w:name w:val="editor"/>
    <w:basedOn w:val="DefaultParagraphFont"/>
    <w:rsid w:val="001231F3"/>
  </w:style>
  <w:style w:type="character" w:customStyle="1" w:styleId="amacitation">
    <w:name w:val="amacitation"/>
    <w:basedOn w:val="DefaultParagraphFont"/>
    <w:rsid w:val="001231F3"/>
  </w:style>
  <w:style w:type="character" w:customStyle="1" w:styleId="urllink">
    <w:name w:val="urllink"/>
    <w:basedOn w:val="DefaultParagraphFont"/>
    <w:rsid w:val="001231F3"/>
  </w:style>
  <w:style w:type="paragraph" w:customStyle="1" w:styleId="s3">
    <w:name w:val="s3"/>
    <w:basedOn w:val="Normal"/>
    <w:rsid w:val="00711137"/>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 w:type="character" w:customStyle="1" w:styleId="s2">
    <w:name w:val="s2"/>
    <w:basedOn w:val="DefaultParagraphFont"/>
    <w:rsid w:val="00711137"/>
  </w:style>
  <w:style w:type="character" w:customStyle="1" w:styleId="apple-converted-space">
    <w:name w:val="apple-converted-space"/>
    <w:basedOn w:val="DefaultParagraphFont"/>
    <w:rsid w:val="00711137"/>
  </w:style>
  <w:style w:type="paragraph" w:customStyle="1" w:styleId="s5">
    <w:name w:val="s5"/>
    <w:basedOn w:val="Normal"/>
    <w:rsid w:val="00711137"/>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 w:type="character" w:customStyle="1" w:styleId="s4">
    <w:name w:val="s4"/>
    <w:basedOn w:val="DefaultParagraphFont"/>
    <w:rsid w:val="00711137"/>
  </w:style>
  <w:style w:type="paragraph" w:customStyle="1" w:styleId="s8">
    <w:name w:val="s8"/>
    <w:basedOn w:val="Normal"/>
    <w:rsid w:val="00711137"/>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 w:type="character" w:customStyle="1" w:styleId="s6">
    <w:name w:val="s6"/>
    <w:basedOn w:val="DefaultParagraphFont"/>
    <w:rsid w:val="00711137"/>
  </w:style>
  <w:style w:type="character" w:customStyle="1" w:styleId="s7">
    <w:name w:val="s7"/>
    <w:basedOn w:val="DefaultParagraphFont"/>
    <w:rsid w:val="00711137"/>
  </w:style>
  <w:style w:type="character" w:styleId="LineNumber">
    <w:name w:val="line number"/>
    <w:basedOn w:val="DefaultParagraphFont"/>
    <w:uiPriority w:val="99"/>
    <w:semiHidden/>
    <w:unhideWhenUsed/>
    <w:rsid w:val="001B1706"/>
  </w:style>
  <w:style w:type="character" w:customStyle="1" w:styleId="UnresolvedMention1">
    <w:name w:val="Unresolved Mention1"/>
    <w:basedOn w:val="DefaultParagraphFont"/>
    <w:uiPriority w:val="99"/>
    <w:semiHidden/>
    <w:unhideWhenUsed/>
    <w:rsid w:val="002126AA"/>
    <w:rPr>
      <w:color w:val="605E5C"/>
      <w:shd w:val="clear" w:color="auto" w:fill="E1DFDD"/>
    </w:rPr>
  </w:style>
  <w:style w:type="character" w:styleId="FollowedHyperlink">
    <w:name w:val="FollowedHyperlink"/>
    <w:basedOn w:val="DefaultParagraphFont"/>
    <w:uiPriority w:val="99"/>
    <w:semiHidden/>
    <w:unhideWhenUsed/>
    <w:rsid w:val="009A4A6F"/>
    <w:rPr>
      <w:color w:val="954F72" w:themeColor="followedHyperlink"/>
      <w:u w:val="single"/>
    </w:rPr>
  </w:style>
  <w:style w:type="paragraph" w:customStyle="1" w:styleId="msonormal0">
    <w:name w:val="msonormal"/>
    <w:basedOn w:val="Normal"/>
    <w:uiPriority w:val="99"/>
    <w:rsid w:val="009A4A6F"/>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paragraph" w:customStyle="1" w:styleId="p1">
    <w:name w:val="p1"/>
    <w:basedOn w:val="Normal"/>
    <w:uiPriority w:val="99"/>
    <w:rsid w:val="009A4A6F"/>
    <w:pPr>
      <w:spacing w:after="120" w:line="377" w:lineRule="atLeast"/>
    </w:pPr>
    <w:rPr>
      <w:rFonts w:ascii=".SF UI" w:eastAsiaTheme="minorEastAsia" w:hAnsi=".SF UI" w:cs="Times New Roman"/>
      <w:color w:val="FFFFFF"/>
      <w:kern w:val="0"/>
      <w:sz w:val="26"/>
      <w:szCs w:val="26"/>
      <w14:ligatures w14:val="none"/>
    </w:rPr>
  </w:style>
  <w:style w:type="character" w:customStyle="1" w:styleId="s1">
    <w:name w:val="s1"/>
    <w:basedOn w:val="DefaultParagraphFont"/>
    <w:rsid w:val="009A4A6F"/>
    <w:rPr>
      <w:rFonts w:ascii=".SFUI-Regular" w:hAnsi=".SFUI-Regular" w:hint="default"/>
      <w:b w:val="0"/>
      <w:bCs w:val="0"/>
      <w:i w:val="0"/>
      <w:iCs w:val="0"/>
      <w:sz w:val="26"/>
      <w:szCs w:val="26"/>
    </w:rPr>
  </w:style>
  <w:style w:type="character" w:styleId="UnresolvedMention">
    <w:name w:val="Unresolved Mention"/>
    <w:basedOn w:val="DefaultParagraphFont"/>
    <w:uiPriority w:val="99"/>
    <w:semiHidden/>
    <w:unhideWhenUsed/>
    <w:rsid w:val="009A4A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493275">
      <w:bodyDiv w:val="1"/>
      <w:marLeft w:val="0"/>
      <w:marRight w:val="0"/>
      <w:marTop w:val="0"/>
      <w:marBottom w:val="0"/>
      <w:divBdr>
        <w:top w:val="none" w:sz="0" w:space="0" w:color="auto"/>
        <w:left w:val="none" w:sz="0" w:space="0" w:color="auto"/>
        <w:bottom w:val="none" w:sz="0" w:space="0" w:color="auto"/>
        <w:right w:val="none" w:sz="0" w:space="0" w:color="auto"/>
      </w:divBdr>
    </w:div>
    <w:div w:id="331951532">
      <w:bodyDiv w:val="1"/>
      <w:marLeft w:val="0"/>
      <w:marRight w:val="0"/>
      <w:marTop w:val="0"/>
      <w:marBottom w:val="0"/>
      <w:divBdr>
        <w:top w:val="none" w:sz="0" w:space="0" w:color="auto"/>
        <w:left w:val="none" w:sz="0" w:space="0" w:color="auto"/>
        <w:bottom w:val="none" w:sz="0" w:space="0" w:color="auto"/>
        <w:right w:val="none" w:sz="0" w:space="0" w:color="auto"/>
      </w:divBdr>
    </w:div>
    <w:div w:id="388039932">
      <w:bodyDiv w:val="1"/>
      <w:marLeft w:val="0"/>
      <w:marRight w:val="0"/>
      <w:marTop w:val="0"/>
      <w:marBottom w:val="0"/>
      <w:divBdr>
        <w:top w:val="none" w:sz="0" w:space="0" w:color="auto"/>
        <w:left w:val="none" w:sz="0" w:space="0" w:color="auto"/>
        <w:bottom w:val="none" w:sz="0" w:space="0" w:color="auto"/>
        <w:right w:val="none" w:sz="0" w:space="0" w:color="auto"/>
      </w:divBdr>
    </w:div>
    <w:div w:id="534971862">
      <w:bodyDiv w:val="1"/>
      <w:marLeft w:val="0"/>
      <w:marRight w:val="0"/>
      <w:marTop w:val="0"/>
      <w:marBottom w:val="0"/>
      <w:divBdr>
        <w:top w:val="none" w:sz="0" w:space="0" w:color="auto"/>
        <w:left w:val="none" w:sz="0" w:space="0" w:color="auto"/>
        <w:bottom w:val="none" w:sz="0" w:space="0" w:color="auto"/>
        <w:right w:val="none" w:sz="0" w:space="0" w:color="auto"/>
      </w:divBdr>
    </w:div>
    <w:div w:id="545063723">
      <w:bodyDiv w:val="1"/>
      <w:marLeft w:val="0"/>
      <w:marRight w:val="0"/>
      <w:marTop w:val="0"/>
      <w:marBottom w:val="0"/>
      <w:divBdr>
        <w:top w:val="none" w:sz="0" w:space="0" w:color="auto"/>
        <w:left w:val="none" w:sz="0" w:space="0" w:color="auto"/>
        <w:bottom w:val="none" w:sz="0" w:space="0" w:color="auto"/>
        <w:right w:val="none" w:sz="0" w:space="0" w:color="auto"/>
      </w:divBdr>
    </w:div>
    <w:div w:id="660622849">
      <w:bodyDiv w:val="1"/>
      <w:marLeft w:val="0"/>
      <w:marRight w:val="0"/>
      <w:marTop w:val="0"/>
      <w:marBottom w:val="0"/>
      <w:divBdr>
        <w:top w:val="none" w:sz="0" w:space="0" w:color="auto"/>
        <w:left w:val="none" w:sz="0" w:space="0" w:color="auto"/>
        <w:bottom w:val="none" w:sz="0" w:space="0" w:color="auto"/>
        <w:right w:val="none" w:sz="0" w:space="0" w:color="auto"/>
      </w:divBdr>
    </w:div>
    <w:div w:id="734399200">
      <w:bodyDiv w:val="1"/>
      <w:marLeft w:val="0"/>
      <w:marRight w:val="0"/>
      <w:marTop w:val="0"/>
      <w:marBottom w:val="0"/>
      <w:divBdr>
        <w:top w:val="none" w:sz="0" w:space="0" w:color="auto"/>
        <w:left w:val="none" w:sz="0" w:space="0" w:color="auto"/>
        <w:bottom w:val="none" w:sz="0" w:space="0" w:color="auto"/>
        <w:right w:val="none" w:sz="0" w:space="0" w:color="auto"/>
      </w:divBdr>
    </w:div>
    <w:div w:id="836770013">
      <w:bodyDiv w:val="1"/>
      <w:marLeft w:val="0"/>
      <w:marRight w:val="0"/>
      <w:marTop w:val="0"/>
      <w:marBottom w:val="0"/>
      <w:divBdr>
        <w:top w:val="none" w:sz="0" w:space="0" w:color="auto"/>
        <w:left w:val="none" w:sz="0" w:space="0" w:color="auto"/>
        <w:bottom w:val="none" w:sz="0" w:space="0" w:color="auto"/>
        <w:right w:val="none" w:sz="0" w:space="0" w:color="auto"/>
      </w:divBdr>
    </w:div>
    <w:div w:id="849107183">
      <w:bodyDiv w:val="1"/>
      <w:marLeft w:val="0"/>
      <w:marRight w:val="0"/>
      <w:marTop w:val="0"/>
      <w:marBottom w:val="0"/>
      <w:divBdr>
        <w:top w:val="none" w:sz="0" w:space="0" w:color="auto"/>
        <w:left w:val="none" w:sz="0" w:space="0" w:color="auto"/>
        <w:bottom w:val="none" w:sz="0" w:space="0" w:color="auto"/>
        <w:right w:val="none" w:sz="0" w:space="0" w:color="auto"/>
      </w:divBdr>
    </w:div>
    <w:div w:id="920064701">
      <w:bodyDiv w:val="1"/>
      <w:marLeft w:val="0"/>
      <w:marRight w:val="0"/>
      <w:marTop w:val="0"/>
      <w:marBottom w:val="0"/>
      <w:divBdr>
        <w:top w:val="none" w:sz="0" w:space="0" w:color="auto"/>
        <w:left w:val="none" w:sz="0" w:space="0" w:color="auto"/>
        <w:bottom w:val="none" w:sz="0" w:space="0" w:color="auto"/>
        <w:right w:val="none" w:sz="0" w:space="0" w:color="auto"/>
      </w:divBdr>
    </w:div>
    <w:div w:id="1007058065">
      <w:bodyDiv w:val="1"/>
      <w:marLeft w:val="0"/>
      <w:marRight w:val="0"/>
      <w:marTop w:val="0"/>
      <w:marBottom w:val="0"/>
      <w:divBdr>
        <w:top w:val="none" w:sz="0" w:space="0" w:color="auto"/>
        <w:left w:val="none" w:sz="0" w:space="0" w:color="auto"/>
        <w:bottom w:val="none" w:sz="0" w:space="0" w:color="auto"/>
        <w:right w:val="none" w:sz="0" w:space="0" w:color="auto"/>
      </w:divBdr>
    </w:div>
    <w:div w:id="1143351769">
      <w:bodyDiv w:val="1"/>
      <w:marLeft w:val="0"/>
      <w:marRight w:val="0"/>
      <w:marTop w:val="0"/>
      <w:marBottom w:val="0"/>
      <w:divBdr>
        <w:top w:val="none" w:sz="0" w:space="0" w:color="auto"/>
        <w:left w:val="none" w:sz="0" w:space="0" w:color="auto"/>
        <w:bottom w:val="none" w:sz="0" w:space="0" w:color="auto"/>
        <w:right w:val="none" w:sz="0" w:space="0" w:color="auto"/>
      </w:divBdr>
    </w:div>
    <w:div w:id="1227958040">
      <w:bodyDiv w:val="1"/>
      <w:marLeft w:val="0"/>
      <w:marRight w:val="0"/>
      <w:marTop w:val="0"/>
      <w:marBottom w:val="0"/>
      <w:divBdr>
        <w:top w:val="none" w:sz="0" w:space="0" w:color="auto"/>
        <w:left w:val="none" w:sz="0" w:space="0" w:color="auto"/>
        <w:bottom w:val="none" w:sz="0" w:space="0" w:color="auto"/>
        <w:right w:val="none" w:sz="0" w:space="0" w:color="auto"/>
      </w:divBdr>
    </w:div>
    <w:div w:id="1234193378">
      <w:bodyDiv w:val="1"/>
      <w:marLeft w:val="0"/>
      <w:marRight w:val="0"/>
      <w:marTop w:val="0"/>
      <w:marBottom w:val="0"/>
      <w:divBdr>
        <w:top w:val="none" w:sz="0" w:space="0" w:color="auto"/>
        <w:left w:val="none" w:sz="0" w:space="0" w:color="auto"/>
        <w:bottom w:val="none" w:sz="0" w:space="0" w:color="auto"/>
        <w:right w:val="none" w:sz="0" w:space="0" w:color="auto"/>
      </w:divBdr>
    </w:div>
    <w:div w:id="1353264054">
      <w:bodyDiv w:val="1"/>
      <w:marLeft w:val="0"/>
      <w:marRight w:val="0"/>
      <w:marTop w:val="0"/>
      <w:marBottom w:val="0"/>
      <w:divBdr>
        <w:top w:val="none" w:sz="0" w:space="0" w:color="auto"/>
        <w:left w:val="none" w:sz="0" w:space="0" w:color="auto"/>
        <w:bottom w:val="none" w:sz="0" w:space="0" w:color="auto"/>
        <w:right w:val="none" w:sz="0" w:space="0" w:color="auto"/>
      </w:divBdr>
    </w:div>
    <w:div w:id="1375232406">
      <w:bodyDiv w:val="1"/>
      <w:marLeft w:val="0"/>
      <w:marRight w:val="0"/>
      <w:marTop w:val="0"/>
      <w:marBottom w:val="0"/>
      <w:divBdr>
        <w:top w:val="none" w:sz="0" w:space="0" w:color="auto"/>
        <w:left w:val="none" w:sz="0" w:space="0" w:color="auto"/>
        <w:bottom w:val="none" w:sz="0" w:space="0" w:color="auto"/>
        <w:right w:val="none" w:sz="0" w:space="0" w:color="auto"/>
      </w:divBdr>
    </w:div>
    <w:div w:id="1875578564">
      <w:bodyDiv w:val="1"/>
      <w:marLeft w:val="0"/>
      <w:marRight w:val="0"/>
      <w:marTop w:val="0"/>
      <w:marBottom w:val="0"/>
      <w:divBdr>
        <w:top w:val="none" w:sz="0" w:space="0" w:color="auto"/>
        <w:left w:val="none" w:sz="0" w:space="0" w:color="auto"/>
        <w:bottom w:val="none" w:sz="0" w:space="0" w:color="auto"/>
        <w:right w:val="none" w:sz="0" w:space="0" w:color="auto"/>
      </w:divBdr>
    </w:div>
    <w:div w:id="1977753945">
      <w:bodyDiv w:val="1"/>
      <w:marLeft w:val="0"/>
      <w:marRight w:val="0"/>
      <w:marTop w:val="0"/>
      <w:marBottom w:val="0"/>
      <w:divBdr>
        <w:top w:val="none" w:sz="0" w:space="0" w:color="auto"/>
        <w:left w:val="none" w:sz="0" w:space="0" w:color="auto"/>
        <w:bottom w:val="none" w:sz="0" w:space="0" w:color="auto"/>
        <w:right w:val="none" w:sz="0" w:space="0" w:color="auto"/>
      </w:divBdr>
    </w:div>
    <w:div w:id="1980459155">
      <w:bodyDiv w:val="1"/>
      <w:marLeft w:val="0"/>
      <w:marRight w:val="0"/>
      <w:marTop w:val="0"/>
      <w:marBottom w:val="0"/>
      <w:divBdr>
        <w:top w:val="none" w:sz="0" w:space="0" w:color="auto"/>
        <w:left w:val="none" w:sz="0" w:space="0" w:color="auto"/>
        <w:bottom w:val="none" w:sz="0" w:space="0" w:color="auto"/>
        <w:right w:val="none" w:sz="0" w:space="0" w:color="auto"/>
      </w:divBdr>
    </w:div>
    <w:div w:id="206597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Diagnosis" TargetMode="External"/><Relationship Id="rId18" Type="http://schemas.openxmlformats.org/officeDocument/2006/relationships/hyperlink" Target="https://en.wikipedia.org/wiki/Illness" TargetMode="External"/><Relationship Id="rId26" Type="http://schemas.openxmlformats.org/officeDocument/2006/relationships/hyperlink" Target="https://en.wikipedia.org/wiki/Sociocultural" TargetMode="External"/><Relationship Id="rId39" Type="http://schemas.openxmlformats.org/officeDocument/2006/relationships/hyperlink" Target="https://link.springer.com/article/10.1186/s12914-016-0093-z" TargetMode="External"/><Relationship Id="rId21" Type="http://schemas.openxmlformats.org/officeDocument/2006/relationships/hyperlink" Target="https://en.wikipedia.org/wiki/Health_professional" TargetMode="External"/><Relationship Id="rId34" Type="http://schemas.openxmlformats.org/officeDocument/2006/relationships/hyperlink" Target="https://rtipress.scholasticahq.com/article/117789.pdf" TargetMode="External"/><Relationship Id="rId42" Type="http://schemas.openxmlformats.org/officeDocument/2006/relationships/hyperlink" Target="https://en.wikipedia.org/wiki/Informed_consent"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n.wikipedia.org/wiki/Cure" TargetMode="External"/><Relationship Id="rId29" Type="http://schemas.openxmlformats.org/officeDocument/2006/relationships/hyperlink" Target="https://www.mdcnigeria.org/downloads/code-of-conduct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Health" TargetMode="External"/><Relationship Id="rId24" Type="http://schemas.openxmlformats.org/officeDocument/2006/relationships/hyperlink" Target="https://en.wikipedia.org/wiki/Geography" TargetMode="External"/><Relationship Id="rId32" Type="http://schemas.openxmlformats.org/officeDocument/2006/relationships/hyperlink" Target="https://www.researchgate.net/profile/Emmanuel-Nwakanma/publication/335473400_CIVIL_SOCIETY_DEMOCRATIC_GOVERNANCE_AND_SOCIAL_WORK_IN_NIGERIA/links/5d68021c92851c154cc56354/CIVIL-SOCIETY-DEMOCRATIC-GOVERNANCE-AND-SOCIAL-WORK-IN-NIGERIA.pdf" TargetMode="External"/><Relationship Id="rId37" Type="http://schemas.openxmlformats.org/officeDocument/2006/relationships/hyperlink" Target="https://zjpd.com.ng/index.php/zjpd/article/view/3" TargetMode="External"/><Relationship Id="rId40" Type="http://schemas.openxmlformats.org/officeDocument/2006/relationships/hyperlink" Target="https://www.ajol.info/index.php/afrrev/article/view/101342"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n.wiktionary.org/wiki/amelioration" TargetMode="External"/><Relationship Id="rId23" Type="http://schemas.openxmlformats.org/officeDocument/2006/relationships/hyperlink" Target="https://en.wikipedia.org/wiki/Health_policy" TargetMode="External"/><Relationship Id="rId28" Type="http://schemas.openxmlformats.org/officeDocument/2006/relationships/hyperlink" Target="https://spaajibade.com/a-review-of-medical-negligence-in-the-nigerian-healthcare-sector-utilising-the-law-as-a-panacea/" TargetMode="External"/><Relationship Id="rId36" Type="http://schemas.openxmlformats.org/officeDocument/2006/relationships/hyperlink" Target="https://heinonline.org/hol-cgi-bin/get_pdf.cgi?handle=hein.journals/jawpglob74&amp;section=10" TargetMode="External"/><Relationship Id="rId10" Type="http://schemas.openxmlformats.org/officeDocument/2006/relationships/image" Target="media/image2.jpeg"/><Relationship Id="rId19" Type="http://schemas.openxmlformats.org/officeDocument/2006/relationships/hyperlink" Target="https://en.wikipedia.org/wiki/Injury" TargetMode="External"/><Relationship Id="rId31" Type="http://schemas.openxmlformats.org/officeDocument/2006/relationships/hyperlink" Target="https://cdn.b12.io/client_media/6Rw1vQxq/1e6dd1e0-26af-11ef-a149-0242ac110002-AJSS_22_EKEADA_CIVIL_SOCIETY__RED_CROSS.pdf" TargetMode="External"/><Relationship Id="rId44" Type="http://schemas.openxmlformats.org/officeDocument/2006/relationships/hyperlink" Target="https://www.researchgate.net/publication/368868410_Religious_responses_to_the_Covid-19_pandemic_A_comparative_analysis_of_the_spiritual_methods_of_Christians_and_Muslims_in_Nigeria"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en.wikipedia.org/wiki/Therapy" TargetMode="External"/><Relationship Id="rId22" Type="http://schemas.openxmlformats.org/officeDocument/2006/relationships/hyperlink" Target="https://en.wikipedia.org/wiki/Allied_health_professions" TargetMode="External"/><Relationship Id="rId27" Type="http://schemas.openxmlformats.org/officeDocument/2006/relationships/hyperlink" Target="https://en.wikipedia.org/wiki/Health_literacy" TargetMode="External"/><Relationship Id="rId30" Type="http://schemas.openxmlformats.org/officeDocument/2006/relationships/hyperlink" Target="https://www.who.int/news-room/fact-sheets/detail/patient-safety" TargetMode="External"/><Relationship Id="rId35" Type="http://schemas.openxmlformats.org/officeDocument/2006/relationships/hyperlink" Target="https://journals.lww.com/npmj/fulltext/2022/29040/the_nigeria_national_health_insurance_authority.1.aspx" TargetMode="External"/><Relationship Id="rId43" Type="http://schemas.openxmlformats.org/officeDocument/2006/relationships/hyperlink" Target="https://www.developmentaid.org/news-stream/post/187820/nigerian-literacy-crisis" TargetMode="Externa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en.wikipedia.org/wiki/Preventive_healthcare" TargetMode="External"/><Relationship Id="rId17" Type="http://schemas.openxmlformats.org/officeDocument/2006/relationships/hyperlink" Target="https://en.wikipedia.org/wiki/Disease" TargetMode="External"/><Relationship Id="rId25" Type="http://schemas.openxmlformats.org/officeDocument/2006/relationships/hyperlink" Target="https://en.wikipedia.org/wiki/Logistics" TargetMode="External"/><Relationship Id="rId33" Type="http://schemas.openxmlformats.org/officeDocument/2006/relationships/hyperlink" Target="https://www.ajol.info/index.php/afrrev/article/view/101342" TargetMode="External"/><Relationship Id="rId38" Type="http://schemas.openxmlformats.org/officeDocument/2006/relationships/hyperlink" Target="https://www.ajol.info/index.php/afrrev/article/view/101342" TargetMode="External"/><Relationship Id="rId46" Type="http://schemas.openxmlformats.org/officeDocument/2006/relationships/theme" Target="theme/theme1.xml"/><Relationship Id="rId20" Type="http://schemas.openxmlformats.org/officeDocument/2006/relationships/hyperlink" Target="https://en.wikipedia.org/wiki/Disability" TargetMode="External"/><Relationship Id="rId41" Type="http://schemas.openxmlformats.org/officeDocument/2006/relationships/hyperlink" Target="https://doi.org/10.5055/jem.0862"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researchgate.net/publication/394157036_Beauchamp_and_Childress_Principles_of_Biomedical_Ethics" TargetMode="External"/><Relationship Id="rId18" Type="http://schemas.openxmlformats.org/officeDocument/2006/relationships/hyperlink" Target="https://pubmed.ncbi.nlm.nih.gov/22000764/" TargetMode="External"/><Relationship Id="rId26" Type="http://schemas.openxmlformats.org/officeDocument/2006/relationships/hyperlink" Target="https://iris.who.int/handle/10665/43470" TargetMode="External"/><Relationship Id="rId39" Type="http://schemas.openxmlformats.org/officeDocument/2006/relationships/hyperlink" Target="https://www.ncbi.nlm.nih.gov/pmc/articles/PMC3957799/" TargetMode="External"/><Relationship Id="rId21" Type="http://schemas.openxmlformats.org/officeDocument/2006/relationships/hyperlink" Target="https://doi.org/10.15694/mep.2020.000191.1" TargetMode="External"/><Relationship Id="rId34" Type="http://schemas.openxmlformats.org/officeDocument/2006/relationships/hyperlink" Target="https://www.cddwestafrica.org/blog/civil-society-in-the-fight-for-universal-health-coverage-in-nigeria/" TargetMode="External"/><Relationship Id="rId42" Type="http://schemas.openxmlformats.org/officeDocument/2006/relationships/hyperlink" Target="https://www.researchgate.net/publication/272877000_Prospects_and_challenges_of_telemedicine_in_Nigeria" TargetMode="External"/><Relationship Id="rId7" Type="http://schemas.openxmlformats.org/officeDocument/2006/relationships/hyperlink" Target="https://law.justia.com/codes/illinois/chapter-410/act-410-ilcs-50/" TargetMode="External"/><Relationship Id="rId2" Type="http://schemas.openxmlformats.org/officeDocument/2006/relationships/hyperlink" Target="https://pmc.ncbi.nlm.nih.gov/articles/PMC10783226/" TargetMode="External"/><Relationship Id="rId16" Type="http://schemas.openxmlformats.org/officeDocument/2006/relationships/hyperlink" Target="https://www.cambridge.org/core/books/autonomy-and-trust-in-bioethics/901685A151865B0C07590E711BDBD2C9?utm_campaign=shareaholic&amp;utm_medium=copy_link&amp;utm_source=bookmark" TargetMode="External"/><Relationship Id="rId29" Type="http://schemas.openxmlformats.org/officeDocument/2006/relationships/hyperlink" Target="https://www.researchgate.net/publication/394157036_Beauchamp_and_Childress_Principles_of_Biomedical_Ethics" TargetMode="External"/><Relationship Id="rId1" Type="http://schemas.openxmlformats.org/officeDocument/2006/relationships/hyperlink" Target="https://pmc.ncbi.nlm.nih.gov/articles/PMC10783226/" TargetMode="External"/><Relationship Id="rId6" Type="http://schemas.openxmlformats.org/officeDocument/2006/relationships/hyperlink" Target="https://doi.org/10.1377/hlthaff.21.4.189" TargetMode="External"/><Relationship Id="rId11" Type="http://schemas.openxmlformats.org/officeDocument/2006/relationships/hyperlink" Target="https://www.cambridge.org/core/books/autonomy/kant-on-the-theory-and-practice-of-autonomy/51D42476C0749B1D88E9B928977EC397?utm_campaign=shareaholic&amp;utm_medium=copy_link&amp;utm_source=bookmark" TargetMode="External"/><Relationship Id="rId24" Type="http://schemas.openxmlformats.org/officeDocument/2006/relationships/hyperlink" Target="https://doi.org/10.1093/acprof:oso/9780199264186.001.0001" TargetMode="External"/><Relationship Id="rId32" Type="http://schemas.openxmlformats.org/officeDocument/2006/relationships/hyperlink" Target="https://journals.ezenwaohaetorc.org/index.php/MUNFOLLJ/article/view/1536" TargetMode="External"/><Relationship Id="rId37" Type="http://schemas.openxmlformats.org/officeDocument/2006/relationships/hyperlink" Target="https://www.thisdaylive.com/2025/06/03/informed-consent-in-nigerias-healthcare-system-a-silent-crisis-undermining-patients-rights/" TargetMode="External"/><Relationship Id="rId40" Type="http://schemas.openxmlformats.org/officeDocument/2006/relationships/hyperlink" Target="https://www.physiciansweekly.com/proving-a-medical-malpractice-case-i-proving-negligence-part-i" TargetMode="External"/><Relationship Id="rId45" Type="http://schemas.openxmlformats.org/officeDocument/2006/relationships/hyperlink" Target="https://wilanglobal.org/reimagining-nigerias-healthcare-system-addressing-the-urgent-needs/" TargetMode="External"/><Relationship Id="rId5" Type="http://schemas.openxmlformats.org/officeDocument/2006/relationships/hyperlink" Target="https://doi.org/10.1007/s11606-009-0914-z" TargetMode="External"/><Relationship Id="rId15" Type="http://schemas.openxmlformats.org/officeDocument/2006/relationships/hyperlink" Target="https://www.researchgate.net/publication/261686859_Clinical_Ethics_A_Practical_Approach_To_Ethical_Decisions_in_Clinical_Medicine" TargetMode="External"/><Relationship Id="rId23" Type="http://schemas.openxmlformats.org/officeDocument/2006/relationships/hyperlink" Target="https://doi.org/10.1093/acprof:oso/9780199264186.001.0001" TargetMode="External"/><Relationship Id="rId28" Type="http://schemas.openxmlformats.org/officeDocument/2006/relationships/hyperlink" Target="https://doi.org/10.1186/s12960-016-0142-5" TargetMode="External"/><Relationship Id="rId36" Type="http://schemas.openxmlformats.org/officeDocument/2006/relationships/hyperlink" Target="https://iaeme.com/MasterAdmin/Journal_uploads/IJM/VOLUME_7_ISSUE_2/IJM_07_02_019.pdf" TargetMode="External"/><Relationship Id="rId10" Type="http://schemas.openxmlformats.org/officeDocument/2006/relationships/hyperlink" Target="http://jme.bmj.com/content/9/2/69.full.pdf" TargetMode="External"/><Relationship Id="rId19" Type="http://schemas.openxmlformats.org/officeDocument/2006/relationships/hyperlink" Target="https://doi.org/10.71164/socialmedicine.v7i3.2013.671" TargetMode="External"/><Relationship Id="rId31" Type="http://schemas.openxmlformats.org/officeDocument/2006/relationships/hyperlink" Target="https://theconversation.com/medical-negligence-in-nigeria-whats-known-and-what-needs-to-be-done-273592" TargetMode="External"/><Relationship Id="rId44" Type="http://schemas.openxmlformats.org/officeDocument/2006/relationships/hyperlink" Target="https://unitedclinicalss.com/the-challenges-of-informed-consent-and-its-impact-on-clinical-research-in-nigeria/" TargetMode="External"/><Relationship Id="rId4" Type="http://schemas.openxmlformats.org/officeDocument/2006/relationships/hyperlink" Target="https://www.lawjournals.org/assets/archives/2024/vol10issue3/10136.pdf" TargetMode="External"/><Relationship Id="rId9" Type="http://schemas.openxmlformats.org/officeDocument/2006/relationships/hyperlink" Target="https://www.cambridge.org/core/books/achieving-personcentred-health-systems/patients-rights-from-recognition-to-implementation/5767D25112F3C4079962F6E01A4881DA" TargetMode="External"/><Relationship Id="rId14" Type="http://schemas.openxmlformats.org/officeDocument/2006/relationships/hyperlink" Target="https://www.researchgate.net/publication/394157036_Beauchamp_and_Childress_Principles_of_Biomedical_Ethics" TargetMode="External"/><Relationship Id="rId22" Type="http://schemas.openxmlformats.org/officeDocument/2006/relationships/hyperlink" Target="https://www.ncbi.nlm.nih.gov/pmc/articles/PMC4142578/" TargetMode="External"/><Relationship Id="rId27" Type="http://schemas.openxmlformats.org/officeDocument/2006/relationships/hyperlink" Target="https://www.abebooks.co.uk/9781784991364/Medicine-patients-law-Contemporary-Issues-1784991368/plp" TargetMode="External"/><Relationship Id="rId30" Type="http://schemas.openxmlformats.org/officeDocument/2006/relationships/hyperlink" Target="https://www.researchgate.net/publication/308130354_Nigeria's_National_Health_Act_An_assessment_of_health_professionals'_knowledge_and_perception" TargetMode="External"/><Relationship Id="rId35" Type="http://schemas.openxmlformats.org/officeDocument/2006/relationships/hyperlink" Target="https://www.cddwestafrica.org/blog/civil-society-in-the-fight-for-universal-health-coverage-in-nigeria/" TargetMode="External"/><Relationship Id="rId43" Type="http://schemas.openxmlformats.org/officeDocument/2006/relationships/hyperlink" Target="https://www.researchgate.net/publication/272877000_Prospects_and_challenges_of_telemedicine_in_Nigeria" TargetMode="External"/><Relationship Id="rId8" Type="http://schemas.openxmlformats.org/officeDocument/2006/relationships/hyperlink" Target="https://www.cambridge.org/core/books/achieving-personcentred-health-systems/patients-rights-from-recognition-to-implementation/5767D25112F3C4079962F6E01A4881DA" TargetMode="External"/><Relationship Id="rId3" Type="http://schemas.openxmlformats.org/officeDocument/2006/relationships/hyperlink" Target="https://papers.ssrn.com/sol3/papers.cfm?abstract_id=5351066" TargetMode="External"/><Relationship Id="rId12" Type="http://schemas.openxmlformats.org/officeDocument/2006/relationships/hyperlink" Target="https://samples.jbpub.com/9780763773274/73274_morrison_ch02.pdf" TargetMode="External"/><Relationship Id="rId17" Type="http://schemas.openxmlformats.org/officeDocument/2006/relationships/hyperlink" Target="https://bmeier.web.unc.edu/wp-content/uploads/sites/700/2011/02/Meier-Yamin-2011.pdf" TargetMode="External"/><Relationship Id="rId25" Type="http://schemas.openxmlformats.org/officeDocument/2006/relationships/hyperlink" Target="https://doi.org/10.1001/jama.1988.03410120089033" TargetMode="External"/><Relationship Id="rId33" Type="http://schemas.openxmlformats.org/officeDocument/2006/relationships/hyperlink" Target="https://hmb.fcta.gov.ng/" TargetMode="External"/><Relationship Id="rId38" Type="http://schemas.openxmlformats.org/officeDocument/2006/relationships/hyperlink" Target="https://www.surjen.com/blog-details/medical-ethics-and-patient-rights-in-nigeria" TargetMode="External"/><Relationship Id="rId20" Type="http://schemas.openxmlformats.org/officeDocument/2006/relationships/hyperlink" Target="https://doi.org/10.22461/jhea.1.71646" TargetMode="External"/><Relationship Id="rId41" Type="http://schemas.openxmlformats.org/officeDocument/2006/relationships/hyperlink" Target="http://www.radianthealthmag.com/.../medical-negligence-in%20nigeria-the-long-road-to-jus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7303A-6325-4070-99C2-9F6289DA6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100</Pages>
  <Words>24142</Words>
  <Characters>137610</Characters>
  <Application>Microsoft Office Word</Application>
  <DocSecurity>0</DocSecurity>
  <Lines>1146</Lines>
  <Paragraphs>322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Ekene Orizu</dc:creator>
  <cp:keywords/>
  <dc:description/>
  <cp:lastModifiedBy>Ekene Orizu</cp:lastModifiedBy>
  <cp:revision>138</cp:revision>
  <dcterms:created xsi:type="dcterms:W3CDTF">2026-01-26T16:57:00Z</dcterms:created>
  <dcterms:modified xsi:type="dcterms:W3CDTF">2026-07-24T13:45:00Z</dcterms:modified>
</cp:coreProperties>
</file>