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7CD2" w:rsidRDefault="00453B03">
      <w:pPr>
        <w:spacing w:line="480" w:lineRule="auto"/>
        <w:jc w:val="center"/>
        <w:rPr>
          <w:rFonts w:ascii="Times New Roman" w:eastAsia="Aptos" w:hAnsi="Times New Roman" w:cs="SimSun"/>
          <w:b/>
          <w:bCs/>
          <w:kern w:val="2"/>
          <w:sz w:val="24"/>
          <w:szCs w:val="24"/>
          <w:lang w:val="en-GB" w:eastAsia="en-US"/>
        </w:rPr>
      </w:pPr>
      <w:r>
        <w:rPr>
          <w:rFonts w:ascii="Times New Roman" w:hAnsi="Times New Roman"/>
          <w:b/>
          <w:bCs/>
          <w:sz w:val="24"/>
          <w:szCs w:val="24"/>
        </w:rPr>
        <w:t>A CRITICAL REVIEW ON RELEVANT LAWS OF THE PROTECTION OF PUBLIC OFFICERS IN NIGERIA</w:t>
      </w:r>
    </w:p>
    <w:p w:rsidR="00EC7CD2" w:rsidRDefault="00EC7CD2">
      <w:pPr>
        <w:spacing w:line="480" w:lineRule="auto"/>
        <w:jc w:val="center"/>
        <w:rPr>
          <w:rFonts w:ascii="Times New Roman" w:eastAsia="Aptos" w:hAnsi="Times New Roman" w:cs="SimSun"/>
          <w:b/>
          <w:bCs/>
          <w:kern w:val="2"/>
          <w:sz w:val="24"/>
          <w:szCs w:val="24"/>
          <w:lang w:val="en-GB" w:eastAsia="en-US"/>
        </w:rPr>
      </w:pPr>
    </w:p>
    <w:p w:rsidR="00EC7CD2" w:rsidRDefault="00453B03">
      <w:pPr>
        <w:spacing w:line="480" w:lineRule="auto"/>
        <w:jc w:val="center"/>
        <w:rPr>
          <w:rFonts w:ascii="Times New Roman" w:eastAsia="Aptos" w:hAnsi="Times New Roman" w:cs="SimSun"/>
          <w:b/>
          <w:bCs/>
          <w:kern w:val="2"/>
          <w:sz w:val="24"/>
          <w:szCs w:val="24"/>
          <w:lang w:val="en-GB" w:eastAsia="en-US"/>
        </w:rPr>
      </w:pPr>
      <w:r>
        <w:rPr>
          <w:rFonts w:ascii="Times New Roman" w:hAnsi="Times New Roman"/>
          <w:b/>
          <w:bCs/>
          <w:sz w:val="24"/>
          <w:szCs w:val="24"/>
        </w:rPr>
        <w:t>BY</w:t>
      </w:r>
    </w:p>
    <w:p w:rsidR="00EC7CD2" w:rsidRDefault="00EC7CD2">
      <w:pPr>
        <w:spacing w:line="480" w:lineRule="auto"/>
        <w:jc w:val="center"/>
        <w:rPr>
          <w:rFonts w:ascii="Times New Roman" w:eastAsia="Aptos" w:hAnsi="Times New Roman" w:cs="SimSun"/>
          <w:b/>
          <w:bCs/>
          <w:kern w:val="2"/>
          <w:sz w:val="24"/>
          <w:szCs w:val="24"/>
          <w:lang w:val="en-GB" w:eastAsia="en-US"/>
        </w:rPr>
      </w:pPr>
    </w:p>
    <w:p w:rsidR="00EC7CD2" w:rsidRDefault="00453B03">
      <w:pPr>
        <w:spacing w:line="480" w:lineRule="auto"/>
        <w:jc w:val="center"/>
        <w:rPr>
          <w:rFonts w:ascii="Times New Roman" w:eastAsia="Aptos" w:hAnsi="Times New Roman" w:cs="SimSun"/>
          <w:b/>
          <w:bCs/>
          <w:kern w:val="2"/>
          <w:sz w:val="24"/>
          <w:szCs w:val="24"/>
          <w:lang w:val="en-GB" w:eastAsia="en-US"/>
        </w:rPr>
      </w:pPr>
      <w:r>
        <w:rPr>
          <w:rFonts w:ascii="Times New Roman" w:hAnsi="Times New Roman"/>
          <w:b/>
          <w:bCs/>
          <w:sz w:val="24"/>
          <w:szCs w:val="24"/>
        </w:rPr>
        <w:t xml:space="preserve"> BEMBE SIMON MOM</w:t>
      </w:r>
    </w:p>
    <w:p w:rsidR="00EC7CD2" w:rsidRDefault="00453B03">
      <w:pPr>
        <w:spacing w:line="480" w:lineRule="auto"/>
        <w:jc w:val="center"/>
        <w:rPr>
          <w:rFonts w:ascii="Times New Roman" w:eastAsia="Aptos" w:hAnsi="Times New Roman" w:cs="SimSun"/>
          <w:b/>
          <w:bCs/>
          <w:kern w:val="2"/>
          <w:sz w:val="24"/>
          <w:szCs w:val="24"/>
          <w:lang w:val="en-GB" w:eastAsia="en-US"/>
        </w:rPr>
      </w:pPr>
      <w:r>
        <w:rPr>
          <w:rFonts w:ascii="Times New Roman" w:hAnsi="Times New Roman"/>
          <w:b/>
          <w:bCs/>
          <w:sz w:val="24"/>
          <w:szCs w:val="24"/>
        </w:rPr>
        <w:t>GOU/U21/LAW/368</w:t>
      </w:r>
    </w:p>
    <w:p w:rsidR="00EC7CD2" w:rsidRDefault="00EC7CD2">
      <w:pPr>
        <w:spacing w:line="480" w:lineRule="auto"/>
        <w:rPr>
          <w:rFonts w:ascii="Times New Roman" w:eastAsia="Aptos" w:hAnsi="Times New Roman" w:cs="SimSun"/>
          <w:b/>
          <w:bCs/>
          <w:kern w:val="2"/>
          <w:sz w:val="24"/>
          <w:szCs w:val="24"/>
          <w:lang w:val="en-GB" w:eastAsia="en-US"/>
        </w:rPr>
      </w:pPr>
    </w:p>
    <w:p w:rsidR="00EC7CD2" w:rsidRDefault="00EC7CD2">
      <w:pPr>
        <w:spacing w:line="480" w:lineRule="auto"/>
        <w:jc w:val="center"/>
        <w:rPr>
          <w:rFonts w:ascii="Times New Roman" w:eastAsia="Aptos" w:hAnsi="Times New Roman" w:cs="SimSun"/>
          <w:b/>
          <w:bCs/>
          <w:kern w:val="2"/>
          <w:sz w:val="24"/>
          <w:szCs w:val="24"/>
          <w:lang w:val="en-GB" w:eastAsia="en-US"/>
        </w:rPr>
      </w:pPr>
    </w:p>
    <w:p w:rsidR="00EC7CD2" w:rsidRDefault="00453B03">
      <w:pPr>
        <w:spacing w:line="480" w:lineRule="auto"/>
        <w:jc w:val="center"/>
        <w:rPr>
          <w:rFonts w:ascii="Times New Roman" w:eastAsia="Aptos" w:hAnsi="Times New Roman" w:cs="SimSun"/>
          <w:b/>
          <w:bCs/>
          <w:kern w:val="2"/>
          <w:sz w:val="24"/>
          <w:szCs w:val="24"/>
          <w:lang w:val="en-GB" w:eastAsia="en-US"/>
        </w:rPr>
      </w:pPr>
      <w:r>
        <w:rPr>
          <w:rFonts w:ascii="Times New Roman" w:hAnsi="Times New Roman"/>
          <w:b/>
          <w:bCs/>
          <w:sz w:val="24"/>
          <w:szCs w:val="24"/>
        </w:rPr>
        <w:t>A LONG ESSAY SUBMITTED TO THE FACULTY OF LAW, GODFREY OKOYE UNIVERSITY, ENUGU STATE, IN PARTIAL FULFILMENT OF THE REQUIREMENTS FOR THE AWARD OF THE DEGREE OF BACHELOR OF LAWS (LL.B) OF GODFREY OKOYE UNIVERSITY.</w:t>
      </w:r>
    </w:p>
    <w:p w:rsidR="00EC7CD2" w:rsidRDefault="00EC7CD2">
      <w:pPr>
        <w:spacing w:line="480" w:lineRule="auto"/>
        <w:rPr>
          <w:rFonts w:ascii="Times New Roman" w:eastAsia="Aptos" w:hAnsi="Times New Roman" w:cs="SimSun"/>
          <w:b/>
          <w:bCs/>
          <w:kern w:val="2"/>
          <w:sz w:val="24"/>
          <w:szCs w:val="24"/>
          <w:lang w:val="en-GB" w:eastAsia="en-US"/>
        </w:rPr>
      </w:pPr>
    </w:p>
    <w:p w:rsidR="00EC7CD2" w:rsidRDefault="00EC7CD2">
      <w:pPr>
        <w:spacing w:line="480" w:lineRule="auto"/>
        <w:rPr>
          <w:rFonts w:ascii="Times New Roman" w:eastAsia="Aptos" w:hAnsi="Times New Roman" w:cs="SimSun"/>
          <w:b/>
          <w:bCs/>
          <w:kern w:val="2"/>
          <w:sz w:val="24"/>
          <w:szCs w:val="24"/>
          <w:lang w:val="en-GB" w:eastAsia="en-US"/>
        </w:rPr>
      </w:pPr>
    </w:p>
    <w:p w:rsidR="00EC7CD2" w:rsidRDefault="00EC7CD2">
      <w:pPr>
        <w:spacing w:line="480" w:lineRule="auto"/>
        <w:jc w:val="center"/>
        <w:rPr>
          <w:rFonts w:ascii="Times New Roman" w:eastAsia="Aptos" w:hAnsi="Times New Roman" w:cs="SimSun"/>
          <w:b/>
          <w:bCs/>
          <w:kern w:val="2"/>
          <w:sz w:val="24"/>
          <w:szCs w:val="24"/>
          <w:lang w:val="en-GB" w:eastAsia="en-US"/>
        </w:rPr>
      </w:pPr>
    </w:p>
    <w:p w:rsidR="00EC7CD2" w:rsidRDefault="00453B03">
      <w:pPr>
        <w:spacing w:line="480" w:lineRule="auto"/>
        <w:jc w:val="center"/>
        <w:rPr>
          <w:rFonts w:ascii="Times New Roman" w:eastAsia="Aptos" w:hAnsi="Times New Roman" w:cs="SimSun"/>
          <w:b/>
          <w:bCs/>
          <w:kern w:val="2"/>
          <w:sz w:val="24"/>
          <w:szCs w:val="24"/>
          <w:lang w:val="en-GB" w:eastAsia="en-US"/>
        </w:rPr>
      </w:pPr>
      <w:r>
        <w:rPr>
          <w:rFonts w:ascii="Times New Roman" w:hAnsi="Times New Roman"/>
          <w:b/>
          <w:bCs/>
          <w:sz w:val="24"/>
          <w:szCs w:val="24"/>
        </w:rPr>
        <w:t>JUNE, 2026</w:t>
      </w:r>
    </w:p>
    <w:p w:rsidR="00EC7CD2" w:rsidRDefault="00EC7CD2">
      <w:pPr>
        <w:spacing w:line="480" w:lineRule="auto"/>
        <w:jc w:val="center"/>
        <w:rPr>
          <w:rFonts w:ascii="Times New Roman" w:eastAsia="Aptos" w:hAnsi="Times New Roman" w:cs="SimSun"/>
          <w:b/>
          <w:bCs/>
          <w:kern w:val="2"/>
          <w:sz w:val="24"/>
          <w:szCs w:val="24"/>
          <w:lang w:val="en-GB" w:eastAsia="en-US"/>
        </w:rPr>
      </w:pPr>
    </w:p>
    <w:p w:rsidR="00EC7CD2" w:rsidRDefault="00453B03">
      <w:pPr>
        <w:spacing w:line="480" w:lineRule="auto"/>
        <w:jc w:val="center"/>
        <w:rPr>
          <w:rFonts w:ascii="Times New Roman" w:hAnsi="Times New Roman"/>
          <w:b/>
          <w:bCs/>
          <w:sz w:val="24"/>
          <w:szCs w:val="24"/>
        </w:rPr>
      </w:pPr>
      <w:r>
        <w:rPr>
          <w:rFonts w:ascii="Times New Roman" w:eastAsia="Aptos" w:hAnsi="Times New Roman" w:cs="SimSun"/>
          <w:b/>
          <w:bCs/>
          <w:kern w:val="2"/>
          <w:sz w:val="24"/>
          <w:szCs w:val="24"/>
          <w:lang w:val="en-GB" w:eastAsia="en-US"/>
        </w:rPr>
        <w:lastRenderedPageBreak/>
        <w:t>A CRITICAL REVIEW ON RELEVANT LAWS ON THE PROTECTION OF PUBLIC OFFICERS IN NIGERIA</w:t>
      </w:r>
    </w:p>
    <w:p w:rsidR="00EC7CD2" w:rsidRDefault="00EC7CD2">
      <w:pPr>
        <w:spacing w:line="480" w:lineRule="auto"/>
        <w:jc w:val="center"/>
        <w:rPr>
          <w:rFonts w:ascii="Times New Roman" w:hAnsi="Times New Roman"/>
          <w:b/>
          <w:bCs/>
          <w:sz w:val="24"/>
          <w:szCs w:val="24"/>
        </w:rPr>
      </w:pPr>
    </w:p>
    <w:p w:rsidR="00EC7CD2" w:rsidRDefault="00EC7CD2">
      <w:pPr>
        <w:spacing w:line="480" w:lineRule="auto"/>
        <w:jc w:val="center"/>
        <w:rPr>
          <w:rFonts w:ascii="Times New Roman" w:hAnsi="Times New Roman"/>
          <w:b/>
          <w:bCs/>
          <w:sz w:val="24"/>
          <w:szCs w:val="24"/>
        </w:rPr>
      </w:pPr>
    </w:p>
    <w:p w:rsidR="00EC7CD2" w:rsidRDefault="00453B03">
      <w:pPr>
        <w:spacing w:line="480" w:lineRule="auto"/>
        <w:jc w:val="center"/>
        <w:rPr>
          <w:rFonts w:ascii="Times New Roman" w:hAnsi="Times New Roman"/>
          <w:b/>
          <w:bCs/>
          <w:sz w:val="24"/>
          <w:szCs w:val="24"/>
        </w:rPr>
      </w:pPr>
      <w:r>
        <w:rPr>
          <w:rFonts w:ascii="Times New Roman" w:eastAsia="Aptos" w:hAnsi="Times New Roman" w:cs="SimSun"/>
          <w:b/>
          <w:bCs/>
          <w:kern w:val="2"/>
          <w:sz w:val="24"/>
          <w:szCs w:val="24"/>
          <w:lang w:val="en-GB" w:eastAsia="en-US"/>
        </w:rPr>
        <w:t xml:space="preserve"> BEMBE SIMON MOM</w:t>
      </w:r>
    </w:p>
    <w:p w:rsidR="00EC7CD2" w:rsidRDefault="00453B03">
      <w:pPr>
        <w:spacing w:line="480" w:lineRule="auto"/>
        <w:jc w:val="center"/>
        <w:rPr>
          <w:rFonts w:ascii="Times New Roman" w:hAnsi="Times New Roman"/>
          <w:b/>
          <w:bCs/>
          <w:sz w:val="24"/>
          <w:szCs w:val="24"/>
        </w:rPr>
      </w:pPr>
      <w:r>
        <w:rPr>
          <w:rFonts w:ascii="Times New Roman" w:eastAsia="Aptos" w:hAnsi="Times New Roman" w:cs="SimSun"/>
          <w:b/>
          <w:bCs/>
          <w:kern w:val="2"/>
          <w:sz w:val="24"/>
          <w:szCs w:val="24"/>
          <w:lang w:val="en-GB" w:eastAsia="en-US"/>
        </w:rPr>
        <w:t>GOU/U21/LAW/368</w:t>
      </w:r>
    </w:p>
    <w:p w:rsidR="00EC7CD2" w:rsidRDefault="00EC7CD2">
      <w:pPr>
        <w:spacing w:line="480" w:lineRule="auto"/>
        <w:jc w:val="center"/>
        <w:rPr>
          <w:rFonts w:ascii="Times New Roman" w:hAnsi="Times New Roman"/>
          <w:b/>
          <w:bCs/>
          <w:sz w:val="24"/>
          <w:szCs w:val="24"/>
        </w:rPr>
      </w:pPr>
    </w:p>
    <w:p w:rsidR="00EC7CD2" w:rsidRDefault="00EC7CD2">
      <w:pPr>
        <w:spacing w:line="480" w:lineRule="auto"/>
        <w:jc w:val="center"/>
        <w:rPr>
          <w:rFonts w:ascii="Times New Roman" w:hAnsi="Times New Roman"/>
          <w:b/>
          <w:bCs/>
          <w:sz w:val="24"/>
          <w:szCs w:val="24"/>
        </w:rPr>
      </w:pPr>
    </w:p>
    <w:p w:rsidR="00EC7CD2" w:rsidRDefault="00453B03">
      <w:pPr>
        <w:spacing w:line="480" w:lineRule="auto"/>
        <w:jc w:val="center"/>
        <w:rPr>
          <w:rFonts w:ascii="Times New Roman" w:hAnsi="Times New Roman"/>
          <w:b/>
          <w:bCs/>
          <w:sz w:val="24"/>
          <w:szCs w:val="24"/>
        </w:rPr>
      </w:pPr>
      <w:r>
        <w:rPr>
          <w:rFonts w:ascii="Times New Roman" w:eastAsia="Aptos" w:hAnsi="Times New Roman" w:cs="SimSun"/>
          <w:b/>
          <w:bCs/>
          <w:kern w:val="2"/>
          <w:sz w:val="24"/>
          <w:szCs w:val="24"/>
          <w:lang w:val="en-GB" w:eastAsia="en-US"/>
        </w:rPr>
        <w:t>A LONG ESSAY SUBMITTED TO THE FACULTY OF LAW, GODFREY OKOYE UNIVERSITY, ENUGU STATE, IN PARTIAL FULFILMENT OF THE REQUIREMENTS FOR THE AWARD OF THE DEGREE OF BACHELOR OF LAWS (LL.B) OF GODFREY OKOYE UNIVERSITY.</w:t>
      </w:r>
    </w:p>
    <w:p w:rsidR="00EC7CD2" w:rsidRDefault="00EC7CD2">
      <w:pPr>
        <w:spacing w:line="480" w:lineRule="auto"/>
        <w:rPr>
          <w:rFonts w:ascii="Times New Roman" w:hAnsi="Times New Roman"/>
          <w:b/>
          <w:bCs/>
          <w:sz w:val="24"/>
          <w:szCs w:val="24"/>
        </w:rPr>
      </w:pPr>
    </w:p>
    <w:p w:rsidR="00EC7CD2" w:rsidRDefault="00EC7CD2">
      <w:pPr>
        <w:spacing w:line="480" w:lineRule="auto"/>
        <w:rPr>
          <w:rFonts w:ascii="Times New Roman" w:hAnsi="Times New Roman"/>
          <w:b/>
          <w:bCs/>
          <w:sz w:val="24"/>
          <w:szCs w:val="24"/>
        </w:rPr>
      </w:pPr>
    </w:p>
    <w:p w:rsidR="00EC7CD2" w:rsidRDefault="00453B03">
      <w:pPr>
        <w:spacing w:line="480" w:lineRule="auto"/>
        <w:jc w:val="center"/>
        <w:rPr>
          <w:rFonts w:ascii="Times New Roman" w:hAnsi="Times New Roman"/>
          <w:b/>
          <w:bCs/>
          <w:sz w:val="24"/>
          <w:szCs w:val="24"/>
        </w:rPr>
      </w:pPr>
      <w:r>
        <w:rPr>
          <w:rFonts w:ascii="Times New Roman" w:eastAsia="Aptos" w:hAnsi="Times New Roman" w:cs="SimSun"/>
          <w:b/>
          <w:bCs/>
          <w:kern w:val="2"/>
          <w:sz w:val="24"/>
          <w:szCs w:val="24"/>
          <w:lang w:eastAsia="en-US"/>
        </w:rPr>
        <w:t>SUPERVISOR: PROFESSOR FRIDAY ILOH</w:t>
      </w:r>
    </w:p>
    <w:p w:rsidR="00EC7CD2" w:rsidRDefault="00EC7CD2">
      <w:pPr>
        <w:spacing w:line="480" w:lineRule="auto"/>
        <w:rPr>
          <w:rFonts w:ascii="Times New Roman" w:hAnsi="Times New Roman"/>
          <w:b/>
          <w:bCs/>
          <w:sz w:val="24"/>
          <w:szCs w:val="24"/>
        </w:rPr>
      </w:pPr>
    </w:p>
    <w:p w:rsidR="00EC7CD2" w:rsidRDefault="00453B03">
      <w:pPr>
        <w:spacing w:line="480" w:lineRule="auto"/>
        <w:jc w:val="center"/>
        <w:rPr>
          <w:rFonts w:ascii="Times New Roman" w:hAnsi="Times New Roman"/>
          <w:b/>
          <w:bCs/>
          <w:sz w:val="24"/>
          <w:szCs w:val="24"/>
        </w:rPr>
      </w:pPr>
      <w:r>
        <w:rPr>
          <w:rFonts w:ascii="Times New Roman" w:eastAsia="Aptos" w:hAnsi="Times New Roman" w:cs="SimSun"/>
          <w:b/>
          <w:bCs/>
          <w:kern w:val="2"/>
          <w:sz w:val="24"/>
          <w:szCs w:val="24"/>
          <w:lang w:val="en-GB" w:eastAsia="en-US"/>
        </w:rPr>
        <w:t>JUNE 2026</w:t>
      </w:r>
    </w:p>
    <w:p w:rsidR="00EC7CD2" w:rsidRDefault="00EC7CD2">
      <w:pPr>
        <w:spacing w:line="360" w:lineRule="auto"/>
        <w:rPr>
          <w:rFonts w:ascii="Times New Roman" w:hAnsi="Times New Roman"/>
          <w:b/>
          <w:bCs/>
          <w:sz w:val="24"/>
          <w:szCs w:val="24"/>
        </w:rPr>
      </w:pPr>
    </w:p>
    <w:p w:rsidR="00EC7CD2" w:rsidRDefault="00453B03">
      <w:pPr>
        <w:spacing w:line="360" w:lineRule="auto"/>
        <w:jc w:val="center"/>
        <w:rPr>
          <w:rFonts w:ascii="Times New Roman" w:hAnsi="Times New Roman"/>
          <w:b/>
          <w:bCs/>
          <w:sz w:val="24"/>
          <w:szCs w:val="24"/>
        </w:rPr>
      </w:pPr>
      <w:r>
        <w:rPr>
          <w:rFonts w:ascii="Times New Roman" w:eastAsia="Aptos" w:hAnsi="Times New Roman"/>
          <w:b/>
          <w:bCs/>
          <w:kern w:val="2"/>
          <w:sz w:val="24"/>
          <w:szCs w:val="24"/>
          <w:lang w:val="en-GB" w:eastAsia="en-US"/>
        </w:rPr>
        <w:lastRenderedPageBreak/>
        <w:t xml:space="preserve">DECLARATION </w:t>
      </w:r>
    </w:p>
    <w:p w:rsidR="00EC7CD2" w:rsidRDefault="00453B03">
      <w:pPr>
        <w:spacing w:line="360" w:lineRule="auto"/>
        <w:jc w:val="both"/>
        <w:rPr>
          <w:rFonts w:ascii="Times New Roman" w:hAnsi="Times New Roman"/>
          <w:b/>
          <w:bCs/>
          <w:sz w:val="24"/>
          <w:szCs w:val="24"/>
        </w:rPr>
      </w:pPr>
      <w:r>
        <w:rPr>
          <w:rFonts w:ascii="Times New Roman" w:eastAsia="Aptos" w:hAnsi="Times New Roman"/>
          <w:kern w:val="2"/>
          <w:sz w:val="24"/>
          <w:szCs w:val="24"/>
          <w:lang w:val="en-GB" w:eastAsia="en-US"/>
        </w:rPr>
        <w:t>I, Mom Bembe Simon, with registration number GOU/U21/LAW/368, hereby declare that this Long Essay entitled “</w:t>
      </w:r>
      <w:r>
        <w:rPr>
          <w:rFonts w:ascii="Times New Roman" w:eastAsia="Aptos" w:hAnsi="Times New Roman"/>
          <w:kern w:val="2"/>
          <w:sz w:val="24"/>
          <w:szCs w:val="24"/>
          <w:lang w:eastAsia="en-US"/>
        </w:rPr>
        <w:t>A CRITICAL REVIEW ON RELEVANT LAWS ON THE PROTECTION OF PUBLIC OFFICERS IN NIGERIA</w:t>
      </w:r>
      <w:r>
        <w:rPr>
          <w:rFonts w:ascii="Times New Roman" w:eastAsia="Aptos" w:hAnsi="Times New Roman"/>
          <w:kern w:val="2"/>
          <w:sz w:val="24"/>
          <w:szCs w:val="24"/>
          <w:lang w:val="en-GB" w:eastAsia="en-US"/>
        </w:rPr>
        <w:t>” is an original work done by me, with the direct diligent supervision of Professor Friday Okechukwu Iloh, and has not been submitted to this or any other institution, either wholly or partly, for the award of any degree or qualification. It has been approved by the administrative and academic staff of the Faculty of Law, Godfrey Okoye University, Enugu. In partial fulfilment of the requirement for the award of Bachelor of Laws (LL.B) Degree. All sources consulted have been duly acknowledged and referenced.</w:t>
      </w:r>
    </w:p>
    <w:p w:rsidR="00EC7CD2" w:rsidRDefault="00EC7CD2">
      <w:pPr>
        <w:spacing w:line="360" w:lineRule="auto"/>
        <w:jc w:val="both"/>
        <w:rPr>
          <w:rFonts w:ascii="Times New Roman" w:hAnsi="Times New Roman"/>
          <w:b/>
          <w:bCs/>
          <w:sz w:val="24"/>
          <w:szCs w:val="24"/>
        </w:rPr>
      </w:pPr>
    </w:p>
    <w:p w:rsidR="00EC7CD2" w:rsidRDefault="00453B03">
      <w:pPr>
        <w:spacing w:line="360" w:lineRule="auto"/>
        <w:jc w:val="both"/>
        <w:rPr>
          <w:rFonts w:ascii="Times New Roman" w:hAnsi="Times New Roman"/>
          <w:b/>
          <w:bCs/>
          <w:sz w:val="24"/>
          <w:szCs w:val="24"/>
        </w:rPr>
      </w:pPr>
      <w:r>
        <w:rPr>
          <w:rFonts w:ascii="Times New Roman" w:eastAsia="Aptos" w:hAnsi="Times New Roman"/>
          <w:kern w:val="2"/>
          <w:sz w:val="24"/>
          <w:szCs w:val="24"/>
          <w:lang w:val="en-GB" w:eastAsia="en-US"/>
        </w:rPr>
        <w:t xml:space="preserve"> </w:t>
      </w:r>
    </w:p>
    <w:p w:rsidR="00EC7CD2" w:rsidRDefault="00EC7CD2">
      <w:pPr>
        <w:spacing w:line="360" w:lineRule="auto"/>
        <w:jc w:val="both"/>
        <w:rPr>
          <w:rFonts w:ascii="Times New Roman" w:hAnsi="Times New Roman"/>
          <w:b/>
          <w:bCs/>
          <w:sz w:val="24"/>
          <w:szCs w:val="24"/>
        </w:rPr>
      </w:pPr>
    </w:p>
    <w:p w:rsidR="00EC7CD2" w:rsidRDefault="00EC7CD2">
      <w:pPr>
        <w:spacing w:line="360" w:lineRule="auto"/>
        <w:jc w:val="both"/>
        <w:rPr>
          <w:rFonts w:ascii="Times New Roman" w:hAnsi="Times New Roman"/>
          <w:b/>
          <w:bCs/>
          <w:sz w:val="24"/>
          <w:szCs w:val="24"/>
        </w:rPr>
      </w:pPr>
    </w:p>
    <w:p w:rsidR="00EC7CD2" w:rsidRDefault="00453B03">
      <w:pPr>
        <w:spacing w:after="160" w:line="278" w:lineRule="auto"/>
        <w:jc w:val="center"/>
        <w:rPr>
          <w:rFonts w:ascii="Times New Roman" w:hAnsi="Times New Roman"/>
          <w:b/>
          <w:bCs/>
          <w:sz w:val="24"/>
          <w:szCs w:val="24"/>
        </w:rPr>
      </w:pPr>
      <w:r>
        <w:rPr>
          <w:rFonts w:ascii="Times New Roman" w:eastAsia="Aptos" w:hAnsi="Times New Roman"/>
          <w:kern w:val="2"/>
          <w:sz w:val="24"/>
          <w:szCs w:val="24"/>
          <w:lang w:val="en-GB" w:eastAsia="en-US"/>
        </w:rPr>
        <w:t xml:space="preserve">_______________________________________ </w:t>
      </w:r>
    </w:p>
    <w:p w:rsidR="00EC7CD2" w:rsidRDefault="00453B03">
      <w:pPr>
        <w:spacing w:after="160" w:line="278" w:lineRule="auto"/>
        <w:ind w:left="720"/>
        <w:jc w:val="center"/>
        <w:rPr>
          <w:rFonts w:ascii="Times New Roman" w:hAnsi="Times New Roman"/>
          <w:b/>
          <w:bCs/>
          <w:sz w:val="24"/>
          <w:szCs w:val="24"/>
        </w:rPr>
      </w:pPr>
      <w:r>
        <w:rPr>
          <w:rFonts w:ascii="Times New Roman" w:eastAsia="Aptos" w:hAnsi="Times New Roman"/>
          <w:b/>
          <w:bCs/>
          <w:kern w:val="2"/>
          <w:sz w:val="24"/>
          <w:szCs w:val="24"/>
          <w:lang w:val="en-GB" w:eastAsia="en-US"/>
        </w:rPr>
        <w:t>Mom Bembe Simon</w:t>
      </w:r>
    </w:p>
    <w:p w:rsidR="00EC7CD2" w:rsidRDefault="00EC7CD2">
      <w:pPr>
        <w:spacing w:line="360" w:lineRule="auto"/>
        <w:jc w:val="center"/>
        <w:rPr>
          <w:rFonts w:ascii="Times New Roman" w:hAnsi="Times New Roman"/>
          <w:b/>
          <w:bCs/>
          <w:sz w:val="24"/>
          <w:szCs w:val="24"/>
        </w:rPr>
      </w:pPr>
    </w:p>
    <w:p w:rsidR="00EC7CD2" w:rsidRDefault="00EC7CD2">
      <w:pPr>
        <w:spacing w:line="360" w:lineRule="auto"/>
        <w:jc w:val="center"/>
        <w:rPr>
          <w:rFonts w:ascii="Times New Roman" w:hAnsi="Times New Roman"/>
          <w:b/>
          <w:bCs/>
          <w:sz w:val="24"/>
          <w:szCs w:val="24"/>
        </w:rPr>
      </w:pPr>
    </w:p>
    <w:p w:rsidR="00EC7CD2" w:rsidRDefault="00EC7CD2">
      <w:pPr>
        <w:spacing w:line="360" w:lineRule="auto"/>
        <w:jc w:val="center"/>
        <w:rPr>
          <w:rFonts w:ascii="Times New Roman" w:hAnsi="Times New Roman"/>
          <w:b/>
          <w:bCs/>
          <w:sz w:val="24"/>
          <w:szCs w:val="24"/>
        </w:rPr>
      </w:pPr>
    </w:p>
    <w:p w:rsidR="00EC7CD2" w:rsidRDefault="00EC7CD2">
      <w:pPr>
        <w:spacing w:line="360" w:lineRule="auto"/>
        <w:jc w:val="center"/>
        <w:rPr>
          <w:rFonts w:ascii="Times New Roman" w:hAnsi="Times New Roman"/>
          <w:b/>
          <w:bCs/>
          <w:sz w:val="24"/>
          <w:szCs w:val="24"/>
        </w:rPr>
      </w:pPr>
    </w:p>
    <w:p w:rsidR="00EC7CD2" w:rsidRDefault="00EC7CD2">
      <w:pPr>
        <w:spacing w:line="360" w:lineRule="auto"/>
        <w:jc w:val="center"/>
        <w:rPr>
          <w:rFonts w:ascii="Times New Roman" w:hAnsi="Times New Roman"/>
          <w:b/>
          <w:bCs/>
          <w:sz w:val="24"/>
          <w:szCs w:val="24"/>
        </w:rPr>
      </w:pPr>
    </w:p>
    <w:p w:rsidR="00EC7CD2" w:rsidRDefault="00EC7CD2">
      <w:pPr>
        <w:spacing w:line="360" w:lineRule="auto"/>
        <w:jc w:val="center"/>
        <w:rPr>
          <w:rFonts w:ascii="Times New Roman" w:hAnsi="Times New Roman"/>
          <w:b/>
          <w:bCs/>
          <w:sz w:val="24"/>
          <w:szCs w:val="24"/>
        </w:rPr>
      </w:pPr>
    </w:p>
    <w:p w:rsidR="00EC7CD2" w:rsidRDefault="00EC7CD2">
      <w:pPr>
        <w:spacing w:line="360" w:lineRule="auto"/>
        <w:rPr>
          <w:rFonts w:ascii="Times New Roman" w:hAnsi="Times New Roman"/>
          <w:b/>
          <w:bCs/>
          <w:sz w:val="24"/>
          <w:szCs w:val="24"/>
        </w:rPr>
      </w:pPr>
    </w:p>
    <w:p w:rsidR="00EC7CD2" w:rsidRDefault="00EC7CD2">
      <w:pPr>
        <w:spacing w:line="360" w:lineRule="auto"/>
        <w:jc w:val="center"/>
        <w:rPr>
          <w:rFonts w:ascii="Times New Roman" w:eastAsia="Aptos" w:hAnsi="Times New Roman"/>
          <w:b/>
          <w:bCs/>
          <w:kern w:val="2"/>
          <w:sz w:val="24"/>
          <w:szCs w:val="24"/>
          <w:lang w:val="en-GB" w:eastAsia="en-US"/>
        </w:rPr>
      </w:pPr>
    </w:p>
    <w:p w:rsidR="00EC7CD2" w:rsidRDefault="00453B03">
      <w:pPr>
        <w:spacing w:line="360" w:lineRule="auto"/>
        <w:jc w:val="center"/>
        <w:rPr>
          <w:rFonts w:ascii="Times New Roman" w:hAnsi="Times New Roman"/>
          <w:b/>
          <w:bCs/>
          <w:sz w:val="24"/>
          <w:szCs w:val="24"/>
        </w:rPr>
      </w:pPr>
      <w:r>
        <w:rPr>
          <w:rFonts w:ascii="Times New Roman" w:eastAsia="Aptos" w:hAnsi="Times New Roman"/>
          <w:b/>
          <w:bCs/>
          <w:kern w:val="2"/>
          <w:sz w:val="24"/>
          <w:szCs w:val="24"/>
          <w:lang w:val="en-GB" w:eastAsia="en-US"/>
        </w:rPr>
        <w:lastRenderedPageBreak/>
        <w:t>CERTIFICATION</w:t>
      </w:r>
    </w:p>
    <w:p w:rsidR="00EC7CD2" w:rsidRDefault="00453B03">
      <w:pPr>
        <w:spacing w:line="360" w:lineRule="auto"/>
        <w:jc w:val="both"/>
        <w:rPr>
          <w:rFonts w:ascii="Times New Roman" w:hAnsi="Times New Roman"/>
          <w:b/>
          <w:bCs/>
          <w:sz w:val="24"/>
          <w:szCs w:val="24"/>
        </w:rPr>
      </w:pPr>
      <w:r>
        <w:rPr>
          <w:rFonts w:ascii="Times New Roman" w:eastAsia="Aptos" w:hAnsi="Times New Roman"/>
          <w:kern w:val="2"/>
          <w:sz w:val="24"/>
          <w:szCs w:val="24"/>
          <w:lang w:val="en-GB" w:eastAsia="en-US"/>
        </w:rPr>
        <w:t>This is to certify that this Long Essay entitled "</w:t>
      </w:r>
      <w:r>
        <w:t xml:space="preserve"> </w:t>
      </w:r>
      <w:r>
        <w:rPr>
          <w:rFonts w:ascii="Times New Roman" w:eastAsia="Aptos" w:hAnsi="Times New Roman"/>
          <w:kern w:val="2"/>
          <w:sz w:val="24"/>
          <w:szCs w:val="24"/>
          <w:lang w:eastAsia="en-US"/>
        </w:rPr>
        <w:t>A CRITICAL REVIEW ON RELEVANT LAWS OF THE PROTECTION OF PUBLIC OFFICERS IN NIGERIA</w:t>
      </w:r>
      <w:r>
        <w:rPr>
          <w:rFonts w:ascii="Times New Roman" w:eastAsia="Aptos" w:hAnsi="Times New Roman"/>
          <w:kern w:val="2"/>
          <w:sz w:val="24"/>
          <w:szCs w:val="24"/>
          <w:lang w:val="en-GB" w:eastAsia="en-US"/>
        </w:rPr>
        <w:t>" was carried out by Mom Bembe Simon, with Matriculation Number GOU/U21/LAW/368, under my supervision and has been approved for submission to the Faculty of Law, Godfrey Okoye University, in partial fulfilment of the requirements for the award of the degree of Bachelor of Laws (LL.B).</w:t>
      </w:r>
    </w:p>
    <w:p w:rsidR="00EC7CD2" w:rsidRDefault="00EC7CD2">
      <w:pPr>
        <w:spacing w:line="360" w:lineRule="auto"/>
        <w:jc w:val="center"/>
        <w:rPr>
          <w:rFonts w:ascii="Times New Roman" w:hAnsi="Times New Roman"/>
          <w:b/>
          <w:bCs/>
          <w:sz w:val="24"/>
          <w:szCs w:val="24"/>
        </w:rPr>
      </w:pPr>
    </w:p>
    <w:p w:rsidR="00EC7CD2" w:rsidRDefault="00EC7CD2">
      <w:pPr>
        <w:spacing w:line="360" w:lineRule="auto"/>
        <w:rPr>
          <w:rFonts w:ascii="Times New Roman" w:hAnsi="Times New Roman"/>
          <w:b/>
          <w:bCs/>
          <w:sz w:val="24"/>
          <w:szCs w:val="24"/>
        </w:rPr>
      </w:pPr>
    </w:p>
    <w:p w:rsidR="00EC7CD2" w:rsidRDefault="00453B03">
      <w:pPr>
        <w:tabs>
          <w:tab w:val="right" w:pos="9020"/>
        </w:tabs>
        <w:spacing w:line="360" w:lineRule="auto"/>
        <w:rPr>
          <w:rFonts w:ascii="Times New Roman" w:hAnsi="Times New Roman"/>
          <w:b/>
          <w:bCs/>
          <w:sz w:val="24"/>
          <w:szCs w:val="24"/>
        </w:rPr>
      </w:pPr>
      <w:r>
        <w:rPr>
          <w:rFonts w:ascii="Times New Roman" w:eastAsia="Aptos" w:hAnsi="Times New Roman"/>
          <w:b/>
          <w:bCs/>
          <w:kern w:val="2"/>
          <w:sz w:val="24"/>
          <w:szCs w:val="24"/>
          <w:lang w:val="en-GB" w:eastAsia="en-US"/>
        </w:rPr>
        <w:t>………………………………………</w:t>
      </w:r>
    </w:p>
    <w:p w:rsidR="00EC7CD2" w:rsidRDefault="00453B03">
      <w:pPr>
        <w:tabs>
          <w:tab w:val="left" w:pos="5540"/>
        </w:tabs>
        <w:spacing w:line="360" w:lineRule="auto"/>
        <w:rPr>
          <w:rFonts w:ascii="Times New Roman" w:hAnsi="Times New Roman"/>
          <w:b/>
          <w:bCs/>
          <w:sz w:val="24"/>
          <w:szCs w:val="24"/>
        </w:rPr>
      </w:pPr>
      <w:r>
        <w:rPr>
          <w:rFonts w:ascii="Times New Roman" w:eastAsia="Aptos" w:hAnsi="Times New Roman"/>
          <w:b/>
          <w:bCs/>
          <w:kern w:val="2"/>
          <w:sz w:val="24"/>
          <w:szCs w:val="24"/>
          <w:lang w:val="en-GB" w:eastAsia="en-US"/>
        </w:rPr>
        <w:t>PROF. FRIDAY OKECHUKWU ILOH</w:t>
      </w:r>
    </w:p>
    <w:p w:rsidR="00EC7CD2" w:rsidRDefault="00453B03">
      <w:pPr>
        <w:tabs>
          <w:tab w:val="left" w:pos="5540"/>
        </w:tabs>
        <w:spacing w:line="360" w:lineRule="auto"/>
        <w:rPr>
          <w:rFonts w:ascii="Times New Roman" w:hAnsi="Times New Roman"/>
          <w:b/>
          <w:bCs/>
          <w:sz w:val="24"/>
          <w:szCs w:val="24"/>
        </w:rPr>
      </w:pPr>
      <w:r>
        <w:rPr>
          <w:rFonts w:ascii="Times New Roman" w:eastAsia="Aptos" w:hAnsi="Times New Roman"/>
          <w:b/>
          <w:bCs/>
          <w:kern w:val="2"/>
          <w:sz w:val="24"/>
          <w:szCs w:val="24"/>
          <w:lang w:val="en-GB" w:eastAsia="en-US"/>
        </w:rPr>
        <w:t>(Supervisor)</w:t>
      </w:r>
    </w:p>
    <w:p w:rsidR="00EC7CD2" w:rsidRDefault="00EC7CD2">
      <w:pPr>
        <w:spacing w:line="360" w:lineRule="auto"/>
        <w:rPr>
          <w:rFonts w:ascii="Times New Roman" w:hAnsi="Times New Roman"/>
          <w:b/>
          <w:bCs/>
          <w:sz w:val="24"/>
          <w:szCs w:val="24"/>
        </w:rPr>
      </w:pPr>
    </w:p>
    <w:p w:rsidR="00EC7CD2" w:rsidRDefault="00EC7CD2">
      <w:pPr>
        <w:spacing w:line="360" w:lineRule="auto"/>
        <w:jc w:val="center"/>
        <w:rPr>
          <w:rFonts w:ascii="Times New Roman" w:hAnsi="Times New Roman"/>
          <w:b/>
          <w:bCs/>
          <w:sz w:val="24"/>
          <w:szCs w:val="24"/>
        </w:rPr>
      </w:pPr>
    </w:p>
    <w:p w:rsidR="00EC7CD2" w:rsidRDefault="00453B03">
      <w:pPr>
        <w:tabs>
          <w:tab w:val="right" w:pos="9020"/>
        </w:tabs>
        <w:spacing w:line="360" w:lineRule="auto"/>
        <w:rPr>
          <w:rFonts w:ascii="Times New Roman" w:hAnsi="Times New Roman"/>
          <w:b/>
          <w:bCs/>
          <w:sz w:val="24"/>
          <w:szCs w:val="24"/>
        </w:rPr>
      </w:pPr>
      <w:r>
        <w:rPr>
          <w:rFonts w:ascii="Times New Roman" w:eastAsia="Aptos" w:hAnsi="Times New Roman"/>
          <w:b/>
          <w:bCs/>
          <w:kern w:val="2"/>
          <w:sz w:val="24"/>
          <w:szCs w:val="24"/>
          <w:lang w:val="en-GB" w:eastAsia="en-US"/>
        </w:rPr>
        <w:t xml:space="preserve">……………………………………… </w:t>
      </w:r>
    </w:p>
    <w:p w:rsidR="00EC7CD2" w:rsidRDefault="00453B03">
      <w:pPr>
        <w:tabs>
          <w:tab w:val="left" w:pos="5540"/>
        </w:tabs>
        <w:spacing w:line="360" w:lineRule="auto"/>
        <w:rPr>
          <w:rFonts w:ascii="Times New Roman" w:hAnsi="Times New Roman"/>
          <w:b/>
          <w:bCs/>
          <w:sz w:val="24"/>
          <w:szCs w:val="24"/>
        </w:rPr>
      </w:pPr>
      <w:r>
        <w:rPr>
          <w:rFonts w:ascii="Times New Roman" w:eastAsia="Aptos" w:hAnsi="Times New Roman"/>
          <w:b/>
          <w:bCs/>
          <w:kern w:val="2"/>
          <w:sz w:val="24"/>
          <w:szCs w:val="24"/>
          <w:lang w:eastAsia="en-US"/>
        </w:rPr>
        <w:t>DR. G. O OMEH</w:t>
      </w:r>
    </w:p>
    <w:p w:rsidR="00EC7CD2" w:rsidRDefault="00453B03">
      <w:pPr>
        <w:tabs>
          <w:tab w:val="left" w:pos="5540"/>
        </w:tabs>
        <w:spacing w:line="360" w:lineRule="auto"/>
        <w:rPr>
          <w:rFonts w:ascii="Times New Roman" w:hAnsi="Times New Roman"/>
          <w:b/>
          <w:bCs/>
          <w:sz w:val="24"/>
          <w:szCs w:val="24"/>
        </w:rPr>
      </w:pPr>
      <w:r>
        <w:rPr>
          <w:rFonts w:ascii="Times New Roman" w:eastAsia="Aptos" w:hAnsi="Times New Roman"/>
          <w:b/>
          <w:bCs/>
          <w:kern w:val="2"/>
          <w:sz w:val="24"/>
          <w:szCs w:val="24"/>
          <w:lang w:val="en-GB" w:eastAsia="en-US"/>
        </w:rPr>
        <w:t>(</w:t>
      </w:r>
      <w:r>
        <w:rPr>
          <w:rFonts w:ascii="Times New Roman" w:eastAsia="Aptos" w:hAnsi="Times New Roman"/>
          <w:b/>
          <w:bCs/>
          <w:kern w:val="2"/>
          <w:sz w:val="24"/>
          <w:szCs w:val="24"/>
          <w:lang w:eastAsia="en-US"/>
        </w:rPr>
        <w:t xml:space="preserve">Ag. </w:t>
      </w:r>
      <w:r>
        <w:rPr>
          <w:rFonts w:ascii="Times New Roman" w:eastAsia="Aptos" w:hAnsi="Times New Roman"/>
          <w:b/>
          <w:bCs/>
          <w:kern w:val="2"/>
          <w:sz w:val="24"/>
          <w:szCs w:val="24"/>
          <w:lang w:val="en-GB" w:eastAsia="en-US"/>
        </w:rPr>
        <w:t>Dean, Faculty of Law, Godfrey Okoye University)</w:t>
      </w:r>
    </w:p>
    <w:p w:rsidR="00EC7CD2" w:rsidRDefault="00EC7CD2">
      <w:pPr>
        <w:tabs>
          <w:tab w:val="left" w:pos="5540"/>
        </w:tabs>
        <w:spacing w:line="360" w:lineRule="auto"/>
        <w:rPr>
          <w:rFonts w:ascii="Times New Roman" w:hAnsi="Times New Roman"/>
          <w:b/>
          <w:bCs/>
          <w:sz w:val="24"/>
          <w:szCs w:val="24"/>
        </w:rPr>
      </w:pPr>
    </w:p>
    <w:p w:rsidR="00EC7CD2" w:rsidRDefault="00EC7CD2">
      <w:pPr>
        <w:tabs>
          <w:tab w:val="left" w:pos="5540"/>
        </w:tabs>
        <w:spacing w:line="360" w:lineRule="auto"/>
        <w:rPr>
          <w:rFonts w:ascii="Times New Roman" w:hAnsi="Times New Roman"/>
          <w:b/>
          <w:bCs/>
          <w:sz w:val="24"/>
          <w:szCs w:val="24"/>
        </w:rPr>
      </w:pPr>
    </w:p>
    <w:p w:rsidR="00EC7CD2" w:rsidRDefault="00453B03">
      <w:pPr>
        <w:tabs>
          <w:tab w:val="left" w:pos="5540"/>
        </w:tabs>
        <w:spacing w:line="360" w:lineRule="auto"/>
        <w:rPr>
          <w:rFonts w:ascii="Times New Roman" w:hAnsi="Times New Roman"/>
          <w:b/>
          <w:bCs/>
          <w:sz w:val="24"/>
          <w:szCs w:val="24"/>
        </w:rPr>
      </w:pPr>
      <w:r>
        <w:rPr>
          <w:rFonts w:ascii="Times New Roman" w:eastAsia="Aptos" w:hAnsi="Times New Roman"/>
          <w:b/>
          <w:bCs/>
          <w:kern w:val="2"/>
          <w:sz w:val="24"/>
          <w:szCs w:val="24"/>
          <w:lang w:eastAsia="en-US"/>
        </w:rPr>
        <w:t>.......................................</w:t>
      </w:r>
    </w:p>
    <w:p w:rsidR="00EC7CD2" w:rsidRDefault="00453B03">
      <w:pPr>
        <w:tabs>
          <w:tab w:val="left" w:pos="5540"/>
        </w:tabs>
        <w:spacing w:line="360" w:lineRule="auto"/>
        <w:rPr>
          <w:rFonts w:ascii="Times New Roman" w:hAnsi="Times New Roman"/>
          <w:b/>
          <w:bCs/>
          <w:sz w:val="24"/>
          <w:szCs w:val="24"/>
        </w:rPr>
      </w:pPr>
      <w:r>
        <w:rPr>
          <w:rFonts w:ascii="Times New Roman" w:eastAsia="Aptos" w:hAnsi="Times New Roman"/>
          <w:b/>
          <w:bCs/>
          <w:kern w:val="2"/>
          <w:sz w:val="24"/>
          <w:szCs w:val="24"/>
          <w:lang w:eastAsia="en-US"/>
        </w:rPr>
        <w:t xml:space="preserve">EXTERNAL EXAMINER </w:t>
      </w:r>
    </w:p>
    <w:p w:rsidR="00EC7CD2" w:rsidRDefault="00EC7CD2">
      <w:pPr>
        <w:spacing w:after="160" w:line="360" w:lineRule="auto"/>
        <w:rPr>
          <w:rFonts w:ascii="Times New Roman" w:hAnsi="Times New Roman"/>
          <w:b/>
          <w:bCs/>
          <w:sz w:val="24"/>
          <w:szCs w:val="24"/>
        </w:rPr>
      </w:pPr>
    </w:p>
    <w:p w:rsidR="00EC7CD2" w:rsidRDefault="00EC7CD2">
      <w:pPr>
        <w:spacing w:after="160" w:line="360" w:lineRule="auto"/>
        <w:rPr>
          <w:rFonts w:ascii="Times New Roman" w:hAnsi="Times New Roman"/>
          <w:b/>
          <w:bCs/>
          <w:sz w:val="24"/>
          <w:szCs w:val="24"/>
        </w:rPr>
      </w:pPr>
    </w:p>
    <w:p w:rsidR="00EC7CD2" w:rsidRDefault="00453B03">
      <w:pPr>
        <w:spacing w:after="160" w:line="360" w:lineRule="auto"/>
        <w:jc w:val="center"/>
        <w:rPr>
          <w:rFonts w:ascii="Times New Roman" w:hAnsi="Times New Roman"/>
          <w:b/>
          <w:bCs/>
          <w:sz w:val="24"/>
          <w:szCs w:val="24"/>
        </w:rPr>
      </w:pPr>
      <w:r>
        <w:rPr>
          <w:rFonts w:ascii="Times New Roman" w:eastAsia="Aptos" w:hAnsi="Times New Roman"/>
          <w:b/>
          <w:bCs/>
          <w:kern w:val="2"/>
          <w:sz w:val="24"/>
          <w:szCs w:val="24"/>
          <w:lang w:eastAsia="en-US"/>
        </w:rPr>
        <w:lastRenderedPageBreak/>
        <w:t>DEDICATION</w:t>
      </w:r>
    </w:p>
    <w:p w:rsidR="00EC7CD2" w:rsidRDefault="00453B03">
      <w:pPr>
        <w:spacing w:line="360" w:lineRule="auto"/>
        <w:ind w:left="-142"/>
        <w:jc w:val="both"/>
        <w:rPr>
          <w:rFonts w:ascii="Times New Roman" w:hAnsi="Times New Roman"/>
          <w:b/>
          <w:bCs/>
          <w:sz w:val="24"/>
          <w:szCs w:val="24"/>
        </w:rPr>
      </w:pPr>
      <w:r>
        <w:rPr>
          <w:rFonts w:ascii="Times New Roman" w:eastAsia="Aptos" w:hAnsi="Times New Roman"/>
          <w:kern w:val="2"/>
          <w:sz w:val="24"/>
          <w:szCs w:val="24"/>
          <w:lang w:eastAsia="en-US"/>
        </w:rPr>
        <w:t xml:space="preserve">This research work is dedicated to the Almighty God for His grace and favour throughout the entire process of this work. </w:t>
      </w:r>
    </w:p>
    <w:p w:rsidR="00EC7CD2" w:rsidRDefault="00453B03">
      <w:pPr>
        <w:spacing w:line="360" w:lineRule="auto"/>
        <w:ind w:left="-142"/>
        <w:jc w:val="both"/>
        <w:rPr>
          <w:rFonts w:ascii="Times New Roman" w:hAnsi="Times New Roman"/>
          <w:b/>
          <w:bCs/>
          <w:sz w:val="24"/>
          <w:szCs w:val="24"/>
        </w:rPr>
      </w:pPr>
      <w:r>
        <w:rPr>
          <w:rFonts w:ascii="Times New Roman" w:eastAsia="Aptos" w:hAnsi="Times New Roman"/>
          <w:kern w:val="2"/>
          <w:sz w:val="24"/>
          <w:szCs w:val="24"/>
          <w:lang w:eastAsia="en-US"/>
        </w:rPr>
        <w:t>It is further dedicated to my own daddy, Late Elder Mr Simon Ebi Mom who was a great encouragement to me during his lifetime and to my wonderful family and friends for their unwavering support. Finally, to my humble dear self, who have been resilient, hardworking and patient.</w:t>
      </w:r>
    </w:p>
    <w:p w:rsidR="00EC7CD2" w:rsidRDefault="00EC7CD2">
      <w:pPr>
        <w:spacing w:after="160" w:line="360" w:lineRule="auto"/>
        <w:ind w:left="-142"/>
        <w:rPr>
          <w:rFonts w:ascii="Times New Roman" w:hAnsi="Times New Roman"/>
          <w:b/>
          <w:bCs/>
          <w:sz w:val="24"/>
          <w:szCs w:val="24"/>
        </w:rPr>
      </w:pPr>
    </w:p>
    <w:p w:rsidR="00EC7CD2" w:rsidRDefault="00EC7CD2">
      <w:pPr>
        <w:spacing w:after="160" w:line="360" w:lineRule="auto"/>
        <w:ind w:left="-142"/>
        <w:rPr>
          <w:rFonts w:ascii="Times New Roman" w:hAnsi="Times New Roman"/>
          <w:b/>
          <w:bCs/>
          <w:sz w:val="24"/>
          <w:szCs w:val="24"/>
        </w:rPr>
      </w:pPr>
    </w:p>
    <w:p w:rsidR="00EC7CD2" w:rsidRDefault="00EC7CD2">
      <w:pPr>
        <w:spacing w:after="160" w:line="360" w:lineRule="auto"/>
        <w:ind w:left="-142"/>
        <w:rPr>
          <w:rFonts w:ascii="Times New Roman" w:hAnsi="Times New Roman"/>
          <w:b/>
          <w:bCs/>
          <w:sz w:val="24"/>
          <w:szCs w:val="24"/>
        </w:rPr>
      </w:pPr>
    </w:p>
    <w:p w:rsidR="00EC7CD2" w:rsidRDefault="00EC7CD2">
      <w:pPr>
        <w:spacing w:after="160" w:line="360" w:lineRule="auto"/>
        <w:ind w:left="-142"/>
        <w:rPr>
          <w:rFonts w:ascii="Times New Roman" w:hAnsi="Times New Roman"/>
          <w:b/>
          <w:bCs/>
          <w:sz w:val="24"/>
          <w:szCs w:val="24"/>
        </w:rPr>
      </w:pPr>
    </w:p>
    <w:p w:rsidR="00EC7CD2" w:rsidRDefault="00EC7CD2">
      <w:pPr>
        <w:spacing w:after="160" w:line="360" w:lineRule="auto"/>
        <w:ind w:left="-142"/>
        <w:rPr>
          <w:rFonts w:ascii="Times New Roman" w:hAnsi="Times New Roman"/>
          <w:b/>
          <w:bCs/>
          <w:sz w:val="24"/>
          <w:szCs w:val="24"/>
        </w:rPr>
      </w:pPr>
    </w:p>
    <w:p w:rsidR="00EC7CD2" w:rsidRDefault="00EC7CD2">
      <w:pPr>
        <w:spacing w:after="160" w:line="360" w:lineRule="auto"/>
        <w:ind w:left="-142"/>
        <w:rPr>
          <w:rFonts w:ascii="Times New Roman" w:hAnsi="Times New Roman"/>
          <w:b/>
          <w:bCs/>
          <w:sz w:val="24"/>
          <w:szCs w:val="24"/>
        </w:rPr>
      </w:pPr>
    </w:p>
    <w:p w:rsidR="00EC7CD2" w:rsidRDefault="00EC7CD2">
      <w:pPr>
        <w:spacing w:after="160" w:line="360" w:lineRule="auto"/>
        <w:ind w:left="-142"/>
        <w:rPr>
          <w:rFonts w:ascii="Times New Roman" w:hAnsi="Times New Roman"/>
          <w:b/>
          <w:bCs/>
          <w:sz w:val="24"/>
          <w:szCs w:val="24"/>
        </w:rPr>
      </w:pPr>
    </w:p>
    <w:p w:rsidR="00EC7CD2" w:rsidRDefault="00EC7CD2">
      <w:pPr>
        <w:spacing w:after="160" w:line="360" w:lineRule="auto"/>
        <w:rPr>
          <w:rFonts w:ascii="Times New Roman" w:hAnsi="Times New Roman"/>
          <w:b/>
          <w:bCs/>
          <w:sz w:val="24"/>
          <w:szCs w:val="24"/>
        </w:rPr>
      </w:pPr>
    </w:p>
    <w:p w:rsidR="00EC7CD2" w:rsidRDefault="00EC7CD2">
      <w:pPr>
        <w:spacing w:after="160" w:line="360" w:lineRule="auto"/>
        <w:rPr>
          <w:rFonts w:ascii="Times New Roman" w:hAnsi="Times New Roman"/>
          <w:b/>
          <w:bCs/>
          <w:sz w:val="24"/>
          <w:szCs w:val="24"/>
        </w:rPr>
      </w:pPr>
    </w:p>
    <w:p w:rsidR="00EC7CD2" w:rsidRDefault="00EC7CD2">
      <w:pPr>
        <w:spacing w:after="160" w:line="360" w:lineRule="auto"/>
        <w:rPr>
          <w:rFonts w:ascii="Times New Roman" w:hAnsi="Times New Roman"/>
          <w:b/>
          <w:bCs/>
          <w:sz w:val="24"/>
          <w:szCs w:val="24"/>
        </w:rPr>
      </w:pPr>
    </w:p>
    <w:p w:rsidR="00EC7CD2" w:rsidRDefault="00EC7CD2">
      <w:pPr>
        <w:spacing w:after="160" w:line="360" w:lineRule="auto"/>
        <w:rPr>
          <w:rFonts w:ascii="Times New Roman" w:hAnsi="Times New Roman"/>
          <w:b/>
          <w:bCs/>
          <w:sz w:val="24"/>
          <w:szCs w:val="24"/>
        </w:rPr>
      </w:pPr>
    </w:p>
    <w:p w:rsidR="00EC7CD2" w:rsidRDefault="00EC7CD2">
      <w:pPr>
        <w:spacing w:after="160" w:line="360" w:lineRule="auto"/>
        <w:rPr>
          <w:rFonts w:ascii="Times New Roman" w:hAnsi="Times New Roman"/>
          <w:b/>
          <w:bCs/>
          <w:sz w:val="24"/>
          <w:szCs w:val="24"/>
        </w:rPr>
      </w:pPr>
    </w:p>
    <w:p w:rsidR="00EC7CD2" w:rsidRDefault="00EC7CD2">
      <w:pPr>
        <w:spacing w:after="160" w:line="360" w:lineRule="auto"/>
        <w:rPr>
          <w:rFonts w:ascii="Times New Roman" w:hAnsi="Times New Roman"/>
          <w:b/>
          <w:bCs/>
          <w:sz w:val="24"/>
          <w:szCs w:val="24"/>
        </w:rPr>
      </w:pPr>
    </w:p>
    <w:p w:rsidR="00EC7CD2" w:rsidRDefault="00EC7CD2">
      <w:pPr>
        <w:spacing w:after="160" w:line="360" w:lineRule="auto"/>
        <w:rPr>
          <w:rFonts w:ascii="Times New Roman" w:hAnsi="Times New Roman"/>
          <w:b/>
          <w:bCs/>
          <w:sz w:val="24"/>
          <w:szCs w:val="24"/>
        </w:rPr>
      </w:pPr>
    </w:p>
    <w:p w:rsidR="00EC7CD2" w:rsidRDefault="00EC7CD2">
      <w:pPr>
        <w:spacing w:after="160" w:line="360" w:lineRule="auto"/>
        <w:rPr>
          <w:rFonts w:ascii="Times New Roman" w:hAnsi="Times New Roman"/>
          <w:b/>
          <w:bCs/>
          <w:sz w:val="24"/>
          <w:szCs w:val="24"/>
        </w:rPr>
      </w:pPr>
    </w:p>
    <w:p w:rsidR="00EC7CD2" w:rsidRDefault="00EC7CD2">
      <w:pPr>
        <w:spacing w:after="160" w:line="360" w:lineRule="auto"/>
        <w:rPr>
          <w:rFonts w:ascii="Times New Roman" w:hAnsi="Times New Roman"/>
          <w:b/>
          <w:bCs/>
          <w:sz w:val="24"/>
          <w:szCs w:val="24"/>
        </w:rPr>
      </w:pPr>
    </w:p>
    <w:p w:rsidR="00EC7CD2" w:rsidRDefault="00453B03">
      <w:pPr>
        <w:spacing w:after="160" w:line="360" w:lineRule="auto"/>
        <w:jc w:val="center"/>
        <w:rPr>
          <w:rFonts w:ascii="Times New Roman" w:hAnsi="Times New Roman"/>
          <w:b/>
          <w:bCs/>
          <w:sz w:val="24"/>
          <w:szCs w:val="24"/>
        </w:rPr>
      </w:pPr>
      <w:r>
        <w:rPr>
          <w:rFonts w:ascii="Times New Roman" w:eastAsia="Aptos" w:hAnsi="Times New Roman"/>
          <w:b/>
          <w:bCs/>
          <w:kern w:val="2"/>
          <w:sz w:val="24"/>
          <w:szCs w:val="24"/>
          <w:lang w:eastAsia="en-US"/>
        </w:rPr>
        <w:lastRenderedPageBreak/>
        <w:t>ACKNOWLEDGEMENT</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eastAsia="en-US"/>
        </w:rPr>
        <w:t>The successful completion of this research work would not have been possible without the One who was and is and is to come, whose grace and mercies has remained constant throughout the course of this study. For constantly being my helper, Lord, I am deeply grateful.</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eastAsia="en-US"/>
        </w:rPr>
        <w:t xml:space="preserve">Special appreciation goes to my project supervisor, Professor Friday Iloh, an embodiment of knowledge whose scholarly guidance and professional supervision assisted the completion of this work.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eastAsia="en-US"/>
        </w:rPr>
        <w:t>To my wonderful lecturers, Miss Florence Akubuilo, for her resilience and immense assistance and encouragement in writing this project work, To Prof. Friday O. Iloh, Prof. Boniface O. Okere, Dr Nwakaego and my academic advisor, Mrs Maureen Ujah for their help throughout my academic journey.</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eastAsia="en-US"/>
        </w:rPr>
        <w:t>To an awesome lecturer in absentia, Late Fr Somadina, although he is not here to witness the end of this academic journey, I appreciate him for his gentle nudge enconraging us to do better. May your beautiful soul rest in peace.</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eastAsia="en-US"/>
        </w:rPr>
        <w:t>I also acknowledge my own mummy for her prayers, love, care and provisions throughout this academic journey, my siblings, Scientist Kesap Mom, Dr Bolele Dumbiri, Mrs Bokat Anyika, Engr. Dupiam Mom (my bestie) and Phuayen Mom for their love and support. My friends, Johnpaul, Maxwell, Chibundu, Excel, Chiamaka, Vera, Kaosi, Oge, Olaedo, Princess, Chinomso, Favour, Precious for their moral and intellectual support throughout this academic journey.</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eastAsia="en-US"/>
        </w:rPr>
        <w:t>And to Bembe Odelia Kainenechukwu Abishai, for being resilient in her studies and not giving up when it seemed like all efforts proved fruitless, she scaled through and have finally come to the end of this journey. Weldone.</w:t>
      </w:r>
    </w:p>
    <w:p w:rsidR="00EC7CD2" w:rsidRDefault="00EC7CD2">
      <w:pPr>
        <w:spacing w:after="160" w:line="360" w:lineRule="auto"/>
        <w:ind w:left="-142"/>
        <w:rPr>
          <w:rFonts w:ascii="Times New Roman" w:hAnsi="Times New Roman"/>
          <w:b/>
          <w:bCs/>
          <w:sz w:val="24"/>
          <w:szCs w:val="24"/>
        </w:rPr>
      </w:pPr>
    </w:p>
    <w:p w:rsidR="00EC7CD2" w:rsidRDefault="00EC7CD2">
      <w:pPr>
        <w:spacing w:after="160" w:line="360" w:lineRule="auto"/>
        <w:rPr>
          <w:rFonts w:ascii="Times New Roman" w:hAnsi="Times New Roman"/>
          <w:b/>
          <w:bCs/>
          <w:sz w:val="24"/>
          <w:szCs w:val="24"/>
        </w:rPr>
      </w:pPr>
    </w:p>
    <w:p w:rsidR="00EC7CD2" w:rsidRDefault="00453B03">
      <w:pPr>
        <w:spacing w:line="360" w:lineRule="auto"/>
        <w:jc w:val="center"/>
        <w:rPr>
          <w:rFonts w:ascii="Times New Roman" w:hAnsi="Times New Roman"/>
          <w:b/>
          <w:bCs/>
          <w:sz w:val="24"/>
          <w:szCs w:val="24"/>
        </w:rPr>
      </w:pPr>
      <w:r>
        <w:rPr>
          <w:rFonts w:ascii="Times New Roman" w:eastAsia="Aptos" w:hAnsi="Times New Roman"/>
          <w:b/>
          <w:bCs/>
          <w:kern w:val="2"/>
          <w:sz w:val="24"/>
          <w:szCs w:val="24"/>
          <w:lang w:val="en-GB" w:eastAsia="en-US"/>
        </w:rPr>
        <w:t>TABLE OF CONTENT</w:t>
      </w:r>
    </w:p>
    <w:p w:rsidR="00EC7CD2" w:rsidRDefault="00453B03">
      <w:pPr>
        <w:spacing w:line="360" w:lineRule="auto"/>
        <w:jc w:val="both"/>
        <w:rPr>
          <w:rFonts w:ascii="Times New Roman" w:hAnsi="Times New Roman"/>
          <w:b/>
          <w:bCs/>
          <w:sz w:val="24"/>
          <w:szCs w:val="24"/>
        </w:rPr>
      </w:pPr>
      <w:r>
        <w:rPr>
          <w:rFonts w:ascii="Times New Roman" w:eastAsia="Aptos" w:hAnsi="Times New Roman"/>
          <w:kern w:val="2"/>
          <w:sz w:val="24"/>
          <w:szCs w:val="24"/>
          <w:lang w:val="en-GB" w:eastAsia="en-US"/>
        </w:rPr>
        <w:t>Title page……………………………………………………………….…………………. i</w:t>
      </w:r>
    </w:p>
    <w:p w:rsidR="00EC7CD2" w:rsidRDefault="00453B03">
      <w:pPr>
        <w:spacing w:line="360" w:lineRule="auto"/>
        <w:jc w:val="both"/>
        <w:rPr>
          <w:rFonts w:ascii="Times New Roman" w:hAnsi="Times New Roman"/>
          <w:b/>
          <w:bCs/>
          <w:sz w:val="24"/>
          <w:szCs w:val="24"/>
        </w:rPr>
      </w:pPr>
      <w:r>
        <w:rPr>
          <w:rFonts w:ascii="Times New Roman" w:eastAsia="Aptos" w:hAnsi="Times New Roman"/>
          <w:kern w:val="2"/>
          <w:sz w:val="24"/>
          <w:szCs w:val="24"/>
          <w:lang w:val="en-GB" w:eastAsia="en-US"/>
        </w:rPr>
        <w:lastRenderedPageBreak/>
        <w:t>Declaration…………………………………………………………………….……….…. ii</w:t>
      </w:r>
    </w:p>
    <w:p w:rsidR="00EC7CD2" w:rsidRDefault="00453B03">
      <w:pPr>
        <w:spacing w:line="360" w:lineRule="auto"/>
        <w:jc w:val="both"/>
        <w:rPr>
          <w:rFonts w:ascii="Times New Roman" w:hAnsi="Times New Roman"/>
          <w:b/>
          <w:bCs/>
          <w:sz w:val="24"/>
          <w:szCs w:val="24"/>
        </w:rPr>
      </w:pPr>
      <w:r>
        <w:rPr>
          <w:rFonts w:ascii="Times New Roman" w:eastAsia="Aptos" w:hAnsi="Times New Roman"/>
          <w:kern w:val="2"/>
          <w:sz w:val="24"/>
          <w:szCs w:val="24"/>
          <w:lang w:val="en-GB" w:eastAsia="en-US"/>
        </w:rPr>
        <w:t>Certification………………………………………………………………………………. iii</w:t>
      </w:r>
    </w:p>
    <w:p w:rsidR="00EC7CD2" w:rsidRDefault="00453B03">
      <w:pPr>
        <w:spacing w:line="360" w:lineRule="auto"/>
        <w:jc w:val="both"/>
        <w:rPr>
          <w:rFonts w:ascii="Times New Roman" w:hAnsi="Times New Roman"/>
          <w:b/>
          <w:bCs/>
          <w:sz w:val="24"/>
          <w:szCs w:val="24"/>
        </w:rPr>
      </w:pPr>
      <w:r>
        <w:rPr>
          <w:rFonts w:ascii="Times New Roman" w:eastAsia="Aptos" w:hAnsi="Times New Roman"/>
          <w:kern w:val="2"/>
          <w:sz w:val="24"/>
          <w:szCs w:val="24"/>
          <w:lang w:val="en-GB" w:eastAsia="en-US"/>
        </w:rPr>
        <w:t>Dedication………………………………………………………………………...………. iv</w:t>
      </w:r>
    </w:p>
    <w:p w:rsidR="00EC7CD2" w:rsidRDefault="00453B03">
      <w:pPr>
        <w:spacing w:line="360" w:lineRule="auto"/>
        <w:jc w:val="both"/>
        <w:rPr>
          <w:rFonts w:ascii="Times New Roman" w:hAnsi="Times New Roman"/>
          <w:b/>
          <w:bCs/>
          <w:sz w:val="24"/>
          <w:szCs w:val="24"/>
        </w:rPr>
      </w:pPr>
      <w:r>
        <w:rPr>
          <w:rFonts w:ascii="Times New Roman" w:eastAsia="Aptos" w:hAnsi="Times New Roman"/>
          <w:kern w:val="2"/>
          <w:sz w:val="24"/>
          <w:szCs w:val="24"/>
          <w:lang w:val="en-GB" w:eastAsia="en-US"/>
        </w:rPr>
        <w:t>Acknowledgment………………………………………………………………………...…v</w:t>
      </w:r>
    </w:p>
    <w:p w:rsidR="00EC7CD2" w:rsidRDefault="00453B03">
      <w:pPr>
        <w:spacing w:line="360" w:lineRule="auto"/>
        <w:jc w:val="both"/>
        <w:rPr>
          <w:rFonts w:ascii="Times New Roman" w:hAnsi="Times New Roman"/>
          <w:b/>
          <w:bCs/>
          <w:sz w:val="24"/>
          <w:szCs w:val="24"/>
        </w:rPr>
      </w:pPr>
      <w:r>
        <w:rPr>
          <w:rFonts w:ascii="Times New Roman" w:eastAsia="Aptos" w:hAnsi="Times New Roman"/>
          <w:kern w:val="2"/>
          <w:sz w:val="24"/>
          <w:szCs w:val="24"/>
          <w:lang w:val="en-GB" w:eastAsia="en-US"/>
        </w:rPr>
        <w:t>Table of Content……………………………………………………………………………vi</w:t>
      </w:r>
    </w:p>
    <w:p w:rsidR="00EC7CD2" w:rsidRDefault="00453B03">
      <w:pPr>
        <w:spacing w:line="360" w:lineRule="auto"/>
        <w:jc w:val="both"/>
        <w:rPr>
          <w:rFonts w:ascii="Times New Roman" w:hAnsi="Times New Roman"/>
          <w:b/>
          <w:bCs/>
          <w:sz w:val="24"/>
          <w:szCs w:val="24"/>
        </w:rPr>
      </w:pPr>
      <w:r>
        <w:rPr>
          <w:rFonts w:ascii="Times New Roman" w:eastAsia="Aptos" w:hAnsi="Times New Roman"/>
          <w:kern w:val="2"/>
          <w:sz w:val="24"/>
          <w:szCs w:val="24"/>
          <w:lang w:val="en-GB" w:eastAsia="en-US"/>
        </w:rPr>
        <w:t>List of Cases………………………………………………………………………………. viii</w:t>
      </w:r>
    </w:p>
    <w:p w:rsidR="00EC7CD2" w:rsidRDefault="00453B03">
      <w:pPr>
        <w:spacing w:line="360" w:lineRule="auto"/>
        <w:jc w:val="both"/>
        <w:rPr>
          <w:rFonts w:ascii="Times New Roman" w:hAnsi="Times New Roman"/>
          <w:b/>
          <w:bCs/>
          <w:sz w:val="24"/>
          <w:szCs w:val="24"/>
        </w:rPr>
      </w:pPr>
      <w:r>
        <w:rPr>
          <w:rFonts w:ascii="Times New Roman" w:eastAsia="Aptos" w:hAnsi="Times New Roman"/>
          <w:kern w:val="2"/>
          <w:sz w:val="24"/>
          <w:szCs w:val="24"/>
          <w:lang w:val="en-GB" w:eastAsia="en-US"/>
        </w:rPr>
        <w:t>List of Statutes ……………………………………………………………………………...x</w:t>
      </w:r>
    </w:p>
    <w:p w:rsidR="00EC7CD2" w:rsidRDefault="00453B03">
      <w:pPr>
        <w:spacing w:line="360" w:lineRule="auto"/>
        <w:jc w:val="both"/>
        <w:rPr>
          <w:rFonts w:ascii="Times New Roman" w:hAnsi="Times New Roman"/>
          <w:b/>
          <w:bCs/>
          <w:sz w:val="24"/>
          <w:szCs w:val="24"/>
        </w:rPr>
      </w:pPr>
      <w:r>
        <w:rPr>
          <w:rFonts w:ascii="Times New Roman" w:eastAsia="Aptos" w:hAnsi="Times New Roman"/>
          <w:kern w:val="2"/>
          <w:sz w:val="24"/>
          <w:szCs w:val="24"/>
          <w:lang w:val="en-GB" w:eastAsia="en-US"/>
        </w:rPr>
        <w:t>List of Abbreviations………………………………………………………………………. xi</w:t>
      </w:r>
    </w:p>
    <w:p w:rsidR="00EC7CD2" w:rsidRDefault="00453B03">
      <w:pPr>
        <w:spacing w:line="360" w:lineRule="auto"/>
        <w:jc w:val="both"/>
        <w:rPr>
          <w:rFonts w:ascii="Times New Roman" w:hAnsi="Times New Roman"/>
          <w:b/>
          <w:bCs/>
          <w:sz w:val="24"/>
          <w:szCs w:val="24"/>
        </w:rPr>
      </w:pPr>
      <w:r>
        <w:rPr>
          <w:rFonts w:ascii="Times New Roman" w:eastAsia="Aptos" w:hAnsi="Times New Roman"/>
          <w:kern w:val="2"/>
          <w:sz w:val="24"/>
          <w:szCs w:val="24"/>
          <w:lang w:val="en-GB" w:eastAsia="en-US"/>
        </w:rPr>
        <w:t>Abstract…………………………………………………………………………………...... xv</w:t>
      </w:r>
    </w:p>
    <w:p w:rsidR="00EC7CD2" w:rsidRDefault="00453B03">
      <w:pPr>
        <w:jc w:val="both"/>
        <w:rPr>
          <w:rFonts w:ascii="Times New Roman" w:hAnsi="Times New Roman"/>
          <w:b/>
          <w:bCs/>
          <w:sz w:val="24"/>
          <w:szCs w:val="24"/>
        </w:rPr>
      </w:pPr>
      <w:r>
        <w:rPr>
          <w:rFonts w:ascii="Times New Roman" w:eastAsia="Aptos" w:hAnsi="Times New Roman"/>
          <w:kern w:val="2"/>
          <w:sz w:val="24"/>
          <w:szCs w:val="24"/>
          <w:lang w:val="en-GB" w:eastAsia="en-US"/>
        </w:rPr>
        <w:t>CHAPTER ON</w:t>
      </w:r>
      <w:r>
        <w:rPr>
          <w:rFonts w:ascii="Times New Roman" w:eastAsia="Aptos" w:hAnsi="Times New Roman"/>
          <w:kern w:val="2"/>
          <w:sz w:val="24"/>
          <w:szCs w:val="24"/>
          <w:lang w:eastAsia="en-US"/>
        </w:rPr>
        <w:t xml:space="preserve">E: </w:t>
      </w:r>
      <w:r>
        <w:rPr>
          <w:rFonts w:ascii="Times New Roman" w:eastAsia="Aptos" w:hAnsi="Times New Roman"/>
          <w:kern w:val="2"/>
          <w:sz w:val="24"/>
          <w:szCs w:val="24"/>
          <w:lang w:val="en-GB" w:eastAsia="en-US"/>
        </w:rPr>
        <w:t>INTRODUCTION………………………………………………………………..…….…….1</w:t>
      </w:r>
    </w:p>
    <w:p w:rsidR="00EC7CD2" w:rsidRDefault="00453B03">
      <w:pPr>
        <w:spacing w:after="160"/>
        <w:jc w:val="both"/>
        <w:rPr>
          <w:rFonts w:ascii="Times New Roman" w:hAnsi="Times New Roman"/>
          <w:b/>
          <w:bCs/>
          <w:sz w:val="24"/>
          <w:szCs w:val="24"/>
        </w:rPr>
      </w:pPr>
      <w:r>
        <w:rPr>
          <w:rFonts w:ascii="Times New Roman" w:eastAsia="Aptos" w:hAnsi="Times New Roman"/>
          <w:kern w:val="2"/>
          <w:sz w:val="24"/>
          <w:szCs w:val="24"/>
          <w:lang w:val="en-GB" w:eastAsia="en-US"/>
        </w:rPr>
        <w:t>Background of the Study…………………………………………………………………1</w:t>
      </w:r>
    </w:p>
    <w:p w:rsidR="00EC7CD2" w:rsidRDefault="00453B03">
      <w:pPr>
        <w:spacing w:after="160"/>
        <w:jc w:val="both"/>
        <w:rPr>
          <w:rFonts w:ascii="Times New Roman" w:hAnsi="Times New Roman"/>
          <w:b/>
          <w:bCs/>
          <w:sz w:val="24"/>
          <w:szCs w:val="24"/>
        </w:rPr>
      </w:pPr>
      <w:r>
        <w:rPr>
          <w:rFonts w:ascii="Times New Roman" w:eastAsia="Aptos" w:hAnsi="Times New Roman"/>
          <w:kern w:val="2"/>
          <w:sz w:val="24"/>
          <w:szCs w:val="24"/>
          <w:lang w:val="en-GB" w:eastAsia="en-US"/>
        </w:rPr>
        <w:t>Statement of the Problem…………………………………………………………………5</w:t>
      </w:r>
    </w:p>
    <w:p w:rsidR="00EC7CD2" w:rsidRDefault="00453B03">
      <w:pPr>
        <w:spacing w:after="160"/>
        <w:jc w:val="both"/>
        <w:rPr>
          <w:rFonts w:ascii="Times New Roman" w:hAnsi="Times New Roman"/>
          <w:b/>
          <w:bCs/>
          <w:sz w:val="24"/>
          <w:szCs w:val="24"/>
        </w:rPr>
      </w:pPr>
      <w:r>
        <w:rPr>
          <w:rFonts w:ascii="Times New Roman" w:eastAsia="Aptos" w:hAnsi="Times New Roman"/>
          <w:kern w:val="2"/>
          <w:sz w:val="24"/>
          <w:szCs w:val="24"/>
          <w:lang w:val="en-GB" w:eastAsia="en-US"/>
        </w:rPr>
        <w:t>Research Questions……………………………………………………………………….6</w:t>
      </w:r>
    </w:p>
    <w:p w:rsidR="00EC7CD2" w:rsidRDefault="00453B03">
      <w:pPr>
        <w:spacing w:after="160"/>
        <w:jc w:val="both"/>
        <w:rPr>
          <w:rFonts w:ascii="Times New Roman" w:hAnsi="Times New Roman"/>
          <w:b/>
          <w:bCs/>
          <w:sz w:val="24"/>
          <w:szCs w:val="24"/>
        </w:rPr>
      </w:pPr>
      <w:r>
        <w:rPr>
          <w:rFonts w:ascii="Times New Roman" w:eastAsia="Aptos" w:hAnsi="Times New Roman"/>
          <w:kern w:val="2"/>
          <w:sz w:val="24"/>
          <w:szCs w:val="24"/>
          <w:lang w:val="en-GB" w:eastAsia="en-US"/>
        </w:rPr>
        <w:t>Aim and Objectives of the Study ………………………………………………………...6</w:t>
      </w:r>
    </w:p>
    <w:p w:rsidR="00EC7CD2" w:rsidRDefault="00453B03">
      <w:pPr>
        <w:spacing w:after="160"/>
        <w:jc w:val="both"/>
        <w:rPr>
          <w:rFonts w:ascii="Times New Roman" w:hAnsi="Times New Roman"/>
          <w:b/>
          <w:bCs/>
          <w:sz w:val="24"/>
          <w:szCs w:val="24"/>
        </w:rPr>
      </w:pPr>
      <w:r>
        <w:rPr>
          <w:rFonts w:ascii="Times New Roman" w:eastAsia="Aptos" w:hAnsi="Times New Roman"/>
          <w:kern w:val="2"/>
          <w:sz w:val="24"/>
          <w:szCs w:val="24"/>
          <w:lang w:val="en-GB" w:eastAsia="en-US"/>
        </w:rPr>
        <w:t>Scope and Limitations of the Study………………………………………………………7</w:t>
      </w:r>
    </w:p>
    <w:p w:rsidR="00EC7CD2" w:rsidRDefault="00453B03">
      <w:pPr>
        <w:spacing w:after="160"/>
        <w:jc w:val="both"/>
        <w:rPr>
          <w:rFonts w:ascii="Times New Roman" w:hAnsi="Times New Roman"/>
          <w:b/>
          <w:bCs/>
          <w:sz w:val="24"/>
          <w:szCs w:val="24"/>
        </w:rPr>
      </w:pPr>
      <w:r>
        <w:rPr>
          <w:rFonts w:ascii="Times New Roman" w:eastAsia="Aptos" w:hAnsi="Times New Roman"/>
          <w:kern w:val="2"/>
          <w:sz w:val="24"/>
          <w:szCs w:val="24"/>
          <w:lang w:val="en-GB" w:eastAsia="en-US"/>
        </w:rPr>
        <w:t>Significance of the Study ………………………………………………………………...7</w:t>
      </w:r>
    </w:p>
    <w:p w:rsidR="00EC7CD2" w:rsidRDefault="00453B03">
      <w:pPr>
        <w:spacing w:after="160"/>
        <w:jc w:val="both"/>
        <w:rPr>
          <w:rFonts w:ascii="Times New Roman" w:hAnsi="Times New Roman"/>
          <w:b/>
          <w:bCs/>
          <w:sz w:val="24"/>
          <w:szCs w:val="24"/>
        </w:rPr>
      </w:pPr>
      <w:r>
        <w:rPr>
          <w:rFonts w:ascii="Times New Roman" w:eastAsia="Aptos" w:hAnsi="Times New Roman"/>
          <w:kern w:val="2"/>
          <w:sz w:val="24"/>
          <w:szCs w:val="24"/>
          <w:lang w:val="en-GB" w:eastAsia="en-US"/>
        </w:rPr>
        <w:t>Research Methodology …………………………………………………………………..8</w:t>
      </w:r>
    </w:p>
    <w:p w:rsidR="00EC7CD2" w:rsidRDefault="00453B03">
      <w:pPr>
        <w:spacing w:after="160"/>
        <w:jc w:val="both"/>
        <w:rPr>
          <w:rFonts w:ascii="Times New Roman" w:hAnsi="Times New Roman"/>
          <w:b/>
          <w:bCs/>
          <w:sz w:val="24"/>
          <w:szCs w:val="24"/>
        </w:rPr>
      </w:pPr>
      <w:r>
        <w:rPr>
          <w:rFonts w:ascii="Times New Roman" w:eastAsia="Aptos" w:hAnsi="Times New Roman"/>
          <w:kern w:val="2"/>
          <w:sz w:val="24"/>
          <w:szCs w:val="24"/>
          <w:lang w:val="en-GB" w:eastAsia="en-US"/>
        </w:rPr>
        <w:t>Literature Review…………………………………………………………………………8</w:t>
      </w:r>
    </w:p>
    <w:p w:rsidR="00EC7CD2" w:rsidRDefault="00453B03">
      <w:pPr>
        <w:spacing w:after="160"/>
        <w:jc w:val="both"/>
        <w:rPr>
          <w:rFonts w:ascii="Times New Roman" w:hAnsi="Times New Roman"/>
          <w:b/>
          <w:bCs/>
          <w:sz w:val="24"/>
          <w:szCs w:val="24"/>
        </w:rPr>
      </w:pPr>
      <w:r>
        <w:rPr>
          <w:rFonts w:ascii="Times New Roman" w:eastAsia="Aptos" w:hAnsi="Times New Roman"/>
          <w:kern w:val="2"/>
          <w:sz w:val="24"/>
          <w:szCs w:val="24"/>
          <w:lang w:val="en-GB" w:eastAsia="en-US"/>
        </w:rPr>
        <w:t>CHAPTER T</w:t>
      </w:r>
      <w:r>
        <w:rPr>
          <w:rFonts w:ascii="Times New Roman" w:eastAsia="Aptos" w:hAnsi="Times New Roman"/>
          <w:kern w:val="2"/>
          <w:sz w:val="24"/>
          <w:szCs w:val="24"/>
          <w:lang w:eastAsia="en-US"/>
        </w:rPr>
        <w:t xml:space="preserve">WO: </w:t>
      </w:r>
      <w:r>
        <w:rPr>
          <w:rFonts w:ascii="Times New Roman" w:eastAsia="Aptos" w:hAnsi="Times New Roman"/>
          <w:kern w:val="2"/>
          <w:sz w:val="24"/>
          <w:szCs w:val="24"/>
          <w:lang w:val="en-GB" w:eastAsia="en-US"/>
        </w:rPr>
        <w:t>CONCEPTUAL AND THEORITICAL FRAMEWORK…….…………..11</w:t>
      </w:r>
    </w:p>
    <w:p w:rsidR="00EC7CD2" w:rsidRDefault="00453B03">
      <w:pPr>
        <w:spacing w:after="160"/>
        <w:jc w:val="both"/>
        <w:rPr>
          <w:rFonts w:ascii="Times New Roman" w:hAnsi="Times New Roman"/>
          <w:b/>
          <w:bCs/>
          <w:sz w:val="24"/>
          <w:szCs w:val="24"/>
        </w:rPr>
      </w:pPr>
      <w:r>
        <w:rPr>
          <w:rFonts w:ascii="Times New Roman" w:eastAsia="Aptos" w:hAnsi="Times New Roman"/>
          <w:kern w:val="2"/>
          <w:sz w:val="24"/>
          <w:szCs w:val="24"/>
          <w:lang w:val="en-GB" w:eastAsia="en-US"/>
        </w:rPr>
        <w:t>2.1. Conceptual Framework…………………………………………………………………11</w:t>
      </w:r>
    </w:p>
    <w:p w:rsidR="00EC7CD2" w:rsidRDefault="00453B03">
      <w:pPr>
        <w:spacing w:after="160"/>
        <w:jc w:val="both"/>
        <w:rPr>
          <w:rFonts w:ascii="Times New Roman" w:hAnsi="Times New Roman"/>
          <w:b/>
          <w:bCs/>
          <w:sz w:val="24"/>
          <w:szCs w:val="24"/>
        </w:rPr>
      </w:pPr>
      <w:r>
        <w:rPr>
          <w:rFonts w:ascii="Times New Roman" w:eastAsia="Aptos" w:hAnsi="Times New Roman"/>
          <w:kern w:val="2"/>
          <w:sz w:val="24"/>
          <w:szCs w:val="24"/>
          <w:lang w:val="en-GB" w:eastAsia="en-US"/>
        </w:rPr>
        <w:t>2.1.1. Concept of Public Officers…………………………………………………………...11</w:t>
      </w:r>
    </w:p>
    <w:p w:rsidR="00EC7CD2" w:rsidRDefault="00453B03">
      <w:pPr>
        <w:spacing w:after="160"/>
        <w:jc w:val="both"/>
        <w:rPr>
          <w:rFonts w:ascii="Times New Roman" w:hAnsi="Times New Roman"/>
          <w:b/>
          <w:bCs/>
          <w:sz w:val="24"/>
          <w:szCs w:val="24"/>
        </w:rPr>
      </w:pPr>
      <w:r>
        <w:rPr>
          <w:rFonts w:ascii="Times New Roman" w:eastAsia="Aptos" w:hAnsi="Times New Roman"/>
          <w:kern w:val="2"/>
          <w:sz w:val="24"/>
          <w:szCs w:val="24"/>
          <w:lang w:val="en-GB" w:eastAsia="en-US"/>
        </w:rPr>
        <w:t>2.1.2. Concept of Protection of Public Officers…………………………………………….15</w:t>
      </w:r>
    </w:p>
    <w:p w:rsidR="00EC7CD2" w:rsidRDefault="00453B03">
      <w:pPr>
        <w:spacing w:after="160"/>
        <w:jc w:val="both"/>
        <w:rPr>
          <w:rFonts w:ascii="Times New Roman" w:hAnsi="Times New Roman"/>
          <w:b/>
          <w:bCs/>
          <w:sz w:val="24"/>
          <w:szCs w:val="24"/>
        </w:rPr>
      </w:pPr>
      <w:r>
        <w:rPr>
          <w:rFonts w:ascii="Times New Roman" w:eastAsia="Aptos" w:hAnsi="Times New Roman"/>
          <w:kern w:val="2"/>
          <w:sz w:val="24"/>
          <w:szCs w:val="24"/>
          <w:lang w:val="en-GB" w:eastAsia="en-US"/>
        </w:rPr>
        <w:t>2.1.3. Concept of Limitation of Action……………………………………………………..16</w:t>
      </w:r>
    </w:p>
    <w:p w:rsidR="00EC7CD2" w:rsidRDefault="00453B03">
      <w:pPr>
        <w:spacing w:after="160"/>
        <w:jc w:val="both"/>
        <w:rPr>
          <w:rFonts w:ascii="Times New Roman" w:hAnsi="Times New Roman"/>
          <w:b/>
          <w:bCs/>
          <w:sz w:val="24"/>
          <w:szCs w:val="24"/>
        </w:rPr>
      </w:pPr>
      <w:r>
        <w:rPr>
          <w:rFonts w:ascii="Times New Roman" w:eastAsia="Aptos" w:hAnsi="Times New Roman"/>
          <w:kern w:val="2"/>
          <w:sz w:val="24"/>
          <w:szCs w:val="24"/>
          <w:lang w:val="en-GB" w:eastAsia="en-US"/>
        </w:rPr>
        <w:lastRenderedPageBreak/>
        <w:t>2.2 Theoretical Framework …………………………………………………………………17</w:t>
      </w:r>
    </w:p>
    <w:p w:rsidR="00EC7CD2" w:rsidRDefault="00453B03">
      <w:pPr>
        <w:spacing w:after="160"/>
        <w:jc w:val="both"/>
        <w:rPr>
          <w:rFonts w:ascii="Times New Roman" w:hAnsi="Times New Roman"/>
          <w:b/>
          <w:bCs/>
          <w:sz w:val="24"/>
          <w:szCs w:val="24"/>
        </w:rPr>
      </w:pPr>
      <w:r>
        <w:rPr>
          <w:rFonts w:ascii="Times New Roman" w:eastAsia="Aptos" w:hAnsi="Times New Roman"/>
          <w:kern w:val="2"/>
          <w:sz w:val="24"/>
          <w:szCs w:val="24"/>
          <w:lang w:val="en-GB" w:eastAsia="en-US"/>
        </w:rPr>
        <w:t>2.2.1. Rule of Law Theory…………………………………………………...………………17</w:t>
      </w:r>
    </w:p>
    <w:p w:rsidR="00EC7CD2" w:rsidRDefault="00453B03">
      <w:pPr>
        <w:jc w:val="both"/>
        <w:rPr>
          <w:rFonts w:ascii="Times New Roman" w:hAnsi="Times New Roman"/>
          <w:b/>
          <w:bCs/>
          <w:sz w:val="24"/>
          <w:szCs w:val="24"/>
        </w:rPr>
      </w:pPr>
      <w:r>
        <w:rPr>
          <w:rFonts w:ascii="Times New Roman" w:eastAsia="Aptos" w:hAnsi="Times New Roman"/>
          <w:kern w:val="2"/>
          <w:sz w:val="24"/>
          <w:szCs w:val="24"/>
          <w:lang w:val="en-GB" w:eastAsia="en-US"/>
        </w:rPr>
        <w:t>2.2.2. The Efficiency and Unhampered Duty Theory…………..……………………………18</w:t>
      </w:r>
    </w:p>
    <w:p w:rsidR="00EC7CD2" w:rsidRDefault="00453B03">
      <w:pPr>
        <w:jc w:val="both"/>
        <w:rPr>
          <w:rFonts w:ascii="Times New Roman" w:hAnsi="Times New Roman"/>
          <w:b/>
          <w:bCs/>
          <w:sz w:val="24"/>
          <w:szCs w:val="24"/>
        </w:rPr>
      </w:pPr>
      <w:r>
        <w:rPr>
          <w:rFonts w:ascii="Times New Roman" w:eastAsia="Aptos" w:hAnsi="Times New Roman"/>
          <w:kern w:val="2"/>
          <w:sz w:val="24"/>
          <w:szCs w:val="24"/>
          <w:lang w:val="en-GB" w:eastAsia="en-US"/>
        </w:rPr>
        <w:t>2.2.3. Statute of Limitation Theory………………………….,………………………………21</w:t>
      </w:r>
    </w:p>
    <w:p w:rsidR="00EC7CD2" w:rsidRDefault="00453B03">
      <w:pPr>
        <w:jc w:val="both"/>
        <w:rPr>
          <w:rFonts w:ascii="Times New Roman" w:hAnsi="Times New Roman"/>
          <w:b/>
          <w:bCs/>
          <w:sz w:val="24"/>
          <w:szCs w:val="24"/>
        </w:rPr>
      </w:pPr>
      <w:r>
        <w:rPr>
          <w:rFonts w:ascii="Times New Roman" w:eastAsia="Aptos" w:hAnsi="Times New Roman"/>
          <w:kern w:val="2"/>
          <w:sz w:val="24"/>
          <w:szCs w:val="24"/>
          <w:lang w:val="en-GB" w:eastAsia="en-US"/>
        </w:rPr>
        <w:t>2.2.4 Theory of Sovereign Immunity………………………………………………………...23</w:t>
      </w:r>
    </w:p>
    <w:p w:rsidR="00EC7CD2" w:rsidRDefault="00453B03">
      <w:pPr>
        <w:jc w:val="both"/>
        <w:rPr>
          <w:rFonts w:ascii="Times New Roman" w:hAnsi="Times New Roman"/>
          <w:b/>
          <w:bCs/>
          <w:sz w:val="24"/>
          <w:szCs w:val="24"/>
        </w:rPr>
      </w:pPr>
      <w:r>
        <w:rPr>
          <w:rFonts w:ascii="Times New Roman" w:eastAsia="Aptos" w:hAnsi="Times New Roman"/>
          <w:kern w:val="2"/>
          <w:sz w:val="24"/>
          <w:szCs w:val="24"/>
          <w:lang w:val="en-GB" w:eastAsia="en-US"/>
        </w:rPr>
        <w:t>2.2.5 “Exception as Rule”: Agamben’s Theory on the Suspension of Law………………….25</w:t>
      </w:r>
    </w:p>
    <w:p w:rsidR="00EC7CD2" w:rsidRDefault="00EC7CD2">
      <w:pPr>
        <w:jc w:val="both"/>
        <w:rPr>
          <w:rFonts w:ascii="Times New Roman" w:hAnsi="Times New Roman"/>
          <w:b/>
          <w:bCs/>
          <w:sz w:val="24"/>
          <w:szCs w:val="24"/>
        </w:rPr>
      </w:pPr>
    </w:p>
    <w:p w:rsidR="00EC7CD2" w:rsidRDefault="00453B03">
      <w:pPr>
        <w:jc w:val="both"/>
        <w:rPr>
          <w:rFonts w:ascii="Times New Roman" w:hAnsi="Times New Roman"/>
          <w:b/>
          <w:bCs/>
          <w:sz w:val="24"/>
          <w:szCs w:val="24"/>
        </w:rPr>
      </w:pPr>
      <w:r>
        <w:rPr>
          <w:rFonts w:ascii="Times New Roman" w:eastAsia="Aptos" w:hAnsi="Times New Roman"/>
          <w:kern w:val="2"/>
          <w:sz w:val="24"/>
          <w:szCs w:val="24"/>
          <w:lang w:val="en-GB" w:eastAsia="en-US"/>
        </w:rPr>
        <w:t>CHAPTER THREE</w:t>
      </w:r>
      <w:r>
        <w:rPr>
          <w:rFonts w:ascii="Times New Roman" w:eastAsia="Aptos" w:hAnsi="Times New Roman"/>
          <w:kern w:val="2"/>
          <w:sz w:val="24"/>
          <w:szCs w:val="24"/>
          <w:lang w:eastAsia="en-US"/>
        </w:rPr>
        <w:t>:</w:t>
      </w:r>
      <w:r>
        <w:rPr>
          <w:rFonts w:ascii="Times New Roman" w:eastAsia="Aptos" w:hAnsi="Times New Roman"/>
          <w:kern w:val="2"/>
          <w:sz w:val="24"/>
          <w:szCs w:val="24"/>
          <w:lang w:val="en-GB" w:eastAsia="en-US"/>
        </w:rPr>
        <w:t>LEGAL FRAMEWORK FOR THE PROTECTION OF PUBLIC OFFICERS IN NIGERIA.</w:t>
      </w:r>
      <w:r>
        <w:rPr>
          <w:rFonts w:ascii="Times New Roman" w:eastAsia="Aptos" w:hAnsi="Times New Roman"/>
          <w:kern w:val="2"/>
          <w:sz w:val="24"/>
          <w:szCs w:val="24"/>
          <w:lang w:eastAsia="en-US"/>
        </w:rPr>
        <w:t>...................................................................................</w:t>
      </w:r>
      <w:r>
        <w:rPr>
          <w:rFonts w:ascii="Times New Roman" w:eastAsia="Aptos" w:hAnsi="Times New Roman"/>
          <w:kern w:val="2"/>
          <w:sz w:val="24"/>
          <w:szCs w:val="24"/>
          <w:lang w:val="en-GB" w:eastAsia="en-US"/>
        </w:rPr>
        <w:t>28</w:t>
      </w:r>
    </w:p>
    <w:p w:rsidR="00EC7CD2" w:rsidRDefault="00453B03">
      <w:pPr>
        <w:spacing w:line="360" w:lineRule="auto"/>
        <w:jc w:val="both"/>
        <w:rPr>
          <w:rFonts w:ascii="Times New Roman" w:hAnsi="Times New Roman"/>
          <w:b/>
          <w:bCs/>
          <w:sz w:val="24"/>
          <w:szCs w:val="24"/>
        </w:rPr>
      </w:pPr>
      <w:r>
        <w:rPr>
          <w:rFonts w:ascii="Times New Roman" w:eastAsia="Aptos" w:hAnsi="Times New Roman"/>
          <w:kern w:val="2"/>
          <w:sz w:val="24"/>
          <w:szCs w:val="24"/>
          <w:lang w:val="en-GB" w:eastAsia="en-US"/>
        </w:rPr>
        <w:t>3.1</w:t>
      </w:r>
      <w:r>
        <w:rPr>
          <w:rFonts w:ascii="Times New Roman" w:eastAsia="Aptos" w:hAnsi="Times New Roman"/>
          <w:kern w:val="2"/>
          <w:sz w:val="24"/>
          <w:szCs w:val="24"/>
          <w:lang w:eastAsia="en-US"/>
        </w:rPr>
        <w:t xml:space="preserve"> </w:t>
      </w:r>
      <w:r>
        <w:rPr>
          <w:rFonts w:ascii="Times New Roman" w:eastAsia="Aptos" w:hAnsi="Times New Roman"/>
          <w:kern w:val="2"/>
          <w:sz w:val="24"/>
          <w:szCs w:val="24"/>
          <w:lang w:val="en-GB" w:eastAsia="en-US"/>
        </w:rPr>
        <w:t>Statutory Provisions Relating to Public Officers ……..............................28</w:t>
      </w:r>
    </w:p>
    <w:p w:rsidR="00EC7CD2" w:rsidRDefault="00453B03">
      <w:pPr>
        <w:spacing w:line="360" w:lineRule="auto"/>
        <w:jc w:val="both"/>
        <w:rPr>
          <w:rFonts w:ascii="Times New Roman" w:hAnsi="Times New Roman"/>
          <w:b/>
          <w:bCs/>
          <w:sz w:val="24"/>
          <w:szCs w:val="24"/>
        </w:rPr>
      </w:pPr>
      <w:r>
        <w:rPr>
          <w:rFonts w:ascii="Times New Roman" w:eastAsia="Aptos" w:hAnsi="Times New Roman"/>
          <w:kern w:val="2"/>
          <w:sz w:val="24"/>
          <w:szCs w:val="24"/>
          <w:lang w:val="en-GB" w:eastAsia="en-US"/>
        </w:rPr>
        <w:t>3.1.1 Constitution of the Federal Republic of Nigeria …………………...………………….28</w:t>
      </w:r>
    </w:p>
    <w:p w:rsidR="00EC7CD2" w:rsidRDefault="00453B03">
      <w:pPr>
        <w:spacing w:line="360" w:lineRule="auto"/>
        <w:jc w:val="both"/>
        <w:rPr>
          <w:rFonts w:ascii="Times New Roman" w:hAnsi="Times New Roman"/>
          <w:b/>
          <w:bCs/>
          <w:sz w:val="24"/>
          <w:szCs w:val="24"/>
        </w:rPr>
      </w:pPr>
      <w:r>
        <w:rPr>
          <w:rFonts w:ascii="Times New Roman" w:eastAsia="Aptos" w:hAnsi="Times New Roman"/>
          <w:kern w:val="2"/>
          <w:sz w:val="24"/>
          <w:szCs w:val="24"/>
          <w:lang w:val="en-GB" w:eastAsia="en-US"/>
        </w:rPr>
        <w:t>3.1.2 Public Officers Protection Act (POPA)………………………………………………...31</w:t>
      </w:r>
    </w:p>
    <w:p w:rsidR="00EC7CD2" w:rsidRDefault="00453B03">
      <w:pPr>
        <w:spacing w:line="360" w:lineRule="auto"/>
        <w:jc w:val="both"/>
        <w:rPr>
          <w:rFonts w:ascii="Times New Roman" w:hAnsi="Times New Roman"/>
          <w:b/>
          <w:bCs/>
          <w:sz w:val="24"/>
          <w:szCs w:val="24"/>
        </w:rPr>
      </w:pPr>
      <w:r>
        <w:rPr>
          <w:rFonts w:ascii="Times New Roman" w:eastAsia="Aptos" w:hAnsi="Times New Roman"/>
          <w:kern w:val="2"/>
          <w:sz w:val="24"/>
          <w:szCs w:val="24"/>
          <w:lang w:val="en-GB" w:eastAsia="en-US"/>
        </w:rPr>
        <w:t>3.1.3 Code of Conduct Bureau and Tribunal Act …………………………………………….35</w:t>
      </w:r>
    </w:p>
    <w:p w:rsidR="00EC7CD2" w:rsidRDefault="00453B03">
      <w:pPr>
        <w:spacing w:line="360" w:lineRule="auto"/>
        <w:jc w:val="both"/>
        <w:rPr>
          <w:rFonts w:ascii="Times New Roman" w:hAnsi="Times New Roman"/>
          <w:b/>
          <w:bCs/>
          <w:sz w:val="24"/>
          <w:szCs w:val="24"/>
        </w:rPr>
      </w:pPr>
      <w:r>
        <w:rPr>
          <w:rFonts w:ascii="Times New Roman" w:eastAsia="Aptos" w:hAnsi="Times New Roman"/>
          <w:kern w:val="2"/>
          <w:sz w:val="24"/>
          <w:szCs w:val="24"/>
          <w:lang w:val="en-GB" w:eastAsia="en-US"/>
        </w:rPr>
        <w:t>3.1.4 Corrupt Practices and other related Offences Act…………………………………….…37</w:t>
      </w:r>
    </w:p>
    <w:p w:rsidR="00EC7CD2" w:rsidRDefault="00453B03">
      <w:pPr>
        <w:spacing w:line="480" w:lineRule="auto"/>
        <w:jc w:val="both"/>
        <w:rPr>
          <w:rFonts w:ascii="Times New Roman" w:hAnsi="Times New Roman"/>
          <w:b/>
          <w:bCs/>
          <w:sz w:val="24"/>
          <w:szCs w:val="24"/>
        </w:rPr>
      </w:pPr>
      <w:r>
        <w:rPr>
          <w:rFonts w:ascii="Times New Roman" w:eastAsia="Aptos" w:hAnsi="Times New Roman"/>
          <w:kern w:val="2"/>
          <w:sz w:val="24"/>
          <w:szCs w:val="24"/>
          <w:lang w:val="en-GB" w:eastAsia="en-US"/>
        </w:rPr>
        <w:t>3.2 Judicial Interpretation of Public Officers’ Protection in Nigeria ………….………..…...37</w:t>
      </w:r>
    </w:p>
    <w:p w:rsidR="00EC7CD2" w:rsidRDefault="00453B03">
      <w:pPr>
        <w:spacing w:line="360" w:lineRule="auto"/>
        <w:jc w:val="both"/>
        <w:rPr>
          <w:rFonts w:ascii="Times New Roman" w:hAnsi="Times New Roman"/>
          <w:b/>
          <w:bCs/>
          <w:sz w:val="24"/>
          <w:szCs w:val="24"/>
        </w:rPr>
      </w:pPr>
      <w:r>
        <w:rPr>
          <w:rFonts w:ascii="Times New Roman" w:eastAsia="Aptos" w:hAnsi="Times New Roman"/>
          <w:kern w:val="2"/>
          <w:sz w:val="24"/>
          <w:szCs w:val="24"/>
          <w:lang w:val="en-GB" w:eastAsia="en-US"/>
        </w:rPr>
        <w:t>CHAPTER FOUR</w:t>
      </w:r>
      <w:r>
        <w:rPr>
          <w:rFonts w:ascii="Times New Roman" w:eastAsia="Aptos" w:hAnsi="Times New Roman"/>
          <w:kern w:val="2"/>
          <w:sz w:val="24"/>
          <w:szCs w:val="24"/>
          <w:lang w:eastAsia="en-US"/>
        </w:rPr>
        <w:t xml:space="preserve">: </w:t>
      </w:r>
      <w:r>
        <w:rPr>
          <w:rFonts w:ascii="Times New Roman" w:eastAsia="Aptos" w:hAnsi="Times New Roman"/>
          <w:kern w:val="2"/>
          <w:sz w:val="24"/>
          <w:szCs w:val="24"/>
          <w:lang w:val="en-GB" w:eastAsia="en-US"/>
        </w:rPr>
        <w:t xml:space="preserve">CHALLENGES AND APPRAISAL OF THE </w:t>
      </w:r>
      <w:r>
        <w:rPr>
          <w:rFonts w:ascii="Times New Roman" w:eastAsia="Aptos" w:hAnsi="Times New Roman"/>
          <w:kern w:val="2"/>
          <w:sz w:val="24"/>
          <w:szCs w:val="24"/>
          <w:lang w:eastAsia="en-US"/>
        </w:rPr>
        <w:t>PROTECTION ACCORDED PUBLIC OFFICERS IN NIGERIA</w:t>
      </w:r>
      <w:r>
        <w:rPr>
          <w:rFonts w:ascii="Times New Roman" w:eastAsia="Aptos" w:hAnsi="Times New Roman"/>
          <w:kern w:val="2"/>
          <w:sz w:val="24"/>
          <w:szCs w:val="24"/>
          <w:lang w:val="en-GB" w:eastAsia="en-US"/>
        </w:rPr>
        <w:t>.........................</w:t>
      </w:r>
      <w:r>
        <w:rPr>
          <w:rFonts w:ascii="Times New Roman" w:eastAsia="Aptos" w:hAnsi="Times New Roman"/>
          <w:kern w:val="2"/>
          <w:sz w:val="24"/>
          <w:szCs w:val="24"/>
          <w:lang w:eastAsia="en-US"/>
        </w:rPr>
        <w:t>...................................................</w:t>
      </w:r>
      <w:r>
        <w:rPr>
          <w:rFonts w:ascii="Times New Roman" w:eastAsia="Aptos" w:hAnsi="Times New Roman"/>
          <w:kern w:val="2"/>
          <w:sz w:val="24"/>
          <w:szCs w:val="24"/>
          <w:lang w:val="en-GB" w:eastAsia="en-US"/>
        </w:rPr>
        <w:t>.....46</w:t>
      </w:r>
    </w:p>
    <w:p w:rsidR="00EC7CD2" w:rsidRDefault="00453B03">
      <w:pPr>
        <w:spacing w:line="480" w:lineRule="auto"/>
        <w:jc w:val="both"/>
        <w:rPr>
          <w:rFonts w:ascii="Times New Roman" w:hAnsi="Times New Roman"/>
          <w:b/>
          <w:bCs/>
          <w:sz w:val="24"/>
          <w:szCs w:val="24"/>
        </w:rPr>
      </w:pPr>
      <w:r>
        <w:rPr>
          <w:rFonts w:ascii="Times New Roman" w:eastAsia="Aptos" w:hAnsi="Times New Roman"/>
          <w:kern w:val="2"/>
          <w:sz w:val="24"/>
          <w:szCs w:val="24"/>
          <w:lang w:val="en-GB" w:eastAsia="en-US"/>
        </w:rPr>
        <w:t>4.1. Loopholes and Limitations in the Public Officers Protection Act………………………46</w:t>
      </w:r>
    </w:p>
    <w:p w:rsidR="00EC7CD2" w:rsidRDefault="00453B03">
      <w:pPr>
        <w:spacing w:line="480" w:lineRule="auto"/>
        <w:jc w:val="both"/>
        <w:rPr>
          <w:rFonts w:ascii="Times New Roman" w:hAnsi="Times New Roman"/>
          <w:b/>
          <w:bCs/>
          <w:sz w:val="24"/>
          <w:szCs w:val="24"/>
        </w:rPr>
      </w:pPr>
      <w:r>
        <w:rPr>
          <w:rFonts w:ascii="Times New Roman" w:eastAsia="Aptos" w:hAnsi="Times New Roman"/>
          <w:kern w:val="2"/>
          <w:sz w:val="24"/>
          <w:szCs w:val="24"/>
          <w:lang w:val="en-GB" w:eastAsia="en-US"/>
        </w:rPr>
        <w:t>4.2. Abuse of Legal Immunities by Public officers ……………………………….…............53</w:t>
      </w:r>
    </w:p>
    <w:p w:rsidR="00EC7CD2" w:rsidRDefault="00453B03">
      <w:pPr>
        <w:spacing w:line="480" w:lineRule="auto"/>
        <w:jc w:val="both"/>
        <w:rPr>
          <w:rFonts w:ascii="Times New Roman" w:hAnsi="Times New Roman"/>
          <w:b/>
          <w:bCs/>
          <w:sz w:val="24"/>
          <w:szCs w:val="24"/>
        </w:rPr>
      </w:pPr>
      <w:r>
        <w:rPr>
          <w:rFonts w:ascii="Times New Roman" w:eastAsia="Aptos" w:hAnsi="Times New Roman"/>
          <w:kern w:val="2"/>
          <w:sz w:val="24"/>
          <w:szCs w:val="24"/>
          <w:lang w:val="en-GB" w:eastAsia="en-US"/>
        </w:rPr>
        <w:t>4.3. Judicial Inconsistencies and Policy Gaps……………………………………..…………56</w:t>
      </w:r>
    </w:p>
    <w:p w:rsidR="00EC7CD2" w:rsidRDefault="00453B03">
      <w:pPr>
        <w:spacing w:line="480" w:lineRule="auto"/>
        <w:jc w:val="both"/>
        <w:rPr>
          <w:rFonts w:ascii="Times New Roman" w:hAnsi="Times New Roman"/>
          <w:b/>
          <w:bCs/>
          <w:sz w:val="24"/>
          <w:szCs w:val="24"/>
        </w:rPr>
      </w:pPr>
      <w:r>
        <w:rPr>
          <w:rFonts w:ascii="Times New Roman" w:eastAsia="Aptos" w:hAnsi="Times New Roman"/>
          <w:kern w:val="2"/>
          <w:sz w:val="24"/>
          <w:szCs w:val="24"/>
          <w:lang w:val="en-GB" w:eastAsia="en-US"/>
        </w:rPr>
        <w:t>CHAPTER</w:t>
      </w:r>
      <w:r>
        <w:rPr>
          <w:rFonts w:ascii="Times New Roman" w:eastAsia="Aptos" w:hAnsi="Times New Roman"/>
          <w:kern w:val="2"/>
          <w:sz w:val="24"/>
          <w:szCs w:val="24"/>
          <w:lang w:eastAsia="en-US"/>
        </w:rPr>
        <w:t xml:space="preserve"> </w:t>
      </w:r>
      <w:r>
        <w:rPr>
          <w:rFonts w:ascii="Times New Roman" w:eastAsia="Aptos" w:hAnsi="Times New Roman"/>
          <w:kern w:val="2"/>
          <w:sz w:val="24"/>
          <w:szCs w:val="24"/>
          <w:lang w:val="en-GB" w:eastAsia="en-US"/>
        </w:rPr>
        <w:t>FIVE</w:t>
      </w:r>
      <w:r>
        <w:rPr>
          <w:rFonts w:ascii="Times New Roman" w:eastAsia="Aptos" w:hAnsi="Times New Roman"/>
          <w:kern w:val="2"/>
          <w:sz w:val="24"/>
          <w:szCs w:val="24"/>
          <w:lang w:eastAsia="en-US"/>
        </w:rPr>
        <w:t xml:space="preserve">: </w:t>
      </w:r>
      <w:r>
        <w:rPr>
          <w:rFonts w:ascii="Times New Roman" w:eastAsia="Aptos" w:hAnsi="Times New Roman"/>
          <w:kern w:val="2"/>
          <w:sz w:val="24"/>
          <w:szCs w:val="24"/>
          <w:lang w:val="en-GB" w:eastAsia="en-US"/>
        </w:rPr>
        <w:t>SUMMARY OF FINDINGS, RECOMMENDATIONS AND CONCLUSION.</w:t>
      </w:r>
      <w:r>
        <w:rPr>
          <w:rFonts w:ascii="Times New Roman" w:eastAsia="Aptos" w:hAnsi="Times New Roman"/>
          <w:kern w:val="2"/>
          <w:sz w:val="24"/>
          <w:szCs w:val="24"/>
          <w:lang w:eastAsia="en-US"/>
        </w:rPr>
        <w:t>.............................................................................................</w:t>
      </w:r>
      <w:r>
        <w:rPr>
          <w:rFonts w:ascii="Times New Roman" w:eastAsia="Aptos" w:hAnsi="Times New Roman"/>
          <w:kern w:val="2"/>
          <w:sz w:val="24"/>
          <w:szCs w:val="24"/>
          <w:lang w:val="en-GB" w:eastAsia="en-US"/>
        </w:rPr>
        <w:t>.......60</w:t>
      </w:r>
    </w:p>
    <w:p w:rsidR="00EC7CD2" w:rsidRDefault="00453B03">
      <w:pPr>
        <w:spacing w:line="480" w:lineRule="auto"/>
        <w:jc w:val="both"/>
        <w:rPr>
          <w:rFonts w:ascii="Times New Roman" w:hAnsi="Times New Roman"/>
          <w:b/>
          <w:bCs/>
          <w:sz w:val="24"/>
          <w:szCs w:val="24"/>
        </w:rPr>
      </w:pPr>
      <w:r>
        <w:rPr>
          <w:rFonts w:ascii="Times New Roman" w:eastAsia="Aptos" w:hAnsi="Times New Roman"/>
          <w:kern w:val="2"/>
          <w:sz w:val="24"/>
          <w:szCs w:val="24"/>
          <w:lang w:val="en-GB" w:eastAsia="en-US"/>
        </w:rPr>
        <w:lastRenderedPageBreak/>
        <w:t>5.1. Summary of Findings……………………………………………………………….…..60</w:t>
      </w:r>
    </w:p>
    <w:p w:rsidR="00EC7CD2" w:rsidRDefault="00453B03">
      <w:pPr>
        <w:spacing w:line="480" w:lineRule="auto"/>
        <w:jc w:val="both"/>
        <w:rPr>
          <w:rFonts w:ascii="Times New Roman" w:hAnsi="Times New Roman"/>
          <w:b/>
          <w:bCs/>
          <w:sz w:val="24"/>
          <w:szCs w:val="24"/>
        </w:rPr>
      </w:pPr>
      <w:r>
        <w:rPr>
          <w:rFonts w:ascii="Times New Roman" w:eastAsia="Aptos" w:hAnsi="Times New Roman"/>
          <w:kern w:val="2"/>
          <w:sz w:val="24"/>
          <w:szCs w:val="24"/>
          <w:lang w:val="en-GB" w:eastAsia="en-US"/>
        </w:rPr>
        <w:t>5.2. Recommendations……………………………………………………………..………..61</w:t>
      </w:r>
    </w:p>
    <w:p w:rsidR="00EC7CD2" w:rsidRDefault="00453B03">
      <w:pPr>
        <w:spacing w:line="480" w:lineRule="auto"/>
        <w:jc w:val="both"/>
        <w:rPr>
          <w:rFonts w:ascii="Times New Roman" w:hAnsi="Times New Roman"/>
          <w:b/>
          <w:bCs/>
          <w:sz w:val="24"/>
          <w:szCs w:val="24"/>
        </w:rPr>
      </w:pPr>
      <w:r>
        <w:rPr>
          <w:rFonts w:ascii="Times New Roman" w:eastAsia="Aptos" w:hAnsi="Times New Roman"/>
          <w:kern w:val="2"/>
          <w:sz w:val="24"/>
          <w:szCs w:val="24"/>
          <w:lang w:val="en-GB" w:eastAsia="en-US"/>
        </w:rPr>
        <w:t>5.3. Conclusion………..…………………………………………………..…………………62</w:t>
      </w:r>
    </w:p>
    <w:p w:rsidR="00EC7CD2" w:rsidRDefault="00453B03">
      <w:pPr>
        <w:spacing w:line="480" w:lineRule="auto"/>
        <w:jc w:val="both"/>
        <w:rPr>
          <w:rFonts w:ascii="Times New Roman" w:hAnsi="Times New Roman"/>
          <w:b/>
          <w:bCs/>
          <w:sz w:val="24"/>
          <w:szCs w:val="24"/>
        </w:rPr>
      </w:pPr>
      <w:r>
        <w:rPr>
          <w:rFonts w:ascii="Times New Roman" w:eastAsia="Aptos" w:hAnsi="Times New Roman"/>
          <w:kern w:val="2"/>
          <w:sz w:val="24"/>
          <w:szCs w:val="24"/>
          <w:lang w:val="en-GB" w:eastAsia="en-US"/>
        </w:rPr>
        <w:t>BIBLIOGRAPHY…………………………………………………………………………….1</w:t>
      </w:r>
    </w:p>
    <w:p w:rsidR="00EC7CD2" w:rsidRDefault="00EC7CD2">
      <w:pPr>
        <w:spacing w:after="160" w:line="360" w:lineRule="auto"/>
        <w:rPr>
          <w:rFonts w:ascii="Times New Roman" w:hAnsi="Times New Roman"/>
          <w:b/>
          <w:bCs/>
          <w:sz w:val="24"/>
          <w:szCs w:val="24"/>
        </w:rPr>
      </w:pPr>
    </w:p>
    <w:p w:rsidR="00EC7CD2" w:rsidRDefault="00EC7CD2">
      <w:pPr>
        <w:spacing w:after="160" w:line="360" w:lineRule="auto"/>
        <w:ind w:left="-142"/>
        <w:rPr>
          <w:rFonts w:ascii="Times New Roman" w:hAnsi="Times New Roman"/>
          <w:b/>
          <w:bCs/>
          <w:sz w:val="24"/>
          <w:szCs w:val="24"/>
        </w:rPr>
      </w:pPr>
    </w:p>
    <w:p w:rsidR="00EC7CD2" w:rsidRDefault="00EC7CD2">
      <w:pPr>
        <w:spacing w:after="160" w:line="360" w:lineRule="auto"/>
        <w:ind w:left="-142"/>
        <w:rPr>
          <w:rFonts w:ascii="Times New Roman" w:hAnsi="Times New Roman"/>
          <w:b/>
          <w:bCs/>
          <w:sz w:val="24"/>
          <w:szCs w:val="24"/>
        </w:rPr>
      </w:pPr>
    </w:p>
    <w:p w:rsidR="00EC7CD2" w:rsidRDefault="00EC7CD2">
      <w:pPr>
        <w:spacing w:after="160" w:line="360" w:lineRule="auto"/>
        <w:ind w:left="-142"/>
        <w:rPr>
          <w:rFonts w:ascii="Times New Roman" w:hAnsi="Times New Roman"/>
          <w:b/>
          <w:bCs/>
          <w:sz w:val="24"/>
          <w:szCs w:val="24"/>
        </w:rPr>
      </w:pPr>
    </w:p>
    <w:p w:rsidR="00EC7CD2" w:rsidRDefault="00EC7CD2">
      <w:pPr>
        <w:spacing w:after="160" w:line="360" w:lineRule="auto"/>
        <w:ind w:left="-142"/>
        <w:rPr>
          <w:rFonts w:ascii="Times New Roman" w:hAnsi="Times New Roman"/>
          <w:b/>
          <w:bCs/>
          <w:sz w:val="24"/>
          <w:szCs w:val="24"/>
        </w:rPr>
      </w:pPr>
    </w:p>
    <w:p w:rsidR="00EC7CD2" w:rsidRDefault="00EC7CD2">
      <w:pPr>
        <w:spacing w:after="160" w:line="360" w:lineRule="auto"/>
        <w:rPr>
          <w:rFonts w:ascii="Times New Roman" w:hAnsi="Times New Roman"/>
          <w:b/>
          <w:bCs/>
          <w:sz w:val="24"/>
          <w:szCs w:val="24"/>
        </w:rPr>
      </w:pPr>
    </w:p>
    <w:p w:rsidR="00EC7CD2" w:rsidRDefault="00EC7CD2">
      <w:pPr>
        <w:spacing w:after="160" w:line="360" w:lineRule="auto"/>
        <w:rPr>
          <w:rFonts w:ascii="Times New Roman" w:hAnsi="Times New Roman"/>
          <w:b/>
          <w:bCs/>
          <w:sz w:val="24"/>
          <w:szCs w:val="24"/>
        </w:rPr>
      </w:pPr>
    </w:p>
    <w:p w:rsidR="00EC7CD2" w:rsidRDefault="00EC7CD2">
      <w:pPr>
        <w:spacing w:after="160" w:line="360" w:lineRule="auto"/>
        <w:rPr>
          <w:rFonts w:ascii="Times New Roman" w:hAnsi="Times New Roman"/>
          <w:b/>
          <w:bCs/>
          <w:sz w:val="24"/>
          <w:szCs w:val="24"/>
        </w:rPr>
      </w:pPr>
    </w:p>
    <w:p w:rsidR="00EC7CD2" w:rsidRDefault="00EC7CD2">
      <w:pPr>
        <w:spacing w:after="160" w:line="360" w:lineRule="auto"/>
        <w:rPr>
          <w:rFonts w:ascii="Times New Roman" w:hAnsi="Times New Roman"/>
          <w:b/>
          <w:bCs/>
          <w:sz w:val="24"/>
          <w:szCs w:val="24"/>
        </w:rPr>
      </w:pPr>
    </w:p>
    <w:p w:rsidR="00EC7CD2" w:rsidRDefault="00EC7CD2">
      <w:pPr>
        <w:spacing w:after="160" w:line="360" w:lineRule="auto"/>
        <w:rPr>
          <w:rFonts w:ascii="Times New Roman" w:hAnsi="Times New Roman"/>
          <w:b/>
          <w:bCs/>
          <w:sz w:val="24"/>
          <w:szCs w:val="24"/>
        </w:rPr>
      </w:pPr>
    </w:p>
    <w:p w:rsidR="00EC7CD2" w:rsidRDefault="00EC7CD2">
      <w:pPr>
        <w:spacing w:after="160" w:line="360" w:lineRule="auto"/>
        <w:rPr>
          <w:rFonts w:ascii="Times New Roman" w:hAnsi="Times New Roman"/>
          <w:b/>
          <w:bCs/>
          <w:sz w:val="24"/>
          <w:szCs w:val="24"/>
        </w:rPr>
      </w:pPr>
    </w:p>
    <w:p w:rsidR="00EC7CD2" w:rsidRDefault="00EC7CD2">
      <w:pPr>
        <w:spacing w:after="160" w:line="360" w:lineRule="auto"/>
        <w:rPr>
          <w:rFonts w:ascii="Times New Roman" w:hAnsi="Times New Roman"/>
          <w:b/>
          <w:bCs/>
          <w:sz w:val="24"/>
          <w:szCs w:val="24"/>
        </w:rPr>
      </w:pPr>
    </w:p>
    <w:p w:rsidR="00EC7CD2" w:rsidRDefault="00EC7CD2">
      <w:pPr>
        <w:spacing w:after="160" w:line="360" w:lineRule="auto"/>
        <w:rPr>
          <w:rFonts w:ascii="Times New Roman" w:hAnsi="Times New Roman"/>
          <w:b/>
          <w:bCs/>
          <w:sz w:val="24"/>
          <w:szCs w:val="24"/>
        </w:rPr>
      </w:pPr>
    </w:p>
    <w:p w:rsidR="00EC7CD2" w:rsidRDefault="00EC7CD2">
      <w:pPr>
        <w:spacing w:after="160" w:line="360" w:lineRule="auto"/>
        <w:rPr>
          <w:rFonts w:ascii="Times New Roman" w:hAnsi="Times New Roman"/>
          <w:b/>
          <w:bCs/>
          <w:sz w:val="24"/>
          <w:szCs w:val="24"/>
        </w:rPr>
      </w:pPr>
    </w:p>
    <w:p w:rsidR="00EC7CD2" w:rsidRDefault="00EC7CD2">
      <w:pPr>
        <w:spacing w:after="160" w:line="360" w:lineRule="auto"/>
        <w:rPr>
          <w:rFonts w:ascii="Times New Roman" w:hAnsi="Times New Roman"/>
          <w:b/>
          <w:bCs/>
          <w:sz w:val="24"/>
          <w:szCs w:val="24"/>
        </w:rPr>
      </w:pPr>
    </w:p>
    <w:p w:rsidR="00EC7CD2" w:rsidRDefault="00453B03">
      <w:pPr>
        <w:spacing w:after="160" w:line="360" w:lineRule="auto"/>
        <w:rPr>
          <w:rFonts w:ascii="Times New Roman" w:hAnsi="Times New Roman"/>
          <w:b/>
          <w:bCs/>
          <w:sz w:val="24"/>
          <w:szCs w:val="24"/>
        </w:rPr>
      </w:pPr>
      <w:r>
        <w:rPr>
          <w:rFonts w:ascii="Times New Roman" w:eastAsia="Aptos" w:hAnsi="Times New Roman"/>
          <w:b/>
          <w:bCs/>
          <w:kern w:val="2"/>
          <w:sz w:val="24"/>
          <w:szCs w:val="24"/>
          <w:lang w:val="en-GB" w:eastAsia="en-US"/>
        </w:rPr>
        <w:t>List of Cases</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Abdulrauf Abdulkadir Modibo v Mustapha Usman &amp; 2 Ors (2020) 3 NWLR (Pt 1712) 470.</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lastRenderedPageBreak/>
        <w:t xml:space="preserve">Adesanya v President of the Federal Republic of Nigeria (1981) NGSC 3 (SC).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Alfa v Atanda (1993) 5 NWLR (Pt 269) 729 (CA).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Anozie v Attorney-General of the Federation (2008) 10 NWLR (Pt 1095) 278, 290–291.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Anya v Iyayi (1993) 7 NWLR (Pt 305) 290, 312.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Aroyame v Governor of Edo State (2023) 1 NWLR 549.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Attorney-General of Rivers State v Attorney-General of Bayelsa State (2013) 3 NWLR (Pt 1340) 123.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Awolola v Governor of Ekiti State (2018) LPELR-46346 (SC).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Bankole v Nigerian Bottling Co (1969) NCLR 385, 390.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Bureau of Public Enterprises v Reinsurance Acquisition Group Ltd (2008) LPELR-CA/A/195/M/05.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CIL Risk &amp; Asset Management Ltd v Ekiti State Government (2020) 12 NWLR (Pt 1738) 203.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Chief John Eze v Dr Cosmas I Okechukwu (1998) 5 NWLR (Pt 548) 43.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Egbe v Adefarasin (1987) 1 NWLR (Pt 47) 1.</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Ekemode v Alausa (1961) 1 ALL NLR 135.</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Ekeogu v Aliri (1991) 3 NWLR (Pt 179) 258.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Fawehinmi v Inspector-General of Police (2002) 7 NWLR (Pt 767) 606.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Fajemirokun v University of Ilorin (2007) 2 NWLR (Pt 1017) 74.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Federal Government of Nigeria v Zebra Energy Ltd (2002) 18 NWLR (Pt 798) 162, 196.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Global Excellence Communications Ltd v Duke (2007) 16 NWLR (Pt 1059) 22.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Hassan v Aliyu (2010) 17 NWLR (Pt 1223) 547, 622.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Ibrahim v Judicial Service Committee, Kaduna State (1998) 14 NWLR (Pt 584) 1.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lastRenderedPageBreak/>
        <w:t xml:space="preserve">Independent National Electoral Commission v Ogbadibo Local Government (2015) LPELR-24839 (SC).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Inspector-General of Police v Olatunji 21 NLR 52.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Mohammed v Ahmadu Bello University, Zaria (2014) 7 NWLR (Pt 1407) 500, 534.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Momoh v Okewale (1977) 11 NSCC 365.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Mulima v Usman (2014) 16 NWLR (Pt 1432) 160, 212.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National Revenue Mobilisation Allocation and Fiscal Commission v Ajibola Johnson (2019) 2 NWLR (Pt 1656) 247.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Nigerian Ports Authority v Construzioni Generali Farsura Cogefar SpA (1974) 1 All NLR 463.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Nwankwere v Adewunmi (1967) NWLR 45, 49.</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Offoboche v Ogoja Local Government &amp; Anor (2001) 16 NWLR (Pt 739) 458.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Okeke v Baba (2000) 3 (citation as reproduced in the dissertation; incomplete).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Okoronkwo v Independent National Electoral Commission (2025) 8 NWLR (Pt. 1991) 131.</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Osun State Government v Dalami (Nig) Ltd (2007) 9 NWLR (Pt 1038) 66.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Registered Trustees of Planned Parenthood Federation of Nigeria v Dr Jimmy Shogbola (2004) 11 NWLR (Pt 883).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Salako v Lagos Executive Development Board (1953) 20 NLR 169.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Sani v President of the Federal Republic of Nigeria (2020) 15 NWLR (Pt. 1746) 151</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Saraki v Federal Republic of Nigeria [2018] 16 NWLR (Pt 1646) 405.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Soule v Lagos Executive Development Board (1965) LLR 118.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Tinubu v I.M.B. Securities Plc (2001) 16 NWLR (Pt 740) 670.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Welfare Board v Baba and Kwara State Pilgrims (2018) LPELR-43912 (SC). </w:t>
      </w:r>
    </w:p>
    <w:p w:rsidR="00EC7CD2" w:rsidRDefault="00453B03">
      <w:pPr>
        <w:spacing w:after="160" w:line="360" w:lineRule="auto"/>
        <w:ind w:left="-142"/>
        <w:rPr>
          <w:rFonts w:ascii="Times New Roman" w:hAnsi="Times New Roman"/>
          <w:b/>
          <w:bCs/>
          <w:sz w:val="24"/>
          <w:szCs w:val="24"/>
        </w:rPr>
      </w:pPr>
      <w:r>
        <w:rPr>
          <w:rFonts w:ascii="Times New Roman" w:eastAsia="Aptos" w:hAnsi="Times New Roman"/>
          <w:kern w:val="2"/>
          <w:sz w:val="24"/>
          <w:szCs w:val="24"/>
          <w:lang w:val="en-GB" w:eastAsia="en-US"/>
        </w:rPr>
        <w:t xml:space="preserve">Yabugbe v Commissioner of Police (1992) 4 NWLR (Pt 234) 152. </w:t>
      </w:r>
    </w:p>
    <w:p w:rsidR="00EC7CD2" w:rsidRDefault="00EC7CD2">
      <w:pPr>
        <w:spacing w:after="160" w:line="360" w:lineRule="auto"/>
        <w:rPr>
          <w:rFonts w:ascii="Times New Roman" w:hAnsi="Times New Roman"/>
          <w:b/>
          <w:bCs/>
          <w:sz w:val="24"/>
          <w:szCs w:val="24"/>
        </w:rPr>
      </w:pPr>
    </w:p>
    <w:p w:rsidR="00EC7CD2" w:rsidRDefault="00EC7CD2">
      <w:pPr>
        <w:spacing w:after="160" w:line="360" w:lineRule="auto"/>
        <w:rPr>
          <w:rFonts w:ascii="Times New Roman" w:hAnsi="Times New Roman"/>
          <w:b/>
          <w:bCs/>
          <w:sz w:val="24"/>
          <w:szCs w:val="24"/>
        </w:rPr>
      </w:pPr>
    </w:p>
    <w:p w:rsidR="00EC7CD2" w:rsidRDefault="00453B03">
      <w:pPr>
        <w:spacing w:after="160" w:line="360" w:lineRule="auto"/>
        <w:rPr>
          <w:rFonts w:ascii="Times New Roman" w:hAnsi="Times New Roman"/>
          <w:b/>
          <w:bCs/>
          <w:sz w:val="24"/>
          <w:szCs w:val="24"/>
        </w:rPr>
      </w:pPr>
      <w:r>
        <w:rPr>
          <w:rFonts w:ascii="Times New Roman" w:eastAsia="Aptos" w:hAnsi="Times New Roman"/>
          <w:b/>
          <w:bCs/>
          <w:kern w:val="2"/>
          <w:sz w:val="24"/>
          <w:szCs w:val="24"/>
          <w:lang w:val="en-GB" w:eastAsia="en-US"/>
        </w:rPr>
        <w:t>List of Statutes</w:t>
      </w:r>
    </w:p>
    <w:p w:rsidR="00EC7CD2" w:rsidRDefault="00453B03">
      <w:pPr>
        <w:spacing w:after="160" w:line="360" w:lineRule="auto"/>
        <w:rPr>
          <w:rFonts w:ascii="Times New Roman" w:hAnsi="Times New Roman"/>
          <w:b/>
          <w:bCs/>
          <w:sz w:val="24"/>
          <w:szCs w:val="24"/>
        </w:rPr>
      </w:pPr>
      <w:r>
        <w:rPr>
          <w:rFonts w:ascii="Times New Roman" w:eastAsia="Aptos" w:hAnsi="Times New Roman"/>
          <w:kern w:val="2"/>
          <w:sz w:val="24"/>
          <w:szCs w:val="24"/>
          <w:lang w:val="en-GB" w:eastAsia="en-US"/>
        </w:rPr>
        <w:t>Code of Conduct Bureau and Tribunal Act, Cap C15, Laws of the Federation of Nigeria 2004.</w:t>
      </w:r>
    </w:p>
    <w:p w:rsidR="00EC7CD2" w:rsidRDefault="00453B03">
      <w:pPr>
        <w:spacing w:after="160" w:line="360" w:lineRule="auto"/>
        <w:rPr>
          <w:rFonts w:ascii="Times New Roman" w:hAnsi="Times New Roman"/>
          <w:b/>
          <w:bCs/>
          <w:sz w:val="24"/>
          <w:szCs w:val="24"/>
        </w:rPr>
      </w:pPr>
      <w:r>
        <w:rPr>
          <w:rFonts w:ascii="Times New Roman" w:eastAsia="Aptos" w:hAnsi="Times New Roman"/>
          <w:kern w:val="2"/>
          <w:sz w:val="24"/>
          <w:szCs w:val="24"/>
          <w:lang w:val="en-GB" w:eastAsia="en-US"/>
        </w:rPr>
        <w:t>Constitution of the Federal Republic of Nigeria 1979.</w:t>
      </w:r>
    </w:p>
    <w:p w:rsidR="00EC7CD2" w:rsidRDefault="00453B03">
      <w:pPr>
        <w:spacing w:after="160" w:line="360" w:lineRule="auto"/>
        <w:rPr>
          <w:rFonts w:ascii="Times New Roman" w:hAnsi="Times New Roman"/>
          <w:b/>
          <w:bCs/>
          <w:sz w:val="24"/>
          <w:szCs w:val="24"/>
        </w:rPr>
      </w:pPr>
      <w:r>
        <w:rPr>
          <w:rFonts w:ascii="Times New Roman" w:eastAsia="Aptos" w:hAnsi="Times New Roman"/>
          <w:kern w:val="2"/>
          <w:sz w:val="24"/>
          <w:szCs w:val="24"/>
          <w:lang w:val="en-GB" w:eastAsia="en-US"/>
        </w:rPr>
        <w:t>Constitution of the Federal Republic of Nigeria 1999 (as amended 2023).</w:t>
      </w:r>
    </w:p>
    <w:p w:rsidR="00EC7CD2" w:rsidRDefault="00453B03">
      <w:pPr>
        <w:spacing w:after="160" w:line="360" w:lineRule="auto"/>
        <w:rPr>
          <w:rFonts w:ascii="Times New Roman" w:hAnsi="Times New Roman"/>
          <w:b/>
          <w:bCs/>
          <w:sz w:val="24"/>
          <w:szCs w:val="24"/>
        </w:rPr>
      </w:pPr>
      <w:r>
        <w:rPr>
          <w:rFonts w:ascii="Times New Roman" w:eastAsia="Aptos" w:hAnsi="Times New Roman"/>
          <w:kern w:val="2"/>
          <w:sz w:val="24"/>
          <w:szCs w:val="24"/>
          <w:lang w:val="en-GB" w:eastAsia="en-US"/>
        </w:rPr>
        <w:t>Corrupt Practices and Other Related Offences Act, Cap C13, Laws of the Federation of Nigeria 2004.</w:t>
      </w:r>
    </w:p>
    <w:p w:rsidR="00EC7CD2" w:rsidRDefault="00453B03">
      <w:pPr>
        <w:spacing w:after="160" w:line="360" w:lineRule="auto"/>
        <w:rPr>
          <w:rFonts w:ascii="Times New Roman" w:hAnsi="Times New Roman"/>
          <w:b/>
          <w:bCs/>
          <w:sz w:val="24"/>
          <w:szCs w:val="24"/>
        </w:rPr>
      </w:pPr>
      <w:r>
        <w:rPr>
          <w:rFonts w:ascii="Times New Roman" w:eastAsia="Aptos" w:hAnsi="Times New Roman"/>
          <w:kern w:val="2"/>
          <w:sz w:val="24"/>
          <w:szCs w:val="24"/>
          <w:lang w:val="en-GB" w:eastAsia="en-US"/>
        </w:rPr>
        <w:t>Interpretation Act, Cap I23, Laws of the Federation of Nigeria 2004.</w:t>
      </w:r>
    </w:p>
    <w:p w:rsidR="00EC7CD2" w:rsidRDefault="00453B03">
      <w:pPr>
        <w:spacing w:after="160" w:line="360" w:lineRule="auto"/>
        <w:rPr>
          <w:rFonts w:ascii="Times New Roman" w:hAnsi="Times New Roman"/>
          <w:b/>
          <w:bCs/>
          <w:sz w:val="24"/>
          <w:szCs w:val="24"/>
        </w:rPr>
      </w:pPr>
      <w:r>
        <w:rPr>
          <w:rFonts w:ascii="Times New Roman" w:eastAsia="Aptos" w:hAnsi="Times New Roman"/>
          <w:kern w:val="2"/>
          <w:sz w:val="24"/>
          <w:szCs w:val="24"/>
          <w:lang w:val="en-GB" w:eastAsia="en-US"/>
        </w:rPr>
        <w:t>Interpretation Act, Cap 89, Laws of the Federation and Lagos 1959.</w:t>
      </w:r>
    </w:p>
    <w:p w:rsidR="00EC7CD2" w:rsidRDefault="00453B03">
      <w:pPr>
        <w:spacing w:after="160" w:line="360" w:lineRule="auto"/>
        <w:rPr>
          <w:rFonts w:ascii="Times New Roman" w:hAnsi="Times New Roman"/>
          <w:b/>
          <w:bCs/>
          <w:sz w:val="24"/>
          <w:szCs w:val="24"/>
        </w:rPr>
      </w:pPr>
      <w:r>
        <w:rPr>
          <w:rFonts w:ascii="Times New Roman" w:eastAsia="Aptos" w:hAnsi="Times New Roman"/>
          <w:kern w:val="2"/>
          <w:sz w:val="24"/>
          <w:szCs w:val="24"/>
          <w:lang w:val="en-GB" w:eastAsia="en-US"/>
        </w:rPr>
        <w:t>Labour Act, Cap L1, Laws of the Federation of Nigeria 2004.</w:t>
      </w:r>
    </w:p>
    <w:p w:rsidR="00EC7CD2" w:rsidRDefault="00453B03">
      <w:pPr>
        <w:spacing w:after="160" w:line="360" w:lineRule="auto"/>
        <w:rPr>
          <w:rFonts w:ascii="Times New Roman" w:hAnsi="Times New Roman"/>
          <w:b/>
          <w:bCs/>
          <w:sz w:val="24"/>
          <w:szCs w:val="24"/>
        </w:rPr>
      </w:pPr>
      <w:r>
        <w:rPr>
          <w:rFonts w:ascii="Times New Roman" w:eastAsia="Aptos" w:hAnsi="Times New Roman"/>
          <w:kern w:val="2"/>
          <w:sz w:val="24"/>
          <w:szCs w:val="24"/>
          <w:lang w:val="en-GB" w:eastAsia="en-US"/>
        </w:rPr>
        <w:t>Limitation Act 1623 (UK) (Statute of Limitation 1623).</w:t>
      </w:r>
    </w:p>
    <w:p w:rsidR="00EC7CD2" w:rsidRDefault="00453B03">
      <w:pPr>
        <w:spacing w:after="160" w:line="360" w:lineRule="auto"/>
        <w:rPr>
          <w:rFonts w:ascii="Times New Roman" w:hAnsi="Times New Roman"/>
          <w:b/>
          <w:bCs/>
          <w:sz w:val="24"/>
          <w:szCs w:val="24"/>
        </w:rPr>
      </w:pPr>
      <w:r>
        <w:rPr>
          <w:rFonts w:ascii="Times New Roman" w:eastAsia="Aptos" w:hAnsi="Times New Roman"/>
          <w:kern w:val="2"/>
          <w:sz w:val="24"/>
          <w:szCs w:val="24"/>
          <w:lang w:val="en-GB" w:eastAsia="en-US"/>
        </w:rPr>
        <w:t>Money Laundering (Prevention and Prohibition) Act 2022.</w:t>
      </w:r>
    </w:p>
    <w:p w:rsidR="00EC7CD2" w:rsidRDefault="00453B03">
      <w:pPr>
        <w:spacing w:after="160" w:line="360" w:lineRule="auto"/>
        <w:rPr>
          <w:rFonts w:ascii="Times New Roman" w:hAnsi="Times New Roman"/>
          <w:b/>
          <w:bCs/>
          <w:sz w:val="24"/>
          <w:szCs w:val="24"/>
        </w:rPr>
      </w:pPr>
      <w:r>
        <w:rPr>
          <w:rFonts w:ascii="Times New Roman" w:eastAsia="Aptos" w:hAnsi="Times New Roman"/>
          <w:kern w:val="2"/>
          <w:sz w:val="24"/>
          <w:szCs w:val="24"/>
          <w:lang w:val="en-GB" w:eastAsia="en-US"/>
        </w:rPr>
        <w:t>Nigerian Atomic Energy Commission Act, Cap N91, Laws of the Federation of Nigeria 2004.</w:t>
      </w:r>
    </w:p>
    <w:p w:rsidR="00EC7CD2" w:rsidRDefault="00453B03">
      <w:pPr>
        <w:spacing w:after="160" w:line="360" w:lineRule="auto"/>
        <w:rPr>
          <w:rFonts w:ascii="Times New Roman" w:hAnsi="Times New Roman"/>
          <w:b/>
          <w:bCs/>
          <w:sz w:val="24"/>
          <w:szCs w:val="24"/>
        </w:rPr>
      </w:pPr>
      <w:r>
        <w:rPr>
          <w:rFonts w:ascii="Times New Roman" w:eastAsia="Aptos" w:hAnsi="Times New Roman"/>
          <w:kern w:val="2"/>
          <w:sz w:val="24"/>
          <w:szCs w:val="24"/>
          <w:lang w:val="en-GB" w:eastAsia="en-US"/>
        </w:rPr>
        <w:t>Public Authorities Protection Act 1893 (UK).</w:t>
      </w:r>
    </w:p>
    <w:p w:rsidR="00EC7CD2" w:rsidRDefault="00453B03">
      <w:pPr>
        <w:spacing w:after="160" w:line="360" w:lineRule="auto"/>
        <w:rPr>
          <w:rFonts w:ascii="Times New Roman" w:hAnsi="Times New Roman"/>
          <w:b/>
          <w:bCs/>
          <w:sz w:val="24"/>
          <w:szCs w:val="24"/>
        </w:rPr>
      </w:pPr>
      <w:r>
        <w:rPr>
          <w:rFonts w:ascii="Times New Roman" w:eastAsia="Aptos" w:hAnsi="Times New Roman"/>
          <w:kern w:val="2"/>
          <w:sz w:val="24"/>
          <w:szCs w:val="24"/>
          <w:lang w:val="en-GB" w:eastAsia="en-US"/>
        </w:rPr>
        <w:t>Public Officer (Protection) Law of Ekiti State.</w:t>
      </w:r>
    </w:p>
    <w:p w:rsidR="00EC7CD2" w:rsidRDefault="00453B03">
      <w:pPr>
        <w:spacing w:after="160" w:line="360" w:lineRule="auto"/>
        <w:rPr>
          <w:rFonts w:ascii="Times New Roman" w:hAnsi="Times New Roman"/>
          <w:b/>
          <w:bCs/>
          <w:sz w:val="24"/>
          <w:szCs w:val="24"/>
        </w:rPr>
      </w:pPr>
      <w:r>
        <w:rPr>
          <w:rFonts w:ascii="Times New Roman" w:eastAsia="Aptos" w:hAnsi="Times New Roman"/>
          <w:kern w:val="2"/>
          <w:sz w:val="24"/>
          <w:szCs w:val="24"/>
          <w:lang w:val="en-GB" w:eastAsia="en-US"/>
        </w:rPr>
        <w:t>Public Officers Protection Act, Cap P26, Laws of Lagos State (LLSN) 2003.</w:t>
      </w:r>
    </w:p>
    <w:p w:rsidR="00EC7CD2" w:rsidRDefault="00453B03">
      <w:pPr>
        <w:spacing w:after="160" w:line="360" w:lineRule="auto"/>
        <w:rPr>
          <w:rFonts w:ascii="Times New Roman" w:hAnsi="Times New Roman"/>
          <w:b/>
          <w:bCs/>
          <w:sz w:val="24"/>
          <w:szCs w:val="24"/>
        </w:rPr>
      </w:pPr>
      <w:r>
        <w:rPr>
          <w:rFonts w:ascii="Times New Roman" w:eastAsia="Aptos" w:hAnsi="Times New Roman"/>
          <w:kern w:val="2"/>
          <w:sz w:val="24"/>
          <w:szCs w:val="24"/>
          <w:lang w:val="en-GB" w:eastAsia="en-US"/>
        </w:rPr>
        <w:t xml:space="preserve">Public Officers Protection Act, Cap P41, Laws of the Federation of Nigeria 2004. </w:t>
      </w:r>
    </w:p>
    <w:p w:rsidR="00EC7CD2" w:rsidRDefault="00453B03">
      <w:pPr>
        <w:spacing w:after="160" w:line="360" w:lineRule="auto"/>
        <w:rPr>
          <w:rFonts w:ascii="Times New Roman" w:hAnsi="Times New Roman"/>
          <w:b/>
          <w:bCs/>
          <w:sz w:val="24"/>
          <w:szCs w:val="24"/>
        </w:rPr>
      </w:pPr>
      <w:r>
        <w:rPr>
          <w:rFonts w:ascii="Times New Roman" w:eastAsia="Aptos" w:hAnsi="Times New Roman"/>
          <w:kern w:val="2"/>
          <w:sz w:val="24"/>
          <w:szCs w:val="24"/>
          <w:lang w:val="en-GB" w:eastAsia="en-US"/>
        </w:rPr>
        <w:t>Public Officers Protection Law, Eastern Region 1963.</w:t>
      </w:r>
    </w:p>
    <w:p w:rsidR="00EC7CD2" w:rsidRDefault="00453B03">
      <w:pPr>
        <w:spacing w:after="160" w:line="360" w:lineRule="auto"/>
        <w:rPr>
          <w:rFonts w:ascii="Times New Roman" w:hAnsi="Times New Roman"/>
          <w:b/>
          <w:bCs/>
          <w:sz w:val="24"/>
          <w:szCs w:val="24"/>
        </w:rPr>
      </w:pPr>
      <w:r>
        <w:rPr>
          <w:rFonts w:ascii="Times New Roman" w:eastAsia="Aptos" w:hAnsi="Times New Roman"/>
          <w:kern w:val="2"/>
          <w:sz w:val="24"/>
          <w:szCs w:val="24"/>
          <w:lang w:val="en-GB" w:eastAsia="en-US"/>
        </w:rPr>
        <w:t>Public Officers Protection Laws of Abia State.</w:t>
      </w:r>
    </w:p>
    <w:p w:rsidR="00EC7CD2" w:rsidRDefault="00453B03">
      <w:pPr>
        <w:spacing w:after="160" w:line="360" w:lineRule="auto"/>
        <w:rPr>
          <w:rFonts w:ascii="Times New Roman" w:hAnsi="Times New Roman"/>
          <w:b/>
          <w:bCs/>
          <w:sz w:val="24"/>
          <w:szCs w:val="24"/>
        </w:rPr>
      </w:pPr>
      <w:r>
        <w:rPr>
          <w:rFonts w:ascii="Times New Roman" w:eastAsia="Aptos" w:hAnsi="Times New Roman"/>
          <w:kern w:val="2"/>
          <w:sz w:val="24"/>
          <w:szCs w:val="24"/>
          <w:lang w:val="en-GB" w:eastAsia="en-US"/>
        </w:rPr>
        <w:t>Public Officers Protection Laws of Ebonyi State.</w:t>
      </w:r>
    </w:p>
    <w:p w:rsidR="00EC7CD2" w:rsidRDefault="00453B03">
      <w:pPr>
        <w:spacing w:after="160" w:line="360" w:lineRule="auto"/>
        <w:rPr>
          <w:rFonts w:ascii="Times New Roman" w:hAnsi="Times New Roman"/>
          <w:b/>
          <w:bCs/>
          <w:sz w:val="24"/>
          <w:szCs w:val="24"/>
        </w:rPr>
      </w:pPr>
      <w:r>
        <w:rPr>
          <w:rFonts w:ascii="Times New Roman" w:eastAsia="Aptos" w:hAnsi="Times New Roman"/>
          <w:kern w:val="2"/>
          <w:sz w:val="24"/>
          <w:szCs w:val="24"/>
          <w:lang w:val="en-GB" w:eastAsia="en-US"/>
        </w:rPr>
        <w:t>Public Officers Protection Laws of Rivers State.</w:t>
      </w:r>
    </w:p>
    <w:p w:rsidR="00EC7CD2" w:rsidRDefault="00453B03">
      <w:pPr>
        <w:spacing w:after="160" w:line="360" w:lineRule="auto"/>
        <w:rPr>
          <w:rFonts w:ascii="Times New Roman" w:hAnsi="Times New Roman"/>
          <w:b/>
          <w:bCs/>
          <w:sz w:val="24"/>
          <w:szCs w:val="24"/>
        </w:rPr>
      </w:pPr>
      <w:r>
        <w:rPr>
          <w:rFonts w:ascii="Times New Roman" w:eastAsia="Aptos" w:hAnsi="Times New Roman"/>
          <w:kern w:val="2"/>
          <w:sz w:val="24"/>
          <w:szCs w:val="24"/>
          <w:lang w:val="en-GB" w:eastAsia="en-US"/>
        </w:rPr>
        <w:lastRenderedPageBreak/>
        <w:t>Laws of Malaysia 1978 (Act 198 w.e.f) revised</w:t>
      </w:r>
    </w:p>
    <w:p w:rsidR="00EC7CD2" w:rsidRDefault="00EC7CD2">
      <w:pPr>
        <w:spacing w:after="160" w:line="360" w:lineRule="auto"/>
        <w:rPr>
          <w:rFonts w:ascii="Times New Roman" w:hAnsi="Times New Roman"/>
          <w:b/>
          <w:bCs/>
          <w:sz w:val="24"/>
          <w:szCs w:val="24"/>
        </w:rPr>
      </w:pPr>
    </w:p>
    <w:p w:rsidR="00EC7CD2" w:rsidRDefault="00EC7CD2">
      <w:pPr>
        <w:spacing w:after="160" w:line="360" w:lineRule="auto"/>
        <w:rPr>
          <w:rFonts w:ascii="Times New Roman" w:hAnsi="Times New Roman"/>
          <w:b/>
          <w:bCs/>
          <w:sz w:val="24"/>
          <w:szCs w:val="24"/>
        </w:rPr>
      </w:pPr>
    </w:p>
    <w:p w:rsidR="00EC7CD2" w:rsidRDefault="00453B03">
      <w:pPr>
        <w:spacing w:after="160" w:line="360" w:lineRule="auto"/>
        <w:ind w:left="360"/>
        <w:rPr>
          <w:rFonts w:ascii="Times New Roman" w:hAnsi="Times New Roman"/>
          <w:b/>
          <w:bCs/>
          <w:sz w:val="24"/>
          <w:szCs w:val="24"/>
        </w:rPr>
      </w:pPr>
      <w:r>
        <w:rPr>
          <w:rFonts w:ascii="Times New Roman" w:eastAsia="Aptos" w:hAnsi="Times New Roman"/>
          <w:b/>
          <w:bCs/>
          <w:kern w:val="2"/>
          <w:sz w:val="24"/>
          <w:szCs w:val="24"/>
          <w:lang w:val="en-GB" w:eastAsia="en-US"/>
        </w:rPr>
        <w:t>List of Abbreviations</w:t>
      </w:r>
    </w:p>
    <w:tbl>
      <w:tblPr>
        <w:tblW w:w="0" w:type="auto"/>
        <w:tblCellMar>
          <w:top w:w="15" w:type="dxa"/>
          <w:left w:w="15" w:type="dxa"/>
          <w:bottom w:w="15" w:type="dxa"/>
          <w:right w:w="15" w:type="dxa"/>
        </w:tblCellMar>
        <w:tblLook w:val="04A0" w:firstRow="1" w:lastRow="0" w:firstColumn="1" w:lastColumn="0" w:noHBand="0" w:noVBand="1"/>
      </w:tblPr>
      <w:tblGrid>
        <w:gridCol w:w="1849"/>
        <w:gridCol w:w="7176"/>
      </w:tblGrid>
      <w:tr w:rsidR="00EC7CD2">
        <w:trPr>
          <w:tblHeader/>
        </w:trPr>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b/>
                <w:bCs/>
                <w:kern w:val="2"/>
                <w:sz w:val="24"/>
                <w:szCs w:val="24"/>
                <w:lang w:val="en-GB" w:eastAsia="en-US"/>
              </w:rPr>
              <w:t>Abbreviation</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b/>
                <w:bCs/>
                <w:kern w:val="2"/>
                <w:sz w:val="24"/>
                <w:szCs w:val="24"/>
                <w:lang w:val="en-GB" w:eastAsia="en-US"/>
              </w:rPr>
              <w:t>Meaning</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A.B.U.</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Ahmadu Bello University</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A-C</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Paragraphs A to C in a reported judgment</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AG</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Attorney-General</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AGF</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Attorney-General of the Federation</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Anor.</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Another</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App.</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Appellant</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Art.</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Article</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CA</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Court of Appeal</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Cap</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Chapter</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CCB</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Code of Conduct Bureau</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CCT</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Code of Conduct Tribunal</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CFRN</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Constitution of the Federal Republic of Nigeria</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CIL</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 xml:space="preserve">Consolidated Investment Limited (as used in </w:t>
            </w:r>
            <w:r>
              <w:rPr>
                <w:rFonts w:ascii="Times New Roman" w:eastAsia="Aptos" w:hAnsi="Times New Roman"/>
                <w:i/>
                <w:iCs/>
                <w:kern w:val="2"/>
                <w:sz w:val="24"/>
                <w:szCs w:val="24"/>
                <w:lang w:val="en-GB" w:eastAsia="en-US"/>
              </w:rPr>
              <w:t>CIL Risk &amp; Asset Management Ltd</w:t>
            </w:r>
            <w:r>
              <w:rPr>
                <w:rFonts w:ascii="Times New Roman" w:eastAsia="Aptos" w:hAnsi="Times New Roman"/>
                <w:kern w:val="2"/>
                <w:sz w:val="24"/>
                <w:szCs w:val="24"/>
                <w:lang w:val="en-GB" w:eastAsia="en-US"/>
              </w:rPr>
              <w:t>)</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Comm.</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Communications</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COP</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Commissioner of Police</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lastRenderedPageBreak/>
              <w:t>C. Hurst &amp; Co.</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C. Hurst and Company</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DOI</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Digital Object Identifier</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ed.</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Edition / Editor</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Edn</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Edition</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EFCC</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Economic and Financial Crimes Commission</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Esq.</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Esquire</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et al.</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i/>
                <w:iCs/>
                <w:kern w:val="2"/>
                <w:sz w:val="24"/>
                <w:szCs w:val="24"/>
                <w:lang w:val="en-GB" w:eastAsia="en-US"/>
              </w:rPr>
              <w:t>et alii</w:t>
            </w:r>
            <w:r>
              <w:rPr>
                <w:rFonts w:ascii="Times New Roman" w:eastAsia="Aptos" w:hAnsi="Times New Roman"/>
                <w:kern w:val="2"/>
                <w:sz w:val="24"/>
                <w:szCs w:val="24"/>
                <w:lang w:val="en-GB" w:eastAsia="en-US"/>
              </w:rPr>
              <w:t xml:space="preserve"> (and others)</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etc.</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i/>
                <w:iCs/>
                <w:kern w:val="2"/>
                <w:sz w:val="24"/>
                <w:szCs w:val="24"/>
                <w:lang w:val="en-GB" w:eastAsia="en-US"/>
              </w:rPr>
              <w:t>et cetera</w:t>
            </w:r>
            <w:r>
              <w:rPr>
                <w:rFonts w:ascii="Times New Roman" w:eastAsia="Aptos" w:hAnsi="Times New Roman"/>
                <w:kern w:val="2"/>
                <w:sz w:val="24"/>
                <w:szCs w:val="24"/>
                <w:lang w:val="en-GB" w:eastAsia="en-US"/>
              </w:rPr>
              <w:t xml:space="preserve"> (and so forth)</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F-G</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Paragraphs F to G of a law report</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FGN</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Federal Government of Nigeria</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FRN</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Federal Republic of Nigeria</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H.W.R.</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Henry William Rawson (Wade)</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Hon.</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Honourable</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ibid.</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i/>
                <w:iCs/>
                <w:kern w:val="2"/>
                <w:sz w:val="24"/>
                <w:szCs w:val="24"/>
                <w:lang w:val="en-GB" w:eastAsia="en-US"/>
              </w:rPr>
              <w:t>ibidem</w:t>
            </w:r>
            <w:r>
              <w:rPr>
                <w:rFonts w:ascii="Times New Roman" w:eastAsia="Aptos" w:hAnsi="Times New Roman"/>
                <w:kern w:val="2"/>
                <w:sz w:val="24"/>
                <w:szCs w:val="24"/>
                <w:lang w:val="en-GB" w:eastAsia="en-US"/>
              </w:rPr>
              <w:t xml:space="preserve"> (in the same place)</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ICPC</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Independent Corrupt Practices and Other Related Offences Commission</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i.e.</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i/>
                <w:iCs/>
                <w:kern w:val="2"/>
                <w:sz w:val="24"/>
                <w:szCs w:val="24"/>
                <w:lang w:val="en-GB" w:eastAsia="en-US"/>
              </w:rPr>
              <w:t>id est</w:t>
            </w:r>
            <w:r>
              <w:rPr>
                <w:rFonts w:ascii="Times New Roman" w:eastAsia="Aptos" w:hAnsi="Times New Roman"/>
                <w:kern w:val="2"/>
                <w:sz w:val="24"/>
                <w:szCs w:val="24"/>
                <w:lang w:val="en-GB" w:eastAsia="en-US"/>
              </w:rPr>
              <w:t xml:space="preserve"> (that is)</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INEC</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Independent National Electoral Commission</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J.</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Justice</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lastRenderedPageBreak/>
              <w:t>J.C.A.</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Justice of the Court of Appeal</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JSC</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Justice of the Supreme Court</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KIU</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Kampala International University</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L.E.D.B.</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Lagos Executive Development Board</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LFN</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Laws of the Federation of Nigeria</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LIR</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 xml:space="preserve">Law Reports (as cited in </w:t>
            </w:r>
            <w:r>
              <w:rPr>
                <w:rFonts w:ascii="Times New Roman" w:eastAsia="Aptos" w:hAnsi="Times New Roman"/>
                <w:i/>
                <w:iCs/>
                <w:kern w:val="2"/>
                <w:sz w:val="24"/>
                <w:szCs w:val="24"/>
                <w:lang w:val="en-GB" w:eastAsia="en-US"/>
              </w:rPr>
              <w:t>Soule v L.E.D.B.</w:t>
            </w:r>
            <w:r>
              <w:rPr>
                <w:rFonts w:ascii="Times New Roman" w:eastAsia="Aptos" w:hAnsi="Times New Roman"/>
                <w:kern w:val="2"/>
                <w:sz w:val="24"/>
                <w:szCs w:val="24"/>
                <w:lang w:val="en-GB" w:eastAsia="en-US"/>
              </w:rPr>
              <w:t>)</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LLSN</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Laws of Lagos State of Nigeria</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LPELR</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Law Pavilion Electronic Law Reports</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LSP</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Legal Standpoint Publication / Legal Standpoint Series</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Ltd</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Limited</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M.</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Mister / initial as used in citations</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N.B.C.</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Nigerian Bottling Company</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NGSC</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Nigeria Supreme Court Citation Series</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NIC</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National Industrial Court</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NICN</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National Industrial Court of Nigeria</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NILDS</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National Institute for Legislative and Democratic Studies</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NLR</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Nigerian Law Reports</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NCLR</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Nigerian Constitutional Law Reports</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No.</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Number</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lastRenderedPageBreak/>
              <w:t>NPO</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Notice of Preliminary Objection</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NSCC</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Nigerian Supreme Court Cases</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NWLR</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Nigerian Weekly Law Reports</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OUP</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Oxford University Press</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Ors.</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Others</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p.</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Page</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pp.</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Pages</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para.</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Paragraph</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paras.</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Paragraphs</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Plc</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Public Limited Company</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POPA</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Public Officers Protection Act</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Pt</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Part</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PT</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Part (alternative capitalization used in the dissertation)</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Ref.</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Reference</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s.</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Section</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ss.</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Sections</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SC</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Supreme Court</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SCN</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Supreme Court of Nigeria</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SSRN</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Social Science Research Network</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lastRenderedPageBreak/>
              <w:t>UK</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United Kingdom</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U.S.A.</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United States of America</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vol.</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Volume</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vols.</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Volumes</w:t>
            </w:r>
          </w:p>
        </w:tc>
      </w:tr>
      <w:tr w:rsidR="00EC7CD2">
        <w:tc>
          <w:tcPr>
            <w:tcW w:w="1849"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w.e.f.</w:t>
            </w:r>
          </w:p>
        </w:tc>
        <w:tc>
          <w:tcPr>
            <w:tcW w:w="7176" w:type="dxa"/>
            <w:tcMar>
              <w:top w:w="15" w:type="dxa"/>
              <w:left w:w="15" w:type="dxa"/>
              <w:bottom w:w="15" w:type="dxa"/>
              <w:right w:w="15" w:type="dxa"/>
            </w:tcMar>
            <w:vAlign w:val="center"/>
          </w:tcPr>
          <w:p w:rsidR="00EC7CD2" w:rsidRDefault="00453B03">
            <w:pPr>
              <w:spacing w:after="160" w:line="360" w:lineRule="auto"/>
              <w:ind w:left="360"/>
              <w:rPr>
                <w:rFonts w:ascii="Times New Roman" w:hAnsi="Times New Roman"/>
                <w:b/>
                <w:bCs/>
                <w:sz w:val="24"/>
                <w:szCs w:val="24"/>
              </w:rPr>
            </w:pPr>
            <w:r>
              <w:rPr>
                <w:rFonts w:ascii="Times New Roman" w:eastAsia="Aptos" w:hAnsi="Times New Roman"/>
                <w:kern w:val="2"/>
                <w:sz w:val="24"/>
                <w:szCs w:val="24"/>
                <w:lang w:val="en-GB" w:eastAsia="en-US"/>
              </w:rPr>
              <w:t>With effect from</w:t>
            </w:r>
          </w:p>
        </w:tc>
      </w:tr>
    </w:tbl>
    <w:p w:rsidR="00EC7CD2" w:rsidRDefault="00EC7CD2">
      <w:pPr>
        <w:spacing w:after="160" w:line="360" w:lineRule="auto"/>
        <w:ind w:left="360"/>
        <w:rPr>
          <w:rFonts w:ascii="Times New Roman" w:hAnsi="Times New Roman"/>
          <w:b/>
          <w:bCs/>
          <w:sz w:val="24"/>
          <w:szCs w:val="24"/>
        </w:rPr>
      </w:pPr>
    </w:p>
    <w:p w:rsidR="00EC7CD2" w:rsidRDefault="00EC7CD2">
      <w:pPr>
        <w:spacing w:after="160" w:line="360" w:lineRule="auto"/>
        <w:ind w:left="360"/>
        <w:rPr>
          <w:rFonts w:ascii="Times New Roman" w:hAnsi="Times New Roman"/>
          <w:b/>
          <w:bCs/>
          <w:sz w:val="24"/>
          <w:szCs w:val="24"/>
        </w:rPr>
      </w:pPr>
    </w:p>
    <w:p w:rsidR="00EC7CD2" w:rsidRDefault="00EC7CD2">
      <w:pPr>
        <w:spacing w:line="480" w:lineRule="auto"/>
        <w:jc w:val="center"/>
        <w:rPr>
          <w:rFonts w:ascii="Times New Roman" w:hAnsi="Times New Roman"/>
          <w:b/>
          <w:bCs/>
          <w:sz w:val="24"/>
          <w:szCs w:val="24"/>
        </w:rPr>
      </w:pPr>
    </w:p>
    <w:p w:rsidR="00EC7CD2" w:rsidRDefault="00EC7CD2">
      <w:pPr>
        <w:spacing w:line="480" w:lineRule="auto"/>
        <w:jc w:val="center"/>
        <w:rPr>
          <w:rFonts w:ascii="Times New Roman" w:hAnsi="Times New Roman"/>
          <w:b/>
          <w:bCs/>
          <w:sz w:val="24"/>
          <w:szCs w:val="24"/>
        </w:rPr>
      </w:pPr>
    </w:p>
    <w:p w:rsidR="00EC7CD2" w:rsidRDefault="00EC7CD2">
      <w:pPr>
        <w:spacing w:line="480" w:lineRule="auto"/>
        <w:jc w:val="center"/>
        <w:rPr>
          <w:rFonts w:ascii="Times New Roman" w:hAnsi="Times New Roman"/>
          <w:b/>
          <w:bCs/>
          <w:sz w:val="24"/>
          <w:szCs w:val="24"/>
        </w:rPr>
      </w:pPr>
    </w:p>
    <w:p w:rsidR="00EC7CD2" w:rsidRDefault="00EC7CD2">
      <w:pPr>
        <w:spacing w:line="480" w:lineRule="auto"/>
        <w:jc w:val="center"/>
        <w:rPr>
          <w:rFonts w:ascii="Times New Roman" w:hAnsi="Times New Roman"/>
          <w:b/>
          <w:bCs/>
          <w:sz w:val="24"/>
          <w:szCs w:val="24"/>
        </w:rPr>
      </w:pPr>
    </w:p>
    <w:p w:rsidR="00EC7CD2" w:rsidRDefault="00EC7CD2">
      <w:pPr>
        <w:spacing w:line="480" w:lineRule="auto"/>
        <w:jc w:val="center"/>
        <w:rPr>
          <w:rFonts w:ascii="Times New Roman" w:hAnsi="Times New Roman"/>
          <w:b/>
          <w:bCs/>
          <w:sz w:val="24"/>
          <w:szCs w:val="24"/>
        </w:rPr>
      </w:pPr>
    </w:p>
    <w:p w:rsidR="00453B03" w:rsidRDefault="00453B03">
      <w:pPr>
        <w:spacing w:line="480" w:lineRule="auto"/>
        <w:jc w:val="center"/>
        <w:rPr>
          <w:rFonts w:ascii="Times New Roman" w:hAnsi="Times New Roman"/>
          <w:b/>
          <w:bCs/>
          <w:sz w:val="24"/>
          <w:szCs w:val="24"/>
        </w:rPr>
      </w:pPr>
    </w:p>
    <w:p w:rsidR="00EC7CD2" w:rsidRDefault="00EC7CD2">
      <w:pPr>
        <w:spacing w:line="480" w:lineRule="auto"/>
        <w:jc w:val="center"/>
        <w:rPr>
          <w:rFonts w:ascii="Times New Roman" w:hAnsi="Times New Roman"/>
          <w:b/>
          <w:bCs/>
          <w:sz w:val="24"/>
          <w:szCs w:val="24"/>
        </w:rPr>
      </w:pPr>
    </w:p>
    <w:p w:rsidR="00EC7CD2" w:rsidRDefault="00EC7CD2">
      <w:pPr>
        <w:spacing w:line="480" w:lineRule="auto"/>
        <w:jc w:val="center"/>
        <w:rPr>
          <w:rFonts w:ascii="Times New Roman" w:eastAsia="Aptos" w:hAnsi="Times New Roman" w:cs="SimSun"/>
          <w:b/>
          <w:bCs/>
          <w:kern w:val="2"/>
          <w:sz w:val="24"/>
          <w:szCs w:val="24"/>
          <w:lang w:val="en-GB" w:eastAsia="en-US"/>
        </w:rPr>
      </w:pPr>
    </w:p>
    <w:p w:rsidR="00EC7CD2" w:rsidRDefault="00EC7CD2">
      <w:pPr>
        <w:spacing w:line="480" w:lineRule="auto"/>
        <w:jc w:val="center"/>
        <w:rPr>
          <w:rFonts w:ascii="Times New Roman" w:eastAsia="Aptos" w:hAnsi="Times New Roman" w:cs="SimSun"/>
          <w:b/>
          <w:bCs/>
          <w:kern w:val="2"/>
          <w:sz w:val="24"/>
          <w:szCs w:val="24"/>
          <w:lang w:val="en-GB" w:eastAsia="en-US"/>
        </w:rPr>
      </w:pPr>
    </w:p>
    <w:p w:rsidR="00EC7CD2" w:rsidRDefault="00EC7CD2">
      <w:pPr>
        <w:spacing w:line="480" w:lineRule="auto"/>
        <w:jc w:val="center"/>
        <w:rPr>
          <w:rFonts w:ascii="Times New Roman" w:eastAsia="Aptos" w:hAnsi="Times New Roman" w:cs="SimSun"/>
          <w:b/>
          <w:bCs/>
          <w:kern w:val="2"/>
          <w:sz w:val="24"/>
          <w:szCs w:val="24"/>
          <w:lang w:val="en-GB" w:eastAsia="en-US"/>
        </w:rPr>
      </w:pPr>
    </w:p>
    <w:p w:rsidR="00EC7CD2" w:rsidRDefault="00EC7CD2">
      <w:pPr>
        <w:spacing w:line="480" w:lineRule="auto"/>
        <w:jc w:val="center"/>
        <w:rPr>
          <w:rFonts w:ascii="Times New Roman" w:eastAsia="Aptos" w:hAnsi="Times New Roman" w:cs="SimSun"/>
          <w:b/>
          <w:bCs/>
          <w:kern w:val="2"/>
          <w:sz w:val="24"/>
          <w:szCs w:val="24"/>
          <w:lang w:val="en-GB" w:eastAsia="en-US"/>
        </w:rPr>
      </w:pPr>
    </w:p>
    <w:p w:rsidR="00EC7CD2" w:rsidRDefault="00453B03">
      <w:pPr>
        <w:spacing w:line="480" w:lineRule="auto"/>
        <w:jc w:val="center"/>
        <w:rPr>
          <w:rFonts w:ascii="Times New Roman" w:hAnsi="Times New Roman"/>
          <w:b/>
          <w:bCs/>
          <w:sz w:val="24"/>
          <w:szCs w:val="24"/>
        </w:rPr>
      </w:pPr>
      <w:r>
        <w:rPr>
          <w:rFonts w:ascii="Times New Roman" w:eastAsia="Aptos" w:hAnsi="Times New Roman" w:cs="SimSun"/>
          <w:b/>
          <w:bCs/>
          <w:kern w:val="2"/>
          <w:sz w:val="24"/>
          <w:szCs w:val="24"/>
          <w:lang w:val="en-GB" w:eastAsia="en-US"/>
        </w:rPr>
        <w:lastRenderedPageBreak/>
        <w:t>ABSTRACT</w:t>
      </w:r>
    </w:p>
    <w:p w:rsidR="00EC7CD2" w:rsidRDefault="00453B03">
      <w:pPr>
        <w:spacing w:line="240" w:lineRule="auto"/>
        <w:jc w:val="both"/>
        <w:rPr>
          <w:rFonts w:ascii="Times New Roman" w:hAnsi="Times New Roman"/>
          <w:b/>
          <w:bCs/>
          <w:sz w:val="24"/>
          <w:szCs w:val="24"/>
        </w:rPr>
      </w:pPr>
      <w:r>
        <w:rPr>
          <w:rFonts w:ascii="Times New Roman" w:eastAsia="Aptos" w:hAnsi="Times New Roman" w:cs="SimSun"/>
          <w:kern w:val="2"/>
          <w:sz w:val="20"/>
          <w:szCs w:val="20"/>
          <w:lang w:val="en-GB" w:eastAsia="en-US"/>
        </w:rPr>
        <w:t xml:space="preserve">Protection of public officers is a highly contentious </w:t>
      </w:r>
      <w:r>
        <w:rPr>
          <w:rFonts w:ascii="Times New Roman" w:eastAsia="Aptos" w:hAnsi="Times New Roman" w:cs="SimSun"/>
          <w:kern w:val="2"/>
          <w:sz w:val="20"/>
          <w:szCs w:val="20"/>
          <w:lang w:eastAsia="en-US"/>
        </w:rPr>
        <w:t>issue</w:t>
      </w:r>
      <w:r>
        <w:rPr>
          <w:rFonts w:ascii="Times New Roman" w:eastAsia="Aptos" w:hAnsi="Times New Roman" w:cs="SimSun"/>
          <w:kern w:val="2"/>
          <w:sz w:val="20"/>
          <w:szCs w:val="20"/>
          <w:lang w:val="en-GB" w:eastAsia="en-US"/>
        </w:rPr>
        <w:t xml:space="preserve"> w</w:t>
      </w:r>
      <w:r>
        <w:rPr>
          <w:rFonts w:ascii="Times New Roman" w:eastAsia="Aptos" w:hAnsi="Times New Roman" w:cs="SimSun"/>
          <w:kern w:val="2"/>
          <w:sz w:val="20"/>
          <w:szCs w:val="20"/>
          <w:lang w:eastAsia="en-US"/>
        </w:rPr>
        <w:t xml:space="preserve">ithin </w:t>
      </w:r>
      <w:r>
        <w:rPr>
          <w:rFonts w:ascii="Times New Roman" w:eastAsia="Aptos" w:hAnsi="Times New Roman" w:cs="SimSun"/>
          <w:kern w:val="2"/>
          <w:sz w:val="20"/>
          <w:szCs w:val="20"/>
          <w:lang w:val="en-GB" w:eastAsia="en-US"/>
        </w:rPr>
        <w:t xml:space="preserve">the Nigerian legal system. The Nigerian legal system requires provision to be made in order to ensure that public officers receive protection from frivolous suits and other activities that would hinder public officers from carrying out their duties effectively. This </w:t>
      </w:r>
      <w:r>
        <w:rPr>
          <w:rFonts w:ascii="Times New Roman" w:eastAsia="Aptos" w:hAnsi="Times New Roman" w:cs="SimSun"/>
          <w:kern w:val="2"/>
          <w:sz w:val="20"/>
          <w:szCs w:val="20"/>
          <w:lang w:eastAsia="en-US"/>
        </w:rPr>
        <w:t xml:space="preserve">is evident in </w:t>
      </w:r>
      <w:r>
        <w:rPr>
          <w:rFonts w:ascii="Times New Roman" w:eastAsia="Aptos" w:hAnsi="Times New Roman" w:cs="SimSun"/>
          <w:kern w:val="2"/>
          <w:sz w:val="20"/>
          <w:szCs w:val="20"/>
          <w:lang w:val="en-GB" w:eastAsia="en-US"/>
        </w:rPr>
        <w:t>several statutes, including Public Officers Protection Act, Constitution of the Federal Republic of Nigeria 1999 (as amended), Code of Conduct Bureau and Tribunal Act, and Corrupt Practices and Other Related Offences Act. However, even though there might be good reason why such legislative provisions exist from a policy standpoint, what has happened in Nigeria in recent times is that there has been abuse of the statutory protection regime by government officials who use their legal immunities to cover up their corruption and abuses of office. The current judicial trend indicates that the judiciary does not want to be a party to the perpetration of impunity through the statutory protection regime.</w:t>
      </w:r>
    </w:p>
    <w:p w:rsidR="00EC7CD2" w:rsidRDefault="00EC7CD2">
      <w:pPr>
        <w:spacing w:line="480" w:lineRule="auto"/>
        <w:jc w:val="center"/>
        <w:rPr>
          <w:rFonts w:ascii="Times New Roman" w:hAnsi="Times New Roman"/>
          <w:b/>
          <w:bCs/>
          <w:sz w:val="24"/>
          <w:szCs w:val="24"/>
        </w:rPr>
      </w:pPr>
    </w:p>
    <w:p w:rsidR="00EC7CD2" w:rsidRDefault="00EC7CD2">
      <w:pPr>
        <w:spacing w:line="480" w:lineRule="auto"/>
        <w:jc w:val="center"/>
        <w:rPr>
          <w:rFonts w:ascii="Times New Roman" w:hAnsi="Times New Roman"/>
          <w:b/>
          <w:bCs/>
          <w:sz w:val="24"/>
          <w:szCs w:val="24"/>
        </w:rPr>
      </w:pPr>
    </w:p>
    <w:p w:rsidR="00EC7CD2" w:rsidRDefault="00EC7CD2">
      <w:pPr>
        <w:spacing w:line="480" w:lineRule="auto"/>
        <w:jc w:val="center"/>
        <w:rPr>
          <w:rFonts w:ascii="Times New Roman" w:hAnsi="Times New Roman"/>
          <w:b/>
          <w:bCs/>
          <w:sz w:val="24"/>
          <w:szCs w:val="24"/>
        </w:rPr>
      </w:pPr>
    </w:p>
    <w:p w:rsidR="00EC7CD2" w:rsidRDefault="00EC7CD2">
      <w:pPr>
        <w:spacing w:line="480" w:lineRule="auto"/>
        <w:jc w:val="center"/>
        <w:rPr>
          <w:rFonts w:ascii="Times New Roman" w:hAnsi="Times New Roman"/>
          <w:b/>
          <w:bCs/>
          <w:sz w:val="24"/>
          <w:szCs w:val="24"/>
        </w:rPr>
      </w:pPr>
    </w:p>
    <w:p w:rsidR="00EC7CD2" w:rsidRDefault="00EC7CD2">
      <w:pPr>
        <w:spacing w:line="480" w:lineRule="auto"/>
        <w:jc w:val="center"/>
        <w:rPr>
          <w:rFonts w:ascii="Times New Roman" w:hAnsi="Times New Roman"/>
          <w:b/>
          <w:bCs/>
          <w:sz w:val="24"/>
          <w:szCs w:val="24"/>
        </w:rPr>
      </w:pPr>
    </w:p>
    <w:p w:rsidR="00EC7CD2" w:rsidRDefault="00EC7CD2">
      <w:pPr>
        <w:spacing w:line="480" w:lineRule="auto"/>
        <w:jc w:val="center"/>
        <w:rPr>
          <w:rFonts w:ascii="Times New Roman" w:hAnsi="Times New Roman"/>
          <w:b/>
          <w:bCs/>
          <w:sz w:val="24"/>
          <w:szCs w:val="24"/>
        </w:rPr>
      </w:pPr>
    </w:p>
    <w:p w:rsidR="00EC7CD2" w:rsidRDefault="00EC7CD2">
      <w:pPr>
        <w:spacing w:line="480" w:lineRule="auto"/>
        <w:jc w:val="center"/>
        <w:rPr>
          <w:rFonts w:ascii="Times New Roman" w:hAnsi="Times New Roman"/>
          <w:b/>
          <w:bCs/>
          <w:sz w:val="24"/>
          <w:szCs w:val="24"/>
        </w:rPr>
      </w:pPr>
    </w:p>
    <w:p w:rsidR="00EC7CD2" w:rsidRDefault="00EC7CD2">
      <w:pPr>
        <w:spacing w:line="480" w:lineRule="auto"/>
        <w:jc w:val="center"/>
        <w:rPr>
          <w:rFonts w:ascii="Times New Roman" w:hAnsi="Times New Roman"/>
          <w:b/>
          <w:bCs/>
          <w:sz w:val="24"/>
          <w:szCs w:val="24"/>
        </w:rPr>
      </w:pPr>
    </w:p>
    <w:p w:rsidR="00EC7CD2" w:rsidRDefault="00EC7CD2">
      <w:pPr>
        <w:spacing w:line="480" w:lineRule="auto"/>
        <w:jc w:val="center"/>
        <w:rPr>
          <w:rFonts w:ascii="Times New Roman" w:hAnsi="Times New Roman"/>
          <w:b/>
          <w:bCs/>
          <w:sz w:val="24"/>
          <w:szCs w:val="24"/>
        </w:rPr>
      </w:pPr>
    </w:p>
    <w:p w:rsidR="00EC7CD2" w:rsidRDefault="00EC7CD2">
      <w:pPr>
        <w:spacing w:line="480" w:lineRule="auto"/>
        <w:jc w:val="center"/>
        <w:rPr>
          <w:rFonts w:ascii="Times New Roman" w:hAnsi="Times New Roman"/>
          <w:b/>
          <w:bCs/>
          <w:sz w:val="24"/>
          <w:szCs w:val="24"/>
        </w:rPr>
      </w:pPr>
    </w:p>
    <w:p w:rsidR="00EC7CD2" w:rsidRDefault="00EC7CD2">
      <w:pPr>
        <w:spacing w:line="480" w:lineRule="auto"/>
        <w:jc w:val="center"/>
        <w:rPr>
          <w:rFonts w:ascii="Times New Roman" w:hAnsi="Times New Roman"/>
          <w:b/>
          <w:bCs/>
          <w:sz w:val="24"/>
          <w:szCs w:val="24"/>
        </w:rPr>
      </w:pPr>
    </w:p>
    <w:p w:rsidR="00EC7CD2" w:rsidRDefault="00EC7CD2">
      <w:pPr>
        <w:spacing w:line="480" w:lineRule="auto"/>
        <w:jc w:val="center"/>
        <w:rPr>
          <w:rFonts w:ascii="Times New Roman" w:hAnsi="Times New Roman"/>
          <w:b/>
          <w:bCs/>
          <w:sz w:val="24"/>
          <w:szCs w:val="24"/>
        </w:rPr>
      </w:pPr>
    </w:p>
    <w:p w:rsidR="00453B03" w:rsidRDefault="00453B03">
      <w:pPr>
        <w:spacing w:after="0" w:line="480" w:lineRule="auto"/>
        <w:rPr>
          <w:rFonts w:ascii="Times New Roman" w:hAnsi="Times New Roman"/>
          <w:b/>
          <w:bCs/>
          <w:sz w:val="24"/>
          <w:szCs w:val="24"/>
        </w:rPr>
        <w:sectPr w:rsidR="00453B03" w:rsidSect="00453B03">
          <w:headerReference w:type="default" r:id="rId8"/>
          <w:footerReference w:type="default" r:id="rId9"/>
          <w:pgSz w:w="12240" w:h="15840"/>
          <w:pgMar w:top="1440" w:right="1440" w:bottom="1440" w:left="1440" w:header="720" w:footer="720" w:gutter="0"/>
          <w:pgNumType w:fmt="lowerRoman"/>
          <w:cols w:space="720"/>
          <w:titlePg/>
          <w:docGrid w:linePitch="360"/>
        </w:sectPr>
      </w:pPr>
    </w:p>
    <w:p w:rsidR="00EC7CD2" w:rsidRDefault="00453B03">
      <w:pPr>
        <w:spacing w:after="0" w:line="480" w:lineRule="auto"/>
        <w:jc w:val="center"/>
        <w:rPr>
          <w:rFonts w:ascii="Times New Roman" w:hAnsi="Times New Roman"/>
          <w:b/>
          <w:bCs/>
          <w:sz w:val="24"/>
          <w:szCs w:val="24"/>
        </w:rPr>
      </w:pPr>
      <w:r>
        <w:rPr>
          <w:rFonts w:ascii="Times New Roman" w:hAnsi="Times New Roman"/>
          <w:b/>
          <w:bCs/>
          <w:sz w:val="24"/>
          <w:szCs w:val="24"/>
        </w:rPr>
        <w:lastRenderedPageBreak/>
        <w:t>CHAPTER ONE</w:t>
      </w:r>
    </w:p>
    <w:p w:rsidR="00EC7CD2" w:rsidRDefault="00453B03">
      <w:pPr>
        <w:spacing w:after="0" w:line="480" w:lineRule="auto"/>
        <w:jc w:val="center"/>
        <w:rPr>
          <w:rFonts w:ascii="Times New Roman" w:hAnsi="Times New Roman"/>
          <w:b/>
          <w:bCs/>
          <w:sz w:val="24"/>
          <w:szCs w:val="24"/>
        </w:rPr>
      </w:pPr>
      <w:r>
        <w:rPr>
          <w:rFonts w:ascii="Times New Roman" w:hAnsi="Times New Roman"/>
          <w:b/>
          <w:bCs/>
          <w:sz w:val="24"/>
          <w:szCs w:val="24"/>
        </w:rPr>
        <w:t>INTRODUCTION</w:t>
      </w:r>
    </w:p>
    <w:p w:rsidR="00EC7CD2" w:rsidRDefault="00453B03">
      <w:pPr>
        <w:spacing w:after="0" w:line="480" w:lineRule="auto"/>
        <w:jc w:val="both"/>
        <w:rPr>
          <w:rFonts w:ascii="Times New Roman" w:hAnsi="Times New Roman"/>
          <w:sz w:val="24"/>
          <w:szCs w:val="24"/>
        </w:rPr>
      </w:pPr>
      <w:r>
        <w:rPr>
          <w:rFonts w:ascii="Times New Roman" w:hAnsi="Times New Roman"/>
          <w:b/>
          <w:bCs/>
          <w:sz w:val="24"/>
          <w:szCs w:val="24"/>
        </w:rPr>
        <w:t>1.1</w:t>
      </w:r>
      <w:r>
        <w:rPr>
          <w:rFonts w:ascii="Times New Roman" w:hAnsi="Times New Roman"/>
          <w:sz w:val="24"/>
          <w:szCs w:val="24"/>
        </w:rPr>
        <w:t xml:space="preserve"> </w:t>
      </w:r>
      <w:r>
        <w:rPr>
          <w:rFonts w:ascii="Times New Roman" w:hAnsi="Times New Roman"/>
          <w:b/>
          <w:bCs/>
          <w:sz w:val="24"/>
          <w:szCs w:val="24"/>
        </w:rPr>
        <w:t>Background to the Study</w:t>
      </w:r>
    </w:p>
    <w:p w:rsidR="00EC7CD2" w:rsidRDefault="00453B03">
      <w:pPr>
        <w:pStyle w:val="ListParagraph"/>
        <w:spacing w:line="480" w:lineRule="auto"/>
        <w:ind w:left="0"/>
        <w:rPr>
          <w:color w:val="36363D"/>
          <w:sz w:val="24"/>
          <w:szCs w:val="24"/>
        </w:rPr>
      </w:pPr>
      <w:r>
        <w:rPr>
          <w:sz w:val="24"/>
          <w:szCs w:val="24"/>
        </w:rPr>
        <w:t>The Public Officers Protection Act (POPA)</w:t>
      </w:r>
      <w:r>
        <w:rPr>
          <w:rStyle w:val="FootnoteReference"/>
          <w:sz w:val="24"/>
          <w:szCs w:val="24"/>
        </w:rPr>
        <w:footnoteReference w:id="1"/>
      </w:r>
      <w:r>
        <w:rPr>
          <w:sz w:val="24"/>
          <w:szCs w:val="24"/>
        </w:rPr>
        <w:t xml:space="preserve"> is a significant statute in Nigerian administrative law, enacted to provide protection for public officers against civil liability arising from acts done in the execution of their official duties. The origin of the Act can be traced to the Public Authorities Protection Act</w:t>
      </w:r>
      <w:r>
        <w:rPr>
          <w:rStyle w:val="FootnoteReference"/>
          <w:sz w:val="24"/>
          <w:szCs w:val="24"/>
        </w:rPr>
        <w:footnoteReference w:id="2"/>
      </w:r>
      <w:r>
        <w:rPr>
          <w:sz w:val="24"/>
          <w:szCs w:val="24"/>
        </w:rPr>
        <w:t>, which was received into Nigerian law as a Statute of General Application during the colonial era before being domesticated through the enactment of the 1916 Ordinance.</w:t>
      </w:r>
      <w:r>
        <w:rPr>
          <w:rStyle w:val="FootnoteReference"/>
          <w:sz w:val="24"/>
          <w:szCs w:val="24"/>
        </w:rPr>
        <w:footnoteReference w:id="3"/>
      </w:r>
      <w:r>
        <w:rPr>
          <w:sz w:val="24"/>
          <w:szCs w:val="24"/>
        </w:rPr>
        <w:t xml:space="preserve"> The Nigerian statute “substantially reproduces the provisions of section 1 of the English Act</w:t>
      </w:r>
      <w:r>
        <w:rPr>
          <w:rStyle w:val="FootnoteReference"/>
          <w:sz w:val="24"/>
          <w:szCs w:val="24"/>
        </w:rPr>
        <w:footnoteReference w:id="4"/>
      </w:r>
      <w:r>
        <w:rPr>
          <w:sz w:val="24"/>
          <w:szCs w:val="24"/>
        </w:rPr>
        <w:t>, particularly with respect to the limitation period within which actions may be instituted against public officers.”</w:t>
      </w:r>
      <w:r>
        <w:rPr>
          <w:rStyle w:val="FootnoteReference"/>
          <w:sz w:val="24"/>
          <w:szCs w:val="24"/>
        </w:rPr>
        <w:footnoteReference w:id="5"/>
      </w:r>
    </w:p>
    <w:p w:rsidR="00EC7CD2" w:rsidRDefault="00453B03">
      <w:pPr>
        <w:pStyle w:val="ListParagraph"/>
        <w:spacing w:line="480" w:lineRule="auto"/>
        <w:ind w:left="0"/>
        <w:rPr>
          <w:sz w:val="24"/>
          <w:szCs w:val="24"/>
        </w:rPr>
      </w:pPr>
      <w:r>
        <w:rPr>
          <w:sz w:val="24"/>
          <w:szCs w:val="24"/>
        </w:rPr>
        <w:t>The concept of public officers in Nigeria is mainly determined by the fifth schedule part II</w:t>
      </w:r>
      <w:r>
        <w:rPr>
          <w:rStyle w:val="FootnoteReference"/>
          <w:sz w:val="24"/>
          <w:szCs w:val="24"/>
        </w:rPr>
        <w:footnoteReference w:id="6"/>
      </w:r>
      <w:r>
        <w:rPr>
          <w:sz w:val="24"/>
          <w:szCs w:val="24"/>
        </w:rPr>
        <w:t>, which lists down various individuals who are classified as public officers. Some of them include Elected Officials, Civil Servants, Armed Forces Personnel, Police Officers, and Government Agency Employees.</w:t>
      </w:r>
    </w:p>
    <w:p w:rsidR="00EC7CD2" w:rsidRDefault="00453B03">
      <w:pPr>
        <w:pStyle w:val="ListParagraph"/>
        <w:spacing w:line="480" w:lineRule="auto"/>
        <w:ind w:left="0"/>
        <w:rPr>
          <w:sz w:val="24"/>
          <w:szCs w:val="24"/>
        </w:rPr>
      </w:pPr>
      <w:r>
        <w:rPr>
          <w:sz w:val="24"/>
          <w:szCs w:val="24"/>
        </w:rPr>
        <w:t>It was established a century prior, in fact the roots of public officer immunity go even back before the feudal system, when a divine right to the king established the shield for the King and his representatives.</w:t>
      </w:r>
      <w:r>
        <w:rPr>
          <w:rStyle w:val="FootnoteReference"/>
          <w:sz w:val="24"/>
          <w:szCs w:val="24"/>
        </w:rPr>
        <w:footnoteReference w:id="7"/>
      </w:r>
      <w:r>
        <w:rPr>
          <w:sz w:val="24"/>
          <w:szCs w:val="24"/>
        </w:rPr>
        <w:t xml:space="preserve"> The protections provided by this immunity waned over centuries until the rise of the rule of law when by 15th century.</w:t>
      </w:r>
      <w:r>
        <w:rPr>
          <w:rStyle w:val="FootnoteReference"/>
          <w:sz w:val="24"/>
          <w:szCs w:val="24"/>
        </w:rPr>
        <w:footnoteReference w:id="8"/>
      </w:r>
      <w:r>
        <w:rPr>
          <w:sz w:val="24"/>
          <w:szCs w:val="24"/>
        </w:rPr>
        <w:t xml:space="preserve"> Public office bearers eventually lost these protected status </w:t>
      </w:r>
      <w:r>
        <w:rPr>
          <w:sz w:val="24"/>
          <w:szCs w:val="24"/>
        </w:rPr>
        <w:lastRenderedPageBreak/>
        <w:t>by becoming personally responsible for wrong acts committed while performing the duties of the position; "the command of the Crown does not excuse unlawful conduct.</w:t>
      </w:r>
      <w:r>
        <w:rPr>
          <w:rStyle w:val="FootnoteReference"/>
          <w:sz w:val="24"/>
          <w:szCs w:val="24"/>
        </w:rPr>
        <w:footnoteReference w:id="9"/>
      </w:r>
      <w:r>
        <w:rPr>
          <w:sz w:val="24"/>
          <w:szCs w:val="24"/>
        </w:rPr>
        <w:t xml:space="preserve">" </w:t>
      </w:r>
    </w:p>
    <w:p w:rsidR="00EC7CD2" w:rsidRDefault="00453B03">
      <w:pPr>
        <w:pStyle w:val="ListParagraph"/>
        <w:spacing w:line="480" w:lineRule="auto"/>
        <w:ind w:left="0"/>
        <w:rPr>
          <w:sz w:val="24"/>
          <w:szCs w:val="24"/>
        </w:rPr>
      </w:pPr>
      <w:r>
        <w:rPr>
          <w:sz w:val="24"/>
          <w:szCs w:val="24"/>
        </w:rPr>
        <w:t>As the Limitation Statutes, and most notably the Limitation Act were enacted to set out periods of limitation on general claims for civil action</w:t>
      </w:r>
      <w:r>
        <w:rPr>
          <w:rStyle w:val="FootnoteReference"/>
          <w:sz w:val="24"/>
          <w:szCs w:val="24"/>
        </w:rPr>
        <w:footnoteReference w:id="10"/>
      </w:r>
      <w:r>
        <w:rPr>
          <w:sz w:val="24"/>
          <w:szCs w:val="24"/>
        </w:rPr>
        <w:t>, there was also legislation of a specific nature, giving rise to statutory safeguards to control proceedings against a Public Authority or officer. Among these was Public Authorities Protection Act, these would normally stipulate an intention to proceed to sue and short periods in which to issue such an action was available</w:t>
      </w:r>
      <w:r>
        <w:rPr>
          <w:rStyle w:val="FootnoteReference"/>
          <w:sz w:val="24"/>
          <w:szCs w:val="24"/>
        </w:rPr>
        <w:footnoteReference w:id="11"/>
      </w:r>
      <w:r>
        <w:rPr>
          <w:sz w:val="24"/>
          <w:szCs w:val="24"/>
        </w:rPr>
        <w:t>. It was considered in the interests of the officer to have reasonable notice in order to allow him to redress and for a claim to be brought whilst evidence was available.</w:t>
      </w:r>
    </w:p>
    <w:p w:rsidR="00EC7CD2" w:rsidRDefault="00453B03">
      <w:pPr>
        <w:pStyle w:val="ListParagraph"/>
        <w:spacing w:line="480" w:lineRule="auto"/>
        <w:ind w:left="0"/>
        <w:rPr>
          <w:sz w:val="24"/>
          <w:szCs w:val="24"/>
        </w:rPr>
      </w:pPr>
      <w:r>
        <w:rPr>
          <w:sz w:val="24"/>
          <w:szCs w:val="24"/>
        </w:rPr>
        <w:t>“All these protective measures were eventually harmonized and encapsulated into the Public Authorities Protection Act</w:t>
      </w:r>
      <w:r>
        <w:rPr>
          <w:rStyle w:val="FootnoteReference"/>
          <w:sz w:val="24"/>
          <w:szCs w:val="24"/>
        </w:rPr>
        <w:footnoteReference w:id="12"/>
      </w:r>
      <w:r>
        <w:rPr>
          <w:sz w:val="24"/>
          <w:szCs w:val="24"/>
        </w:rPr>
        <w:t>. This Act consolidated the various forms of procedure for actions against Public Authorities in England</w:t>
      </w:r>
      <w:r>
        <w:rPr>
          <w:rStyle w:val="FootnoteReference"/>
          <w:sz w:val="24"/>
          <w:szCs w:val="24"/>
        </w:rPr>
        <w:footnoteReference w:id="13"/>
      </w:r>
      <w:r>
        <w:rPr>
          <w:sz w:val="24"/>
          <w:szCs w:val="24"/>
        </w:rPr>
        <w:t>; its limitations periods prescribed in the Act was later received into Nigeria as Statute of General application before it was repealed and replaced by the Public Officers protection Act 2004. It is pertinent to point out that the Nigerian statute adopted verbatim the most essential elements of the English legislation namely:</w:t>
      </w:r>
      <w:r>
        <w:rPr>
          <w:rStyle w:val="FootnoteReference"/>
          <w:sz w:val="24"/>
          <w:szCs w:val="24"/>
        </w:rPr>
        <w:footnoteReference w:id="14"/>
      </w:r>
      <w:r>
        <w:rPr>
          <w:sz w:val="24"/>
          <w:szCs w:val="24"/>
        </w:rPr>
        <w:t xml:space="preserve"> section 1(a) of Public Authorities protection Act, 1893 and section 2(a) of Public Officers Protection Act 2004, which prescribed limitation period; section 1(b) of Public authorities Protection Act 1893 and section 2(b) of the Public officers Protection Act which prescribed for the cost award to the defendant and so on.”</w:t>
      </w:r>
    </w:p>
    <w:p w:rsidR="00EC7CD2" w:rsidRDefault="00453B03">
      <w:pPr>
        <w:pStyle w:val="ListParagraph"/>
        <w:spacing w:line="480" w:lineRule="auto"/>
        <w:ind w:left="0"/>
        <w:rPr>
          <w:sz w:val="24"/>
          <w:szCs w:val="24"/>
        </w:rPr>
      </w:pPr>
      <w:r>
        <w:rPr>
          <w:sz w:val="24"/>
          <w:szCs w:val="24"/>
        </w:rPr>
        <w:lastRenderedPageBreak/>
        <w:t>Although there is much resemblance, nevertheless the application of the two statutes is different in scope from time immemorial in many authorities by reason of judicial declaration or interpretation. While the English statute is in scope intended to ensure the protection of Public Authority in her official capacity, in other words, in relation to the business of her office which she conducts as Public Authority in her legislative duty. While on the other hand, the Nigerian statute was primarily intended to ensure the protection of individual Public Authority in the performance of his/her official duty.</w:t>
      </w:r>
      <w:r>
        <w:rPr>
          <w:rStyle w:val="FootnoteReference"/>
          <w:sz w:val="24"/>
          <w:szCs w:val="24"/>
        </w:rPr>
        <w:footnoteReference w:id="15"/>
      </w:r>
    </w:p>
    <w:p w:rsidR="00EC7CD2" w:rsidRDefault="00453B03">
      <w:pPr>
        <w:pStyle w:val="ListParagraph"/>
        <w:spacing w:line="480" w:lineRule="auto"/>
        <w:ind w:left="0"/>
        <w:rPr>
          <w:sz w:val="24"/>
          <w:szCs w:val="24"/>
        </w:rPr>
      </w:pPr>
      <w:r>
        <w:rPr>
          <w:sz w:val="24"/>
          <w:szCs w:val="24"/>
        </w:rPr>
        <w:t xml:space="preserve"> The distinction made here appears to be very material to the development of Nigerian case law on this subject and, specifically, “the scope of the protection to public officers which statutes provide.</w:t>
      </w:r>
    </w:p>
    <w:p w:rsidR="00EC7CD2" w:rsidRDefault="00453B03">
      <w:pPr>
        <w:pStyle w:val="ListParagraph"/>
        <w:spacing w:line="480" w:lineRule="auto"/>
        <w:ind w:left="0"/>
        <w:rPr>
          <w:sz w:val="24"/>
          <w:szCs w:val="24"/>
        </w:rPr>
      </w:pPr>
      <w:r>
        <w:rPr>
          <w:sz w:val="24"/>
          <w:szCs w:val="24"/>
        </w:rPr>
        <w:t>The Public Officer Protection Act remains very much at the center of Nigerian jurisprudence in the attempt to strike a balance between those competing concerns, to protect officers from frivolous or outdated actions on the one hand, while also guaranteeing good faith and ensuring that persons exercising authority in public office can be held accountable in Nigeria, especially where it is clear they have abused their office, bad faith or have acted beyond their legal authority; the protection will be denied to public officers in these situations.</w:t>
      </w:r>
    </w:p>
    <w:p w:rsidR="00EC7CD2" w:rsidRDefault="00453B03">
      <w:pPr>
        <w:pStyle w:val="ListParagraph"/>
        <w:spacing w:line="480" w:lineRule="auto"/>
        <w:ind w:left="0"/>
        <w:rPr>
          <w:sz w:val="24"/>
          <w:szCs w:val="24"/>
        </w:rPr>
      </w:pPr>
      <w:r>
        <w:rPr>
          <w:sz w:val="24"/>
          <w:szCs w:val="24"/>
        </w:rPr>
        <w:t xml:space="preserve">But “there seems to be a difference between public officers constitutionally reposed with powers and other public office bearers. The President, Governor, the Vice President and Deputy Governor enjoy immunity for the duration that they hold office whereas other public officer can enjoy this privilege until they time where the case filed would be statue barred, this no doubt goes to show that executive immunity has roots in the immunity of the sovereign to reign under his crown over </w:t>
      </w:r>
      <w:r>
        <w:rPr>
          <w:sz w:val="24"/>
          <w:szCs w:val="24"/>
        </w:rPr>
        <w:lastRenderedPageBreak/>
        <w:t>all his subjects. Initially, this was practiced by the Church and Papacy</w:t>
      </w:r>
      <w:r>
        <w:rPr>
          <w:rStyle w:val="FootnoteReference"/>
          <w:sz w:val="24"/>
          <w:szCs w:val="24"/>
        </w:rPr>
        <w:footnoteReference w:id="16"/>
      </w:r>
      <w:r>
        <w:rPr>
          <w:sz w:val="24"/>
          <w:szCs w:val="24"/>
        </w:rPr>
        <w:t xml:space="preserve"> When she had dominion over all nations, but when those nations started to throw against her, then individual sovereignity, the rule of kings of all countries began.</w:t>
      </w:r>
      <w:r>
        <w:rPr>
          <w:rStyle w:val="FootnoteReference"/>
          <w:sz w:val="24"/>
          <w:szCs w:val="24"/>
        </w:rPr>
        <w:footnoteReference w:id="17"/>
      </w:r>
      <w:r>
        <w:rPr>
          <w:sz w:val="24"/>
          <w:szCs w:val="24"/>
        </w:rPr>
        <w:t>Thus, the domestic application of executive immunity had benefited immensely from the medieval perception of sovereignty residing in the ruler or crown absolutely. As already cited, this has translated to mean that the executive i.e. the president, the vice President, regional or state governors and deputy governors enjoy immunities in their official capacity.</w:t>
      </w:r>
      <w:r>
        <w:rPr>
          <w:rStyle w:val="FootnoteReference"/>
          <w:sz w:val="24"/>
          <w:szCs w:val="24"/>
        </w:rPr>
        <w:footnoteReference w:id="18"/>
      </w:r>
      <w:r>
        <w:rPr>
          <w:sz w:val="24"/>
          <w:szCs w:val="24"/>
        </w:rPr>
        <w:t xml:space="preserve"> The legal theorist, John Austin stated in his work entitled, 'Province of Jurisprudence': "Positive law or every law simply and strictly so-called, is set directly or indirectly by a sovereign or body to a member of the independent political society wherein that person or body is sovereign or supreme"</w:t>
      </w:r>
      <w:r>
        <w:rPr>
          <w:rStyle w:val="FootnoteReference"/>
          <w:sz w:val="24"/>
          <w:szCs w:val="24"/>
        </w:rPr>
        <w:footnoteReference w:id="19"/>
      </w:r>
      <w:r>
        <w:rPr>
          <w:sz w:val="24"/>
          <w:szCs w:val="24"/>
        </w:rPr>
        <w:t xml:space="preserve"> Sovereignty is the power of the State to make and enforce law with all force or sanction, and it is subject to no other authority.</w:t>
      </w:r>
      <w:r>
        <w:rPr>
          <w:rStyle w:val="FootnoteReference"/>
          <w:sz w:val="24"/>
          <w:szCs w:val="24"/>
        </w:rPr>
        <w:footnoteReference w:id="20"/>
      </w:r>
      <w:r>
        <w:rPr>
          <w:sz w:val="24"/>
          <w:szCs w:val="24"/>
        </w:rPr>
        <w:t xml:space="preserve"> The word ‘sovereign’ is derived from a Latin word meaning supremacy,</w:t>
      </w:r>
      <w:r>
        <w:rPr>
          <w:rStyle w:val="FootnoteReference"/>
          <w:sz w:val="24"/>
          <w:szCs w:val="24"/>
        </w:rPr>
        <w:footnoteReference w:id="21"/>
      </w:r>
      <w:r>
        <w:rPr>
          <w:sz w:val="24"/>
          <w:szCs w:val="24"/>
        </w:rPr>
        <w:t xml:space="preserve"> while ‘immunity’ is defined as the State of being protected from something.</w:t>
      </w:r>
      <w:r>
        <w:rPr>
          <w:rStyle w:val="FootnoteReference"/>
          <w:sz w:val="24"/>
          <w:szCs w:val="24"/>
        </w:rPr>
        <w:footnoteReference w:id="22"/>
      </w:r>
      <w:r>
        <w:rPr>
          <w:sz w:val="24"/>
          <w:szCs w:val="24"/>
        </w:rPr>
        <w:t xml:space="preserve"> The phrase ‘sovereign immunity,’ on the other hand, can be explained as the protection of the King or his successor, the democratic executive President, Vice President, Governor or Deputy Governor from prosecution or any duty, liability or service of the judicial process.</w:t>
      </w:r>
      <w:r>
        <w:rPr>
          <w:rStyle w:val="FootnoteReference"/>
          <w:sz w:val="24"/>
          <w:szCs w:val="24"/>
        </w:rPr>
        <w:footnoteReference w:id="23"/>
      </w:r>
      <w:r>
        <w:rPr>
          <w:sz w:val="24"/>
          <w:szCs w:val="24"/>
        </w:rPr>
        <w:t xml:space="preserve"> In Nigeria, this immunity is provided in section 308 of the Constitution.</w:t>
      </w:r>
      <w:r>
        <w:rPr>
          <w:rStyle w:val="FootnoteReference"/>
          <w:sz w:val="24"/>
          <w:szCs w:val="24"/>
        </w:rPr>
        <w:footnoteReference w:id="24"/>
      </w:r>
      <w:r>
        <w:rPr>
          <w:sz w:val="24"/>
          <w:szCs w:val="24"/>
        </w:rPr>
        <w:t xml:space="preserve"> The allegation </w:t>
      </w:r>
      <w:r>
        <w:rPr>
          <w:sz w:val="24"/>
          <w:szCs w:val="24"/>
        </w:rPr>
        <w:lastRenderedPageBreak/>
        <w:t>further that no one is allowed to institute and maintain a criminal and civil action, whether by criminal proceeding at federal or state level, including an executive officer of federal and central and the officer of the states, no can sue him to imprisonment and arrest or drag to a criminal proceeding during his term.”</w:t>
      </w:r>
    </w:p>
    <w:p w:rsidR="00EC7CD2" w:rsidRDefault="00453B03">
      <w:pPr>
        <w:pStyle w:val="ListParagraph"/>
        <w:spacing w:line="480" w:lineRule="auto"/>
        <w:ind w:left="0"/>
        <w:rPr>
          <w:sz w:val="24"/>
          <w:szCs w:val="24"/>
        </w:rPr>
      </w:pPr>
      <w:r>
        <w:rPr>
          <w:sz w:val="24"/>
          <w:szCs w:val="24"/>
        </w:rPr>
        <w:t>“It is generally agreed among scholars, litigants and commentators that the application of POPA in its present form promotes injustices. Some have called for its repeal while others have argued that it be modified. This research interrogates the continued relevance or otherwise of POPA with the aim of determining whether there is a need for it to be repealed or revised in the interest of justice, equity and fairness. It makes enquiries on the perceived widespread injustices occasioned against litigants by the continued application of POPA.</w:t>
      </w:r>
      <w:r>
        <w:rPr>
          <w:rStyle w:val="FootnoteReference"/>
          <w:sz w:val="24"/>
          <w:szCs w:val="24"/>
        </w:rPr>
        <w:footnoteReference w:id="25"/>
      </w:r>
      <w:r>
        <w:rPr>
          <w:sz w:val="24"/>
          <w:szCs w:val="24"/>
        </w:rPr>
        <w:t xml:space="preserve"> This why exceptions exist both statutory and judicial precedence.”</w:t>
      </w:r>
    </w:p>
    <w:p w:rsidR="00EC7CD2" w:rsidRDefault="00453B03">
      <w:pPr>
        <w:spacing w:after="0" w:line="480" w:lineRule="auto"/>
        <w:jc w:val="both"/>
        <w:rPr>
          <w:rFonts w:ascii="Times New Roman" w:hAnsi="Times New Roman"/>
          <w:sz w:val="24"/>
          <w:szCs w:val="24"/>
        </w:rPr>
      </w:pPr>
      <w:r>
        <w:rPr>
          <w:rFonts w:ascii="Times New Roman" w:hAnsi="Times New Roman"/>
          <w:b/>
          <w:bCs/>
          <w:sz w:val="24"/>
          <w:szCs w:val="24"/>
        </w:rPr>
        <w:t>1.2.</w:t>
      </w:r>
      <w:r>
        <w:rPr>
          <w:rFonts w:ascii="Times New Roman" w:hAnsi="Times New Roman"/>
          <w:sz w:val="24"/>
          <w:szCs w:val="24"/>
        </w:rPr>
        <w:t xml:space="preserve"> </w:t>
      </w:r>
      <w:r>
        <w:rPr>
          <w:rFonts w:ascii="Times New Roman" w:hAnsi="Times New Roman"/>
          <w:b/>
          <w:bCs/>
          <w:sz w:val="24"/>
          <w:szCs w:val="24"/>
        </w:rPr>
        <w:t>Statement of the Problem</w:t>
      </w:r>
    </w:p>
    <w:p w:rsidR="00EC7CD2" w:rsidRDefault="00453B03">
      <w:pPr>
        <w:pStyle w:val="ListParagraph"/>
        <w:spacing w:line="480" w:lineRule="auto"/>
        <w:ind w:left="0"/>
        <w:rPr>
          <w:sz w:val="24"/>
          <w:szCs w:val="24"/>
        </w:rPr>
      </w:pPr>
      <w:r>
        <w:rPr>
          <w:sz w:val="24"/>
          <w:szCs w:val="24"/>
        </w:rPr>
        <w:t xml:space="preserve">“This research work is interested in uncovering the intent of the legislation when implementing the Statute, Protection of Public Officers Act. A widespread of complaint of corruption, embezzlement of public funds, abuse of office, abitrary exercise of power, lack of transparency or accountability have been made against public officers, however, such lawsuits must be made within three month of the event complained of due to the immunity which has been provided for in Section 2 of Protection of Public Officers where such suit would be statute barred upon the expiration of the limitation period unless their actions falls within the exceptions in the laws or ones developed from case laws, until recently, contracts are one of such exceptions. Therefore, these misconducts are being carried out without legal intervention. Although laws exist to regulate </w:t>
      </w:r>
      <w:r>
        <w:rPr>
          <w:sz w:val="24"/>
          <w:szCs w:val="24"/>
        </w:rPr>
        <w:lastRenderedPageBreak/>
        <w:t>the conduct of public officers, their implementation is often selective or ineffective. Furthermore, political interference and institutional weaknesses hinder accountability mechanisms. The Constitution also provides for executive immunity in Section 308 of the Nigerian Constitution 1999 as amended, this concept of immunity needs to be analyzed as it may be used as a tool to hide from legal prosecution for acts done in contravention of their public official duty. This research would also be looking into other legal statutes in the likes of Independent Corrupt Practices and related Offences Act the and Code of Conduct Bureau and Tribunal Act.”</w:t>
      </w:r>
    </w:p>
    <w:p w:rsidR="00EC7CD2" w:rsidRDefault="00453B03">
      <w:pPr>
        <w:pStyle w:val="ListParagraph"/>
        <w:spacing w:line="480" w:lineRule="auto"/>
        <w:ind w:left="0"/>
        <w:rPr>
          <w:sz w:val="24"/>
          <w:szCs w:val="24"/>
        </w:rPr>
      </w:pPr>
      <w:r>
        <w:rPr>
          <w:b/>
          <w:bCs/>
          <w:sz w:val="24"/>
          <w:szCs w:val="24"/>
        </w:rPr>
        <w:t>1.3.</w:t>
      </w:r>
      <w:r>
        <w:rPr>
          <w:sz w:val="24"/>
          <w:szCs w:val="24"/>
        </w:rPr>
        <w:t xml:space="preserve"> </w:t>
      </w:r>
      <w:r>
        <w:rPr>
          <w:b/>
          <w:bCs/>
          <w:sz w:val="24"/>
          <w:szCs w:val="24"/>
        </w:rPr>
        <w:t>Research Questions</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This study seeks to answer the following questions:</w:t>
      </w:r>
    </w:p>
    <w:p w:rsidR="00EC7CD2" w:rsidRDefault="00453B03">
      <w:pPr>
        <w:pStyle w:val="ListParagraph"/>
        <w:numPr>
          <w:ilvl w:val="0"/>
          <w:numId w:val="1"/>
        </w:numPr>
        <w:spacing w:line="480" w:lineRule="auto"/>
        <w:ind w:left="0"/>
        <w:rPr>
          <w:sz w:val="24"/>
          <w:szCs w:val="24"/>
        </w:rPr>
      </w:pPr>
      <w:r>
        <w:rPr>
          <w:sz w:val="24"/>
          <w:szCs w:val="24"/>
        </w:rPr>
        <w:t>Current position as to what or who constitutes public officers in Nigeria?</w:t>
      </w:r>
    </w:p>
    <w:p w:rsidR="00EC7CD2" w:rsidRDefault="00453B03">
      <w:pPr>
        <w:pStyle w:val="ListParagraph"/>
        <w:numPr>
          <w:ilvl w:val="0"/>
          <w:numId w:val="1"/>
        </w:numPr>
        <w:spacing w:line="480" w:lineRule="auto"/>
        <w:ind w:left="0"/>
        <w:rPr>
          <w:sz w:val="24"/>
          <w:szCs w:val="24"/>
        </w:rPr>
      </w:pPr>
      <w:r>
        <w:rPr>
          <w:sz w:val="24"/>
          <w:szCs w:val="24"/>
        </w:rPr>
        <w:t>Current Institutional bodies on public officers in Nigeria with regards to their legal duties and responsibilities?</w:t>
      </w:r>
    </w:p>
    <w:p w:rsidR="00EC7CD2" w:rsidRDefault="00453B03">
      <w:pPr>
        <w:pStyle w:val="ListParagraph"/>
        <w:numPr>
          <w:ilvl w:val="0"/>
          <w:numId w:val="1"/>
        </w:numPr>
        <w:spacing w:line="480" w:lineRule="auto"/>
        <w:ind w:left="0"/>
        <w:rPr>
          <w:sz w:val="24"/>
          <w:szCs w:val="24"/>
        </w:rPr>
      </w:pPr>
      <w:r>
        <w:rPr>
          <w:sz w:val="24"/>
          <w:szCs w:val="24"/>
        </w:rPr>
        <w:t>To what extent does the law protect the public officers based on their employment contracts?</w:t>
      </w:r>
    </w:p>
    <w:p w:rsidR="00EC7CD2" w:rsidRDefault="00453B03">
      <w:pPr>
        <w:pStyle w:val="ListParagraph"/>
        <w:numPr>
          <w:ilvl w:val="0"/>
          <w:numId w:val="1"/>
        </w:numPr>
        <w:spacing w:line="480" w:lineRule="auto"/>
        <w:ind w:left="0"/>
        <w:rPr>
          <w:sz w:val="24"/>
          <w:szCs w:val="24"/>
        </w:rPr>
      </w:pPr>
      <w:r>
        <w:rPr>
          <w:sz w:val="24"/>
          <w:szCs w:val="24"/>
        </w:rPr>
        <w:t>How have public officers abused their legal immunities?</w:t>
      </w:r>
    </w:p>
    <w:p w:rsidR="00EC7CD2" w:rsidRDefault="00453B03">
      <w:pPr>
        <w:pStyle w:val="ListParagraph"/>
        <w:numPr>
          <w:ilvl w:val="0"/>
          <w:numId w:val="1"/>
        </w:numPr>
        <w:spacing w:line="480" w:lineRule="auto"/>
        <w:ind w:left="0"/>
        <w:rPr>
          <w:sz w:val="24"/>
          <w:szCs w:val="24"/>
        </w:rPr>
      </w:pPr>
      <w:r>
        <w:rPr>
          <w:sz w:val="24"/>
          <w:szCs w:val="24"/>
        </w:rPr>
        <w:t>What are the policy gaps and  Judicial inconsistencies?</w:t>
      </w:r>
    </w:p>
    <w:p w:rsidR="00EC7CD2" w:rsidRDefault="00EC7CD2">
      <w:pPr>
        <w:pStyle w:val="ListParagraph"/>
        <w:spacing w:line="480" w:lineRule="auto"/>
        <w:ind w:left="0"/>
        <w:rPr>
          <w:sz w:val="24"/>
          <w:szCs w:val="24"/>
        </w:rPr>
      </w:pPr>
    </w:p>
    <w:p w:rsidR="00EC7CD2" w:rsidRDefault="00453B03">
      <w:pPr>
        <w:pStyle w:val="ListParagraph"/>
        <w:numPr>
          <w:ilvl w:val="1"/>
          <w:numId w:val="22"/>
        </w:numPr>
        <w:spacing w:line="480" w:lineRule="auto"/>
        <w:rPr>
          <w:sz w:val="24"/>
          <w:szCs w:val="24"/>
        </w:rPr>
      </w:pPr>
      <w:r>
        <w:rPr>
          <w:sz w:val="24"/>
          <w:szCs w:val="24"/>
        </w:rPr>
        <w:t xml:space="preserve"> </w:t>
      </w:r>
      <w:r>
        <w:rPr>
          <w:b/>
          <w:bCs/>
          <w:sz w:val="24"/>
          <w:szCs w:val="24"/>
        </w:rPr>
        <w:t xml:space="preserve">Aim and Objectives of the Research </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“The aim of this research  is to critically anaylize laws in Nigeria with respect to the protection of public officers, it also seeks for the review of the concept of protection of public officers as the intention of the legislation has been undermined thereby frustrating the objectives it was designed to achieve, particularly the balance between safeguarding public officers in the discharge of their official duties and ensuring accountability for any abuse in the course of their duties.”</w:t>
      </w:r>
    </w:p>
    <w:p w:rsidR="00EC7CD2" w:rsidRDefault="00453B03">
      <w:pPr>
        <w:spacing w:after="0" w:line="480" w:lineRule="auto"/>
        <w:jc w:val="both"/>
        <w:rPr>
          <w:rFonts w:ascii="Times New Roman" w:hAnsi="Times New Roman"/>
          <w:b/>
          <w:bCs/>
          <w:sz w:val="24"/>
          <w:szCs w:val="24"/>
        </w:rPr>
      </w:pPr>
      <w:r>
        <w:rPr>
          <w:rFonts w:ascii="Times New Roman" w:hAnsi="Times New Roman"/>
          <w:b/>
          <w:bCs/>
          <w:sz w:val="24"/>
          <w:szCs w:val="24"/>
        </w:rPr>
        <w:t xml:space="preserve">Objectives </w:t>
      </w:r>
    </w:p>
    <w:p w:rsidR="00EC7CD2" w:rsidRDefault="00453B03">
      <w:pPr>
        <w:pStyle w:val="ListParagraph"/>
        <w:numPr>
          <w:ilvl w:val="0"/>
          <w:numId w:val="8"/>
        </w:numPr>
        <w:spacing w:line="480" w:lineRule="auto"/>
        <w:ind w:left="0"/>
        <w:rPr>
          <w:sz w:val="24"/>
          <w:szCs w:val="24"/>
        </w:rPr>
      </w:pPr>
      <w:r>
        <w:rPr>
          <w:sz w:val="24"/>
          <w:szCs w:val="24"/>
        </w:rPr>
        <w:lastRenderedPageBreak/>
        <w:t>This research work seeks to point out loopholes as to the limitation period provided in the Public Officers Protection Act</w:t>
      </w:r>
    </w:p>
    <w:p w:rsidR="00EC7CD2" w:rsidRDefault="00453B03">
      <w:pPr>
        <w:pStyle w:val="ListParagraph"/>
        <w:numPr>
          <w:ilvl w:val="0"/>
          <w:numId w:val="8"/>
        </w:numPr>
        <w:spacing w:line="480" w:lineRule="auto"/>
        <w:ind w:left="0"/>
        <w:rPr>
          <w:sz w:val="24"/>
          <w:szCs w:val="24"/>
        </w:rPr>
      </w:pPr>
      <w:r>
        <w:rPr>
          <w:sz w:val="24"/>
          <w:szCs w:val="24"/>
        </w:rPr>
        <w:t xml:space="preserve">Discuss the abuse of legal immunities of public officers </w:t>
      </w:r>
    </w:p>
    <w:p w:rsidR="00EC7CD2" w:rsidRDefault="00453B03">
      <w:pPr>
        <w:pStyle w:val="ListParagraph"/>
        <w:numPr>
          <w:ilvl w:val="0"/>
          <w:numId w:val="8"/>
        </w:numPr>
        <w:spacing w:line="480" w:lineRule="auto"/>
        <w:ind w:left="0"/>
        <w:rPr>
          <w:sz w:val="24"/>
          <w:szCs w:val="24"/>
        </w:rPr>
      </w:pPr>
      <w:r>
        <w:rPr>
          <w:sz w:val="24"/>
          <w:szCs w:val="24"/>
        </w:rPr>
        <w:t xml:space="preserve">Judicial inconsistencies and policy gaps on matters of protection of public officers </w:t>
      </w:r>
    </w:p>
    <w:p w:rsidR="00EC7CD2" w:rsidRDefault="00EC7CD2">
      <w:pPr>
        <w:pStyle w:val="ListParagraph"/>
        <w:spacing w:line="480" w:lineRule="auto"/>
        <w:ind w:left="0"/>
        <w:rPr>
          <w:sz w:val="24"/>
          <w:szCs w:val="24"/>
        </w:rPr>
      </w:pPr>
    </w:p>
    <w:p w:rsidR="00EC7CD2" w:rsidRDefault="00453B03">
      <w:pPr>
        <w:pStyle w:val="ListParagraph"/>
        <w:numPr>
          <w:ilvl w:val="1"/>
          <w:numId w:val="7"/>
        </w:numPr>
        <w:spacing w:line="480" w:lineRule="auto"/>
        <w:ind w:left="0"/>
        <w:rPr>
          <w:b/>
          <w:bCs/>
          <w:sz w:val="24"/>
          <w:szCs w:val="24"/>
        </w:rPr>
      </w:pPr>
      <w:r>
        <w:rPr>
          <w:b/>
          <w:bCs/>
          <w:sz w:val="24"/>
          <w:szCs w:val="24"/>
        </w:rPr>
        <w:t>Scope of the Study</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This study focuses on the protection of public officers within Nigeria primarily centered on the Public Officers Protection Act and other laws, Code of Conduct Bureau and Tribunal Act and the Constitution of Federal Republic of Nigeria 1999 as amended and judicial precedents in relations to the research topic. In conducting the research, the roles and responsibilities, implementation of their duty, misconducts which may have arisen in course of carrying out their public duty would be analyzed as well as the abuse of legal immunities. The study is limited to Nigeria and does not extensively cover comparative jurisdictions, except where necessary for analytical purposes.</w:t>
      </w:r>
    </w:p>
    <w:p w:rsidR="00EC7CD2" w:rsidRDefault="00EC7CD2">
      <w:pPr>
        <w:spacing w:after="0" w:line="480" w:lineRule="auto"/>
        <w:jc w:val="both"/>
        <w:rPr>
          <w:rFonts w:ascii="Times New Roman" w:hAnsi="Times New Roman"/>
          <w:sz w:val="24"/>
          <w:szCs w:val="24"/>
        </w:rPr>
      </w:pPr>
    </w:p>
    <w:p w:rsidR="00EC7CD2" w:rsidRDefault="00453B03">
      <w:pPr>
        <w:pStyle w:val="ListParagraph"/>
        <w:numPr>
          <w:ilvl w:val="1"/>
          <w:numId w:val="7"/>
        </w:numPr>
        <w:spacing w:line="480" w:lineRule="auto"/>
        <w:rPr>
          <w:sz w:val="24"/>
          <w:szCs w:val="24"/>
        </w:rPr>
      </w:pPr>
      <w:r>
        <w:rPr>
          <w:b/>
          <w:bCs/>
          <w:sz w:val="24"/>
          <w:szCs w:val="24"/>
        </w:rPr>
        <w:t xml:space="preserve"> Significance of the Study</w:t>
      </w:r>
      <w:r>
        <w:rPr>
          <w:sz w:val="24"/>
          <w:szCs w:val="24"/>
        </w:rPr>
        <w:t xml:space="preserve"> </w:t>
      </w:r>
    </w:p>
    <w:p w:rsidR="00EC7CD2" w:rsidRDefault="00453B03">
      <w:pPr>
        <w:pStyle w:val="ListParagraph"/>
        <w:spacing w:line="480" w:lineRule="auto"/>
        <w:ind w:left="0"/>
        <w:rPr>
          <w:sz w:val="24"/>
          <w:szCs w:val="24"/>
        </w:rPr>
      </w:pPr>
      <w:r>
        <w:rPr>
          <w:sz w:val="24"/>
          <w:szCs w:val="24"/>
        </w:rPr>
        <w:t xml:space="preserve">The Significance of this research work is to appeal for the review of the laws provided with regards to the immunity of public officers in Nigeria, it's effect, adequacy and limitation. The various established statutes with regards to immunity would be looked into and criticized accordingly. From this research work students, scholars, legal practitioners and other individuals would be able to understand the structure of the public institution and the extent of immunity in which the benefit from holding such public offices. They would also understand legal standing on public administration and governance in Nigeria, the effectiveness of laws regulating public officers in </w:t>
      </w:r>
      <w:r>
        <w:rPr>
          <w:sz w:val="24"/>
          <w:szCs w:val="24"/>
        </w:rPr>
        <w:lastRenderedPageBreak/>
        <w:t>Nigeria and offers recommendations that may assist policymakers in reforming public institutions with regards to its limitation in instituting legal actions.</w:t>
      </w:r>
    </w:p>
    <w:p w:rsidR="00EC7CD2" w:rsidRDefault="00EC7CD2">
      <w:pPr>
        <w:pStyle w:val="ListParagraph"/>
        <w:spacing w:line="480" w:lineRule="auto"/>
        <w:ind w:left="0"/>
        <w:rPr>
          <w:sz w:val="24"/>
          <w:szCs w:val="24"/>
        </w:rPr>
      </w:pPr>
    </w:p>
    <w:p w:rsidR="00EC7CD2" w:rsidRDefault="00453B03">
      <w:pPr>
        <w:pStyle w:val="ListParagraph"/>
        <w:numPr>
          <w:ilvl w:val="1"/>
          <w:numId w:val="7"/>
        </w:numPr>
        <w:spacing w:line="480" w:lineRule="auto"/>
        <w:rPr>
          <w:b/>
          <w:bCs/>
          <w:sz w:val="24"/>
          <w:szCs w:val="24"/>
        </w:rPr>
      </w:pPr>
      <w:r>
        <w:rPr>
          <w:b/>
          <w:bCs/>
          <w:sz w:val="24"/>
          <w:szCs w:val="24"/>
        </w:rPr>
        <w:t xml:space="preserve"> Research Methodology </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This research adopts a doctrinal research methodology. The researcher will explore both primary and secondary sources of materials which may include statutory authorities, case law and judicial precedents, academic textbooks, journal articles, and legal commentaries etc. In other to provide an extensive understanding of the research topic and an analytical approach to evaluate the effectiveness of existing laws would be employed.</w:t>
      </w:r>
    </w:p>
    <w:p w:rsidR="00EC7CD2" w:rsidRDefault="00EC7CD2">
      <w:pPr>
        <w:spacing w:after="0" w:line="480" w:lineRule="auto"/>
        <w:jc w:val="both"/>
        <w:rPr>
          <w:rFonts w:ascii="Times New Roman" w:hAnsi="Times New Roman"/>
          <w:sz w:val="24"/>
          <w:szCs w:val="24"/>
        </w:rPr>
      </w:pPr>
    </w:p>
    <w:p w:rsidR="00EC7CD2" w:rsidRDefault="00453B03">
      <w:pPr>
        <w:pStyle w:val="ListParagraph"/>
        <w:numPr>
          <w:ilvl w:val="1"/>
          <w:numId w:val="7"/>
        </w:numPr>
        <w:spacing w:line="480" w:lineRule="auto"/>
        <w:ind w:left="284"/>
        <w:rPr>
          <w:b/>
          <w:bCs/>
          <w:sz w:val="24"/>
          <w:szCs w:val="24"/>
        </w:rPr>
      </w:pPr>
      <w:r>
        <w:rPr>
          <w:b/>
          <w:bCs/>
          <w:sz w:val="24"/>
          <w:szCs w:val="24"/>
        </w:rPr>
        <w:t xml:space="preserve"> Literature Review </w:t>
      </w:r>
    </w:p>
    <w:p w:rsidR="00EC7CD2" w:rsidRDefault="00453B03">
      <w:pPr>
        <w:pStyle w:val="ListParagraph"/>
        <w:spacing w:line="480" w:lineRule="auto"/>
        <w:ind w:left="0"/>
        <w:rPr>
          <w:sz w:val="24"/>
          <w:szCs w:val="24"/>
        </w:rPr>
      </w:pPr>
      <w:r>
        <w:rPr>
          <w:sz w:val="24"/>
          <w:szCs w:val="24"/>
        </w:rPr>
        <w:t>Quite a number of scholarly works on the protection of public officers in Nigeria have been published, with regards to the rising concerns on the law provided in section 2 of the Public Officers Protection Act.</w:t>
      </w:r>
    </w:p>
    <w:p w:rsidR="00EC7CD2" w:rsidRDefault="00453B03">
      <w:pPr>
        <w:pStyle w:val="ListParagraph"/>
        <w:spacing w:line="480" w:lineRule="auto"/>
        <w:ind w:left="0"/>
        <w:rPr>
          <w:sz w:val="24"/>
          <w:szCs w:val="24"/>
        </w:rPr>
      </w:pPr>
      <w:r>
        <w:rPr>
          <w:sz w:val="24"/>
          <w:szCs w:val="24"/>
        </w:rPr>
        <w:t>Okolocha and Abdulmaleek</w:t>
      </w:r>
      <w:r>
        <w:rPr>
          <w:rStyle w:val="FootnoteReference"/>
          <w:sz w:val="24"/>
          <w:szCs w:val="24"/>
        </w:rPr>
        <w:footnoteReference w:id="26"/>
      </w:r>
      <w:r>
        <w:rPr>
          <w:sz w:val="24"/>
          <w:szCs w:val="24"/>
        </w:rPr>
        <w:t xml:space="preserve"> analyzed the Public Officers Protection Act and argued that the intention of the legislature in creating the Act was primarily to protect public officials from distractions and liability while discharging public responsibilities. However,  their study reveals that strict application of the law has led to "unfortunate results", particularly in the computation of limitation periods, often resulting in injustice to litigants.</w:t>
      </w:r>
    </w:p>
    <w:p w:rsidR="00EC7CD2" w:rsidRDefault="00453B03">
      <w:pPr>
        <w:pStyle w:val="ListParagraph"/>
        <w:spacing w:line="480" w:lineRule="auto"/>
        <w:ind w:left="0"/>
        <w:rPr>
          <w:sz w:val="24"/>
          <w:szCs w:val="24"/>
        </w:rPr>
      </w:pPr>
      <w:r>
        <w:rPr>
          <w:sz w:val="24"/>
          <w:szCs w:val="24"/>
        </w:rPr>
        <w:lastRenderedPageBreak/>
        <w:t>Odusote,</w:t>
      </w:r>
      <w:r>
        <w:rPr>
          <w:rStyle w:val="FootnoteReference"/>
          <w:sz w:val="24"/>
          <w:szCs w:val="24"/>
        </w:rPr>
        <w:footnoteReference w:id="27"/>
      </w:r>
      <w:r>
        <w:rPr>
          <w:sz w:val="24"/>
          <w:szCs w:val="24"/>
        </w:rPr>
        <w:t xml:space="preserve"> Critiques the Public Officers Protection Act by calling it a "pre-modern era legislative piece that the spirit of democracy has already outrun. He explains that in his opinion the three months law, which coupled with pre-notice is being protected in some statutes, provides double benefit to officers.</w:t>
      </w:r>
    </w:p>
    <w:p w:rsidR="00EC7CD2" w:rsidRDefault="00453B03">
      <w:pPr>
        <w:pStyle w:val="ListParagraph"/>
        <w:spacing w:line="480" w:lineRule="auto"/>
        <w:ind w:left="0"/>
        <w:rPr>
          <w:sz w:val="24"/>
          <w:szCs w:val="24"/>
        </w:rPr>
      </w:pPr>
      <w:r>
        <w:rPr>
          <w:sz w:val="24"/>
          <w:szCs w:val="24"/>
        </w:rPr>
        <w:t>“The executive immunity enshrined in section 308 of the 1999 Constitution of Federal Republic of Nigeria(as amended) has raised much controversy among scholars and politicians alike.</w:t>
      </w:r>
      <w:r>
        <w:rPr>
          <w:rStyle w:val="FootnoteReference"/>
          <w:sz w:val="24"/>
          <w:szCs w:val="24"/>
        </w:rPr>
        <w:footnoteReference w:id="28"/>
      </w:r>
      <w:r>
        <w:rPr>
          <w:sz w:val="24"/>
          <w:szCs w:val="24"/>
        </w:rPr>
        <w:t xml:space="preserve"> It has been criticized as an enablement of high-level corruption and a colossal waste of the nation's common wealth by those in whose hands it is entrusted, because it shields them from justice and promotes the culture of impunity.”</w:t>
      </w:r>
      <w:r>
        <w:rPr>
          <w:rStyle w:val="FootnoteReference"/>
          <w:sz w:val="24"/>
          <w:szCs w:val="24"/>
        </w:rPr>
        <w:footnoteReference w:id="29"/>
      </w:r>
      <w:r>
        <w:rPr>
          <w:sz w:val="24"/>
          <w:szCs w:val="24"/>
        </w:rPr>
        <w:t>Any process of court should not be forced. Prohibits any attempt to obtain processes from the court for any reason and any application seeking to obtain any form of processes to compel any body or person to act. This has perhaps done to check the abuse where a process may be obtained from the court and the same process may be ignored. “Subsection (1) of section 308</w:t>
      </w:r>
      <w:r>
        <w:rPr>
          <w:rStyle w:val="FootnoteReference"/>
          <w:sz w:val="24"/>
          <w:szCs w:val="24"/>
        </w:rPr>
        <w:footnoteReference w:id="30"/>
      </w:r>
      <w:r>
        <w:rPr>
          <w:sz w:val="24"/>
          <w:szCs w:val="24"/>
        </w:rPr>
        <w:t xml:space="preserve"> also contains a proviso, which shows that the period of limitation for any proceeding shall not take cognizance of their period in office; though, this does not change the fact that they are restricted from legal proceedings of any kind at this period.” The implication of that is those that the privilege extends to can not be charged with anything or subpoenaed to court for anything at any given point in time not just in their term but after it has expired and when </w:t>
      </w:r>
      <w:r>
        <w:rPr>
          <w:sz w:val="24"/>
          <w:szCs w:val="24"/>
        </w:rPr>
        <w:lastRenderedPageBreak/>
        <w:t>it concerns any matter arising in that time. This is an absolutely terrible clause because it completely indemnifies executive office holders to any sort of wrongdoing on the job no matter who that wrongdoing was committed for whether for state or personal interest. There is of course the emboldening of candidates running for the posts granted immunity from dastardly plundering the Commonwealth for its people in the knowledge that they will be spared any backlash under the law on them.</w:t>
      </w:r>
      <w:r>
        <w:rPr>
          <w:rStyle w:val="FootnoteReference"/>
          <w:sz w:val="24"/>
          <w:szCs w:val="24"/>
        </w:rPr>
        <w:footnoteReference w:id="31"/>
      </w:r>
    </w:p>
    <w:p w:rsidR="00EC7CD2" w:rsidRDefault="00453B03">
      <w:pPr>
        <w:pStyle w:val="ListParagraph"/>
        <w:spacing w:line="480" w:lineRule="auto"/>
        <w:ind w:left="0"/>
        <w:rPr>
          <w:sz w:val="24"/>
          <w:szCs w:val="24"/>
        </w:rPr>
      </w:pPr>
      <w:r>
        <w:rPr>
          <w:sz w:val="24"/>
          <w:szCs w:val="24"/>
        </w:rPr>
        <w:t>In other scholarly works, the protection of public officers have been widely discussed pointing out their concerns on three months limitation period as well as the other benefits accrued to being a public official.</w:t>
      </w:r>
    </w:p>
    <w:p w:rsidR="00EC7CD2" w:rsidRDefault="00EC7CD2">
      <w:pPr>
        <w:spacing w:after="0" w:line="480" w:lineRule="auto"/>
        <w:jc w:val="both"/>
        <w:rPr>
          <w:rFonts w:ascii="Times New Roman" w:eastAsia="Times New Roman" w:hAnsi="Times New Roman"/>
          <w:color w:val="000000"/>
          <w:sz w:val="24"/>
          <w:szCs w:val="24"/>
        </w:rPr>
      </w:pPr>
    </w:p>
    <w:p w:rsidR="00EC7CD2" w:rsidRDefault="00EC7CD2">
      <w:pPr>
        <w:spacing w:after="0" w:line="480" w:lineRule="auto"/>
        <w:rPr>
          <w:rFonts w:ascii="Times New Roman" w:eastAsia="Times New Roman" w:hAnsi="Times New Roman"/>
          <w:b/>
          <w:bCs/>
          <w:color w:val="000000"/>
          <w:sz w:val="24"/>
          <w:szCs w:val="24"/>
        </w:rPr>
      </w:pPr>
    </w:p>
    <w:p w:rsidR="0071211C" w:rsidRDefault="0071211C">
      <w:pPr>
        <w:spacing w:after="0" w:line="480" w:lineRule="auto"/>
        <w:rPr>
          <w:rFonts w:ascii="Times New Roman" w:eastAsia="Times New Roman" w:hAnsi="Times New Roman"/>
          <w:b/>
          <w:bCs/>
          <w:color w:val="000000"/>
          <w:sz w:val="24"/>
          <w:szCs w:val="24"/>
        </w:rPr>
      </w:pPr>
    </w:p>
    <w:p w:rsidR="0071211C" w:rsidRDefault="0071211C">
      <w:pPr>
        <w:spacing w:after="0" w:line="480" w:lineRule="auto"/>
        <w:rPr>
          <w:rFonts w:ascii="Times New Roman" w:eastAsia="Times New Roman" w:hAnsi="Times New Roman"/>
          <w:b/>
          <w:bCs/>
          <w:color w:val="000000"/>
          <w:sz w:val="24"/>
          <w:szCs w:val="24"/>
        </w:rPr>
      </w:pPr>
    </w:p>
    <w:p w:rsidR="0071211C" w:rsidRDefault="0071211C">
      <w:pPr>
        <w:spacing w:after="0" w:line="480" w:lineRule="auto"/>
        <w:rPr>
          <w:rFonts w:ascii="Times New Roman" w:eastAsia="Times New Roman" w:hAnsi="Times New Roman"/>
          <w:b/>
          <w:bCs/>
          <w:color w:val="000000"/>
          <w:sz w:val="24"/>
          <w:szCs w:val="24"/>
        </w:rPr>
      </w:pPr>
    </w:p>
    <w:p w:rsidR="0071211C" w:rsidRDefault="0071211C">
      <w:pPr>
        <w:spacing w:after="0" w:line="480" w:lineRule="auto"/>
        <w:rPr>
          <w:rFonts w:ascii="Times New Roman" w:eastAsia="Times New Roman" w:hAnsi="Times New Roman"/>
          <w:b/>
          <w:bCs/>
          <w:color w:val="000000"/>
          <w:sz w:val="24"/>
          <w:szCs w:val="24"/>
        </w:rPr>
      </w:pPr>
    </w:p>
    <w:p w:rsidR="0071211C" w:rsidRDefault="0071211C">
      <w:pPr>
        <w:spacing w:after="0" w:line="480" w:lineRule="auto"/>
        <w:rPr>
          <w:rFonts w:ascii="Times New Roman" w:eastAsia="Times New Roman" w:hAnsi="Times New Roman"/>
          <w:b/>
          <w:bCs/>
          <w:color w:val="000000"/>
          <w:sz w:val="24"/>
          <w:szCs w:val="24"/>
        </w:rPr>
      </w:pPr>
    </w:p>
    <w:p w:rsidR="0071211C" w:rsidRDefault="0071211C">
      <w:pPr>
        <w:spacing w:after="0" w:line="480" w:lineRule="auto"/>
        <w:rPr>
          <w:rFonts w:ascii="Times New Roman" w:eastAsia="Times New Roman" w:hAnsi="Times New Roman"/>
          <w:b/>
          <w:bCs/>
          <w:color w:val="000000"/>
          <w:sz w:val="24"/>
          <w:szCs w:val="24"/>
        </w:rPr>
      </w:pPr>
    </w:p>
    <w:p w:rsidR="0071211C" w:rsidRDefault="0071211C">
      <w:pPr>
        <w:spacing w:after="0" w:line="480" w:lineRule="auto"/>
        <w:rPr>
          <w:rFonts w:ascii="Times New Roman" w:eastAsia="Times New Roman" w:hAnsi="Times New Roman"/>
          <w:b/>
          <w:bCs/>
          <w:color w:val="000000"/>
          <w:sz w:val="24"/>
          <w:szCs w:val="24"/>
        </w:rPr>
      </w:pPr>
    </w:p>
    <w:p w:rsidR="0071211C" w:rsidRDefault="0071211C">
      <w:pPr>
        <w:spacing w:after="0" w:line="480" w:lineRule="auto"/>
        <w:rPr>
          <w:rFonts w:ascii="Times New Roman" w:eastAsia="Times New Roman" w:hAnsi="Times New Roman"/>
          <w:b/>
          <w:bCs/>
          <w:color w:val="000000"/>
          <w:sz w:val="24"/>
          <w:szCs w:val="24"/>
        </w:rPr>
      </w:pPr>
    </w:p>
    <w:p w:rsidR="0071211C" w:rsidRDefault="0071211C">
      <w:pPr>
        <w:spacing w:after="0" w:line="480" w:lineRule="auto"/>
        <w:rPr>
          <w:rFonts w:ascii="Times New Roman" w:eastAsia="Times New Roman" w:hAnsi="Times New Roman"/>
          <w:b/>
          <w:bCs/>
          <w:color w:val="000000"/>
          <w:sz w:val="24"/>
          <w:szCs w:val="24"/>
        </w:rPr>
      </w:pPr>
    </w:p>
    <w:p w:rsidR="0071211C" w:rsidRDefault="0071211C">
      <w:pPr>
        <w:spacing w:after="0" w:line="480" w:lineRule="auto"/>
        <w:rPr>
          <w:rFonts w:ascii="Times New Roman" w:eastAsia="Times New Roman" w:hAnsi="Times New Roman"/>
          <w:b/>
          <w:bCs/>
          <w:color w:val="000000"/>
          <w:sz w:val="24"/>
          <w:szCs w:val="24"/>
        </w:rPr>
      </w:pPr>
    </w:p>
    <w:p w:rsidR="00EC7CD2" w:rsidRDefault="00EC7CD2">
      <w:pPr>
        <w:spacing w:after="0" w:line="480" w:lineRule="auto"/>
        <w:rPr>
          <w:rFonts w:ascii="Times New Roman" w:eastAsia="Times New Roman" w:hAnsi="Times New Roman"/>
          <w:b/>
          <w:bCs/>
          <w:color w:val="000000"/>
          <w:sz w:val="24"/>
          <w:szCs w:val="24"/>
        </w:rPr>
      </w:pPr>
    </w:p>
    <w:p w:rsidR="00EC7CD2" w:rsidRDefault="00453B03">
      <w:pPr>
        <w:spacing w:after="0" w:line="48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lastRenderedPageBreak/>
        <w:t>CHAPTER TWO</w:t>
      </w:r>
    </w:p>
    <w:p w:rsidR="00EC7CD2" w:rsidRDefault="00453B03">
      <w:pPr>
        <w:spacing w:after="0" w:line="48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CONCEPTUAL AND THEORETICAL FRAMEWORK</w:t>
      </w:r>
    </w:p>
    <w:p w:rsidR="00EC7CD2" w:rsidRDefault="00453B03">
      <w:pPr>
        <w:spacing w:after="0" w:line="480" w:lineRule="auto"/>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b/>
          <w:bCs/>
          <w:color w:val="000000"/>
          <w:sz w:val="24"/>
          <w:szCs w:val="24"/>
        </w:rPr>
        <w:t>2.1 Conceptual Framework</w:t>
      </w:r>
    </w:p>
    <w:p w:rsidR="00EC7CD2" w:rsidRDefault="00453B03">
      <w:pPr>
        <w:pStyle w:val="ListParagraph"/>
        <w:numPr>
          <w:ilvl w:val="2"/>
          <w:numId w:val="9"/>
        </w:numPr>
        <w:spacing w:line="480" w:lineRule="auto"/>
        <w:ind w:left="0"/>
        <w:rPr>
          <w:b/>
          <w:bCs/>
          <w:color w:val="000000"/>
          <w:sz w:val="24"/>
          <w:szCs w:val="24"/>
        </w:rPr>
      </w:pPr>
      <w:r>
        <w:rPr>
          <w:b/>
          <w:bCs/>
          <w:color w:val="000000"/>
          <w:sz w:val="24"/>
          <w:szCs w:val="24"/>
        </w:rPr>
        <w:t xml:space="preserve"> Concept of Public Officers</w:t>
      </w:r>
    </w:p>
    <w:p w:rsidR="00EC7CD2" w:rsidRDefault="00453B03">
      <w:pPr>
        <w:pStyle w:val="ListParagraph"/>
        <w:spacing w:line="480" w:lineRule="auto"/>
        <w:ind w:left="0"/>
        <w:rPr>
          <w:color w:val="000000"/>
          <w:sz w:val="24"/>
          <w:szCs w:val="24"/>
        </w:rPr>
      </w:pPr>
      <w:r>
        <w:rPr>
          <w:color w:val="000000"/>
          <w:sz w:val="24"/>
          <w:szCs w:val="24"/>
        </w:rPr>
        <w:t>“Public Officer is defined by the Investment and Securities Act, 2025</w:t>
      </w:r>
      <w:r>
        <w:rPr>
          <w:rStyle w:val="FootnoteReference"/>
          <w:color w:val="000000"/>
          <w:sz w:val="24"/>
          <w:szCs w:val="24"/>
        </w:rPr>
        <w:footnoteReference w:id="32"/>
      </w:r>
      <w:r>
        <w:rPr>
          <w:color w:val="000000"/>
          <w:sz w:val="24"/>
          <w:szCs w:val="24"/>
        </w:rPr>
        <w:t xml:space="preserve"> to mean any person working in the Public service of the Federation, States and Local Government or as defined in the Constitution of the Federal Republic of Nigeria 1999.</w:t>
      </w:r>
    </w:p>
    <w:p w:rsidR="00EC7CD2" w:rsidRDefault="00453B03">
      <w:pPr>
        <w:pStyle w:val="ListParagraph"/>
        <w:spacing w:line="480" w:lineRule="auto"/>
        <w:ind w:left="0"/>
        <w:rPr>
          <w:color w:val="000000"/>
          <w:sz w:val="24"/>
          <w:szCs w:val="24"/>
        </w:rPr>
      </w:pPr>
      <w:r>
        <w:rPr>
          <w:color w:val="000000"/>
          <w:sz w:val="24"/>
          <w:szCs w:val="24"/>
        </w:rPr>
        <w:t>Public Officer means any person serving whether directly or otherwise in any capacity of employment or engagement in the Federal, State or Local Government public service, public service organizations or companies, whether wholly or partly initiated by any government or agencies thereof including subsidiary any such company domiciled either inside or outside Nigeria, and judicial officials, in particular judicial officers operating at the Magistrate level and at Area Customary court level or any panel of inquiry.”</w:t>
      </w:r>
      <w:r>
        <w:rPr>
          <w:rStyle w:val="FootnoteReference"/>
          <w:color w:val="000000"/>
          <w:sz w:val="24"/>
          <w:szCs w:val="24"/>
        </w:rPr>
        <w:footnoteReference w:id="33"/>
      </w:r>
    </w:p>
    <w:p w:rsidR="00EC7CD2" w:rsidRDefault="00453B03">
      <w:pPr>
        <w:pStyle w:val="ListParagraph"/>
        <w:spacing w:line="480" w:lineRule="auto"/>
        <w:ind w:left="0"/>
        <w:rPr>
          <w:color w:val="000000"/>
          <w:sz w:val="24"/>
          <w:szCs w:val="24"/>
        </w:rPr>
      </w:pPr>
      <w:r>
        <w:rPr>
          <w:color w:val="000000"/>
          <w:sz w:val="24"/>
          <w:szCs w:val="24"/>
        </w:rPr>
        <w:t>“Public Officer is a person who has been legally elected or appointed to an office and exercises governmental functions.</w:t>
      </w:r>
      <w:r>
        <w:rPr>
          <w:rStyle w:val="FootnoteReference"/>
          <w:color w:val="000000"/>
          <w:sz w:val="24"/>
          <w:szCs w:val="24"/>
        </w:rPr>
        <w:footnoteReference w:id="34"/>
      </w:r>
      <w:r>
        <w:rPr>
          <w:color w:val="000000"/>
          <w:sz w:val="24"/>
          <w:szCs w:val="24"/>
        </w:rPr>
        <w:t xml:space="preserve"> Public Officer is any person, who on or after the 31st December 1983 has held office within the meaning of such term in terms of Section 277 (1) of the 1979 Constitution.</w:t>
      </w:r>
      <w:r>
        <w:rPr>
          <w:rStyle w:val="FootnoteReference"/>
          <w:color w:val="000000"/>
          <w:sz w:val="24"/>
          <w:szCs w:val="24"/>
        </w:rPr>
        <w:footnoteReference w:id="35"/>
      </w:r>
      <w:r>
        <w:rPr>
          <w:color w:val="000000"/>
          <w:sz w:val="24"/>
          <w:szCs w:val="24"/>
        </w:rPr>
        <w:t xml:space="preserve"> Public Officer means a member of the public service of the federation or of a State.”</w:t>
      </w:r>
      <w:r>
        <w:rPr>
          <w:rStyle w:val="FootnoteReference"/>
          <w:sz w:val="24"/>
          <w:szCs w:val="24"/>
        </w:rPr>
        <w:footnoteReference w:id="36"/>
      </w:r>
    </w:p>
    <w:p w:rsidR="00EC7CD2" w:rsidRDefault="00453B03">
      <w:pPr>
        <w:pStyle w:val="ListParagraph"/>
        <w:spacing w:line="480" w:lineRule="auto"/>
        <w:ind w:left="0"/>
        <w:rPr>
          <w:color w:val="000000"/>
          <w:sz w:val="24"/>
          <w:szCs w:val="24"/>
        </w:rPr>
      </w:pPr>
      <w:r>
        <w:rPr>
          <w:color w:val="000000"/>
          <w:sz w:val="24"/>
          <w:szCs w:val="24"/>
        </w:rPr>
        <w:lastRenderedPageBreak/>
        <w:t>“Public Officer refers to a person that holds one of the positions listed in the second schedule to the code of conduct Bureau and tribunal Act.”</w:t>
      </w:r>
      <w:r>
        <w:rPr>
          <w:rStyle w:val="FootnoteReference"/>
          <w:color w:val="000000"/>
          <w:sz w:val="24"/>
          <w:szCs w:val="24"/>
        </w:rPr>
        <w:footnoteReference w:id="37"/>
      </w:r>
      <w:r>
        <w:rPr>
          <w:color w:val="000000"/>
          <w:sz w:val="24"/>
          <w:szCs w:val="24"/>
        </w:rPr>
        <w:t xml:space="preserve"> Public Officer means any person employed by a public authority.</w:t>
      </w:r>
      <w:r>
        <w:rPr>
          <w:rStyle w:val="FootnoteReference"/>
          <w:sz w:val="24"/>
          <w:szCs w:val="24"/>
        </w:rPr>
        <w:footnoteReference w:id="38"/>
      </w:r>
      <w:r>
        <w:rPr>
          <w:color w:val="000000"/>
          <w:sz w:val="24"/>
          <w:szCs w:val="24"/>
        </w:rPr>
        <w:t xml:space="preserve"> In relation to a person, “Public Officer” means those, and any person connected with those, individuals which are currently holding, or have been previously appointed to public high office position (whether in Nigeria or not).</w:t>
      </w:r>
      <w:r>
        <w:rPr>
          <w:rStyle w:val="FootnoteReference"/>
          <w:color w:val="000000"/>
          <w:sz w:val="24"/>
          <w:szCs w:val="24"/>
        </w:rPr>
        <w:footnoteReference w:id="39"/>
      </w:r>
    </w:p>
    <w:p w:rsidR="00EC7CD2" w:rsidRDefault="00EC7CD2">
      <w:pPr>
        <w:pStyle w:val="ListParagraph"/>
        <w:spacing w:line="480" w:lineRule="auto"/>
        <w:ind w:left="0"/>
        <w:rPr>
          <w:color w:val="000000"/>
          <w:sz w:val="24"/>
          <w:szCs w:val="24"/>
        </w:rPr>
      </w:pPr>
    </w:p>
    <w:p w:rsidR="00EC7CD2" w:rsidRDefault="00453B03">
      <w:pPr>
        <w:pStyle w:val="ListParagraph"/>
        <w:spacing w:line="480" w:lineRule="auto"/>
        <w:ind w:left="0"/>
        <w:rPr>
          <w:color w:val="000000"/>
          <w:sz w:val="24"/>
          <w:szCs w:val="24"/>
        </w:rPr>
      </w:pPr>
      <w:r>
        <w:rPr>
          <w:color w:val="000000"/>
          <w:sz w:val="24"/>
          <w:szCs w:val="24"/>
        </w:rPr>
        <w:t>Public Officers means and shall be defined to include every person, either of temporary or permanent service, who takes part, wholly or partially, or gratuitously or for consideration, in the discharge of any public function of a de facto and real character either through public vote, by an appropriate authority through appointment or by his insertion into such a public or State managed organization, regardless of the pay received for the services. It does also consist of: any personnel of permit approval and licensing locations and offices; employees, border guards as well as members of personnel working at the customs authority; governmental, semi-governmental and even local politicians; workers in any kind of international public business or worldwide organisation. Officers or personnel in the companies belonging to the State or controlled by the State including the Universities, Airline Companies, Oil companies, healthcare services facilities as well as other services as the case might be.</w:t>
      </w:r>
      <w:r>
        <w:rPr>
          <w:rStyle w:val="FootnoteReference"/>
          <w:sz w:val="24"/>
          <w:szCs w:val="24"/>
        </w:rPr>
        <w:footnoteReference w:id="40"/>
      </w:r>
    </w:p>
    <w:p w:rsidR="00EC7CD2" w:rsidRDefault="00EC7CD2">
      <w:pPr>
        <w:pStyle w:val="ListParagraph"/>
        <w:spacing w:line="480" w:lineRule="auto"/>
        <w:ind w:left="0"/>
        <w:rPr>
          <w:color w:val="000000"/>
          <w:sz w:val="24"/>
          <w:szCs w:val="24"/>
        </w:rPr>
      </w:pPr>
    </w:p>
    <w:p w:rsidR="00EC7CD2" w:rsidRDefault="00453B03">
      <w:pPr>
        <w:pStyle w:val="ListParagraph"/>
        <w:spacing w:line="480" w:lineRule="auto"/>
        <w:ind w:left="0"/>
        <w:rPr>
          <w:color w:val="000000"/>
          <w:sz w:val="24"/>
          <w:szCs w:val="24"/>
        </w:rPr>
      </w:pPr>
      <w:r>
        <w:rPr>
          <w:color w:val="000000"/>
          <w:sz w:val="24"/>
          <w:szCs w:val="24"/>
        </w:rPr>
        <w:t xml:space="preserve">Public Officer Public office may have its dangers even for private individuals by reason of the obligations it places upon them, if any may properly so describe such a relation by virtue of the </w:t>
      </w:r>
      <w:r>
        <w:rPr>
          <w:color w:val="000000"/>
          <w:sz w:val="24"/>
          <w:szCs w:val="24"/>
        </w:rPr>
        <w:lastRenderedPageBreak/>
        <w:t>fact that a holder is assumed as regards all others the functions and burdens, for neglect or mishandling of which he may be required to respond at law.</w:t>
      </w:r>
      <w:r>
        <w:rPr>
          <w:rStyle w:val="FootnoteReference"/>
          <w:sz w:val="24"/>
          <w:szCs w:val="24"/>
        </w:rPr>
        <w:footnoteReference w:id="41"/>
      </w:r>
    </w:p>
    <w:p w:rsidR="00EC7CD2" w:rsidRDefault="00EC7CD2">
      <w:pPr>
        <w:pStyle w:val="ListParagraph"/>
        <w:spacing w:line="480" w:lineRule="auto"/>
        <w:ind w:left="0"/>
        <w:rPr>
          <w:color w:val="000000"/>
          <w:sz w:val="24"/>
          <w:szCs w:val="24"/>
        </w:rPr>
      </w:pPr>
    </w:p>
    <w:p w:rsidR="00EC7CD2" w:rsidRDefault="00453B03">
      <w:pPr>
        <w:pStyle w:val="ListParagraph"/>
        <w:spacing w:line="480" w:lineRule="auto"/>
        <w:ind w:left="0"/>
        <w:rPr>
          <w:color w:val="000000"/>
          <w:sz w:val="24"/>
          <w:szCs w:val="24"/>
        </w:rPr>
      </w:pPr>
      <w:r>
        <w:rPr>
          <w:color w:val="000000"/>
          <w:sz w:val="24"/>
          <w:szCs w:val="24"/>
        </w:rPr>
        <w:t>“Section 18(1) of Interpretation Act defines a public officer as a member of public service of the federation within the meaning of the Constitution of the Federal Republic of Nigeria 1999.”</w:t>
      </w:r>
      <w:r>
        <w:rPr>
          <w:rStyle w:val="FootnoteReference"/>
          <w:color w:val="000000"/>
          <w:sz w:val="24"/>
          <w:szCs w:val="24"/>
        </w:rPr>
        <w:footnoteReference w:id="42"/>
      </w:r>
    </w:p>
    <w:p w:rsidR="00EC7CD2" w:rsidRDefault="00EC7CD2">
      <w:pPr>
        <w:pStyle w:val="ListParagraph"/>
        <w:spacing w:line="480" w:lineRule="auto"/>
        <w:ind w:left="0"/>
        <w:rPr>
          <w:color w:val="000000"/>
          <w:sz w:val="24"/>
          <w:szCs w:val="24"/>
        </w:rPr>
      </w:pPr>
    </w:p>
    <w:p w:rsidR="00EC7CD2" w:rsidRDefault="00453B03">
      <w:pPr>
        <w:pStyle w:val="ListParagraph"/>
        <w:spacing w:line="480" w:lineRule="auto"/>
        <w:ind w:left="0"/>
        <w:rPr>
          <w:color w:val="000000"/>
          <w:sz w:val="24"/>
          <w:szCs w:val="24"/>
        </w:rPr>
      </w:pPr>
      <w:r>
        <w:rPr>
          <w:color w:val="000000"/>
          <w:sz w:val="24"/>
          <w:szCs w:val="24"/>
        </w:rPr>
        <w:t xml:space="preserve">The Judiciary has also contributed to the discourse about who a public officer is and thus in the case of </w:t>
      </w:r>
      <w:r>
        <w:rPr>
          <w:i/>
          <w:iCs/>
          <w:color w:val="000000"/>
          <w:sz w:val="24"/>
          <w:szCs w:val="24"/>
        </w:rPr>
        <w:t>Registered Trustees planned Parenthood Federation of Nigeria v Dr Jimmy Shogbola</w:t>
      </w:r>
      <w:r>
        <w:rPr>
          <w:rStyle w:val="FootnoteReference"/>
          <w:color w:val="000000"/>
          <w:sz w:val="24"/>
          <w:szCs w:val="24"/>
        </w:rPr>
        <w:footnoteReference w:id="43"/>
      </w:r>
      <w:r>
        <w:rPr>
          <w:color w:val="000000"/>
          <w:sz w:val="24"/>
          <w:szCs w:val="24"/>
        </w:rPr>
        <w:t xml:space="preserve"> It was held that a public officer is one in the public services of the government of the federation or State.</w:t>
      </w:r>
    </w:p>
    <w:p w:rsidR="00EC7CD2" w:rsidRDefault="00453B03">
      <w:pPr>
        <w:pStyle w:val="ListParagraph"/>
        <w:spacing w:line="480" w:lineRule="auto"/>
        <w:ind w:left="0"/>
        <w:rPr>
          <w:color w:val="000000"/>
          <w:sz w:val="24"/>
          <w:szCs w:val="24"/>
        </w:rPr>
      </w:pPr>
      <w:r>
        <w:rPr>
          <w:sz w:val="24"/>
          <w:szCs w:val="24"/>
        </w:rPr>
        <w:t xml:space="preserve">Similarly, “in </w:t>
      </w:r>
      <w:r>
        <w:rPr>
          <w:i/>
          <w:iCs/>
          <w:sz w:val="24"/>
          <w:szCs w:val="24"/>
        </w:rPr>
        <w:t>Chief John Eze v Dr. Cosmas I. Okechukwu</w:t>
      </w:r>
      <w:r>
        <w:rPr>
          <w:rStyle w:val="FootnoteReference"/>
          <w:sz w:val="24"/>
          <w:szCs w:val="24"/>
        </w:rPr>
        <w:footnoteReference w:id="44"/>
      </w:r>
      <w:r>
        <w:rPr>
          <w:sz w:val="24"/>
          <w:szCs w:val="24"/>
        </w:rPr>
        <w:t xml:space="preserve"> The Court expressed its view, “A ‘public officer’ is in my opinion a holder of a public office. He is in the public sector of the economy distinct and apart from the private sector. He receives some remunaration from public funds or revenue. He has some delegated powers of an official nature granted to him by the statute under which his authority derives. He holds the public office for a term, with some permanence and continuity to the position. More significant is that a public officer wields some power of a sovereign, that is, government in its capacity to execute. The sovereignty itself may be the big sovereign or may be the giant sovereign. It may be small sovereign or may be miniature sovereign. </w:t>
      </w:r>
      <w:r>
        <w:rPr>
          <w:sz w:val="24"/>
          <w:szCs w:val="24"/>
        </w:rPr>
        <w:lastRenderedPageBreak/>
        <w:t>This element should be sovereign. This element should be government functions.</w:t>
      </w:r>
      <w:r>
        <w:rPr>
          <w:rStyle w:val="FootnoteReference"/>
          <w:sz w:val="24"/>
          <w:szCs w:val="24"/>
        </w:rPr>
        <w:footnoteReference w:id="45"/>
      </w:r>
      <w:r>
        <w:rPr>
          <w:sz w:val="24"/>
          <w:szCs w:val="24"/>
        </w:rPr>
        <w:t xml:space="preserve"> All the above characteristics must be present to vest in a person the status of a Public Officer.”</w:t>
      </w:r>
      <w:r>
        <w:rPr>
          <w:rStyle w:val="FootnoteReference"/>
          <w:sz w:val="24"/>
          <w:szCs w:val="24"/>
        </w:rPr>
        <w:footnoteReference w:id="46"/>
      </w:r>
    </w:p>
    <w:p w:rsidR="00EC7CD2" w:rsidRDefault="00EC7CD2">
      <w:pPr>
        <w:pStyle w:val="ListParagraph"/>
        <w:spacing w:line="480" w:lineRule="auto"/>
        <w:ind w:left="0"/>
        <w:rPr>
          <w:color w:val="000000"/>
          <w:sz w:val="24"/>
          <w:szCs w:val="24"/>
        </w:rPr>
      </w:pPr>
    </w:p>
    <w:p w:rsidR="00EC7CD2" w:rsidRDefault="00453B03">
      <w:pPr>
        <w:pStyle w:val="ListParagraph"/>
        <w:spacing w:line="480" w:lineRule="auto"/>
        <w:ind w:left="0"/>
        <w:rPr>
          <w:color w:val="000000"/>
          <w:sz w:val="24"/>
          <w:szCs w:val="24"/>
        </w:rPr>
      </w:pPr>
      <w:r>
        <w:rPr>
          <w:i/>
          <w:iCs/>
          <w:color w:val="000000"/>
          <w:sz w:val="24"/>
          <w:szCs w:val="24"/>
        </w:rPr>
        <w:t>Abdulrauf Abdulkadir Modibo v Mustapha Usman &amp; 2 ors</w:t>
      </w:r>
      <w:r>
        <w:rPr>
          <w:rStyle w:val="FootnoteReference"/>
          <w:color w:val="000000"/>
          <w:sz w:val="24"/>
          <w:szCs w:val="24"/>
        </w:rPr>
        <w:footnoteReference w:id="47"/>
      </w:r>
      <w:r>
        <w:rPr>
          <w:color w:val="000000"/>
          <w:sz w:val="24"/>
          <w:szCs w:val="24"/>
        </w:rPr>
        <w:t>,“A public officer is an occupant of public office. He works in the public sector of the economy in contrast with the private sector. He is supposed to receive some form of salary from the national coffers. He enjoys some powers vested in him through the laws of the land. Again, he holds some kind of tenure of office which is permanent in nature. Most importantly, the public officer exercises some amount of sovereign power or governmental function. This sovereign power should be huge in magnitude. It could be small in magnitude. But there must be that component of sovereign power. Similarly, there must be that aspect of governmental function in case of absence of sovereign power. In nutshell, all the above-mentioned attributes must be combined in order to make somebody a public officer.”</w:t>
      </w:r>
    </w:p>
    <w:p w:rsidR="00EC7CD2" w:rsidRDefault="00453B03">
      <w:pPr>
        <w:pStyle w:val="ListParagraph"/>
        <w:spacing w:line="480" w:lineRule="auto"/>
        <w:ind w:left="0"/>
        <w:rPr>
          <w:color w:val="000000"/>
          <w:sz w:val="24"/>
          <w:szCs w:val="24"/>
        </w:rPr>
      </w:pPr>
      <w:r>
        <w:rPr>
          <w:color w:val="000000"/>
          <w:sz w:val="24"/>
          <w:szCs w:val="24"/>
        </w:rPr>
        <w:t xml:space="preserve">“The Nigerian Supreme Court has made it clear that a public officer not only includes the individual (public officer) but also includes the office itself (the public office). This was stated in </w:t>
      </w:r>
      <w:r>
        <w:rPr>
          <w:i/>
          <w:iCs/>
          <w:color w:val="000000"/>
          <w:sz w:val="24"/>
          <w:szCs w:val="24"/>
        </w:rPr>
        <w:t>Ibrahim V. Judicial Service Committee Kaduna State &amp; Anor</w:t>
      </w:r>
      <w:r>
        <w:rPr>
          <w:color w:val="000000"/>
          <w:sz w:val="24"/>
          <w:szCs w:val="24"/>
        </w:rPr>
        <w:t>.”</w:t>
      </w:r>
      <w:r>
        <w:rPr>
          <w:rStyle w:val="FootnoteReference"/>
          <w:color w:val="000000"/>
          <w:sz w:val="24"/>
          <w:szCs w:val="24"/>
        </w:rPr>
        <w:footnoteReference w:id="48"/>
      </w:r>
    </w:p>
    <w:p w:rsidR="00EC7CD2" w:rsidRDefault="00EC7CD2">
      <w:pPr>
        <w:pStyle w:val="ListParagraph"/>
        <w:spacing w:line="480" w:lineRule="auto"/>
        <w:ind w:left="0"/>
        <w:rPr>
          <w:b/>
          <w:bCs/>
          <w:color w:val="000000"/>
          <w:sz w:val="24"/>
          <w:szCs w:val="24"/>
        </w:rPr>
      </w:pPr>
    </w:p>
    <w:p w:rsidR="00EC7CD2" w:rsidRDefault="00453B03">
      <w:pPr>
        <w:pStyle w:val="ListParagraph"/>
        <w:spacing w:line="480" w:lineRule="auto"/>
        <w:ind w:left="0"/>
        <w:rPr>
          <w:color w:val="000000"/>
          <w:sz w:val="24"/>
          <w:szCs w:val="24"/>
        </w:rPr>
      </w:pPr>
      <w:r>
        <w:rPr>
          <w:color w:val="000000"/>
          <w:sz w:val="24"/>
          <w:szCs w:val="24"/>
        </w:rPr>
        <w:t>The definition of Public Officers in Nigeria goes beyond simple individuals and is made up of constitutional and functional definitions.</w:t>
      </w:r>
    </w:p>
    <w:p w:rsidR="00EC7CD2" w:rsidRDefault="00453B03">
      <w:pPr>
        <w:spacing w:after="0" w:line="480" w:lineRule="auto"/>
        <w:rPr>
          <w:rFonts w:ascii="Times New Roman" w:hAnsi="Times New Roman"/>
          <w:color w:val="000000"/>
          <w:sz w:val="24"/>
          <w:szCs w:val="24"/>
        </w:rPr>
      </w:pPr>
      <w:r>
        <w:rPr>
          <w:rFonts w:ascii="Times New Roman" w:hAnsi="Times New Roman"/>
          <w:color w:val="000000"/>
          <w:sz w:val="24"/>
          <w:szCs w:val="24"/>
        </w:rPr>
        <w:lastRenderedPageBreak/>
        <w:t>Individuals in Offices; First and foremost, among these are the individuals who hold offices that are provided for in the constitution. These are:</w:t>
      </w:r>
    </w:p>
    <w:p w:rsidR="00EC7CD2" w:rsidRDefault="00453B03">
      <w:pPr>
        <w:pStyle w:val="ListParagraph"/>
        <w:spacing w:line="480" w:lineRule="auto"/>
        <w:ind w:left="0"/>
        <w:rPr>
          <w:color w:val="000000"/>
          <w:sz w:val="24"/>
          <w:szCs w:val="24"/>
        </w:rPr>
      </w:pPr>
      <w:r>
        <w:rPr>
          <w:color w:val="000000"/>
          <w:sz w:val="24"/>
          <w:szCs w:val="24"/>
        </w:rPr>
        <w:t>Persons occupying executive offices (President, Governor, Ministers, Commissioners)</w:t>
      </w:r>
    </w:p>
    <w:p w:rsidR="00EC7CD2" w:rsidRDefault="00453B03">
      <w:pPr>
        <w:pStyle w:val="ListParagraph"/>
        <w:spacing w:line="480" w:lineRule="auto"/>
        <w:ind w:left="0"/>
        <w:rPr>
          <w:color w:val="000000"/>
          <w:sz w:val="24"/>
          <w:szCs w:val="24"/>
        </w:rPr>
      </w:pPr>
      <w:r>
        <w:rPr>
          <w:color w:val="000000"/>
          <w:sz w:val="24"/>
          <w:szCs w:val="24"/>
        </w:rPr>
        <w:t>Persons occupying legislative offices (Members of Parliament, Assembly Members, clerks and other staff)</w:t>
      </w:r>
    </w:p>
    <w:p w:rsidR="00EC7CD2" w:rsidRDefault="00453B03">
      <w:pPr>
        <w:pStyle w:val="ListParagraph"/>
        <w:spacing w:line="480" w:lineRule="auto"/>
        <w:ind w:left="0"/>
        <w:rPr>
          <w:color w:val="000000"/>
          <w:sz w:val="24"/>
          <w:szCs w:val="24"/>
        </w:rPr>
      </w:pPr>
      <w:r>
        <w:rPr>
          <w:color w:val="000000"/>
          <w:sz w:val="24"/>
          <w:szCs w:val="24"/>
        </w:rPr>
        <w:t>Persons holding judicial offices (Justices, Judges, Magistrates, Registrars).</w:t>
      </w:r>
    </w:p>
    <w:p w:rsidR="00EC7CD2" w:rsidRDefault="00453B03">
      <w:pPr>
        <w:spacing w:after="0" w:line="48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Public Departments and Artificial Persons: According to the Nigerian legal system, the scope of "public officer" covers individuals and also includes:</w:t>
      </w:r>
    </w:p>
    <w:p w:rsidR="00EC7CD2" w:rsidRDefault="00453B03">
      <w:pPr>
        <w:spacing w:after="0" w:line="48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Public departments</w:t>
      </w:r>
    </w:p>
    <w:p w:rsidR="00EC7CD2" w:rsidRDefault="00453B03">
      <w:pPr>
        <w:pStyle w:val="ListParagraph"/>
        <w:spacing w:line="480" w:lineRule="auto"/>
        <w:ind w:left="0"/>
        <w:rPr>
          <w:color w:val="000000"/>
          <w:sz w:val="24"/>
          <w:szCs w:val="24"/>
        </w:rPr>
      </w:pPr>
      <w:r>
        <w:rPr>
          <w:color w:val="000000"/>
          <w:sz w:val="24"/>
          <w:szCs w:val="24"/>
        </w:rPr>
        <w:t>Government agencies</w:t>
      </w:r>
    </w:p>
    <w:p w:rsidR="00EC7CD2" w:rsidRDefault="00453B03">
      <w:pPr>
        <w:pStyle w:val="ListParagraph"/>
        <w:spacing w:line="480" w:lineRule="auto"/>
        <w:ind w:left="0"/>
        <w:rPr>
          <w:color w:val="000000"/>
          <w:sz w:val="24"/>
          <w:szCs w:val="24"/>
        </w:rPr>
      </w:pPr>
      <w:r>
        <w:rPr>
          <w:color w:val="000000"/>
          <w:sz w:val="24"/>
          <w:szCs w:val="24"/>
        </w:rPr>
        <w:t>Statutory corporations carrying out public functions</w:t>
      </w:r>
    </w:p>
    <w:p w:rsidR="00EC7CD2" w:rsidRDefault="00453B03">
      <w:pPr>
        <w:pStyle w:val="ListParagraph"/>
        <w:spacing w:line="480" w:lineRule="auto"/>
        <w:ind w:left="0"/>
        <w:rPr>
          <w:color w:val="000000"/>
          <w:sz w:val="24"/>
          <w:szCs w:val="24"/>
        </w:rPr>
      </w:pPr>
      <w:r>
        <w:rPr>
          <w:color w:val="000000"/>
          <w:sz w:val="24"/>
          <w:szCs w:val="24"/>
        </w:rPr>
        <w:t>This broad view encompasses the idea that public power is wielded more often by organizations than individuals.</w:t>
      </w:r>
    </w:p>
    <w:p w:rsidR="00EC7CD2" w:rsidRDefault="00453B03">
      <w:pPr>
        <w:pStyle w:val="ListParagraph"/>
        <w:spacing w:line="480" w:lineRule="auto"/>
        <w:ind w:left="0"/>
        <w:rPr>
          <w:color w:val="000000"/>
          <w:sz w:val="24"/>
          <w:szCs w:val="24"/>
        </w:rPr>
      </w:pPr>
      <w:r>
        <w:rPr>
          <w:color w:val="000000"/>
          <w:sz w:val="24"/>
          <w:szCs w:val="24"/>
        </w:rPr>
        <w:t>Former Public Officers: It includes individuals who "have held" the position, not just those holding it currently. This time aspect ensures that former public officers enjoy some protection (with respect to their actions when in office) while being accountable for their actions when in office.</w:t>
      </w:r>
    </w:p>
    <w:p w:rsidR="00EC7CD2" w:rsidRDefault="00EC7CD2">
      <w:pPr>
        <w:pStyle w:val="ListParagraph"/>
        <w:spacing w:line="480" w:lineRule="auto"/>
        <w:ind w:left="0"/>
        <w:rPr>
          <w:b/>
          <w:bCs/>
          <w:color w:val="000000"/>
          <w:sz w:val="24"/>
          <w:szCs w:val="24"/>
        </w:rPr>
      </w:pPr>
    </w:p>
    <w:p w:rsidR="00EC7CD2" w:rsidRDefault="00453B03">
      <w:pPr>
        <w:tabs>
          <w:tab w:val="left" w:pos="0"/>
        </w:tabs>
        <w:spacing w:line="480" w:lineRule="auto"/>
        <w:ind w:hanging="709"/>
        <w:rPr>
          <w:rFonts w:ascii="Times New Roman" w:eastAsia="Times New Roman" w:hAnsi="Times New Roman"/>
          <w:b/>
          <w:bCs/>
          <w:color w:val="000000"/>
          <w:sz w:val="24"/>
          <w:szCs w:val="24"/>
          <w:lang w:eastAsia="en-US"/>
        </w:rPr>
      </w:pPr>
      <w:r>
        <w:rPr>
          <w:rFonts w:ascii="Times New Roman" w:eastAsia="Times New Roman" w:hAnsi="Times New Roman"/>
          <w:b/>
          <w:bCs/>
          <w:color w:val="000000"/>
          <w:sz w:val="24"/>
          <w:szCs w:val="24"/>
          <w:lang w:eastAsia="en-US"/>
        </w:rPr>
        <w:t>2.1.2.  Concept of Protection of Public Officers</w:t>
      </w:r>
    </w:p>
    <w:p w:rsidR="00EC7CD2" w:rsidRDefault="00453B03">
      <w:pPr>
        <w:spacing w:after="0" w:line="48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“Protection of Public Officers relates to the measures that are legally adopted to ensure Public Officers are protected from personal liabilities or legal suits emanating from the performance of their duties. This form of protection is commonly accorded through the enactment of limitation laws, which determine the time within which suits can be filed against Public Officers.”</w:t>
      </w:r>
    </w:p>
    <w:p w:rsidR="00EC7CD2" w:rsidRDefault="00453B03">
      <w:pPr>
        <w:spacing w:after="0" w:line="48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“The principal legislation governing the protection of public officers in Nigeria is the Public Officers Protection Act.</w:t>
      </w:r>
      <w:r>
        <w:rPr>
          <w:rStyle w:val="FootnoteReference"/>
          <w:rFonts w:ascii="Times New Roman" w:hAnsi="Times New Roman"/>
          <w:sz w:val="24"/>
          <w:szCs w:val="24"/>
        </w:rPr>
        <w:footnoteReference w:id="49"/>
      </w:r>
      <w:r>
        <w:rPr>
          <w:rFonts w:ascii="Times New Roman" w:eastAsia="Times New Roman" w:hAnsi="Times New Roman"/>
          <w:color w:val="000000"/>
          <w:sz w:val="24"/>
          <w:szCs w:val="24"/>
        </w:rPr>
        <w:t> In the case of any claim arising out of an act performed by a public official in the performance of his official duties, it shall be commenced not later than three months after the cause of action arose.”</w:t>
      </w:r>
    </w:p>
    <w:p w:rsidR="00EC7CD2" w:rsidRDefault="00453B03">
      <w:pPr>
        <w:spacing w:after="0" w:line="48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The underlying reason for this doctrine is to ensure efficiency in public administration since the public officers will not be harassed unnecessarily via lawsuits. According to Nwabueze, this doctrine is supposed to promote fearless and efficient execution of government functions.</w:t>
      </w:r>
      <w:r>
        <w:rPr>
          <w:rStyle w:val="FootnoteReference"/>
          <w:rFonts w:ascii="Times New Roman" w:eastAsia="Times New Roman" w:hAnsi="Times New Roman"/>
          <w:color w:val="000000"/>
          <w:sz w:val="24"/>
          <w:szCs w:val="24"/>
        </w:rPr>
        <w:footnoteReference w:id="50"/>
      </w:r>
      <w:r>
        <w:rPr>
          <w:rFonts w:ascii="Times New Roman" w:eastAsia="Times New Roman" w:hAnsi="Times New Roman"/>
          <w:color w:val="000000"/>
          <w:sz w:val="24"/>
          <w:szCs w:val="24"/>
        </w:rPr>
        <w:t xml:space="preserve"> However, the doctrine has generated considerable criticism due to its frequent use as a technical defence to defeat legitimate claims.</w:t>
      </w:r>
    </w:p>
    <w:p w:rsidR="00EC7CD2" w:rsidRDefault="00453B03">
      <w:pPr>
        <w:spacing w:after="0" w:line="48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In </w:t>
      </w:r>
      <w:r>
        <w:rPr>
          <w:rFonts w:ascii="Times New Roman" w:eastAsia="Times New Roman" w:hAnsi="Times New Roman"/>
          <w:i/>
          <w:iCs/>
          <w:color w:val="000000"/>
          <w:sz w:val="24"/>
          <w:szCs w:val="24"/>
        </w:rPr>
        <w:t>Yabugbe v COP</w:t>
      </w:r>
      <w:r>
        <w:rPr>
          <w:rStyle w:val="FootnoteReference"/>
          <w:rFonts w:ascii="Times New Roman" w:hAnsi="Times New Roman"/>
          <w:sz w:val="24"/>
          <w:szCs w:val="24"/>
        </w:rPr>
        <w:footnoteReference w:id="51"/>
      </w:r>
      <w:r>
        <w:rPr>
          <w:rFonts w:ascii="Times New Roman" w:eastAsia="Times New Roman" w:hAnsi="Times New Roman"/>
          <w:color w:val="000000"/>
          <w:sz w:val="24"/>
          <w:szCs w:val="24"/>
        </w:rPr>
        <w:t>, Nnaemeka-Agu JSC explained the law as thus; In other words, it is not within public policy for government to employ its apparatus to ensure that criminals go unpunished. An interpretation of the said section that would bring within its ambit public servants who commit offenses, instead of being limited to only those acts that constitute civil offenses committed while discharging their public duty, would, in my opinion, run counter to public policy. The above principles of interpretation will be applied by me, and it will be my preference that the protection extend only to civil proceedings arising out of acts related to and performed in execution of public duty.</w:t>
      </w:r>
    </w:p>
    <w:p w:rsidR="00EC7CD2" w:rsidRDefault="00453B03">
      <w:pPr>
        <w:spacing w:line="480" w:lineRule="auto"/>
        <w:ind w:left="-709"/>
        <w:rPr>
          <w:b/>
          <w:bCs/>
          <w:color w:val="000000"/>
          <w:sz w:val="24"/>
          <w:szCs w:val="24"/>
        </w:rPr>
      </w:pPr>
      <w:r>
        <w:rPr>
          <w:b/>
          <w:bCs/>
          <w:color w:val="000000"/>
          <w:sz w:val="24"/>
          <w:szCs w:val="24"/>
        </w:rPr>
        <w:t>2.1.3.  Concept of Limitation of Action</w:t>
      </w:r>
    </w:p>
    <w:p w:rsidR="00EC7CD2" w:rsidRDefault="00453B03">
      <w:pPr>
        <w:pStyle w:val="ListParagraph"/>
        <w:spacing w:line="480" w:lineRule="auto"/>
        <w:ind w:left="0"/>
        <w:rPr>
          <w:color w:val="000000"/>
          <w:sz w:val="24"/>
          <w:szCs w:val="24"/>
        </w:rPr>
      </w:pPr>
      <w:r>
        <w:rPr>
          <w:color w:val="000000"/>
          <w:sz w:val="24"/>
          <w:szCs w:val="24"/>
        </w:rPr>
        <w:t>A limitation law prescribes the period within which a legal action must be instituted. Failure to commence an action within the prescribed period renders the action statute-barred.</w:t>
      </w:r>
    </w:p>
    <w:p w:rsidR="00EC7CD2" w:rsidRDefault="00453B03">
      <w:pPr>
        <w:pStyle w:val="ListParagraph"/>
        <w:spacing w:line="480" w:lineRule="auto"/>
        <w:ind w:left="0"/>
        <w:rPr>
          <w:color w:val="000000"/>
          <w:sz w:val="24"/>
          <w:szCs w:val="24"/>
        </w:rPr>
      </w:pPr>
      <w:r>
        <w:rPr>
          <w:color w:val="000000"/>
          <w:sz w:val="24"/>
          <w:szCs w:val="24"/>
        </w:rPr>
        <w:lastRenderedPageBreak/>
        <w:t>“In</w:t>
      </w:r>
      <w:r>
        <w:rPr>
          <w:i/>
          <w:iCs/>
          <w:color w:val="000000"/>
          <w:sz w:val="24"/>
          <w:szCs w:val="24"/>
        </w:rPr>
        <w:t xml:space="preserve"> Egbe v Adefarasin,</w:t>
      </w:r>
      <w:r>
        <w:rPr>
          <w:rStyle w:val="FootnoteReference"/>
          <w:color w:val="000000"/>
          <w:sz w:val="24"/>
          <w:szCs w:val="24"/>
        </w:rPr>
        <w:footnoteReference w:id="52"/>
      </w:r>
      <w:r>
        <w:rPr>
          <w:color w:val="000000"/>
          <w:sz w:val="24"/>
          <w:szCs w:val="24"/>
        </w:rPr>
        <w:t xml:space="preserve"> the Supreme Court held that where an action is statute-barred, the plaintiff loses the right to judicial remedy although the cause of action may still exist. The Public Officers Protection Act is therefore a statute of limitation because it limits the period within which actions can be brought against public officers.”</w:t>
      </w:r>
      <w:r>
        <w:rPr>
          <w:rStyle w:val="FootnoteReference"/>
          <w:color w:val="000000"/>
          <w:sz w:val="24"/>
          <w:szCs w:val="24"/>
        </w:rPr>
        <w:footnoteReference w:id="53"/>
      </w:r>
    </w:p>
    <w:p w:rsidR="00EC7CD2" w:rsidRDefault="00453B03">
      <w:pPr>
        <w:pStyle w:val="ListParagraph"/>
        <w:spacing w:line="480" w:lineRule="auto"/>
        <w:ind w:left="0"/>
        <w:rPr>
          <w:color w:val="000000"/>
          <w:sz w:val="24"/>
          <w:szCs w:val="24"/>
        </w:rPr>
      </w:pPr>
      <w:r>
        <w:rPr>
          <w:color w:val="000000"/>
          <w:sz w:val="24"/>
          <w:szCs w:val="24"/>
        </w:rPr>
        <w:t>Implication of limitations laws is that when the period expires, the court will not have jurisdiction to hear the case. Therefore, it is common for limitation laws to be put forward as preliminaries in Nigerian courts.</w:t>
      </w:r>
    </w:p>
    <w:p w:rsidR="00EC7CD2" w:rsidRDefault="00EC7CD2">
      <w:pPr>
        <w:pStyle w:val="ListParagraph"/>
        <w:spacing w:line="480" w:lineRule="auto"/>
        <w:ind w:left="0"/>
        <w:rPr>
          <w:color w:val="000000"/>
          <w:sz w:val="24"/>
          <w:szCs w:val="24"/>
        </w:rPr>
      </w:pPr>
    </w:p>
    <w:p w:rsidR="00EC7CD2" w:rsidRDefault="00453B03">
      <w:pPr>
        <w:spacing w:after="0" w:line="480" w:lineRule="auto"/>
        <w:jc w:val="both"/>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2.2 Theoretical Framework</w:t>
      </w:r>
    </w:p>
    <w:p w:rsidR="00EC7CD2" w:rsidRDefault="00453B03">
      <w:pPr>
        <w:spacing w:after="0" w:line="48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2.2.1 Rule of Law Theory</w:t>
      </w:r>
    </w:p>
    <w:p w:rsidR="00EC7CD2" w:rsidRDefault="00453B03">
      <w:pPr>
        <w:spacing w:after="0" w:line="48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“The Rule of Law theory remains one of the most important theories underpinning the administration of justice and public accountability. According to AV Dicey</w:t>
      </w:r>
      <w:r>
        <w:rPr>
          <w:rStyle w:val="FootnoteReference"/>
          <w:rFonts w:ascii="Times New Roman" w:eastAsia="Times New Roman" w:hAnsi="Times New Roman"/>
          <w:color w:val="000000"/>
          <w:sz w:val="24"/>
          <w:szCs w:val="24"/>
        </w:rPr>
        <w:footnoteReference w:id="54"/>
      </w:r>
      <w:r>
        <w:rPr>
          <w:rFonts w:ascii="Times New Roman" w:eastAsia="Times New Roman" w:hAnsi="Times New Roman"/>
          <w:color w:val="000000"/>
          <w:sz w:val="24"/>
          <w:szCs w:val="24"/>
        </w:rPr>
        <w:t>, the Rule of Law means the supremacy of law over arbitrary power and the equality of all persons before the law. The implication of the theory is that public officers must remain accountable for actions carried out in the exercise of governmental authority. No public officer should be above the law. The doctrine of protection of public officers appears to conflict with the Rule of Law where it prevents aggrieved citizens from seeking redress against unlawful governmental actions. Critics argue that the Public Officers Protection Act undermines equality before the law because ordinary citizens are not afforded similar procedural protections. Nevertheless, proponents argue that the law does not completely shield public officers from liability but merely requires litigants to institute actions within a specified time.”</w:t>
      </w:r>
    </w:p>
    <w:p w:rsidR="00EC7CD2" w:rsidRDefault="00453B03">
      <w:pPr>
        <w:spacing w:after="0" w:line="480" w:lineRule="auto"/>
        <w:jc w:val="both"/>
        <w:outlineLvl w:val="2"/>
        <w:rPr>
          <w:rFonts w:ascii="Times New Roman" w:eastAsia="Times New Roman" w:hAnsi="Times New Roman"/>
          <w:b/>
          <w:sz w:val="24"/>
          <w:szCs w:val="24"/>
        </w:rPr>
      </w:pPr>
      <w:r>
        <w:rPr>
          <w:rFonts w:ascii="Times New Roman" w:eastAsia="Times New Roman" w:hAnsi="Times New Roman"/>
          <w:b/>
          <w:sz w:val="24"/>
          <w:szCs w:val="24"/>
        </w:rPr>
        <w:lastRenderedPageBreak/>
        <w:t>2.2.2 The Efficiency and Unhampered Duty Theory</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“Efficiency and Unhampered Duty theory is one of the most important theories that explain why public officers require protection in modern legal systems. This theory is based on the assumption that public officers must be able to fulfill their functions in an efficient manner without being subjected to endless lawsuits and intimidations resulting from the actions undertaken by such officers in the fulfillment of their official duties. It is necessary to note that the effective governance of the government is possible only if such officers will be protected from such legal interferences that could disrupt their functions in the public sector.”</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It should be recognized that the process of governance requires discretion and decisions that sometimes harm some people or some social groups. If public officers could be sued every time they make some decisions in the course of the performance of their functions, they would be very reluctant to act or unable to perform their functions efficiently. Therefore, special legal mechanisms should exist to protect such officers from such interferences.</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The theoretical basis of the doctrine emanates from principles of classical public administration and administrative law.</w:t>
      </w:r>
      <w:r>
        <w:rPr>
          <w:rStyle w:val="FootnoteReference"/>
        </w:rPr>
        <w:footnoteReference w:id="55"/>
      </w:r>
      <w:r>
        <w:rPr>
          <w:rFonts w:ascii="Times New Roman" w:hAnsi="Times New Roman"/>
          <w:sz w:val="24"/>
          <w:szCs w:val="24"/>
        </w:rPr>
        <w:t xml:space="preserve"> As per H.W.R. Wade and C.F. Forsyth, the practice of public administration will only work effectively when public servants are allowed to execute their statutory powers without fear of personal repercussions for every official act committed.</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In the same line of thought, Peter Leyland and Terry Woods</w:t>
      </w:r>
      <w:r>
        <w:rPr>
          <w:rStyle w:val="FootnoteReference"/>
        </w:rPr>
        <w:footnoteReference w:id="56"/>
      </w:r>
      <w:r>
        <w:rPr>
          <w:rFonts w:ascii="Times New Roman" w:hAnsi="Times New Roman"/>
          <w:sz w:val="24"/>
          <w:szCs w:val="24"/>
        </w:rPr>
        <w:t xml:space="preserve"> maintain that contemporary administrative law aims to achieve a balance between the two aspects of accountability and efficient performance of public duties by public servants</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lastRenderedPageBreak/>
        <w:t>The doctrine is pertinent to the legal protection of public officials in that it provides the philosophy underlying statutes enacted to protect public officials from unnecessary lawsuits. In the case of Nigeria, this philosophy is enshrined in the Public Officers Protection Act.</w:t>
      </w:r>
      <w:r>
        <w:rPr>
          <w:rStyle w:val="FootnoteReference"/>
          <w:rFonts w:ascii="Times New Roman" w:hAnsi="Times New Roman"/>
          <w:sz w:val="24"/>
          <w:szCs w:val="24"/>
        </w:rPr>
        <w:footnoteReference w:id="57"/>
      </w:r>
      <w:r>
        <w:rPr>
          <w:rFonts w:ascii="Times New Roman" w:hAnsi="Times New Roman"/>
          <w:sz w:val="24"/>
          <w:szCs w:val="24"/>
        </w:rPr>
        <w:t>. The Act provides for limitation periods in suits instituted against public officials in relation to acts performed in the discharge of public duties. The reason behind enacting such an act is to prevent public officers from being harassed by outdated claims and to allow them to execute their duties without having to defend themselves from lawsuits that may stem from the performance of their duties years ago. Odusote says the original reason behind the e nactment of the Public Officers Protection Act was the protection of public officers carrying out their duties from constant legal proceedings which may hamper the effective execution of the government’s mandate.</w:t>
      </w:r>
      <w:r>
        <w:rPr>
          <w:rStyle w:val="FootnoteReference"/>
          <w:rFonts w:ascii="Times New Roman" w:hAnsi="Times New Roman"/>
          <w:sz w:val="24"/>
          <w:szCs w:val="24"/>
        </w:rPr>
        <w:footnoteReference w:id="58"/>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“It also explains why immunity is extended to some public officials pursuant to Section 308 of the Constitution.</w:t>
      </w:r>
      <w:r>
        <w:rPr>
          <w:rStyle w:val="FootnoteReference"/>
          <w:rFonts w:ascii="Times New Roman" w:hAnsi="Times New Roman"/>
          <w:sz w:val="24"/>
          <w:szCs w:val="24"/>
        </w:rPr>
        <w:footnoteReference w:id="59"/>
      </w:r>
      <w:r>
        <w:rPr>
          <w:rFonts w:ascii="Times New Roman" w:hAnsi="Times New Roman"/>
          <w:sz w:val="24"/>
          <w:szCs w:val="24"/>
        </w:rPr>
        <w:t xml:space="preserve"> This immunity clause extends to the President, Vice-President, Governors and Deputy Governors, who enjoy immunity from civil and criminal processes while they are in office.” The purpose of this constitutional provision is to safeguard against distraction of these executive officials through litigation which can hinder the proper discharge of their constitutional duties. According to Akpambang, “immunity provisions in constitutions aim at securing unimpeded conduct of government and the continuity of executive administration.”</w:t>
      </w:r>
      <w:r>
        <w:rPr>
          <w:rStyle w:val="FootnoteReference"/>
          <w:rFonts w:ascii="Times New Roman" w:hAnsi="Times New Roman"/>
          <w:sz w:val="24"/>
          <w:szCs w:val="24"/>
        </w:rPr>
        <w:footnoteReference w:id="60"/>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lastRenderedPageBreak/>
        <w:t xml:space="preserve">The judicial precedents established in Nigeria have also incorporated the ideals of the above theory. As seen in </w:t>
      </w:r>
      <w:r>
        <w:rPr>
          <w:rFonts w:ascii="Times New Roman" w:hAnsi="Times New Roman"/>
          <w:i/>
          <w:sz w:val="24"/>
          <w:szCs w:val="24"/>
        </w:rPr>
        <w:t>Fajemirokun v. University of Ilorin,</w:t>
      </w:r>
      <w:r>
        <w:rPr>
          <w:rStyle w:val="FootnoteReference"/>
          <w:rFonts w:ascii="Times New Roman" w:hAnsi="Times New Roman"/>
          <w:i/>
          <w:sz w:val="24"/>
          <w:szCs w:val="24"/>
        </w:rPr>
        <w:footnoteReference w:id="61"/>
      </w:r>
      <w:r>
        <w:rPr>
          <w:rFonts w:ascii="Times New Roman" w:hAnsi="Times New Roman"/>
          <w:sz w:val="24"/>
          <w:szCs w:val="24"/>
        </w:rPr>
        <w:t xml:space="preserve"> “it was clear that the reason behind the Public Officers Protection Act was to provide protection to public officers carrying out their duties from undue harassment through lawsuits. The same idea was expressed in </w:t>
      </w:r>
      <w:r>
        <w:rPr>
          <w:rFonts w:ascii="Times New Roman" w:hAnsi="Times New Roman"/>
          <w:i/>
          <w:sz w:val="24"/>
          <w:szCs w:val="24"/>
        </w:rPr>
        <w:t>Ibrahim v. Judicial Service Committee, Kaduna State</w:t>
      </w:r>
      <w:r>
        <w:rPr>
          <w:rStyle w:val="FootnoteReference"/>
          <w:rFonts w:ascii="Times New Roman" w:hAnsi="Times New Roman"/>
          <w:i/>
          <w:sz w:val="24"/>
          <w:szCs w:val="24"/>
        </w:rPr>
        <w:footnoteReference w:id="62"/>
      </w:r>
      <w:r>
        <w:rPr>
          <w:rFonts w:ascii="Times New Roman" w:hAnsi="Times New Roman"/>
          <w:i/>
          <w:sz w:val="24"/>
          <w:szCs w:val="24"/>
        </w:rPr>
        <w:t xml:space="preserve"> </w:t>
      </w:r>
      <w:r>
        <w:rPr>
          <w:rFonts w:ascii="Times New Roman" w:hAnsi="Times New Roman"/>
          <w:sz w:val="24"/>
          <w:szCs w:val="24"/>
        </w:rPr>
        <w:t xml:space="preserve">where the Supreme Court accepted that there was need for providing protection to public officers carrying out their statutory functions within their lawful authority.” </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Support for the theory can also be found in the literature on public administration. According to Adebayo, public administration must be done within an environment where public servants have the ability to exercise discretionary powers and implement government policies without unnecessary external pressures that could affect efficiency and effectiveness. In the same vein, Nwabueze posits that for governmental organizations to run </w:t>
      </w:r>
      <w:r>
        <w:rPr>
          <w:rStyle w:val="FootnoteReference"/>
          <w:rFonts w:ascii="Times New Roman" w:hAnsi="Times New Roman"/>
          <w:sz w:val="24"/>
          <w:szCs w:val="24"/>
        </w:rPr>
        <w:footnoteReference w:id="63"/>
      </w:r>
      <w:r>
        <w:rPr>
          <w:rFonts w:ascii="Times New Roman" w:hAnsi="Times New Roman"/>
          <w:sz w:val="24"/>
          <w:szCs w:val="24"/>
        </w:rPr>
        <w:t xml:space="preserve"> effectively, public officials need to have the capability to perform their constitutional and statutory duties without any unnecessary interference</w:t>
      </w:r>
      <w:r>
        <w:rPr>
          <w:rStyle w:val="FootnoteReference"/>
          <w:rFonts w:ascii="Times New Roman" w:hAnsi="Times New Roman"/>
          <w:sz w:val="24"/>
          <w:szCs w:val="24"/>
        </w:rPr>
        <w:footnoteReference w:id="64"/>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The Efficiency and Unhampered Duty Theory, though important, has faced serious criticisms. The major criticism is that too much legal protection might lead to abuse of power, corruption and impunity on the part of public officials. Critics say although public officials need some form of protection against frivolous lawsuits, it shouldn't be used as an excuse for non-accountability. Ukoh and Ngwoke state that the extensive use of immunity clauses in Nigeria has brought about fears of corruption and inequity of laws, hence the need for reforms</w:t>
      </w:r>
      <w:r>
        <w:rPr>
          <w:rStyle w:val="FootnoteReference"/>
          <w:rFonts w:ascii="Times New Roman" w:hAnsi="Times New Roman"/>
          <w:sz w:val="24"/>
          <w:szCs w:val="24"/>
        </w:rPr>
        <w:footnoteReference w:id="65"/>
      </w:r>
    </w:p>
    <w:p w:rsidR="00EC7CD2" w:rsidRDefault="00EC7CD2">
      <w:pPr>
        <w:spacing w:after="0" w:line="480" w:lineRule="auto"/>
        <w:jc w:val="both"/>
        <w:rPr>
          <w:rFonts w:ascii="Times New Roman" w:hAnsi="Times New Roman"/>
          <w:sz w:val="24"/>
          <w:szCs w:val="24"/>
        </w:rPr>
      </w:pPr>
    </w:p>
    <w:p w:rsidR="00EC7CD2" w:rsidRDefault="00EC7CD2">
      <w:pPr>
        <w:spacing w:after="0" w:line="480" w:lineRule="auto"/>
        <w:jc w:val="both"/>
        <w:rPr>
          <w:rFonts w:ascii="Times New Roman" w:hAnsi="Times New Roman"/>
          <w:sz w:val="24"/>
          <w:szCs w:val="24"/>
        </w:rPr>
      </w:pPr>
    </w:p>
    <w:p w:rsidR="00EC7CD2" w:rsidRDefault="00453B03">
      <w:pPr>
        <w:spacing w:after="0" w:line="480" w:lineRule="auto"/>
        <w:jc w:val="both"/>
        <w:outlineLvl w:val="2"/>
        <w:rPr>
          <w:rFonts w:ascii="Times New Roman" w:hAnsi="Times New Roman"/>
          <w:b/>
          <w:bCs/>
          <w:sz w:val="24"/>
          <w:szCs w:val="24"/>
        </w:rPr>
      </w:pPr>
      <w:r>
        <w:rPr>
          <w:rFonts w:ascii="Times New Roman" w:hAnsi="Times New Roman"/>
          <w:b/>
          <w:bCs/>
          <w:sz w:val="24"/>
          <w:szCs w:val="24"/>
        </w:rPr>
        <w:t>2.2.3 Statute of Limitation Theory</w:t>
      </w:r>
    </w:p>
    <w:p w:rsidR="00EC7CD2" w:rsidRDefault="00453B03">
      <w:pPr>
        <w:spacing w:after="0" w:line="480" w:lineRule="auto"/>
        <w:jc w:val="both"/>
        <w:outlineLvl w:val="2"/>
        <w:rPr>
          <w:rFonts w:ascii="Times New Roman" w:eastAsia="Times New Roman" w:hAnsi="Times New Roman"/>
          <w:b/>
          <w:bCs/>
          <w:sz w:val="24"/>
          <w:szCs w:val="24"/>
        </w:rPr>
      </w:pPr>
      <w:r>
        <w:rPr>
          <w:rFonts w:ascii="Times New Roman" w:hAnsi="Times New Roman"/>
          <w:sz w:val="24"/>
          <w:szCs w:val="24"/>
        </w:rPr>
        <w:t>Statute of Limitation Theory forms part of the major theories upon which the protection of public officers through the law is premised. The theory is premised on the assumption that legal actions should be brought within a set period after an alleged offense was committed. The law should not allow for stale claims, and legal certainty should prevail. That is, it should facilitate dispute resolution when evidence is still intact and memories of the event are still fresh. Time may have a bearing on the effective administration of justice in that witnesses may disappear, documents may be missing, and memories may fade. Therefore, limitation laws provide clear time periods in which legal actions should be started.</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Limitation statues are founded on the necessity of certainty, fairness, and efficiency in the administration of justice. Statutes of limitations are procedures that limit the period in which legal actions can be brought.</w:t>
      </w:r>
      <w:r>
        <w:rPr>
          <w:rStyle w:val="FootnoteReference"/>
          <w:rFonts w:ascii="Times New Roman" w:hAnsi="Times New Roman"/>
          <w:sz w:val="24"/>
          <w:szCs w:val="24"/>
        </w:rPr>
        <w:footnoteReference w:id="66"/>
      </w:r>
      <w:r>
        <w:rPr>
          <w:rFonts w:ascii="Times New Roman" w:hAnsi="Times New Roman"/>
          <w:sz w:val="24"/>
          <w:szCs w:val="24"/>
        </w:rPr>
        <w:t xml:space="preserve">  It also presupposes that people with genuine claims should not delay but work assiduously on their claims.</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The Statute of Limitations Theory is the reason why the Public Officers Protection Act,</w:t>
      </w:r>
      <w:r>
        <w:rPr>
          <w:rStyle w:val="FootnoteReference"/>
          <w:rFonts w:ascii="Times New Roman" w:hAnsi="Times New Roman"/>
          <w:sz w:val="24"/>
          <w:szCs w:val="24"/>
        </w:rPr>
        <w:footnoteReference w:id="67"/>
      </w:r>
      <w:r>
        <w:rPr>
          <w:rFonts w:ascii="Times New Roman" w:hAnsi="Times New Roman"/>
          <w:sz w:val="24"/>
          <w:szCs w:val="24"/>
        </w:rPr>
        <w:t xml:space="preserve"> was enacted. As required by section 2(a) of the Act, actions for claims against public officers in relation to acts committed in carrying out public duty must be initiated within three months from when the cause of action arose. It seeks to give the public officer relief from the hassle of defending claims concerning acts he or she committed a while ago so that they could effectively carry out their </w:t>
      </w:r>
      <w:r>
        <w:rPr>
          <w:rFonts w:ascii="Times New Roman" w:hAnsi="Times New Roman"/>
          <w:sz w:val="24"/>
          <w:szCs w:val="24"/>
        </w:rPr>
        <w:lastRenderedPageBreak/>
        <w:t>functions without always fear of being sued. Odusote opines that the intention behind this Act was to ensure special protection of public officers in the course of carrying out public duties through a short limitation period for actions against them.</w:t>
      </w:r>
      <w:r>
        <w:rPr>
          <w:rStyle w:val="FootnoteReference"/>
          <w:rFonts w:ascii="Times New Roman" w:hAnsi="Times New Roman"/>
          <w:sz w:val="24"/>
          <w:szCs w:val="24"/>
        </w:rPr>
        <w:footnoteReference w:id="68"/>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According to Folarin Philip and Ajala Taiwo, limitation laws were made to protect defendants from being faced with claims based on outdated evidence and also to compel parties involved to be diligent when defending their rights.</w:t>
      </w:r>
      <w:r>
        <w:rPr>
          <w:rStyle w:val="FootnoteReference"/>
          <w:rFonts w:ascii="Times New Roman" w:hAnsi="Times New Roman"/>
          <w:sz w:val="24"/>
          <w:szCs w:val="24"/>
        </w:rPr>
        <w:footnoteReference w:id="69"/>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Agbonika wrote that limitation laws make the disputes be sorted out in a timely manner without the proceedings going on endlessly</w:t>
      </w:r>
      <w:r>
        <w:rPr>
          <w:rStyle w:val="FootnoteReference"/>
          <w:rFonts w:ascii="Times New Roman" w:hAnsi="Times New Roman"/>
          <w:sz w:val="24"/>
          <w:szCs w:val="24"/>
        </w:rPr>
        <w:footnoteReference w:id="70"/>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This theory has been acknowledged in Nigeria by courts. “In </w:t>
      </w:r>
      <w:r>
        <w:rPr>
          <w:rFonts w:ascii="Times New Roman" w:hAnsi="Times New Roman"/>
          <w:i/>
          <w:sz w:val="24"/>
          <w:szCs w:val="24"/>
        </w:rPr>
        <w:t>Ibrahim v. Judicial Service Committee, Kaduna State</w:t>
      </w:r>
      <w:r>
        <w:rPr>
          <w:rStyle w:val="FootnoteReference"/>
          <w:rFonts w:ascii="Times New Roman" w:hAnsi="Times New Roman"/>
          <w:i/>
          <w:sz w:val="24"/>
          <w:szCs w:val="24"/>
        </w:rPr>
        <w:footnoteReference w:id="71"/>
      </w:r>
      <w:r>
        <w:rPr>
          <w:rFonts w:ascii="Times New Roman" w:hAnsi="Times New Roman"/>
          <w:sz w:val="24"/>
          <w:szCs w:val="24"/>
        </w:rPr>
        <w:t xml:space="preserve">, the Supreme Court held that the function of limitation statutes is to give protection to officials who act in the performance of their official duties. Again, in </w:t>
      </w:r>
      <w:r>
        <w:rPr>
          <w:rFonts w:ascii="Times New Roman" w:hAnsi="Times New Roman"/>
          <w:i/>
          <w:sz w:val="24"/>
          <w:szCs w:val="24"/>
        </w:rPr>
        <w:t>Egbe v. Adefarasin</w:t>
      </w:r>
      <w:r>
        <w:rPr>
          <w:rStyle w:val="FootnoteReference"/>
          <w:rFonts w:ascii="Times New Roman" w:hAnsi="Times New Roman"/>
          <w:sz w:val="24"/>
          <w:szCs w:val="24"/>
        </w:rPr>
        <w:footnoteReference w:id="72"/>
      </w:r>
      <w:r>
        <w:rPr>
          <w:rFonts w:ascii="Times New Roman" w:hAnsi="Times New Roman"/>
          <w:sz w:val="24"/>
          <w:szCs w:val="24"/>
        </w:rPr>
        <w:t>, the court stated that the main purpose of limitation statutes is to sort out stale claims.”</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However, the Statute of Limitations Theory has faced criticism on the grounds that it has the potential to deny access to justice. The argument put forward is that limitation periods can be too short such that deserving litigants who have claims will not be able to get justice through the courts despite the merit of their cases. Okeke says that the three-month limitation period provided by the </w:t>
      </w:r>
      <w:r>
        <w:rPr>
          <w:rFonts w:ascii="Times New Roman" w:hAnsi="Times New Roman"/>
          <w:sz w:val="24"/>
          <w:szCs w:val="24"/>
        </w:rPr>
        <w:lastRenderedPageBreak/>
        <w:t>Public Officers Protection Act might be an unreasonable restriction of the constitutional right of access to the court.</w:t>
      </w:r>
      <w:r>
        <w:rPr>
          <w:rStyle w:val="FootnoteReference"/>
          <w:rFonts w:ascii="Times New Roman" w:hAnsi="Times New Roman"/>
          <w:sz w:val="24"/>
          <w:szCs w:val="24"/>
        </w:rPr>
        <w:footnoteReference w:id="73"/>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“Thus, it becomes apparent that the Statute of Limitations Theory offers considerable theoretical background in relation to the protection of public officers in Nigeria. The theory facilitates legal certainty, discourages stale cases and promotes diligence on the part of the litigant which justifies the need for limitation statutes like the Public Officers Protection Act. However, the theory also reveals the importance of striking a balance between the protection of public officers and the constitutional right of access to justice.”</w:t>
      </w:r>
    </w:p>
    <w:p w:rsidR="00EC7CD2" w:rsidRDefault="00453B03">
      <w:pPr>
        <w:spacing w:after="0" w:line="480" w:lineRule="auto"/>
        <w:jc w:val="both"/>
        <w:rPr>
          <w:rFonts w:ascii="Times New Roman" w:hAnsi="Times New Roman"/>
          <w:b/>
          <w:bCs/>
          <w:sz w:val="24"/>
          <w:szCs w:val="24"/>
        </w:rPr>
      </w:pPr>
      <w:r>
        <w:rPr>
          <w:rFonts w:ascii="Times New Roman" w:hAnsi="Times New Roman"/>
          <w:b/>
          <w:bCs/>
          <w:sz w:val="24"/>
          <w:szCs w:val="24"/>
        </w:rPr>
        <w:t>2.2.4 Theory of Sovereign Immunity</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The Theory of Sovereign Immunity has been one of the oldest legal doctrines behind the immunity of public officers and governments. This theory evolved from the ancient doctrine of “the King can do no wrong.” This means that the sovereign cannot be sued in his own courts without his permission. This doctrine emerged from the fact that the sovereign was above all others, and allowing legal actions against the sovereign would weaken the government. Although there are great modifications to the doctrine in the modern democratic societies, its basic principles still affect the laws about governmental immunity and protection of public officers.</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This theory is based on the idea that the government should be able to carry out its activities without any interference of the legal actions. It believes that some public officers and governmental agencies need legal immunity in order to make sure that the process of governance continues, public order is kept and the duties of the officers are not disturbed.As a result, different legal </w:t>
      </w:r>
      <w:r>
        <w:rPr>
          <w:rFonts w:ascii="Times New Roman" w:hAnsi="Times New Roman"/>
          <w:sz w:val="24"/>
          <w:szCs w:val="24"/>
        </w:rPr>
        <w:lastRenderedPageBreak/>
        <w:t>systems grant varying levels of immunity to shield public officials when they act in the exercise of their official powers.</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Sovereign immunity has been acknowledged as a doctrine in England and later adopted in several commonwealth countries like Nigeria. According to Wade and Forsyth, sovereign immunity became a legal concept created for the purpose of protecting governmental power against judicial interference, although contemporary trends have subjected governmental acts to judicial control and accountability.</w:t>
      </w:r>
      <w:r>
        <w:rPr>
          <w:rStyle w:val="FootnoteReference"/>
          <w:rFonts w:ascii="Times New Roman" w:hAnsi="Times New Roman"/>
          <w:sz w:val="24"/>
          <w:szCs w:val="24"/>
        </w:rPr>
        <w:footnoteReference w:id="74"/>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In a similar manner, De Smith notes that the reason behind the development of sovereign immunity has been to protect the governmental power as well as the continuous discharge of its functions.</w:t>
      </w:r>
      <w:r>
        <w:rPr>
          <w:rStyle w:val="FootnoteReference"/>
          <w:rFonts w:ascii="Times New Roman" w:hAnsi="Times New Roman"/>
          <w:sz w:val="24"/>
          <w:szCs w:val="24"/>
        </w:rPr>
        <w:footnoteReference w:id="75"/>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“There is an impact of Theory of Sovereign Immunity on Nigerian Law. Article 308 of the Constitution of the Federal Republic of Nigeria 1999 (as amended) provides immunity from any civil or criminal proceedings against the President, Vice President, Governors and Deputy Governors while they hold office. The justification for this provision in the Constitution is that these executive positions be allowed to perform their constitutional duties without hindrances from any lawsuits. According to Akpambang, the immunity clause is founded on the principle of sovereign immunity and its objective is to ensure the continuous operation of the executive government.”</w:t>
      </w:r>
      <w:r>
        <w:rPr>
          <w:rStyle w:val="FootnoteReference"/>
          <w:rFonts w:ascii="Times New Roman" w:hAnsi="Times New Roman"/>
          <w:sz w:val="24"/>
          <w:szCs w:val="24"/>
        </w:rPr>
        <w:footnoteReference w:id="76"/>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This principle is also found in legislation “like the Public Officers Protection Act, Cap P41, Laws of the Federation of Nigeria 2004, where the time within which suits can be instituted against </w:t>
      </w:r>
      <w:r>
        <w:rPr>
          <w:rFonts w:ascii="Times New Roman" w:hAnsi="Times New Roman"/>
          <w:sz w:val="24"/>
          <w:szCs w:val="24"/>
        </w:rPr>
        <w:lastRenderedPageBreak/>
        <w:t>public officers in respect of the execution of their duties as public officers is defined. This is meant to protect public officers from being exposed to too many litigations that might hamper their operations. According to Nwabueze, legal privileges granted to governmental organizations and public officers are based on the fact that they need to be protected to ensure their effectiveness.</w:t>
      </w:r>
      <w:r>
        <w:rPr>
          <w:rStyle w:val="FootnoteReference"/>
          <w:rFonts w:ascii="Times New Roman" w:hAnsi="Times New Roman"/>
          <w:sz w:val="24"/>
          <w:szCs w:val="24"/>
        </w:rPr>
        <w:footnoteReference w:id="77"/>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The Nigerian courts have appreciated the constitutional importance of immunity. As stated in </w:t>
      </w:r>
      <w:r>
        <w:rPr>
          <w:rFonts w:ascii="Times New Roman" w:hAnsi="Times New Roman"/>
          <w:i/>
          <w:sz w:val="24"/>
          <w:szCs w:val="24"/>
        </w:rPr>
        <w:t>Tinubu v. I.M.B. Securities Plc</w:t>
      </w:r>
      <w:r>
        <w:rPr>
          <w:rFonts w:ascii="Times New Roman" w:hAnsi="Times New Roman"/>
          <w:sz w:val="24"/>
          <w:szCs w:val="24"/>
        </w:rPr>
        <w:t>,</w:t>
      </w:r>
      <w:r>
        <w:rPr>
          <w:rStyle w:val="FootnoteReference"/>
          <w:rFonts w:ascii="Times New Roman" w:hAnsi="Times New Roman"/>
          <w:sz w:val="24"/>
          <w:szCs w:val="24"/>
        </w:rPr>
        <w:footnoteReference w:id="78"/>
      </w:r>
      <w:r>
        <w:rPr>
          <w:rFonts w:ascii="Times New Roman" w:hAnsi="Times New Roman"/>
          <w:sz w:val="24"/>
          <w:szCs w:val="24"/>
        </w:rPr>
        <w:t xml:space="preserve"> the Court of Appeal upheld that the immunity granted under Section 308 of the Constitution covers particular officials who can neither be sued nor face any legal action while still in office. In addition, in </w:t>
      </w:r>
      <w:r>
        <w:rPr>
          <w:rFonts w:ascii="Times New Roman" w:hAnsi="Times New Roman"/>
          <w:i/>
          <w:sz w:val="24"/>
          <w:szCs w:val="24"/>
        </w:rPr>
        <w:t>Fawehinmi v. Inspector-General of Police</w:t>
      </w:r>
      <w:r>
        <w:rPr>
          <w:rStyle w:val="FootnoteReference"/>
          <w:rFonts w:ascii="Times New Roman" w:hAnsi="Times New Roman"/>
          <w:i/>
          <w:sz w:val="24"/>
          <w:szCs w:val="24"/>
        </w:rPr>
        <w:footnoteReference w:id="79"/>
      </w:r>
      <w:r>
        <w:rPr>
          <w:rFonts w:ascii="Times New Roman" w:hAnsi="Times New Roman"/>
          <w:sz w:val="24"/>
          <w:szCs w:val="24"/>
        </w:rPr>
        <w:t xml:space="preserve">  the Supreme Court ruled that even though a protected individual under Section 308 cannot be prosecuted, there should be no prohibition to investigate him/her. Thus, the sovereign immunity under the Nigerian laws is not unlimited but subject to certain constitutional restrictions.”</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Though the theory of sovereign immunity is highly relevant, the Theory of Sovereign Immunity has been heavily criticized for its implications on the accountability of public officers. It is argued that too much of sovereign immunity might facilitate impunity and abuse of office. Ukoh and Ngwoke note that the concept of immunity may contradict the modern constitutional principles of accountability, equality before the law and transparency, and therefore it needs to be reviewed.</w:t>
      </w:r>
      <w:r>
        <w:rPr>
          <w:rStyle w:val="FootnoteReference"/>
          <w:rFonts w:ascii="Times New Roman" w:hAnsi="Times New Roman"/>
          <w:sz w:val="24"/>
          <w:szCs w:val="24"/>
        </w:rPr>
        <w:footnoteReference w:id="80"/>
      </w:r>
    </w:p>
    <w:p w:rsidR="00EC7CD2" w:rsidRDefault="00453B03">
      <w:pPr>
        <w:spacing w:after="0" w:line="480" w:lineRule="auto"/>
        <w:jc w:val="both"/>
        <w:rPr>
          <w:rFonts w:ascii="Times New Roman" w:hAnsi="Times New Roman"/>
          <w:b/>
          <w:bCs/>
          <w:sz w:val="24"/>
          <w:szCs w:val="24"/>
        </w:rPr>
      </w:pPr>
      <w:r>
        <w:rPr>
          <w:rFonts w:ascii="Times New Roman" w:hAnsi="Times New Roman"/>
          <w:b/>
          <w:bCs/>
          <w:sz w:val="24"/>
          <w:szCs w:val="24"/>
        </w:rPr>
        <w:t>2.2.5 “Exception as Rule”: Agamben’s Theory on the Suspension of Law</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The theory of “Exception as Rule” was formulated by Italian philosopher Giorgio Agamben in the course of his investigation into sovereignty, political power, and functioning of legal system in </w:t>
      </w:r>
      <w:r>
        <w:rPr>
          <w:rFonts w:ascii="Times New Roman" w:hAnsi="Times New Roman"/>
          <w:sz w:val="24"/>
          <w:szCs w:val="24"/>
        </w:rPr>
        <w:lastRenderedPageBreak/>
        <w:t>times of exception. The theory primarily deals with the cases where legal norms get suspended or amended in order to deal with the requirements of political, administrative and government situation. According to the theory, an initially exceptional measure of law tends to become a part of the regular legal system over time and thus makes the exception a rule. In such a way, extraordinary legal measures applicable in some rare instances get incorporated in regular government processes.</w:t>
      </w:r>
      <w:r>
        <w:rPr>
          <w:rStyle w:val="FootnoteReference"/>
          <w:rFonts w:ascii="Times New Roman" w:hAnsi="Times New Roman"/>
          <w:sz w:val="24"/>
          <w:szCs w:val="24"/>
        </w:rPr>
        <w:footnoteReference w:id="81"/>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Agamben’s theory is based on the arguments by Carl Schmitt who argues that the sovereign is the one who makes decisions in regard to what is an exception in the legal system and has powers to suspend the laws where there is a need to ensure that the survival of the state is not jeopardized.</w:t>
      </w:r>
      <w:r>
        <w:rPr>
          <w:rStyle w:val="FootnoteReference"/>
          <w:rFonts w:ascii="Times New Roman" w:hAnsi="Times New Roman"/>
          <w:sz w:val="24"/>
          <w:szCs w:val="24"/>
        </w:rPr>
        <w:footnoteReference w:id="82"/>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Agamben develops this argument further by claiming that most states today resort to use of exceptional measures in the laws which, although introduced as emergency measures, finally become part of the normal operations of government. This makes it difficult for one to tell the difference between exceptional measures in the law and normal measures.</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“Importance of Agamben's theory to protection of public officers in Nigeria is that it gives us an understanding of how exceptional legal immunities and legal protections could become part of the normal process of governing. Some of these include Public Officers Protection Act,</w:t>
      </w:r>
      <w:r>
        <w:rPr>
          <w:rStyle w:val="FootnoteReference"/>
          <w:rFonts w:ascii="Times New Roman" w:hAnsi="Times New Roman"/>
          <w:sz w:val="24"/>
          <w:szCs w:val="24"/>
        </w:rPr>
        <w:footnoteReference w:id="83"/>
      </w:r>
      <w:r>
        <w:rPr>
          <w:rFonts w:ascii="Times New Roman" w:hAnsi="Times New Roman"/>
          <w:sz w:val="24"/>
          <w:szCs w:val="24"/>
        </w:rPr>
        <w:t xml:space="preserve"> and the immunities provided under Section 308 of the Constitution.</w:t>
      </w:r>
      <w:r>
        <w:rPr>
          <w:rStyle w:val="FootnoteReference"/>
          <w:rFonts w:ascii="Times New Roman" w:hAnsi="Times New Roman"/>
          <w:sz w:val="24"/>
          <w:szCs w:val="24"/>
        </w:rPr>
        <w:footnoteReference w:id="84"/>
      </w:r>
      <w:r>
        <w:rPr>
          <w:rFonts w:ascii="Times New Roman" w:hAnsi="Times New Roman"/>
          <w:sz w:val="24"/>
          <w:szCs w:val="24"/>
        </w:rPr>
        <w:t xml:space="preserve"> Public Officers Protection Act was passed to serve a particular purpose and so was Section 308 of the Constitution.”</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lastRenderedPageBreak/>
        <w:t>But Agamben’s theory indicates that when such protections become too expansive or frequently used, they might end up not being an exception but rather an ordinary means of protecting public officials from the rule of law.</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In an attempt to mitigate some of these fears, the courts of Nigeria have recognised exceptions to legal protection. For example, “in </w:t>
      </w:r>
      <w:r>
        <w:rPr>
          <w:rFonts w:ascii="Times New Roman" w:hAnsi="Times New Roman"/>
          <w:i/>
          <w:sz w:val="24"/>
          <w:szCs w:val="24"/>
        </w:rPr>
        <w:t>Fawehinmi v. Inspector-General of Police</w:t>
      </w:r>
      <w:r>
        <w:rPr>
          <w:rStyle w:val="FootnoteReference"/>
          <w:rFonts w:ascii="Times New Roman" w:hAnsi="Times New Roman"/>
          <w:i/>
          <w:sz w:val="24"/>
          <w:szCs w:val="24"/>
        </w:rPr>
        <w:footnoteReference w:id="85"/>
      </w:r>
      <w:r>
        <w:rPr>
          <w:rFonts w:ascii="Times New Roman" w:hAnsi="Times New Roman"/>
          <w:sz w:val="24"/>
          <w:szCs w:val="24"/>
        </w:rPr>
        <w:t xml:space="preserve">  the Supreme Court decided that the immunity accorded under Section 308 does not preclude investigations of alleged criminal activity. In another case, </w:t>
      </w:r>
      <w:r>
        <w:rPr>
          <w:rFonts w:ascii="Times New Roman" w:hAnsi="Times New Roman"/>
          <w:i/>
          <w:sz w:val="24"/>
          <w:szCs w:val="24"/>
        </w:rPr>
        <w:t>National Revenue Mobilisation Allocation and Fiscal Commission v. Ajibola Johnson</w:t>
      </w:r>
      <w:r>
        <w:rPr>
          <w:rFonts w:ascii="Times New Roman" w:hAnsi="Times New Roman"/>
          <w:sz w:val="24"/>
          <w:szCs w:val="24"/>
        </w:rPr>
        <w:t>,</w:t>
      </w:r>
      <w:r>
        <w:rPr>
          <w:rStyle w:val="FootnoteReference"/>
          <w:rFonts w:ascii="Times New Roman" w:hAnsi="Times New Roman"/>
          <w:sz w:val="24"/>
          <w:szCs w:val="24"/>
        </w:rPr>
        <w:footnoteReference w:id="86"/>
      </w:r>
      <w:r>
        <w:rPr>
          <w:rFonts w:ascii="Times New Roman" w:hAnsi="Times New Roman"/>
          <w:sz w:val="24"/>
          <w:szCs w:val="24"/>
        </w:rPr>
        <w:t xml:space="preserve"> the Supreme Court limited the scope of the Public Officers Protection Act to hold that it is not applicable to contracts of employment. These judicial actions clearly indicate attempts by the judiciary to limit exceptional legal protections from being absolute shields to any accountability.”</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The key strength of Agamben's theory is that it offers a critical approach to the assessment of legal protection based on the degree of its compliance with its intended purposes. “It shows the risk of the exceptional status that may lead to the erosion of the values of equality before the law, transparency, and accountability. Critics of Agamben's theory claim that some legal protections of exception are still necessary.”</w:t>
      </w:r>
    </w:p>
    <w:p w:rsidR="00EC7CD2" w:rsidRPr="0071211C" w:rsidRDefault="00453B03" w:rsidP="0071211C">
      <w:pPr>
        <w:spacing w:after="0" w:line="480" w:lineRule="auto"/>
        <w:jc w:val="both"/>
        <w:rPr>
          <w:rFonts w:ascii="Times New Roman" w:hAnsi="Times New Roman"/>
          <w:sz w:val="24"/>
          <w:szCs w:val="24"/>
        </w:rPr>
      </w:pPr>
      <w:r>
        <w:rPr>
          <w:rFonts w:ascii="Times New Roman" w:hAnsi="Times New Roman"/>
          <w:sz w:val="24"/>
          <w:szCs w:val="24"/>
        </w:rPr>
        <w:t>The Theory of the “Exception as Rule” by Agamben is thus a crucial theoretical approach in the assessment of the protection of public officials in Nigeria. This theory shows how immunities and protections, which initially were introduced as exceptions, may gradually become normal means of preventing accountability and justice. In other words, it allows us to assess the efficiency of the current legal protection of public officials in light of its initial purposes.</w:t>
      </w:r>
    </w:p>
    <w:p w:rsidR="00EC7CD2" w:rsidRDefault="00453B03">
      <w:pPr>
        <w:spacing w:after="0" w:line="480" w:lineRule="auto"/>
        <w:jc w:val="center"/>
        <w:rPr>
          <w:rFonts w:ascii="Times New Roman" w:hAnsi="Times New Roman"/>
          <w:sz w:val="24"/>
          <w:szCs w:val="24"/>
        </w:rPr>
      </w:pPr>
      <w:r>
        <w:rPr>
          <w:rFonts w:ascii="Times New Roman" w:hAnsi="Times New Roman"/>
          <w:b/>
          <w:bCs/>
          <w:sz w:val="24"/>
          <w:szCs w:val="24"/>
        </w:rPr>
        <w:lastRenderedPageBreak/>
        <w:t>CHAPTER THREE</w:t>
      </w:r>
    </w:p>
    <w:p w:rsidR="00EC7CD2" w:rsidRDefault="00453B03">
      <w:pPr>
        <w:spacing w:after="0" w:line="480" w:lineRule="auto"/>
        <w:jc w:val="center"/>
        <w:rPr>
          <w:rFonts w:ascii="Times New Roman" w:hAnsi="Times New Roman"/>
          <w:b/>
          <w:bCs/>
          <w:sz w:val="24"/>
          <w:szCs w:val="24"/>
        </w:rPr>
      </w:pPr>
      <w:r>
        <w:rPr>
          <w:rFonts w:ascii="Times New Roman" w:hAnsi="Times New Roman"/>
          <w:b/>
          <w:bCs/>
          <w:sz w:val="24"/>
          <w:szCs w:val="24"/>
        </w:rPr>
        <w:t>LEGAL AND INSTITUTIONAL FRAMEWORK FOR THE PROTECTION OF PUBLIC OFFICERS IN NIGERIA</w:t>
      </w:r>
    </w:p>
    <w:p w:rsidR="00EC7CD2" w:rsidRDefault="00453B03">
      <w:pPr>
        <w:spacing w:after="0" w:line="480" w:lineRule="auto"/>
        <w:jc w:val="both"/>
        <w:rPr>
          <w:rFonts w:ascii="Times New Roman" w:hAnsi="Times New Roman"/>
          <w:b/>
          <w:bCs/>
          <w:sz w:val="24"/>
          <w:szCs w:val="24"/>
        </w:rPr>
      </w:pPr>
      <w:r>
        <w:rPr>
          <w:rFonts w:ascii="Times New Roman" w:hAnsi="Times New Roman"/>
          <w:b/>
          <w:bCs/>
          <w:sz w:val="24"/>
          <w:szCs w:val="24"/>
        </w:rPr>
        <w:t>3.1 Statutory Provisions Relating to Public Officers</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The Nigerian Constitution is known to be the grundnorm from which all other laws derive their validity. Section 1(3)</w:t>
      </w:r>
      <w:r>
        <w:rPr>
          <w:rStyle w:val="FootnoteReference"/>
          <w:rFonts w:ascii="Times New Roman" w:hAnsi="Times New Roman"/>
          <w:sz w:val="24"/>
          <w:szCs w:val="24"/>
        </w:rPr>
        <w:footnoteReference w:id="87"/>
      </w:r>
      <w:r>
        <w:rPr>
          <w:rFonts w:ascii="Times New Roman" w:hAnsi="Times New Roman"/>
          <w:sz w:val="24"/>
          <w:szCs w:val="24"/>
        </w:rPr>
        <w:t>makes it clear that the constitution is superior to all other laws, and any other laws which contradict the contents of the Constitution are void in their inconsistency with it. The constitution has protective and regulatory provisions which regulate public officials when performing their duties.</w:t>
      </w:r>
    </w:p>
    <w:p w:rsidR="00EC7CD2" w:rsidRDefault="00453B03">
      <w:pPr>
        <w:spacing w:after="0" w:line="480" w:lineRule="auto"/>
        <w:jc w:val="both"/>
        <w:rPr>
          <w:rFonts w:ascii="Times New Roman" w:hAnsi="Times New Roman"/>
          <w:b/>
          <w:bCs/>
          <w:sz w:val="24"/>
          <w:szCs w:val="24"/>
        </w:rPr>
      </w:pPr>
      <w:r>
        <w:rPr>
          <w:rFonts w:ascii="Times New Roman" w:hAnsi="Times New Roman"/>
          <w:b/>
          <w:bCs/>
          <w:sz w:val="24"/>
          <w:szCs w:val="24"/>
        </w:rPr>
        <w:t xml:space="preserve">3.1.1 Constitution of the Federal Republic of Nigeria </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The terms and conditions of Section 308 of the Constitution of the Federal Republic of Nigeria as amended states that:</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308(1) Despite the provisions contained in this Constitution but subject to subsection (2) of this section;</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(a) “No civil or criminal proceedings may be instituted or continued against a person to whom this section applies during the period of his office;”</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(b) “A person to whom this section applies may not be arrested or detained in custody during such period on the authority of the process of any court or otherwise;” and</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(c) “Process of any court compelling the attendance of a person to whom this section applies is not capable of being issued;”</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lastRenderedPageBreak/>
        <w:t>“Provided that in determining whether the period of limitation for the purpose of any proceeding against a person to whom this section applies has expired, no account shall be taken of the period of office of that person.”</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“(2) The provisions of subsection (1) of this section shall not apply to civil proceedings against a person to whom this section applies in his official capacity or to civil or criminal proceedings in which such a person is only a nominal party;”</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“(3) This section applies to a person holding the office of President or Vice-president, Governor or Deputy Governor; and the reference in this section to “period of office” is a reference to the period during which the person holding such office is required to perform the functions of the office.”</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“Section 308 of the 1999 Constitution</w:t>
      </w:r>
      <w:r>
        <w:rPr>
          <w:rStyle w:val="FootnoteReference"/>
          <w:rFonts w:ascii="Times New Roman" w:hAnsi="Times New Roman"/>
          <w:sz w:val="24"/>
          <w:szCs w:val="24"/>
        </w:rPr>
        <w:footnoteReference w:id="88"/>
      </w:r>
      <w:r>
        <w:rPr>
          <w:rFonts w:ascii="Times New Roman" w:hAnsi="Times New Roman"/>
          <w:sz w:val="24"/>
          <w:szCs w:val="24"/>
        </w:rPr>
        <w:t xml:space="preserve"> provides for executive immunity. This immunity extends to arrest, imprisonment, and the service of court processes. The Supreme Court in </w:t>
      </w:r>
      <w:r>
        <w:rPr>
          <w:rFonts w:ascii="Times New Roman" w:hAnsi="Times New Roman"/>
          <w:i/>
          <w:iCs/>
          <w:sz w:val="24"/>
          <w:szCs w:val="24"/>
        </w:rPr>
        <w:t>Global Excellence Comm. Ltd v Duke</w:t>
      </w:r>
      <w:r>
        <w:rPr>
          <w:rStyle w:val="FootnoteReference"/>
          <w:rFonts w:ascii="Times New Roman" w:hAnsi="Times New Roman"/>
          <w:sz w:val="24"/>
          <w:szCs w:val="24"/>
        </w:rPr>
        <w:footnoteReference w:id="89"/>
      </w:r>
      <w:r>
        <w:rPr>
          <w:rFonts w:ascii="Times New Roman" w:hAnsi="Times New Roman"/>
          <w:sz w:val="24"/>
          <w:szCs w:val="24"/>
        </w:rPr>
        <w:t xml:space="preserve"> held that Section 308(1)(a)</w:t>
      </w:r>
      <w:r>
        <w:rPr>
          <w:rStyle w:val="FootnoteReference"/>
          <w:rFonts w:ascii="Times New Roman" w:hAnsi="Times New Roman"/>
          <w:sz w:val="24"/>
          <w:szCs w:val="24"/>
        </w:rPr>
        <w:footnoteReference w:id="90"/>
      </w:r>
      <w:r>
        <w:rPr>
          <w:rFonts w:ascii="Times New Roman" w:hAnsi="Times New Roman"/>
          <w:sz w:val="24"/>
          <w:szCs w:val="24"/>
        </w:rPr>
        <w:t xml:space="preserve"> confers absolute immunity on those therein mentioned, without a corresponding disability on them to exercise of their rights to institute actions in their personal capacities in any relevant court of law for redress during their tenure of office.”</w:t>
      </w:r>
      <w:r>
        <w:rPr>
          <w:rStyle w:val="FootnoteReference"/>
          <w:rFonts w:ascii="Times New Roman" w:hAnsi="Times New Roman"/>
          <w:sz w:val="24"/>
          <w:szCs w:val="24"/>
        </w:rPr>
        <w:footnoteReference w:id="91"/>
      </w:r>
    </w:p>
    <w:p w:rsidR="00EC7CD2" w:rsidRDefault="00453B03">
      <w:pPr>
        <w:spacing w:after="0" w:line="480" w:lineRule="auto"/>
        <w:jc w:val="both"/>
        <w:rPr>
          <w:rFonts w:ascii="Times New Roman" w:hAnsi="Times New Roman"/>
          <w:b/>
          <w:bCs/>
          <w:sz w:val="24"/>
          <w:szCs w:val="24"/>
        </w:rPr>
      </w:pPr>
      <w:r>
        <w:rPr>
          <w:rFonts w:ascii="Times New Roman" w:hAnsi="Times New Roman"/>
          <w:b/>
          <w:bCs/>
          <w:sz w:val="24"/>
          <w:szCs w:val="24"/>
        </w:rPr>
        <w:t>Fifth Schedule, Part I</w:t>
      </w:r>
    </w:p>
    <w:p w:rsidR="00EC7CD2" w:rsidRDefault="00453B03">
      <w:pPr>
        <w:spacing w:after="0" w:line="480" w:lineRule="auto"/>
        <w:jc w:val="both"/>
        <w:rPr>
          <w:rFonts w:ascii="Times New Roman" w:hAnsi="Times New Roman"/>
          <w:b/>
          <w:bCs/>
          <w:sz w:val="24"/>
          <w:szCs w:val="24"/>
        </w:rPr>
      </w:pPr>
      <w:r>
        <w:rPr>
          <w:rFonts w:ascii="Times New Roman" w:hAnsi="Times New Roman"/>
          <w:b/>
          <w:bCs/>
          <w:sz w:val="24"/>
          <w:szCs w:val="24"/>
        </w:rPr>
        <w:t xml:space="preserve">Code Of Conduct for Public Officers </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lastRenderedPageBreak/>
        <w:t>“Paragraph one discusses conflict of interest in relation to duty, where the public office holder shall not place himself in a situation where his personal interest is in conflict with his official duties and obligations. The third paragraph talks about foreign accounts prohibitions, which means the President, Vice-President, Governor, Deputy Governor, Ministers of the Government of the Federation and Commissioners of the Governments of the States, members of the National Assembly and of the Houses of Assembly of the States, and such other public officers or persons as the National Assembly may by law prescribe should not have a bank account in any foreign nation other than Nigeria. The sixth paragraph prohibits Public Officers from soliciting or accepting any form of gifts or benefits for the purpose of performing or not performing their official duties and sub paragraph three specifies that the Public Officers can only accept gifts from relatives and personal friends. Under Paragraph 8, there is provision of bribery of public officers where it stated Public Officers are not supposed to take bribes or gifts while performing their duties. Under Paragraph 9, there is provision of abuse of power where a public officer shall not commit or cause an arbitrary act prejudicial to the rights of another person which he knows is unlawful or contrary to any government policy.”</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Beyond Section 308 immunity and the Fifth Schedule Code of Conduct, the Constitution provides additional protections:</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Section 36</w:t>
      </w:r>
      <w:r>
        <w:rPr>
          <w:rStyle w:val="FootnoteReference"/>
          <w:rFonts w:ascii="Times New Roman" w:hAnsi="Times New Roman"/>
          <w:sz w:val="24"/>
          <w:szCs w:val="24"/>
        </w:rPr>
        <w:footnoteReference w:id="92"/>
      </w:r>
      <w:r>
        <w:rPr>
          <w:rFonts w:ascii="Times New Roman" w:hAnsi="Times New Roman"/>
          <w:sz w:val="24"/>
          <w:szCs w:val="24"/>
        </w:rPr>
        <w:t xml:space="preserve"> - Right to Fair Hearing; When public officers face disciplinary or criminal proceedings, they are entitled to fair hearing protections.</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lastRenderedPageBreak/>
        <w:t>“Section 4(2) &amp; (3) of the Constitution</w:t>
      </w:r>
      <w:r>
        <w:rPr>
          <w:rStyle w:val="FootnoteReference"/>
          <w:rFonts w:ascii="Times New Roman" w:hAnsi="Times New Roman"/>
          <w:sz w:val="24"/>
          <w:szCs w:val="24"/>
        </w:rPr>
        <w:footnoteReference w:id="93"/>
      </w:r>
      <w:r>
        <w:rPr>
          <w:rFonts w:ascii="Times New Roman" w:hAnsi="Times New Roman"/>
          <w:sz w:val="24"/>
          <w:szCs w:val="24"/>
        </w:rPr>
        <w:t>The National Assembly shall have powers to legislate for peace, order and good government of the federation in relation to the subjects mentioned in the Exclusive Legislative List contained in Part I of the Second Schedule, especially item 53.”</w:t>
      </w:r>
    </w:p>
    <w:p w:rsidR="00EC7CD2" w:rsidRDefault="00EC7CD2">
      <w:pPr>
        <w:spacing w:after="0" w:line="480" w:lineRule="auto"/>
        <w:jc w:val="both"/>
        <w:rPr>
          <w:rFonts w:ascii="Times New Roman" w:hAnsi="Times New Roman"/>
          <w:sz w:val="24"/>
          <w:szCs w:val="24"/>
        </w:rPr>
      </w:pPr>
    </w:p>
    <w:p w:rsidR="00EC7CD2" w:rsidRDefault="00453B03">
      <w:pPr>
        <w:spacing w:after="0" w:line="480" w:lineRule="auto"/>
        <w:jc w:val="both"/>
        <w:rPr>
          <w:rFonts w:ascii="Times New Roman" w:hAnsi="Times New Roman"/>
          <w:b/>
          <w:bCs/>
          <w:sz w:val="24"/>
          <w:szCs w:val="24"/>
        </w:rPr>
      </w:pPr>
      <w:r>
        <w:rPr>
          <w:rFonts w:ascii="Times New Roman" w:hAnsi="Times New Roman"/>
          <w:b/>
          <w:bCs/>
          <w:sz w:val="24"/>
          <w:szCs w:val="24"/>
        </w:rPr>
        <w:t>3.1.2 Public Officers Protection Act (POPA)</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The Public Officers Protection Act</w:t>
      </w:r>
      <w:r>
        <w:rPr>
          <w:rStyle w:val="FootnoteReference"/>
          <w:rFonts w:ascii="Times New Roman" w:hAnsi="Times New Roman"/>
          <w:sz w:val="24"/>
          <w:szCs w:val="24"/>
        </w:rPr>
        <w:footnoteReference w:id="94"/>
      </w:r>
      <w:r>
        <w:rPr>
          <w:rFonts w:ascii="Times New Roman" w:hAnsi="Times New Roman"/>
          <w:sz w:val="24"/>
          <w:szCs w:val="24"/>
        </w:rPr>
        <w:t xml:space="preserve"> is the primary statute providing legal protection to public officers in Nigeria. Originally enacted in 1916 as No 39 of 1916, the Act was designed to protect public officers from vexatious litigation that could hinder the efficient discharge of public duties.</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Section 2(a): Limitation of Action. The most important point in this section is the one which states that no action can be brought against any public officer unless it is commenced within three months after the act, neglect or default committed, or within three months from the end of the continuing injury. This is much shorter than the normal six years of Limitation Law.</w:t>
      </w:r>
      <w:r>
        <w:rPr>
          <w:rStyle w:val="FootnoteReference"/>
          <w:rFonts w:ascii="Times New Roman" w:hAnsi="Times New Roman"/>
          <w:sz w:val="24"/>
          <w:szCs w:val="24"/>
        </w:rPr>
        <w:footnoteReference w:id="95"/>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Section 2(b) - Costs: In every such case wherein the defendant obtains a judgment, he or she shall have the right to recover from the plaintiff all costs that the defendant has rightfully incurred in defending such action.</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Section 2(c) - Tender of Amends: Public officers can tender amends before instituting any legal proceedings, and if the plaintiff does not get more than the amount tendered, then they cannot recover for the expenses incurred thereafter.</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“The Public Officers Protection Act</w:t>
      </w:r>
      <w:r>
        <w:rPr>
          <w:rStyle w:val="FootnoteReference"/>
          <w:rFonts w:ascii="Times New Roman" w:hAnsi="Times New Roman"/>
          <w:sz w:val="24"/>
          <w:szCs w:val="24"/>
        </w:rPr>
        <w:footnoteReference w:id="96"/>
      </w:r>
      <w:r>
        <w:rPr>
          <w:rFonts w:ascii="Times New Roman" w:hAnsi="Times New Roman"/>
          <w:sz w:val="24"/>
          <w:szCs w:val="24"/>
        </w:rPr>
        <w:t xml:space="preserve">,(hereinafter referred to as “the Act” or “POPA”) is a law that seeks to protect public officers’ actions or inactions in the course of their public duty. Section </w:t>
      </w:r>
      <w:r>
        <w:rPr>
          <w:rFonts w:ascii="Times New Roman" w:hAnsi="Times New Roman"/>
          <w:sz w:val="24"/>
          <w:szCs w:val="24"/>
        </w:rPr>
        <w:lastRenderedPageBreak/>
        <w:t>2(a) of the aforesaid Act provides that “the action, prosecution or proceedings shall not lie or be instituted unless it is commenced within three months next after the act, neglect or default complained of, or in case of continuance of damages or injury, within three months next after the ceasing thereof.” This is typically the first defence raised by a public official being sued for his/her conduct or lack thereof, without taking into account whether the Act will help the public official. To ensure Section 2 of the POPA is available to the public officer sued, it must be proven that his/her act is connected to (i) an act performed as an execution or pursuant to any law or Act; or (ii) the performance of any public duty or authority; and (iii) an allegation of neglect or failure in the execution of any such act, law, duty or authority. There are also cases when the Act will not be available to the public officer; some of which were provided in the instant case.”</w:t>
      </w:r>
      <w:r>
        <w:rPr>
          <w:rStyle w:val="FootnoteReference"/>
          <w:rFonts w:ascii="Times New Roman" w:hAnsi="Times New Roman"/>
          <w:sz w:val="24"/>
          <w:szCs w:val="24"/>
        </w:rPr>
        <w:footnoteReference w:id="97"/>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The Appellant, “CIL Risk &amp; Asset Management Ltd</w:t>
      </w:r>
      <w:r>
        <w:rPr>
          <w:rStyle w:val="FootnoteReference"/>
          <w:rFonts w:ascii="Times New Roman" w:hAnsi="Times New Roman"/>
          <w:sz w:val="24"/>
          <w:szCs w:val="24"/>
        </w:rPr>
        <w:footnoteReference w:id="98"/>
      </w:r>
      <w:r>
        <w:rPr>
          <w:rFonts w:ascii="Times New Roman" w:hAnsi="Times New Roman"/>
          <w:sz w:val="24"/>
          <w:szCs w:val="24"/>
        </w:rPr>
        <w:t xml:space="preserve">, was granted title to a parcel of land having an area of 26,672 hectares in Ado-Ekiti for the development of a five-star hotel and was also issued a Certificate of Occupancy with certain terms and conditions attached to it. Some of those terms included the payment of ground rent annually and also the completion of the construction of the hotel within a period of two years after the issuance of the Certificate of Occupancy. The Appellant failed to fulfill some of the terms and conditions set out in the Certificate of Occupancy and by way of a notice of revocation dated 16th October 2014, the first Respondent (Ekiti State Government) revoked the right of occupancy of the Appellant and then awarded that piece of land to the fourth Respondent (Afe Babalola University). The Notice of Revocation was placed in the Nigerian Tribune Newspaper on 14th November 2016, and the Appellant learnt of the revocation </w:t>
      </w:r>
      <w:r>
        <w:rPr>
          <w:rFonts w:ascii="Times New Roman" w:hAnsi="Times New Roman"/>
          <w:sz w:val="24"/>
          <w:szCs w:val="24"/>
        </w:rPr>
        <w:lastRenderedPageBreak/>
        <w:t>of its Right of Occupancy through this medium. This led the Appellant to sue the Ekiti State Government (Respondents 1 - 3) and Respondent.”</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When the writ of summons was served upon them, the 1st to 3rd Respondents and the 4th Respondents served a Notice of Preliminary Objection (“NPO”) alleging that the claim was statute barred. There were two grounds for the NPO by the respondents which were: (i) the suit was not brought within three months from the date of the notice of revocation given by the 1st to 3rd Respondents through a letter dated 16th December 2014 following the non-compliance of the terms of the certificate of occupancy, and (ii) the claim disclosed no reasonable cause of action. A Counter Affidavit was issued by the Appellant in response to the NPO concerning the lack of receiving and/or serving of any notice of revocation of December 2014, while the 1st and 3rd Respondents have filed an additional affidavit containing a receipt for the payment of dispatch of the notice of revocation and proof of delivery of that notice (Exhibits FBA1 and F). Exhibited before the trial Court were also the Nigerian Tribune Newspaper of November 14, 2016, and the notice of revocation of October 20, 2016 (Exhibits B, B1, C, C1).</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“It is in its judgment that the trial court considered the pleadings of the respective parties on the NPO and made an order as a matter of fact that the Appellant was indeed served with the notice of revocation in December 2014. Consequently, the trial court upholds the NPO of the Respondents on the ground that since according to Section 2 of POPA, the suit being statute barred for not having been filed within 3 months from the date of the revocation. In its judgment that dismissed the Appellant’s appeal to the Court of Appeal, the said court upholds the order of the trial court on the fact that the Appellant was served with the notice of revocation in December 2014.</w:t>
      </w:r>
      <w:r>
        <w:rPr>
          <w:rStyle w:val="FootnoteReference"/>
        </w:rPr>
        <w:footnoteReference w:id="99"/>
      </w:r>
      <w:r>
        <w:rPr>
          <w:rFonts w:ascii="Times New Roman" w:hAnsi="Times New Roman"/>
          <w:sz w:val="24"/>
          <w:szCs w:val="24"/>
        </w:rPr>
        <w:t xml:space="preserve"> </w:t>
      </w:r>
      <w:r>
        <w:rPr>
          <w:rFonts w:ascii="Times New Roman" w:hAnsi="Times New Roman"/>
          <w:sz w:val="24"/>
          <w:szCs w:val="24"/>
        </w:rPr>
        <w:lastRenderedPageBreak/>
        <w:t>Nevertheless, the Appellant appeals to the Supreme Court. Item 53 and Section 4 (2) and (3) of the Constitution of the Federal Republic of Nigeria (as amended) were used as the basis upon which the Popa was made, and the said legislation can only be used to safeguard the interest of the public officers who are in the “public service of the Federation”. This means that the Act cannot be relied on to offer protection for public officers in the public service of Ekiti State or any other state of the Federal Republic of Nigeria.”</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The Court held further that assuming POPA applied to the officers of Ekiti State Public Service, the trial Court and the Appellate Court misapplied the scope of the Act to the facts of this case. “The Court reiterated the fact that Section 2 of POPA does not apply in cases of recovery of land. See the cases of </w:t>
      </w:r>
      <w:r>
        <w:rPr>
          <w:rFonts w:ascii="Times New Roman" w:hAnsi="Times New Roman"/>
          <w:i/>
          <w:iCs/>
          <w:sz w:val="24"/>
          <w:szCs w:val="24"/>
        </w:rPr>
        <w:t>Salako v L.E.D.B</w:t>
      </w:r>
      <w:r>
        <w:rPr>
          <w:rStyle w:val="FootnoteReference"/>
          <w:rFonts w:ascii="Times New Roman" w:hAnsi="Times New Roman"/>
          <w:sz w:val="24"/>
          <w:szCs w:val="24"/>
        </w:rPr>
        <w:footnoteReference w:id="100"/>
      </w:r>
      <w:r>
        <w:rPr>
          <w:rFonts w:ascii="Times New Roman" w:hAnsi="Times New Roman"/>
          <w:sz w:val="24"/>
          <w:szCs w:val="24"/>
        </w:rPr>
        <w:t xml:space="preserve">, </w:t>
      </w:r>
      <w:r>
        <w:rPr>
          <w:rFonts w:ascii="Times New Roman" w:hAnsi="Times New Roman"/>
          <w:i/>
          <w:iCs/>
          <w:sz w:val="24"/>
          <w:szCs w:val="24"/>
        </w:rPr>
        <w:t>Mulima v Usman</w:t>
      </w:r>
      <w:r>
        <w:rPr>
          <w:rStyle w:val="FootnoteReference"/>
          <w:rFonts w:ascii="Times New Roman" w:hAnsi="Times New Roman"/>
          <w:sz w:val="24"/>
          <w:szCs w:val="24"/>
        </w:rPr>
        <w:footnoteReference w:id="101"/>
      </w:r>
      <w:r>
        <w:rPr>
          <w:rFonts w:ascii="Times New Roman" w:hAnsi="Times New Roman"/>
          <w:sz w:val="24"/>
          <w:szCs w:val="24"/>
        </w:rPr>
        <w:t xml:space="preserve"> and </w:t>
      </w:r>
      <w:r>
        <w:rPr>
          <w:rFonts w:ascii="Times New Roman" w:hAnsi="Times New Roman"/>
          <w:i/>
          <w:iCs/>
          <w:sz w:val="24"/>
          <w:szCs w:val="24"/>
        </w:rPr>
        <w:t>A.G Rivers State v A.G Bayelsa State</w:t>
      </w:r>
      <w:r>
        <w:rPr>
          <w:rStyle w:val="FootnoteReference"/>
          <w:rFonts w:ascii="Times New Roman" w:hAnsi="Times New Roman"/>
          <w:sz w:val="24"/>
          <w:szCs w:val="24"/>
        </w:rPr>
        <w:footnoteReference w:id="102"/>
      </w:r>
      <w:r>
        <w:rPr>
          <w:rFonts w:ascii="Times New Roman" w:hAnsi="Times New Roman"/>
          <w:sz w:val="24"/>
          <w:szCs w:val="24"/>
        </w:rPr>
        <w:t>.</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The Court also held that Section 2 of POPA does not apply to cases of breach of contract. See the cases of </w:t>
      </w:r>
      <w:r>
        <w:rPr>
          <w:rFonts w:ascii="Times New Roman" w:hAnsi="Times New Roman"/>
          <w:i/>
          <w:iCs/>
          <w:sz w:val="24"/>
          <w:szCs w:val="24"/>
        </w:rPr>
        <w:t>Osun State Government v Dalami (Nig) Ltd</w:t>
      </w:r>
      <w:r>
        <w:rPr>
          <w:rStyle w:val="FootnoteReference"/>
          <w:rFonts w:ascii="Times New Roman" w:hAnsi="Times New Roman"/>
          <w:sz w:val="24"/>
          <w:szCs w:val="24"/>
        </w:rPr>
        <w:footnoteReference w:id="103"/>
      </w:r>
      <w:r>
        <w:rPr>
          <w:rFonts w:ascii="Times New Roman" w:hAnsi="Times New Roman"/>
          <w:sz w:val="24"/>
          <w:szCs w:val="24"/>
        </w:rPr>
        <w:t xml:space="preserve"> and </w:t>
      </w:r>
      <w:r>
        <w:rPr>
          <w:rFonts w:ascii="Times New Roman" w:hAnsi="Times New Roman"/>
          <w:i/>
          <w:iCs/>
          <w:sz w:val="24"/>
          <w:szCs w:val="24"/>
        </w:rPr>
        <w:t>Bankole v N.B.C</w:t>
      </w:r>
      <w:r>
        <w:rPr>
          <w:rFonts w:ascii="Times New Roman" w:hAnsi="Times New Roman"/>
          <w:sz w:val="24"/>
          <w:szCs w:val="24"/>
        </w:rPr>
        <w:t>”</w:t>
      </w:r>
      <w:r>
        <w:rPr>
          <w:rStyle w:val="FootnoteReference"/>
          <w:rFonts w:ascii="Times New Roman" w:hAnsi="Times New Roman"/>
          <w:sz w:val="24"/>
          <w:szCs w:val="24"/>
        </w:rPr>
        <w:footnoteReference w:id="104"/>
      </w:r>
      <w:r>
        <w:rPr>
          <w:rFonts w:ascii="Times New Roman" w:hAnsi="Times New Roman"/>
          <w:sz w:val="24"/>
          <w:szCs w:val="24"/>
        </w:rPr>
        <w:t>.</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Moreover, “where there exists a bad faith or where the act of the public officer constitutes an abuse of office, then Section 2 of POPA will be of no use to the public officer in such cases. It was further emphasized by the court that the POPA is a protective shield for the public officers acting in good faith only. See the cases of </w:t>
      </w:r>
      <w:r>
        <w:rPr>
          <w:rFonts w:ascii="Times New Roman" w:hAnsi="Times New Roman"/>
          <w:i/>
          <w:iCs/>
          <w:sz w:val="24"/>
          <w:szCs w:val="24"/>
        </w:rPr>
        <w:t>Muhammed v A.B.U Zaria</w:t>
      </w:r>
      <w:r>
        <w:rPr>
          <w:rStyle w:val="FootnoteReference"/>
          <w:rFonts w:ascii="Times New Roman" w:hAnsi="Times New Roman"/>
          <w:sz w:val="24"/>
          <w:szCs w:val="24"/>
        </w:rPr>
        <w:footnoteReference w:id="105"/>
      </w:r>
      <w:r>
        <w:rPr>
          <w:rFonts w:ascii="Times New Roman" w:hAnsi="Times New Roman"/>
          <w:sz w:val="24"/>
          <w:szCs w:val="24"/>
        </w:rPr>
        <w:t xml:space="preserve">, </w:t>
      </w:r>
      <w:r>
        <w:rPr>
          <w:rFonts w:ascii="Times New Roman" w:hAnsi="Times New Roman"/>
          <w:i/>
          <w:iCs/>
          <w:sz w:val="24"/>
          <w:szCs w:val="24"/>
        </w:rPr>
        <w:t>Offoboche v Ogoja Local Government</w:t>
      </w:r>
      <w:r>
        <w:rPr>
          <w:rStyle w:val="FootnoteReference"/>
          <w:rFonts w:ascii="Times New Roman" w:hAnsi="Times New Roman"/>
          <w:sz w:val="24"/>
          <w:szCs w:val="24"/>
        </w:rPr>
        <w:footnoteReference w:id="106"/>
      </w:r>
      <w:r>
        <w:rPr>
          <w:rFonts w:ascii="Times New Roman" w:hAnsi="Times New Roman"/>
          <w:sz w:val="24"/>
          <w:szCs w:val="24"/>
        </w:rPr>
        <w:t xml:space="preserve"> and </w:t>
      </w:r>
      <w:r>
        <w:rPr>
          <w:rFonts w:ascii="Times New Roman" w:hAnsi="Times New Roman"/>
          <w:i/>
          <w:iCs/>
          <w:sz w:val="24"/>
          <w:szCs w:val="24"/>
        </w:rPr>
        <w:t>Hassan v Aliyu</w:t>
      </w:r>
      <w:r>
        <w:rPr>
          <w:rStyle w:val="FootnoteReference"/>
          <w:rFonts w:ascii="Times New Roman" w:hAnsi="Times New Roman"/>
          <w:sz w:val="24"/>
          <w:szCs w:val="24"/>
        </w:rPr>
        <w:footnoteReference w:id="107"/>
      </w:r>
      <w:r>
        <w:rPr>
          <w:rFonts w:ascii="Times New Roman" w:hAnsi="Times New Roman"/>
          <w:sz w:val="24"/>
          <w:szCs w:val="24"/>
        </w:rPr>
        <w:t xml:space="preserve">. The Court then held that the Appellant’s cause of action accrued on 14th </w:t>
      </w:r>
      <w:r>
        <w:rPr>
          <w:rFonts w:ascii="Times New Roman" w:hAnsi="Times New Roman"/>
          <w:sz w:val="24"/>
          <w:szCs w:val="24"/>
        </w:rPr>
        <w:lastRenderedPageBreak/>
        <w:t>November 2016 when it became aware of the 1st Respondent’s revocation of its right of occupancy and the suit was filed on 16th January 2017 within three months.”</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As held by Justice Akpata JSC, “it could not have been the intention of lawmakers to provide protection for public officials from being prosecuted when they commit an offense under the guise of performing their official duties, nor even without it. It cannot be. There was nothing wrong in prosecuting the appellant, as he is not entitled to the protection law.” “The locus classicus case on locus standi </w:t>
      </w:r>
      <w:r>
        <w:rPr>
          <w:rFonts w:ascii="Times New Roman" w:hAnsi="Times New Roman"/>
          <w:i/>
          <w:iCs/>
          <w:sz w:val="24"/>
          <w:szCs w:val="24"/>
        </w:rPr>
        <w:t>Adesanya v President of Nigeria,</w:t>
      </w:r>
      <w:r>
        <w:rPr>
          <w:rStyle w:val="FootnoteReference"/>
          <w:rFonts w:ascii="Times New Roman" w:hAnsi="Times New Roman"/>
          <w:sz w:val="24"/>
          <w:szCs w:val="24"/>
        </w:rPr>
        <w:footnoteReference w:id="108"/>
      </w:r>
      <w:r>
        <w:rPr>
          <w:rFonts w:ascii="Times New Roman" w:hAnsi="Times New Roman"/>
          <w:sz w:val="24"/>
          <w:szCs w:val="24"/>
        </w:rPr>
        <w:t xml:space="preserve"> the fact of the case was that the plaintiff/appellant was a senator of the Federal Republic of Nigeria. The second respondent (The Hon Justice Victor Ovie-Whiskey) was appointed as chairman of Federal Electoral Commission by the first respondent (President of the Federal Republic of Nigeria, which was Alhaji Shehu Shagari) and his appointment was confirmed by the Senate through a debate in which the appellant participated. In his challenge of this appointment, the plaintiff/appellant argued that the second respondent was a public officer (he was chief judge of the Bendel State) during the time of the appointment and at the time of confirming the same and hence he was disqualified for the post of Chairman of Federal Electoral Commission.”</w:t>
      </w:r>
    </w:p>
    <w:p w:rsidR="00EC7CD2" w:rsidRDefault="00453B03">
      <w:pPr>
        <w:spacing w:after="0" w:line="480" w:lineRule="auto"/>
        <w:jc w:val="both"/>
        <w:rPr>
          <w:rFonts w:ascii="Times New Roman" w:hAnsi="Times New Roman"/>
          <w:sz w:val="24"/>
          <w:szCs w:val="24"/>
        </w:rPr>
      </w:pPr>
      <w:r>
        <w:rPr>
          <w:rFonts w:ascii="Times New Roman" w:hAnsi="Times New Roman"/>
          <w:b/>
          <w:bCs/>
          <w:sz w:val="24"/>
          <w:szCs w:val="24"/>
        </w:rPr>
        <w:t>3.1.3</w:t>
      </w:r>
      <w:r>
        <w:rPr>
          <w:rFonts w:ascii="Times New Roman" w:hAnsi="Times New Roman"/>
          <w:sz w:val="24"/>
          <w:szCs w:val="24"/>
        </w:rPr>
        <w:t xml:space="preserve"> </w:t>
      </w:r>
      <w:r>
        <w:rPr>
          <w:rFonts w:ascii="Times New Roman" w:hAnsi="Times New Roman"/>
          <w:b/>
          <w:bCs/>
          <w:sz w:val="24"/>
          <w:szCs w:val="24"/>
        </w:rPr>
        <w:t>Code of Conduct Bureau and Tribunal Act</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The Code of Conduct Bureau and Tribunal Act establishes institutional mechanisms for regulating public officer conduct while protecting Bureau members from liability.</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“Section 3 of the Code of Conduct Bureau and Tribunal Act provides for the functions of the Bureau.” The functions of the Bureau shall include the following:</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 a. Accepting the assets declaration made by public office bearers in terms of this Act;</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lastRenderedPageBreak/>
        <w:t xml:space="preserve"> b. Examining the assets declaration and making sure that it is in compliance with the provisions of this Act and any other law in force from time to time;</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 c. Taking and holding custody of such asset declaration, and</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 d. Receiving any complaint regarding violation of the provisions of this Act.</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“Section 5 relates to Conflict of Interest, whereas section 7 deals with Prohibition of Foreign Account which states that a public officer should not have an account in any other country except Nigeria. One must be mindful of the fact that section 15 of the Act has provisions regarding the Declaration of Assets. It provides as follows, subsection 1 says every public officer shall within fifteen months from the date of commencement of this Act or immediately upon appointment and thereafter –</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 a. at the end of every four years,</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 b. at the end of his term of office, and</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 c. in the case of an appointed officer, within thirty days (30) of the receipt of the form from the Bureau or at such other intervals as the Bureau may designate, provide the Bureau with a written declaration in the format provided for in the First Schedule to this Act or any other format as may be designated by the Bureau from time to time of all his properties, assets and liabilities and those of his wife and unmarried children under the age of 21 years. Sub section 2 provides that any claim in any declaration which is found to be false by any authority or individual who is duly authorized to verify such claims, is considered a violation of this Act. Section 23 outlines the powers of the Tribunal to impose punishment, which include: suspension from office, disqualification from any public office for a period not more than 10 years, and forfeiture of any property to the State which has been obtained through abuse of office. In </w:t>
      </w:r>
      <w:r>
        <w:rPr>
          <w:rFonts w:ascii="Times New Roman" w:hAnsi="Times New Roman"/>
          <w:i/>
          <w:iCs/>
          <w:sz w:val="24"/>
          <w:szCs w:val="24"/>
        </w:rPr>
        <w:t>Saraki v Federal Republic of Nigeria,</w:t>
      </w:r>
      <w:r>
        <w:rPr>
          <w:rStyle w:val="FootnoteReference"/>
          <w:rFonts w:ascii="Times New Roman" w:hAnsi="Times New Roman"/>
          <w:sz w:val="24"/>
          <w:szCs w:val="24"/>
        </w:rPr>
        <w:footnoteReference w:id="109"/>
      </w:r>
      <w:r>
        <w:t xml:space="preserve"> </w:t>
      </w:r>
      <w:r>
        <w:rPr>
          <w:rFonts w:ascii="Times New Roman" w:hAnsi="Times New Roman"/>
          <w:sz w:val="24"/>
          <w:szCs w:val="24"/>
        </w:rPr>
        <w:t xml:space="preserve">In the Scope </w:t>
      </w:r>
      <w:r>
        <w:rPr>
          <w:rFonts w:ascii="Times New Roman" w:hAnsi="Times New Roman"/>
          <w:sz w:val="24"/>
          <w:szCs w:val="24"/>
        </w:rPr>
        <w:lastRenderedPageBreak/>
        <w:t>of Section 3 of the Act, the Supreme Court observed that the Bureau has to strictly adhere to the investigative and verification process prior to prosecution. This is because the Supreme Court stressed that it is imperative for the Bureau to call on the public officer to explain the matter and also carry out the process of verification prior to sending the matter to the Tribunal. Non-adherence to this process makes the case void, which resulted in the discharge and acquittal of Senator Saraki.”</w:t>
      </w:r>
    </w:p>
    <w:p w:rsidR="00EC7CD2" w:rsidRDefault="00453B03">
      <w:pPr>
        <w:spacing w:after="0" w:line="480" w:lineRule="auto"/>
        <w:jc w:val="both"/>
        <w:rPr>
          <w:rFonts w:ascii="Times New Roman" w:hAnsi="Times New Roman"/>
          <w:b/>
          <w:bCs/>
          <w:sz w:val="24"/>
          <w:szCs w:val="24"/>
        </w:rPr>
      </w:pPr>
      <w:r>
        <w:rPr>
          <w:rFonts w:ascii="Times New Roman" w:hAnsi="Times New Roman"/>
          <w:b/>
          <w:bCs/>
          <w:sz w:val="24"/>
          <w:szCs w:val="24"/>
        </w:rPr>
        <w:t>3.1.4 Corrupt Practices and Other Related Offences Act 2000 (ICPC Act)</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“The Corrupt Practices and Other Related Offences Act 2003</w:t>
      </w:r>
      <w:r>
        <w:rPr>
          <w:rStyle w:val="FootnoteReference"/>
          <w:rFonts w:ascii="Times New Roman" w:hAnsi="Times New Roman"/>
          <w:sz w:val="24"/>
          <w:szCs w:val="24"/>
        </w:rPr>
        <w:footnoteReference w:id="110"/>
      </w:r>
      <w:r>
        <w:rPr>
          <w:rFonts w:ascii="Times New Roman" w:hAnsi="Times New Roman"/>
          <w:sz w:val="24"/>
          <w:szCs w:val="24"/>
        </w:rPr>
        <w:t xml:space="preserve"> establishes the Independent Corrupt Practices and Other Related Offences Commission (ICPC)</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This Act criminalizes corrupt offers to public officers,</w:t>
      </w:r>
      <w:r>
        <w:rPr>
          <w:rStyle w:val="FootnoteReference"/>
          <w:rFonts w:ascii="Times New Roman" w:hAnsi="Times New Roman"/>
          <w:sz w:val="24"/>
          <w:szCs w:val="24"/>
        </w:rPr>
        <w:footnoteReference w:id="111"/>
      </w:r>
      <w:r>
        <w:rPr>
          <w:rFonts w:ascii="Times New Roman" w:hAnsi="Times New Roman"/>
          <w:sz w:val="24"/>
          <w:szCs w:val="24"/>
        </w:rPr>
        <w:t xml:space="preserve"> demands of corrupt nature by individuals,</w:t>
      </w:r>
      <w:r>
        <w:rPr>
          <w:rStyle w:val="FootnoteReference"/>
          <w:rFonts w:ascii="Times New Roman" w:hAnsi="Times New Roman"/>
          <w:sz w:val="24"/>
          <w:szCs w:val="24"/>
        </w:rPr>
        <w:footnoteReference w:id="112"/>
      </w:r>
      <w:r>
        <w:rPr>
          <w:rFonts w:ascii="Times New Roman" w:hAnsi="Times New Roman"/>
          <w:sz w:val="24"/>
          <w:szCs w:val="24"/>
        </w:rPr>
        <w:t>acquisition of property fraudulently,</w:t>
      </w:r>
      <w:r>
        <w:rPr>
          <w:rStyle w:val="FootnoteReference"/>
          <w:rFonts w:ascii="Times New Roman" w:hAnsi="Times New Roman"/>
          <w:sz w:val="24"/>
          <w:szCs w:val="24"/>
        </w:rPr>
        <w:footnoteReference w:id="113"/>
      </w:r>
      <w:r>
        <w:rPr>
          <w:rFonts w:ascii="Times New Roman" w:hAnsi="Times New Roman"/>
          <w:sz w:val="24"/>
          <w:szCs w:val="24"/>
        </w:rPr>
        <w:t xml:space="preserve"> as well as fraudulent receipt of property,</w:t>
      </w:r>
      <w:r>
        <w:rPr>
          <w:rStyle w:val="FootnoteReference"/>
          <w:rFonts w:ascii="Times New Roman" w:hAnsi="Times New Roman"/>
          <w:sz w:val="24"/>
          <w:szCs w:val="24"/>
        </w:rPr>
        <w:footnoteReference w:id="114"/>
      </w:r>
      <w:r>
        <w:rPr>
          <w:rFonts w:ascii="Times New Roman" w:hAnsi="Times New Roman"/>
          <w:sz w:val="24"/>
          <w:szCs w:val="24"/>
        </w:rPr>
        <w:t xml:space="preserve"> frustrating the investigation of the commission deliberately</w:t>
      </w:r>
      <w:r>
        <w:rPr>
          <w:rStyle w:val="FootnoteReference"/>
          <w:rFonts w:ascii="Times New Roman" w:hAnsi="Times New Roman"/>
          <w:sz w:val="24"/>
          <w:szCs w:val="24"/>
        </w:rPr>
        <w:footnoteReference w:id="115"/>
      </w:r>
      <w:r>
        <w:rPr>
          <w:rFonts w:ascii="Times New Roman" w:hAnsi="Times New Roman"/>
          <w:sz w:val="24"/>
          <w:szCs w:val="24"/>
        </w:rPr>
        <w:t>, gratification by and through agents</w:t>
      </w:r>
      <w:r>
        <w:rPr>
          <w:rStyle w:val="FootnoteReference"/>
          <w:rFonts w:ascii="Times New Roman" w:hAnsi="Times New Roman"/>
          <w:sz w:val="24"/>
          <w:szCs w:val="24"/>
        </w:rPr>
        <w:footnoteReference w:id="116"/>
      </w:r>
      <w:r>
        <w:rPr>
          <w:rFonts w:ascii="Times New Roman" w:hAnsi="Times New Roman"/>
          <w:sz w:val="24"/>
          <w:szCs w:val="24"/>
        </w:rPr>
        <w:t xml:space="preserve"> and bribery of public officers.</w:t>
      </w:r>
      <w:r>
        <w:rPr>
          <w:rStyle w:val="FootnoteReference"/>
          <w:rFonts w:ascii="Times New Roman" w:hAnsi="Times New Roman"/>
          <w:sz w:val="24"/>
          <w:szCs w:val="24"/>
        </w:rPr>
        <w:footnoteReference w:id="117"/>
      </w:r>
      <w:r>
        <w:rPr>
          <w:rFonts w:ascii="Times New Roman" w:hAnsi="Times New Roman"/>
          <w:sz w:val="24"/>
          <w:szCs w:val="24"/>
        </w:rPr>
        <w:t xml:space="preserve"> The purpose of this Act is to make it illegal and provide penalties for corrupt practices and other related offenses. The Act also provides for protection of anyone who furnishes information to the commission about any offense that might have been committed or is likely to be committed by someone else.”</w:t>
      </w:r>
      <w:r>
        <w:rPr>
          <w:rStyle w:val="FootnoteReference"/>
          <w:rFonts w:ascii="Times New Roman" w:hAnsi="Times New Roman"/>
          <w:sz w:val="24"/>
          <w:szCs w:val="24"/>
        </w:rPr>
        <w:footnoteReference w:id="118"/>
      </w:r>
    </w:p>
    <w:p w:rsidR="00EC7CD2" w:rsidRDefault="00453B03">
      <w:pPr>
        <w:spacing w:after="0" w:line="480" w:lineRule="auto"/>
        <w:jc w:val="both"/>
        <w:rPr>
          <w:rFonts w:ascii="Times New Roman" w:hAnsi="Times New Roman"/>
          <w:b/>
          <w:bCs/>
          <w:sz w:val="24"/>
          <w:szCs w:val="24"/>
        </w:rPr>
      </w:pPr>
      <w:r>
        <w:rPr>
          <w:rFonts w:ascii="Times New Roman" w:hAnsi="Times New Roman"/>
          <w:b/>
          <w:bCs/>
          <w:sz w:val="24"/>
          <w:szCs w:val="24"/>
        </w:rPr>
        <w:t>3.2 Judicial Interpretations Public Officers’ Protection in Nigeria</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Judicial Immunity</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lastRenderedPageBreak/>
        <w:t>“There is no provision for judicial immunity in the Nigerian Constitution; however, the common law of England, which is applicable in Nigeria through section 45(1) of the Interpretation Act</w:t>
      </w:r>
      <w:r>
        <w:rPr>
          <w:rStyle w:val="FootnoteReference"/>
          <w:rFonts w:ascii="Times New Roman" w:hAnsi="Times New Roman"/>
          <w:sz w:val="24"/>
          <w:szCs w:val="24"/>
        </w:rPr>
        <w:footnoteReference w:id="119"/>
      </w:r>
      <w:r>
        <w:rPr>
          <w:rFonts w:ascii="Times New Roman" w:hAnsi="Times New Roman"/>
          <w:sz w:val="24"/>
          <w:szCs w:val="24"/>
        </w:rPr>
        <w:t xml:space="preserve"> and case precedents. The question of immunity in the discharge of judicial functions in Nigeria is not a direct constitutional matter, but embedded in common law and statute and the courts follow closely the English law development in this area.</w:t>
      </w:r>
      <w:r>
        <w:rPr>
          <w:rStyle w:val="FootnoteReference"/>
          <w:rFonts w:ascii="Times New Roman" w:hAnsi="Times New Roman"/>
          <w:sz w:val="24"/>
          <w:szCs w:val="24"/>
        </w:rPr>
        <w:footnoteReference w:id="120"/>
      </w:r>
      <w:r>
        <w:rPr>
          <w:rFonts w:ascii="Times New Roman" w:hAnsi="Times New Roman"/>
          <w:sz w:val="24"/>
          <w:szCs w:val="24"/>
        </w:rPr>
        <w:t xml:space="preserve"> Moreover, judicial officers are recognized as public officers in Nigeria. Judicial Immunity protects Judges, Magistrates, and other people presiding over our courts or tribunals from civil or criminal liability arising from the performance of their judicial duties.</w:t>
      </w:r>
      <w:r>
        <w:rPr>
          <w:rStyle w:val="FootnoteReference"/>
          <w:rFonts w:ascii="Times New Roman" w:hAnsi="Times New Roman"/>
          <w:sz w:val="24"/>
          <w:szCs w:val="24"/>
        </w:rPr>
        <w:footnoteReference w:id="121"/>
      </w:r>
      <w:r>
        <w:rPr>
          <w:rFonts w:ascii="Times New Roman" w:hAnsi="Times New Roman"/>
          <w:sz w:val="24"/>
          <w:szCs w:val="24"/>
        </w:rPr>
        <w:t xml:space="preserve"> The Common law</w:t>
      </w:r>
      <w:r>
        <w:rPr>
          <w:rStyle w:val="FootnoteReference"/>
          <w:rFonts w:ascii="Times New Roman" w:hAnsi="Times New Roman"/>
          <w:sz w:val="24"/>
          <w:szCs w:val="24"/>
        </w:rPr>
        <w:footnoteReference w:id="122"/>
      </w:r>
      <w:r>
        <w:rPr>
          <w:rFonts w:ascii="Times New Roman" w:hAnsi="Times New Roman"/>
          <w:sz w:val="24"/>
          <w:szCs w:val="24"/>
        </w:rPr>
        <w:t xml:space="preserve"> applicable in Nigeria provides that each court shall state that judges shall not be held liable for any act done in the discharge of their duties. In other words, judges cannot be subject to civil or criminal proceedings on account of negligence or errors made in the course of discharging their functions.”</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In </w:t>
      </w:r>
      <w:r>
        <w:rPr>
          <w:rFonts w:ascii="Times New Roman" w:hAnsi="Times New Roman"/>
          <w:i/>
          <w:iCs/>
          <w:sz w:val="24"/>
          <w:szCs w:val="24"/>
        </w:rPr>
        <w:t>Asogwa v Chukwu</w:t>
      </w:r>
      <w:r>
        <w:rPr>
          <w:rStyle w:val="FootnoteReference"/>
          <w:rFonts w:ascii="Times New Roman" w:hAnsi="Times New Roman"/>
          <w:sz w:val="24"/>
          <w:szCs w:val="24"/>
        </w:rPr>
        <w:footnoteReference w:id="123"/>
      </w:r>
      <w:r>
        <w:rPr>
          <w:rFonts w:ascii="Times New Roman" w:hAnsi="Times New Roman"/>
          <w:sz w:val="24"/>
          <w:szCs w:val="24"/>
        </w:rPr>
        <w:t xml:space="preserve"> The Court defined a Public Officer thus: "The term Public Officer referred to in the Interpretation Act can only be described to be referred to those enjoying employments with statutory flavour as reflected in section 318 (1) of the 1999 Constitution". </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“In the case of </w:t>
      </w:r>
      <w:r>
        <w:rPr>
          <w:rFonts w:ascii="Times New Roman" w:hAnsi="Times New Roman"/>
          <w:i/>
          <w:iCs/>
          <w:sz w:val="24"/>
          <w:szCs w:val="24"/>
        </w:rPr>
        <w:t>University of Jos v Ikegwuoh</w:t>
      </w:r>
      <w:r>
        <w:rPr>
          <w:rStyle w:val="FootnoteReference"/>
          <w:rFonts w:ascii="Times New Roman" w:hAnsi="Times New Roman"/>
          <w:sz w:val="24"/>
          <w:szCs w:val="24"/>
        </w:rPr>
        <w:footnoteReference w:id="124"/>
      </w:r>
      <w:r>
        <w:rPr>
          <w:rFonts w:ascii="Times New Roman" w:hAnsi="Times New Roman"/>
          <w:sz w:val="24"/>
          <w:szCs w:val="24"/>
        </w:rPr>
        <w:t xml:space="preserve">, This therefore calls for law reform, to either repeal the Act/Law as was done in England to the Public Authorities Protection Act, or to narrow the scope of its application in conformity with the intendment of the Act and change “person” to “public officer”. No doubt the imposition of the limitation period of three months has unduly provided a shield and an escape route to many public officers to the detriment of victimized </w:t>
      </w:r>
      <w:r>
        <w:rPr>
          <w:rFonts w:ascii="Times New Roman" w:hAnsi="Times New Roman"/>
          <w:sz w:val="24"/>
          <w:szCs w:val="24"/>
        </w:rPr>
        <w:lastRenderedPageBreak/>
        <w:t>public/civil servants and other members of the society who are not public officers. It is therefore not surprising therefore that some States like Abia, Ebonyi and Rivers, repealed the 1963 Public Officers Protection Law that was applicable throughout the former Eastern States of Nigeria and replaced with the individual state Public Officer Protection laws. One important feature of the new Public Officers Protection Laws of these states is the removal of t</w:t>
      </w:r>
      <w:r>
        <w:t xml:space="preserve"> </w:t>
      </w:r>
      <w:r>
        <w:rPr>
          <w:rFonts w:ascii="Times New Roman" w:hAnsi="Times New Roman"/>
          <w:sz w:val="24"/>
          <w:szCs w:val="24"/>
        </w:rPr>
        <w:t>It was decided that ‘any person’ referred to in Section 2 of the Act does not refer solely to natural persons or human beings or persons who sue in their natural names but refers to artificial persons, body of persons or public institutions whether suing through their official capacity or not. It follows that interpretative jurisprudence as regards the issue of who is a public officer as provided for in the Public Officer Protection Act/Law can be unequivocally stated to include public officers and public institutions. Undoubtedly, the purpose of the Act as contained in the Long Title which is meant to protect “public officers” has been overstretched by the approach of literal interpretation employed by the courts and has now led to the overstretched extension of the term “public officer” to “public offices” and “public institutions.”</w:t>
      </w:r>
      <w:r>
        <w:t xml:space="preserve"> </w:t>
      </w:r>
      <w:r>
        <w:rPr>
          <w:rFonts w:ascii="Times New Roman" w:hAnsi="Times New Roman"/>
          <w:sz w:val="24"/>
          <w:szCs w:val="24"/>
        </w:rPr>
        <w:t>Three months limitation period for public officers and making the limitation period the same as that of private individuals respectively. It has been held by the Supreme Court that there is no difference between "public offices" and "public officers" as provided for under the Public Officer (Protection) Law. Hence, any individual or legal person whose duty it is to carry out the functions of an office created by law is a public officer.”</w:t>
      </w:r>
      <w:r>
        <w:rPr>
          <w:rStyle w:val="FootnoteReference"/>
          <w:rFonts w:ascii="Times New Roman" w:hAnsi="Times New Roman"/>
          <w:sz w:val="24"/>
          <w:szCs w:val="24"/>
        </w:rPr>
        <w:footnoteReference w:id="125"/>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 “In </w:t>
      </w:r>
      <w:r>
        <w:rPr>
          <w:rFonts w:ascii="Times New Roman" w:hAnsi="Times New Roman"/>
          <w:i/>
          <w:iCs/>
          <w:sz w:val="24"/>
          <w:szCs w:val="24"/>
        </w:rPr>
        <w:t>Ibrahim v Judicial Service Committee Kaduna State &amp; Anor</w:t>
      </w:r>
      <w:r>
        <w:rPr>
          <w:rStyle w:val="FootnoteReference"/>
          <w:rFonts w:ascii="Times New Roman" w:hAnsi="Times New Roman"/>
          <w:sz w:val="24"/>
          <w:szCs w:val="24"/>
        </w:rPr>
        <w:footnoteReference w:id="126"/>
      </w:r>
      <w:r>
        <w:rPr>
          <w:rFonts w:ascii="Times New Roman" w:hAnsi="Times New Roman"/>
          <w:sz w:val="24"/>
          <w:szCs w:val="24"/>
        </w:rPr>
        <w:t xml:space="preserve">, Iguh JSC, in his judgment, held the view that, "It is clear from the foregoing that the meaning of "public officer" has by legislation now come to embrace the phrase "public department" and hence an artificial person, a </w:t>
      </w:r>
      <w:r>
        <w:rPr>
          <w:rFonts w:ascii="Times New Roman" w:hAnsi="Times New Roman"/>
          <w:sz w:val="24"/>
          <w:szCs w:val="24"/>
        </w:rPr>
        <w:lastRenderedPageBreak/>
        <w:t>public officer or a public body. I do not believe it possible to seriously suggest that Public Officer (Protection) Law which extends protection to a public officer does not also apply to a public department, an artificial person or a public body provided they are being sued for an act performed in the execution of their official public functions. It should further be noted that Public Officer (Protection) Law does not extend protection to persons when they are sued in their official capacities e.g. Attorney-General, Inspector General of Police or Permanent Secretary. The wording of the Section of the law being interpreted is obviously not ambiguous on its face. There is nothing in either the long or the short title that would suggest that there could be any special interpretation of the words “any person” in the relevant law other than the normal and natural interpretation of those words. I am thus constrained from importing limitation words to qualify the words “any person” in that law. The public officers' protection law was originally passed by the colonial regime and hence it should not come as a shocker since they are well known for passing draconian, oppressive and harsh laws that favor their own interests only. Regrettably, the Public Officers Protection Act (like several other Ordinances existing at that point) is one of the pieces of legislation that has stood for more than 50 years of independence and has been faithfully imported into the democratic setting via Section 315 of the 1999 Constitution of the Federal Republic of Nigeria.”</w:t>
      </w:r>
      <w:r>
        <w:rPr>
          <w:rStyle w:val="FootnoteReference"/>
          <w:rFonts w:ascii="Times New Roman" w:hAnsi="Times New Roman"/>
          <w:sz w:val="24"/>
          <w:szCs w:val="24"/>
        </w:rPr>
        <w:footnoteReference w:id="127"/>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“In </w:t>
      </w:r>
      <w:r>
        <w:rPr>
          <w:rFonts w:ascii="Times New Roman" w:hAnsi="Times New Roman"/>
          <w:i/>
          <w:iCs/>
          <w:sz w:val="24"/>
          <w:szCs w:val="24"/>
        </w:rPr>
        <w:t>Ekeogu v Aliri</w:t>
      </w:r>
      <w:r>
        <w:rPr>
          <w:rStyle w:val="FootnoteReference"/>
          <w:rFonts w:ascii="Times New Roman" w:hAnsi="Times New Roman"/>
          <w:sz w:val="24"/>
          <w:szCs w:val="24"/>
        </w:rPr>
        <w:footnoteReference w:id="128"/>
      </w:r>
      <w:r>
        <w:rPr>
          <w:rFonts w:ascii="Times New Roman" w:hAnsi="Times New Roman"/>
          <w:i/>
          <w:iCs/>
          <w:sz w:val="24"/>
          <w:szCs w:val="24"/>
        </w:rPr>
        <w:t xml:space="preserve"> </w:t>
      </w:r>
      <w:r>
        <w:rPr>
          <w:rFonts w:ascii="Times New Roman" w:hAnsi="Times New Roman"/>
          <w:sz w:val="24"/>
          <w:szCs w:val="24"/>
        </w:rPr>
        <w:t xml:space="preserve">The Plaintiff got an injury to her eye from her class teacher in a public school. She was treated in various hospitals for three months. However, the Plaintiff lost her eye unfortunately. She filed a suit for compensation on behalf of her next friend (mother). It was said </w:t>
      </w:r>
      <w:r>
        <w:rPr>
          <w:rFonts w:ascii="Times New Roman" w:hAnsi="Times New Roman"/>
          <w:sz w:val="24"/>
          <w:szCs w:val="24"/>
        </w:rPr>
        <w:lastRenderedPageBreak/>
        <w:t>by the Supreme Court that the Act is intended to shield a public official from any suit, prosecution or proceedings; and also for any act performed in accordance with or in performance of any law, public duty or authority; and for any alleged neglect or default in the performance of any law, duty or authority. A public official can sue beyond the limitation period, if he acts outside the jurisdiction of his office</w:t>
      </w:r>
      <w:r>
        <w:rPr>
          <w:rFonts w:ascii="Times New Roman" w:hAnsi="Times New Roman"/>
          <w:i/>
          <w:iCs/>
          <w:sz w:val="24"/>
          <w:szCs w:val="24"/>
        </w:rPr>
        <w:t>.</w:t>
      </w:r>
      <w:r>
        <w:rPr>
          <w:rFonts w:ascii="Times New Roman" w:hAnsi="Times New Roman"/>
          <w:sz w:val="24"/>
          <w:szCs w:val="24"/>
        </w:rPr>
        <w:t>”</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 In</w:t>
      </w:r>
      <w:r>
        <w:rPr>
          <w:rFonts w:ascii="Times New Roman" w:hAnsi="Times New Roman"/>
          <w:i/>
          <w:iCs/>
          <w:sz w:val="24"/>
          <w:szCs w:val="24"/>
        </w:rPr>
        <w:t xml:space="preserve"> Attorney-General of Rivers State v Attorney-General of Bayelsa State &amp; Anor</w:t>
      </w:r>
      <w:r>
        <w:rPr>
          <w:rFonts w:ascii="Times New Roman" w:hAnsi="Times New Roman"/>
          <w:sz w:val="24"/>
          <w:szCs w:val="24"/>
        </w:rPr>
        <w:t>,</w:t>
      </w:r>
      <w:r>
        <w:rPr>
          <w:rStyle w:val="FootnoteReference"/>
          <w:rFonts w:ascii="Times New Roman" w:hAnsi="Times New Roman"/>
          <w:sz w:val="24"/>
          <w:szCs w:val="24"/>
        </w:rPr>
        <w:footnoteReference w:id="129"/>
      </w:r>
      <w:r>
        <w:t xml:space="preserve"> </w:t>
      </w:r>
      <w:r>
        <w:rPr>
          <w:rFonts w:ascii="Times New Roman" w:hAnsi="Times New Roman"/>
          <w:sz w:val="24"/>
          <w:szCs w:val="24"/>
        </w:rPr>
        <w:t>an instance of boundary controversy between Rivers State (Plaintiff) and Bayelsa State (1st Defendant). The Honourable Attorney-General of Rivers State instituted the suit on behalf of the Government of Rivers State based on the original jurisdiction of the Supreme Court provided in Section 232 (1) of the 1999 Constitution, against the Attorney-General of Bayelsa State and the Attorney-General of the Federation. The reliefs as sought by the Plaintiff were refused by the Supreme Court as it feels uneasy granting such relief due to conflicting maps presented before it. The Supreme Court, nonetheless, used the opportunity to examine exceptions to the Public Officers Protection Act.</w:t>
      </w:r>
      <w:r>
        <w:rPr>
          <w:rStyle w:val="FootnoteReference"/>
          <w:rFonts w:ascii="Times New Roman" w:hAnsi="Times New Roman"/>
          <w:sz w:val="24"/>
          <w:szCs w:val="24"/>
        </w:rPr>
        <w:footnoteReference w:id="130"/>
      </w:r>
      <w:r>
        <w:rPr>
          <w:rFonts w:ascii="Times New Roman" w:hAnsi="Times New Roman"/>
          <w:sz w:val="24"/>
          <w:szCs w:val="24"/>
        </w:rPr>
        <w:t xml:space="preserve"> As said earlier, from Section 2(a) of the Public Officer Protection Act, it is clear that the Law provides wide-ranging protection or cover to all Public Officers or individuals who perform public duty in as much as at all material time such individuals were within the ambit of their official authority and they did not act outside their statutory or constitutional duty. “A Public Officer can therefore be sued outside the three months period of limitations where he acted outside the scope of his office or outside his statutory or constitutional duty at all material time when the act complained of was performed. If the action of a Public Officer is beyond the scope of his official authority or without any form of legality, then there is no way he can claim protection under the </w:t>
      </w:r>
      <w:r>
        <w:rPr>
          <w:rFonts w:ascii="Times New Roman" w:hAnsi="Times New Roman"/>
          <w:sz w:val="24"/>
          <w:szCs w:val="24"/>
        </w:rPr>
        <w:lastRenderedPageBreak/>
        <w:t xml:space="preserve">Public Officers Protection Act. The fact remains that even in cases where a Public Officer acts or acted within his official authority or duty, he may yet be liable in some situations. See </w:t>
      </w:r>
      <w:r>
        <w:rPr>
          <w:rFonts w:ascii="Times New Roman" w:hAnsi="Times New Roman"/>
          <w:i/>
          <w:iCs/>
          <w:sz w:val="24"/>
          <w:szCs w:val="24"/>
        </w:rPr>
        <w:t>Attorney-General of Rivers State v Attorney-General of Bayelsa State &amp; Anor.</w:t>
      </w:r>
      <w:r>
        <w:rPr>
          <w:rStyle w:val="FootnoteReference"/>
          <w:rFonts w:ascii="Times New Roman" w:hAnsi="Times New Roman"/>
          <w:sz w:val="24"/>
          <w:szCs w:val="24"/>
        </w:rPr>
        <w:footnoteReference w:id="131"/>
      </w:r>
      <w:r>
        <w:rPr>
          <w:rFonts w:ascii="Times New Roman" w:hAnsi="Times New Roman"/>
          <w:sz w:val="24"/>
          <w:szCs w:val="24"/>
        </w:rPr>
        <w:t xml:space="preserve"> Thus, the law does not provide a blanket protection for ‘public offices’ and ‘public officers’.” </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In the case of </w:t>
      </w:r>
      <w:r>
        <w:rPr>
          <w:rFonts w:ascii="Times New Roman" w:hAnsi="Times New Roman"/>
          <w:i/>
          <w:iCs/>
          <w:sz w:val="24"/>
          <w:szCs w:val="24"/>
        </w:rPr>
        <w:t>Ekemode v Alausa</w:t>
      </w:r>
      <w:r>
        <w:rPr>
          <w:rStyle w:val="FootnoteReference"/>
          <w:rFonts w:ascii="Times New Roman" w:hAnsi="Times New Roman"/>
          <w:sz w:val="24"/>
          <w:szCs w:val="24"/>
        </w:rPr>
        <w:footnoteReference w:id="132"/>
      </w:r>
      <w:r>
        <w:rPr>
          <w:rFonts w:ascii="Times New Roman" w:hAnsi="Times New Roman"/>
          <w:sz w:val="24"/>
          <w:szCs w:val="24"/>
        </w:rPr>
        <w:t xml:space="preserve"> The defendant-appellant, a public official of Epe District Council, was acting upon instructions from the Council for the clearance of the foreshore, waterway, and passage to Epe Town by removing canoes. “While doing so, the canoe of the plaintiff-respondent was destroyed. Plaintiff-respondent brought an action for compensation for the wrong done to his canoe. It is clear from the evidence that the Council’s instruction did not include destruction of canoes. But the defence argued that the suit was statute-barred because it was filed beyond the three-month period stipulated in the Public Officers Protection Ordinance. The respected Judge, Charles JCA, upholding the decision of the lower court in favour of the plaintiff respondent, observed that the destruction of the boats after they had been removed could not be considered as being necessary or incidental to the defendant’s duty under his employer to clear the foreshore and landing place. In the absence of anything to the contrary, the implication is that the defendant’s wrongful act cannot be considered as one that was committed in any of the statutory protected conditions.”</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“The case of </w:t>
      </w:r>
      <w:r>
        <w:rPr>
          <w:rFonts w:ascii="Times New Roman" w:hAnsi="Times New Roman"/>
          <w:i/>
          <w:iCs/>
          <w:sz w:val="24"/>
          <w:szCs w:val="24"/>
        </w:rPr>
        <w:t>Ibrahim v Judicial Service Commission</w:t>
      </w:r>
      <w:r>
        <w:rPr>
          <w:rStyle w:val="FootnoteReference"/>
          <w:rFonts w:ascii="Times New Roman" w:hAnsi="Times New Roman"/>
          <w:sz w:val="24"/>
          <w:szCs w:val="24"/>
        </w:rPr>
        <w:footnoteReference w:id="133"/>
      </w:r>
      <w:r>
        <w:rPr>
          <w:rFonts w:ascii="Times New Roman" w:hAnsi="Times New Roman"/>
          <w:i/>
          <w:iCs/>
          <w:sz w:val="24"/>
          <w:szCs w:val="24"/>
        </w:rPr>
        <w:t>,</w:t>
      </w:r>
      <w:r>
        <w:t xml:space="preserve"> </w:t>
      </w:r>
      <w:r>
        <w:rPr>
          <w:rFonts w:ascii="Times New Roman" w:hAnsi="Times New Roman"/>
          <w:sz w:val="24"/>
          <w:szCs w:val="24"/>
        </w:rPr>
        <w:t xml:space="preserve">the plaintiff and appellant who is a Judge of the Upper Area Court was retired in February 1985 by the 1st defendant and respondent known as the Kaduna State Judicial Commission. However, four months later in April 1986, the plaintiff filed a suit against the retirement. The defendant objected to the suit claiming that the said suit was </w:t>
      </w:r>
      <w:r>
        <w:rPr>
          <w:rFonts w:ascii="Times New Roman" w:hAnsi="Times New Roman"/>
          <w:sz w:val="24"/>
          <w:szCs w:val="24"/>
        </w:rPr>
        <w:lastRenderedPageBreak/>
        <w:t>filed beyond the three months limit provided by the Public Officers (Protection) Law of Northern Nigeria applicable in Kaduna State. The trial court upheld the objection and struck out the suit. On further appeal, the Supreme Court in a split decision affirmed the decision of the lower courts and ruled that since the suit was filed within the three months limit provided for in the Public Officers (Protection) Law of Northern Nigeria applicable in Kaduna State, therefore, the suit is time barred. As we all know, a Statute of Limitation like the Public Officers (Protection) Law takes away the right of action, the right of enforcement, and the right of judicial relief from a plaintiff leaving him with a bare and empty cause of action which is not legally enforceable if it is statute barred.</w:t>
      </w:r>
      <w:r>
        <w:rPr>
          <w:rStyle w:val="FootnoteReference"/>
          <w:rFonts w:ascii="Times New Roman" w:hAnsi="Times New Roman"/>
          <w:sz w:val="24"/>
          <w:szCs w:val="24"/>
        </w:rPr>
        <w:footnoteReference w:id="134"/>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In </w:t>
      </w:r>
      <w:r>
        <w:rPr>
          <w:rFonts w:ascii="Times New Roman" w:hAnsi="Times New Roman"/>
          <w:i/>
          <w:iCs/>
          <w:sz w:val="24"/>
          <w:szCs w:val="24"/>
        </w:rPr>
        <w:t>Momoh v Okewale</w:t>
      </w:r>
      <w:r>
        <w:rPr>
          <w:rStyle w:val="FootnoteReference"/>
          <w:rFonts w:ascii="Times New Roman" w:hAnsi="Times New Roman"/>
          <w:i/>
          <w:iCs/>
          <w:sz w:val="24"/>
          <w:szCs w:val="24"/>
        </w:rPr>
        <w:footnoteReference w:id="135"/>
      </w:r>
      <w:r>
        <w:rPr>
          <w:rFonts w:ascii="Times New Roman" w:hAnsi="Times New Roman"/>
          <w:i/>
          <w:iCs/>
          <w:sz w:val="24"/>
          <w:szCs w:val="24"/>
        </w:rPr>
        <w:t xml:space="preserve">, </w:t>
      </w:r>
      <w:r>
        <w:rPr>
          <w:rFonts w:ascii="Times New Roman" w:hAnsi="Times New Roman"/>
          <w:sz w:val="24"/>
          <w:szCs w:val="24"/>
        </w:rPr>
        <w:t xml:space="preserve">the Supreme Court had held that Public Officers Protection Law only protects individual public officers and not the public bodies. Note however that the Supreme Court in delivering its decision in </w:t>
      </w:r>
      <w:r>
        <w:rPr>
          <w:rFonts w:ascii="Times New Roman" w:hAnsi="Times New Roman"/>
          <w:i/>
          <w:iCs/>
          <w:sz w:val="24"/>
          <w:szCs w:val="24"/>
        </w:rPr>
        <w:t>Ibrahim v Judicial Service Commission</w:t>
      </w:r>
      <w:r>
        <w:rPr>
          <w:rStyle w:val="FootnoteReference"/>
          <w:rFonts w:ascii="Times New Roman" w:hAnsi="Times New Roman"/>
          <w:i/>
          <w:iCs/>
          <w:sz w:val="24"/>
          <w:szCs w:val="24"/>
        </w:rPr>
        <w:footnoteReference w:id="136"/>
      </w:r>
      <w:r>
        <w:rPr>
          <w:rFonts w:ascii="Times New Roman" w:hAnsi="Times New Roman"/>
          <w:sz w:val="24"/>
          <w:szCs w:val="24"/>
        </w:rPr>
        <w:t xml:space="preserve"> refused to follow the its decision prior case, thereby impliedly overruling the </w:t>
      </w:r>
      <w:r>
        <w:rPr>
          <w:rFonts w:ascii="Times New Roman" w:hAnsi="Times New Roman"/>
          <w:i/>
          <w:iCs/>
          <w:sz w:val="24"/>
          <w:szCs w:val="24"/>
        </w:rPr>
        <w:t>Momoh v Okewale</w:t>
      </w:r>
      <w:r>
        <w:rPr>
          <w:rStyle w:val="FootnoteReference"/>
          <w:rFonts w:ascii="Times New Roman" w:hAnsi="Times New Roman"/>
          <w:sz w:val="24"/>
          <w:szCs w:val="24"/>
        </w:rPr>
        <w:footnoteReference w:id="137"/>
      </w:r>
      <w:r>
        <w:rPr>
          <w:rFonts w:ascii="Times New Roman" w:hAnsi="Times New Roman"/>
          <w:i/>
          <w:iCs/>
          <w:sz w:val="24"/>
          <w:szCs w:val="24"/>
        </w:rPr>
        <w:t xml:space="preserve"> </w:t>
      </w:r>
      <w:r>
        <w:rPr>
          <w:rFonts w:ascii="Times New Roman" w:hAnsi="Times New Roman"/>
          <w:sz w:val="24"/>
          <w:szCs w:val="24"/>
        </w:rPr>
        <w:t>and all the decisions based on it.”</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Explanation for this statute is that it protects the public officer from defamation and litigations. “As seen from the case of </w:t>
      </w:r>
      <w:r>
        <w:rPr>
          <w:rFonts w:ascii="Times New Roman" w:hAnsi="Times New Roman"/>
          <w:i/>
          <w:iCs/>
          <w:sz w:val="24"/>
          <w:szCs w:val="24"/>
        </w:rPr>
        <w:t>Sani v President of the Federal Republic of Nigeria</w:t>
      </w:r>
      <w:r>
        <w:rPr>
          <w:rFonts w:ascii="Times New Roman" w:hAnsi="Times New Roman"/>
          <w:sz w:val="24"/>
          <w:szCs w:val="24"/>
        </w:rPr>
        <w:t>, the purpose of section 2 of the Act  is to protect public officers while performing their public functions from any form of litigation.”</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In </w:t>
      </w:r>
      <w:r>
        <w:rPr>
          <w:rFonts w:ascii="Times New Roman" w:hAnsi="Times New Roman"/>
          <w:i/>
          <w:iCs/>
          <w:sz w:val="24"/>
          <w:szCs w:val="24"/>
        </w:rPr>
        <w:t>Aroyame v Governor of Edo State,</w:t>
      </w:r>
      <w:r>
        <w:rPr>
          <w:rStyle w:val="FootnoteReference"/>
          <w:rFonts w:ascii="Times New Roman" w:hAnsi="Times New Roman"/>
          <w:i/>
          <w:iCs/>
          <w:sz w:val="24"/>
          <w:szCs w:val="24"/>
        </w:rPr>
        <w:footnoteReference w:id="138"/>
      </w:r>
      <w:r>
        <w:rPr>
          <w:rFonts w:ascii="Times New Roman" w:hAnsi="Times New Roman"/>
          <w:i/>
          <w:iCs/>
          <w:sz w:val="24"/>
          <w:szCs w:val="24"/>
        </w:rPr>
        <w:t xml:space="preserve"> </w:t>
      </w:r>
      <w:r>
        <w:rPr>
          <w:rFonts w:ascii="Times New Roman" w:hAnsi="Times New Roman"/>
          <w:sz w:val="24"/>
          <w:szCs w:val="24"/>
        </w:rPr>
        <w:t xml:space="preserve">“the Appellant was sacked as the Auditor-General of Edo State by the Governor of the State effective from 1st October 2000. This information was communicated to the appellant through a letter dated 28th September 2000 by the Secretary to the </w:t>
      </w:r>
      <w:r>
        <w:rPr>
          <w:rFonts w:ascii="Times New Roman" w:hAnsi="Times New Roman"/>
          <w:sz w:val="24"/>
          <w:szCs w:val="24"/>
        </w:rPr>
        <w:lastRenderedPageBreak/>
        <w:t>State Government. In another letter dated 29 September 2000, the appellant was sacked from the Civil Service effective from 30th September 2000. Six months thereafter, on 3rd April 2001, he filed a case against the respondents. The Supreme Court in a ruling through Kekere-Ekun JSC stated that the case was statute barred. The learned judge went further to state that a statute of limitation would deprive a plaintiff of his right of action.”</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“However, it is pertinent to state that protection under section 2(a)</w:t>
      </w:r>
      <w:r>
        <w:rPr>
          <w:rStyle w:val="FootnoteReference"/>
          <w:rFonts w:ascii="Times New Roman" w:hAnsi="Times New Roman"/>
          <w:sz w:val="24"/>
          <w:szCs w:val="24"/>
        </w:rPr>
        <w:footnoteReference w:id="139"/>
      </w:r>
      <w:r>
        <w:rPr>
          <w:rFonts w:ascii="Times New Roman" w:hAnsi="Times New Roman"/>
          <w:sz w:val="24"/>
          <w:szCs w:val="24"/>
        </w:rPr>
        <w:t xml:space="preserve"> of the law is not a blanket shield to be carried and used by public officers to blatantly indulge in illegalities and the perpetuation of injustice whenever their official acts are challenged in Court.”</w:t>
      </w:r>
      <w:r>
        <w:rPr>
          <w:rStyle w:val="FootnoteReference"/>
          <w:rFonts w:ascii="Times New Roman" w:hAnsi="Times New Roman"/>
          <w:sz w:val="24"/>
          <w:szCs w:val="24"/>
        </w:rPr>
        <w:footnoteReference w:id="140"/>
      </w:r>
      <w:r>
        <w:rPr>
          <w:rFonts w:ascii="Times New Roman" w:hAnsi="Times New Roman"/>
          <w:sz w:val="24"/>
          <w:szCs w:val="24"/>
        </w:rPr>
        <w:t xml:space="preserve"> </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In </w:t>
      </w:r>
      <w:r>
        <w:rPr>
          <w:rFonts w:ascii="Times New Roman" w:hAnsi="Times New Roman"/>
          <w:i/>
          <w:iCs/>
          <w:sz w:val="24"/>
          <w:szCs w:val="24"/>
        </w:rPr>
        <w:t>Offoboche v Ogoja Local Government &amp;. Anor,</w:t>
      </w:r>
      <w:r>
        <w:rPr>
          <w:rStyle w:val="FootnoteReference"/>
          <w:rFonts w:ascii="Times New Roman" w:hAnsi="Times New Roman"/>
          <w:i/>
          <w:iCs/>
          <w:sz w:val="24"/>
          <w:szCs w:val="24"/>
        </w:rPr>
        <w:footnoteReference w:id="141"/>
      </w:r>
      <w:r>
        <w:rPr>
          <w:rFonts w:ascii="Times New Roman" w:hAnsi="Times New Roman"/>
          <w:sz w:val="24"/>
          <w:szCs w:val="24"/>
        </w:rPr>
        <w:t xml:space="preserve"> the appellant for defamation with respect to claims for damages and injunction. “The defense of the respondent was that the action is statute barred under the Public Officers Protection Law since the lawsuit was instituted more than three months after the writing of the defamatory message and its publication.” The Supreme Court ruled: “the Public Officers (Protection) Law provides immunity for an official acting in good faith and cannot cover actions done through abuse of office where there is no pretense of any lawful motive. So the law would not be applicable if the defendant had used his office to do the malfeasance. In this condition, the defendant abuses his office in order to do evil and no law could give him any immunity from such action.”</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“Hence, in </w:t>
      </w:r>
      <w:r>
        <w:rPr>
          <w:rFonts w:ascii="Times New Roman" w:hAnsi="Times New Roman"/>
          <w:i/>
          <w:iCs/>
          <w:sz w:val="24"/>
          <w:szCs w:val="24"/>
        </w:rPr>
        <w:t>Awolola v Governor of Ekiti State &amp;Ors</w:t>
      </w:r>
      <w:r>
        <w:rPr>
          <w:rStyle w:val="FootnoteReference"/>
          <w:rFonts w:ascii="Times New Roman" w:hAnsi="Times New Roman"/>
          <w:i/>
          <w:iCs/>
          <w:sz w:val="24"/>
          <w:szCs w:val="24"/>
        </w:rPr>
        <w:footnoteReference w:id="142"/>
      </w:r>
      <w:r>
        <w:rPr>
          <w:rFonts w:ascii="Times New Roman" w:hAnsi="Times New Roman"/>
          <w:b/>
          <w:bCs/>
          <w:sz w:val="24"/>
          <w:szCs w:val="24"/>
        </w:rPr>
        <w:t>, </w:t>
      </w:r>
      <w:r>
        <w:rPr>
          <w:rFonts w:ascii="Times New Roman" w:hAnsi="Times New Roman"/>
          <w:sz w:val="24"/>
          <w:szCs w:val="24"/>
        </w:rPr>
        <w:t xml:space="preserve">In addition, another issue of determination was whether or not the act of moving the Local Government Headquarters from Eda-Oniyo to Iye-Ekiti was legal or not. The Ilejemeje local government headquarters was set up through the </w:t>
      </w:r>
      <w:r>
        <w:rPr>
          <w:rFonts w:ascii="Times New Roman" w:hAnsi="Times New Roman"/>
          <w:sz w:val="24"/>
          <w:szCs w:val="24"/>
        </w:rPr>
        <w:lastRenderedPageBreak/>
        <w:t>enactment of a statute, which is Decree No 36 of 1996. It could only be moved through another statute enacted by the competent body.” The court noted that “I have gone through the records of this appeal and I have not seen any evidence that Decree No 36 of 1996 has been repealed by any subsequent law that has moved the headquarters of ilemeje local government from Eda Oniyo to Iye Ekiti….the respondents knew and had every reason to know that the location of Ilemeje Local Government headquarters at Eda-Oniyo was through a statute and that the same could only be moved through Statute. The respondents’ relocation of the headquarters without an enabling statute was considered illegal. “Consequently, they do not benefit from the Public Officer Protection Law of Ekiti State.”</w:t>
      </w:r>
    </w:p>
    <w:p w:rsidR="00EC7CD2" w:rsidRDefault="00453B03">
      <w:pPr>
        <w:spacing w:after="0" w:line="480" w:lineRule="auto"/>
        <w:jc w:val="both"/>
      </w:pPr>
      <w:r>
        <w:rPr>
          <w:rFonts w:ascii="Times New Roman" w:hAnsi="Times New Roman"/>
          <w:sz w:val="24"/>
          <w:szCs w:val="24"/>
        </w:rPr>
        <w:t>Accordingly, if it is proven to the satisfaction of the Court that the public officer acted with malice or outside his powers under the Constitution or the statute setting up his office, the said officer will be stripped of the immunity accorded by that statute or Act. Hence, the three-month period will not apply.”</w:t>
      </w:r>
      <w:r>
        <w:rPr>
          <w:rStyle w:val="FootnoteReference"/>
          <w:rFonts w:ascii="Times New Roman" w:hAnsi="Times New Roman"/>
          <w:sz w:val="24"/>
          <w:szCs w:val="24"/>
        </w:rPr>
        <w:footnoteReference w:id="143"/>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“In conclusion, the Public Officers Protection Act/Laws is a shield that protects public officers in Nigeria. However, a public officer will lose this shield when he acts beyond the scope of his duty or acts maliciously or if the act falls within any of the exceptions.”</w:t>
      </w:r>
    </w:p>
    <w:p w:rsidR="00EC7CD2" w:rsidRDefault="00EC7CD2">
      <w:pPr>
        <w:spacing w:after="0" w:line="480" w:lineRule="auto"/>
        <w:jc w:val="both"/>
        <w:rPr>
          <w:rFonts w:ascii="Times New Roman" w:hAnsi="Times New Roman"/>
          <w:sz w:val="24"/>
          <w:szCs w:val="24"/>
        </w:rPr>
      </w:pPr>
    </w:p>
    <w:p w:rsidR="00EC7CD2" w:rsidRDefault="00EC7CD2">
      <w:pPr>
        <w:spacing w:after="0" w:line="480" w:lineRule="auto"/>
        <w:jc w:val="both"/>
        <w:rPr>
          <w:rFonts w:ascii="Times New Roman" w:hAnsi="Times New Roman"/>
          <w:b/>
          <w:bCs/>
          <w:sz w:val="24"/>
          <w:szCs w:val="24"/>
        </w:rPr>
      </w:pPr>
    </w:p>
    <w:p w:rsidR="00EC7CD2" w:rsidRDefault="00EC7CD2">
      <w:pPr>
        <w:spacing w:after="0" w:line="480" w:lineRule="auto"/>
        <w:jc w:val="both"/>
        <w:rPr>
          <w:rFonts w:ascii="Times New Roman" w:hAnsi="Times New Roman"/>
          <w:b/>
          <w:bCs/>
          <w:sz w:val="24"/>
          <w:szCs w:val="24"/>
        </w:rPr>
      </w:pPr>
    </w:p>
    <w:p w:rsidR="00EC7CD2" w:rsidRDefault="00EC7CD2">
      <w:pPr>
        <w:spacing w:after="0" w:line="480" w:lineRule="auto"/>
        <w:jc w:val="both"/>
        <w:rPr>
          <w:rFonts w:ascii="Times New Roman" w:hAnsi="Times New Roman"/>
          <w:b/>
          <w:bCs/>
          <w:sz w:val="24"/>
          <w:szCs w:val="24"/>
        </w:rPr>
      </w:pPr>
    </w:p>
    <w:p w:rsidR="00EC7CD2" w:rsidRDefault="00EC7CD2">
      <w:pPr>
        <w:spacing w:after="0" w:line="480" w:lineRule="auto"/>
        <w:jc w:val="both"/>
        <w:rPr>
          <w:rFonts w:ascii="Times New Roman" w:hAnsi="Times New Roman"/>
          <w:b/>
          <w:bCs/>
          <w:sz w:val="24"/>
          <w:szCs w:val="24"/>
        </w:rPr>
      </w:pPr>
    </w:p>
    <w:p w:rsidR="00EC7CD2" w:rsidRDefault="00453B03">
      <w:pPr>
        <w:spacing w:after="0" w:line="480" w:lineRule="auto"/>
        <w:jc w:val="center"/>
        <w:rPr>
          <w:rFonts w:ascii="Times New Roman" w:hAnsi="Times New Roman"/>
          <w:b/>
          <w:bCs/>
          <w:sz w:val="24"/>
          <w:szCs w:val="24"/>
        </w:rPr>
      </w:pPr>
      <w:r>
        <w:rPr>
          <w:rFonts w:ascii="Times New Roman" w:hAnsi="Times New Roman"/>
          <w:b/>
          <w:bCs/>
          <w:sz w:val="24"/>
          <w:szCs w:val="24"/>
        </w:rPr>
        <w:lastRenderedPageBreak/>
        <w:t>CHAPTER FOUR</w:t>
      </w:r>
    </w:p>
    <w:p w:rsidR="00EC7CD2" w:rsidRDefault="00453B03">
      <w:pPr>
        <w:spacing w:after="0" w:line="480" w:lineRule="auto"/>
        <w:jc w:val="center"/>
        <w:rPr>
          <w:rFonts w:ascii="Times New Roman" w:hAnsi="Times New Roman"/>
          <w:b/>
          <w:bCs/>
          <w:sz w:val="24"/>
          <w:szCs w:val="24"/>
        </w:rPr>
      </w:pPr>
      <w:r>
        <w:rPr>
          <w:rFonts w:ascii="Times New Roman" w:hAnsi="Times New Roman"/>
          <w:b/>
          <w:bCs/>
          <w:sz w:val="24"/>
          <w:szCs w:val="24"/>
        </w:rPr>
        <w:t>CHALLENGES AND APPRAISAL OF THE LEGAL FRAMEWORK</w:t>
      </w:r>
    </w:p>
    <w:p w:rsidR="00EC7CD2" w:rsidRDefault="00453B03">
      <w:pPr>
        <w:spacing w:after="0" w:line="480" w:lineRule="auto"/>
        <w:jc w:val="both"/>
        <w:rPr>
          <w:rFonts w:ascii="Times New Roman" w:hAnsi="Times New Roman"/>
          <w:b/>
          <w:bCs/>
          <w:sz w:val="24"/>
          <w:szCs w:val="24"/>
        </w:rPr>
      </w:pPr>
      <w:r>
        <w:rPr>
          <w:rFonts w:ascii="Times New Roman" w:hAnsi="Times New Roman"/>
          <w:b/>
          <w:bCs/>
          <w:sz w:val="24"/>
          <w:szCs w:val="24"/>
        </w:rPr>
        <w:t>4.1. Loopholes and limitations in the Public Officers Protection Act</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There are some limitations or exceptions to the law with regards to the protection of public officers in Nigeria especially the provisions of Section 2(a) of the Act. The Supreme Court in several cases has expounded and propounded several exceptions to the protection provided for “public offices” and “public officers” under the Public Officer (Protection) Law. The following are some of the exceptions: </w:t>
      </w:r>
    </w:p>
    <w:p w:rsidR="00EC7CD2" w:rsidRDefault="00453B03">
      <w:pPr>
        <w:pStyle w:val="ListParagraph"/>
        <w:numPr>
          <w:ilvl w:val="0"/>
          <w:numId w:val="12"/>
        </w:numPr>
        <w:spacing w:line="480" w:lineRule="auto"/>
        <w:ind w:left="0"/>
        <w:rPr>
          <w:sz w:val="24"/>
          <w:szCs w:val="24"/>
        </w:rPr>
      </w:pPr>
      <w:r>
        <w:rPr>
          <w:sz w:val="24"/>
          <w:szCs w:val="24"/>
        </w:rPr>
        <w:t>Cases of Continuance of Damage or Injury</w:t>
      </w:r>
    </w:p>
    <w:p w:rsidR="00EC7CD2" w:rsidRDefault="00453B03">
      <w:pPr>
        <w:pStyle w:val="ListParagraph"/>
        <w:numPr>
          <w:ilvl w:val="0"/>
          <w:numId w:val="12"/>
        </w:numPr>
        <w:spacing w:line="480" w:lineRule="auto"/>
        <w:ind w:left="0"/>
        <w:rPr>
          <w:sz w:val="24"/>
          <w:szCs w:val="24"/>
        </w:rPr>
      </w:pPr>
      <w:r>
        <w:rPr>
          <w:sz w:val="24"/>
          <w:szCs w:val="24"/>
        </w:rPr>
        <w:t xml:space="preserve">A situation where the person relying on it acted outside the scope of his office or outside his Statutory or Constitutional duty </w:t>
      </w:r>
    </w:p>
    <w:p w:rsidR="00EC7CD2" w:rsidRDefault="00453B03">
      <w:pPr>
        <w:pStyle w:val="ListParagraph"/>
        <w:numPr>
          <w:ilvl w:val="0"/>
          <w:numId w:val="12"/>
        </w:numPr>
        <w:spacing w:line="480" w:lineRule="auto"/>
        <w:ind w:left="0"/>
        <w:rPr>
          <w:sz w:val="24"/>
          <w:szCs w:val="24"/>
        </w:rPr>
      </w:pPr>
      <w:r>
        <w:rPr>
          <w:sz w:val="24"/>
          <w:szCs w:val="24"/>
        </w:rPr>
        <w:t xml:space="preserve">Cases of recovery of land </w:t>
      </w:r>
    </w:p>
    <w:p w:rsidR="00EC7CD2" w:rsidRDefault="00453B03">
      <w:pPr>
        <w:pStyle w:val="ListParagraph"/>
        <w:numPr>
          <w:ilvl w:val="0"/>
          <w:numId w:val="12"/>
        </w:numPr>
        <w:spacing w:line="480" w:lineRule="auto"/>
        <w:ind w:left="0"/>
        <w:rPr>
          <w:sz w:val="24"/>
          <w:szCs w:val="24"/>
        </w:rPr>
      </w:pPr>
      <w:r>
        <w:rPr>
          <w:sz w:val="24"/>
          <w:szCs w:val="24"/>
        </w:rPr>
        <w:t>Breaches of contract</w:t>
      </w:r>
    </w:p>
    <w:p w:rsidR="00EC7CD2" w:rsidRDefault="00453B03">
      <w:pPr>
        <w:pStyle w:val="ListParagraph"/>
        <w:numPr>
          <w:ilvl w:val="0"/>
          <w:numId w:val="12"/>
        </w:numPr>
        <w:spacing w:line="480" w:lineRule="auto"/>
        <w:ind w:left="0"/>
        <w:rPr>
          <w:sz w:val="24"/>
          <w:szCs w:val="24"/>
        </w:rPr>
      </w:pPr>
      <w:r>
        <w:rPr>
          <w:sz w:val="24"/>
          <w:szCs w:val="24"/>
        </w:rPr>
        <w:t xml:space="preserve">Claims for work and labour done </w:t>
      </w:r>
    </w:p>
    <w:p w:rsidR="00EC7CD2" w:rsidRDefault="00453B03">
      <w:pPr>
        <w:pStyle w:val="ListParagraph"/>
        <w:numPr>
          <w:ilvl w:val="0"/>
          <w:numId w:val="12"/>
        </w:numPr>
        <w:spacing w:line="480" w:lineRule="auto"/>
        <w:ind w:left="0"/>
        <w:rPr>
          <w:sz w:val="24"/>
          <w:szCs w:val="24"/>
        </w:rPr>
      </w:pPr>
      <w:r>
        <w:rPr>
          <w:sz w:val="24"/>
          <w:szCs w:val="24"/>
        </w:rPr>
        <w:t xml:space="preserve">Good faith </w:t>
      </w:r>
    </w:p>
    <w:p w:rsidR="00EC7CD2" w:rsidRDefault="00453B03">
      <w:pPr>
        <w:pStyle w:val="ListParagraph"/>
        <w:numPr>
          <w:ilvl w:val="0"/>
          <w:numId w:val="13"/>
        </w:numPr>
        <w:spacing w:line="480" w:lineRule="auto"/>
        <w:ind w:left="0"/>
        <w:rPr>
          <w:sz w:val="24"/>
          <w:szCs w:val="24"/>
        </w:rPr>
      </w:pPr>
      <w:r>
        <w:rPr>
          <w:sz w:val="24"/>
          <w:szCs w:val="24"/>
        </w:rPr>
        <w:t xml:space="preserve">Cases of Continuance of Damage or Injury </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The Limitation of action provided for in Section 2(a) of the Act does not apply in cases of continuous damage and injury. The Public Officer (Protection) Law permits actions to be brought on the cessation thereof outside three months. This is the position of the law as expounded by Galadima, J.S.C, in the Lead Judgment in </w:t>
      </w:r>
      <w:r>
        <w:rPr>
          <w:rFonts w:ascii="Times New Roman" w:hAnsi="Times New Roman"/>
          <w:i/>
          <w:iCs/>
          <w:sz w:val="24"/>
          <w:szCs w:val="24"/>
        </w:rPr>
        <w:t>Attorney-General of Rivers State v Attorney-General of Bayelsa State &amp; Anor</w:t>
      </w:r>
      <w:r>
        <w:rPr>
          <w:rStyle w:val="FootnoteReference"/>
          <w:rFonts w:ascii="Times New Roman" w:hAnsi="Times New Roman"/>
          <w:sz w:val="24"/>
          <w:szCs w:val="24"/>
        </w:rPr>
        <w:footnoteReference w:id="144"/>
      </w:r>
      <w:r>
        <w:rPr>
          <w:rFonts w:ascii="Times New Roman" w:hAnsi="Times New Roman"/>
          <w:sz w:val="24"/>
          <w:szCs w:val="24"/>
        </w:rPr>
        <w:t xml:space="preserve">. In cases of continuance of damage or injury, the Act permits actions to be brought on the cessation thereof outside three months. From the Amended Statement of Claim </w:t>
      </w:r>
      <w:r>
        <w:rPr>
          <w:rFonts w:ascii="Times New Roman" w:hAnsi="Times New Roman"/>
          <w:sz w:val="24"/>
          <w:szCs w:val="24"/>
        </w:rPr>
        <w:lastRenderedPageBreak/>
        <w:t>and as equally deposed to in his Counter-affidavit, the Plaintiff averred that he continues to be deprived of the allocation he is entitled to every month and the same has not ceased.</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In </w:t>
      </w:r>
      <w:r>
        <w:rPr>
          <w:rFonts w:ascii="Times New Roman" w:hAnsi="Times New Roman"/>
          <w:i/>
          <w:iCs/>
          <w:sz w:val="24"/>
          <w:szCs w:val="24"/>
        </w:rPr>
        <w:t>INEC v Ogbadibo LG &amp; Ors</w:t>
      </w:r>
      <w:r>
        <w:rPr>
          <w:rStyle w:val="FootnoteReference"/>
          <w:rFonts w:ascii="Times New Roman" w:hAnsi="Times New Roman"/>
          <w:sz w:val="24"/>
          <w:szCs w:val="24"/>
        </w:rPr>
        <w:footnoteReference w:id="145"/>
      </w:r>
      <w:r>
        <w:rPr>
          <w:rFonts w:ascii="Times New Roman" w:hAnsi="Times New Roman"/>
          <w:sz w:val="24"/>
          <w:szCs w:val="24"/>
        </w:rPr>
        <w:t>, the court held that the protection doesn’t extend to continuing damages or losses.</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However, the Courts in several cases propounded some exceptions to the protection provided for public officers under the Act. In </w:t>
      </w:r>
      <w:r>
        <w:rPr>
          <w:rFonts w:ascii="Times New Roman" w:hAnsi="Times New Roman"/>
          <w:i/>
          <w:iCs/>
          <w:sz w:val="24"/>
          <w:szCs w:val="24"/>
        </w:rPr>
        <w:t>FGN v Zebra Energy LTD</w:t>
      </w:r>
      <w:r>
        <w:rPr>
          <w:rStyle w:val="FootnoteReference"/>
          <w:rFonts w:ascii="Times New Roman" w:hAnsi="Times New Roman"/>
          <w:i/>
          <w:iCs/>
          <w:sz w:val="24"/>
          <w:szCs w:val="24"/>
        </w:rPr>
        <w:footnoteReference w:id="146"/>
      </w:r>
      <w:r>
        <w:rPr>
          <w:rFonts w:ascii="Times New Roman" w:hAnsi="Times New Roman"/>
          <w:b/>
          <w:bCs/>
          <w:sz w:val="24"/>
          <w:szCs w:val="24"/>
        </w:rPr>
        <w:t>, </w:t>
      </w:r>
      <w:r>
        <w:rPr>
          <w:rFonts w:ascii="Times New Roman" w:hAnsi="Times New Roman"/>
          <w:sz w:val="24"/>
          <w:szCs w:val="24"/>
        </w:rPr>
        <w:t>the Court held that the public officers (protection) law does not apply in cases of recovery of land, breaches of contract, or claims for work or labour done. </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From the Amended Statement of Claim and as equally deposed to in his Counter-affidavit, the Plaintiff averred that he continues to be deprived of the allocation he is entitled to every month and the same has not ceased. </w:t>
      </w:r>
    </w:p>
    <w:p w:rsidR="00EC7CD2" w:rsidRDefault="00453B03">
      <w:pPr>
        <w:pStyle w:val="ListParagraph"/>
        <w:numPr>
          <w:ilvl w:val="0"/>
          <w:numId w:val="13"/>
        </w:numPr>
        <w:spacing w:line="480" w:lineRule="auto"/>
        <w:ind w:left="0"/>
        <w:rPr>
          <w:sz w:val="24"/>
          <w:szCs w:val="24"/>
        </w:rPr>
      </w:pPr>
      <w:r>
        <w:rPr>
          <w:sz w:val="24"/>
          <w:szCs w:val="24"/>
        </w:rPr>
        <w:t>A Situation where the Person Relying on it acted outside the gamut of his Office or outside his</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Statutory or Constitutional Duty.  </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On this second exception Galadima, J.S.C, in </w:t>
      </w:r>
      <w:r>
        <w:rPr>
          <w:rFonts w:ascii="Times New Roman" w:hAnsi="Times New Roman"/>
          <w:i/>
          <w:iCs/>
          <w:sz w:val="24"/>
          <w:szCs w:val="24"/>
        </w:rPr>
        <w:t>Attorney-General of Rivers State v Attorney-General of Bayelsa State &amp; Anor</w:t>
      </w:r>
      <w:r>
        <w:rPr>
          <w:rStyle w:val="FootnoteReference"/>
          <w:rFonts w:ascii="Times New Roman" w:hAnsi="Times New Roman"/>
          <w:sz w:val="24"/>
          <w:szCs w:val="24"/>
        </w:rPr>
        <w:footnoteReference w:id="147"/>
      </w:r>
      <w:r>
        <w:rPr>
          <w:rFonts w:ascii="Times New Roman" w:hAnsi="Times New Roman"/>
          <w:sz w:val="24"/>
          <w:szCs w:val="24"/>
        </w:rPr>
        <w:t xml:space="preserve"> puts it thus: “The second exception to the application of the Act as a defence is that it does not cover a situation where the person relying on it acted outside the colour of his office or outside his Statutory or Constitutional duty as claimed by the Plaintiff in this suit. See</w:t>
      </w:r>
      <w:r>
        <w:rPr>
          <w:rFonts w:ascii="Times New Roman" w:hAnsi="Times New Roman"/>
          <w:i/>
          <w:iCs/>
          <w:sz w:val="24"/>
          <w:szCs w:val="24"/>
        </w:rPr>
        <w:t>: Nwankwere v Adewunmi</w:t>
      </w:r>
      <w:r>
        <w:rPr>
          <w:rStyle w:val="FootnoteReference"/>
          <w:rFonts w:ascii="Times New Roman" w:hAnsi="Times New Roman"/>
          <w:sz w:val="24"/>
          <w:szCs w:val="24"/>
        </w:rPr>
        <w:footnoteReference w:id="148"/>
      </w:r>
      <w:r>
        <w:rPr>
          <w:rFonts w:ascii="Times New Roman" w:hAnsi="Times New Roman"/>
          <w:sz w:val="24"/>
          <w:szCs w:val="24"/>
        </w:rPr>
        <w:t xml:space="preserve"> </w:t>
      </w:r>
      <w:r>
        <w:rPr>
          <w:rFonts w:ascii="Times New Roman" w:hAnsi="Times New Roman"/>
          <w:i/>
          <w:iCs/>
          <w:sz w:val="24"/>
          <w:szCs w:val="24"/>
        </w:rPr>
        <w:t>Anozie v Attorney-General of the Federation</w:t>
      </w:r>
      <w:r>
        <w:rPr>
          <w:rStyle w:val="FootnoteReference"/>
          <w:rFonts w:ascii="Times New Roman" w:hAnsi="Times New Roman"/>
          <w:sz w:val="24"/>
          <w:szCs w:val="24"/>
        </w:rPr>
        <w:footnoteReference w:id="149"/>
      </w:r>
      <w:r>
        <w:rPr>
          <w:rFonts w:ascii="Times New Roman" w:hAnsi="Times New Roman"/>
          <w:sz w:val="24"/>
          <w:szCs w:val="24"/>
        </w:rPr>
        <w:t xml:space="preserve"> </w:t>
      </w:r>
      <w:r>
        <w:rPr>
          <w:rFonts w:ascii="Times New Roman" w:hAnsi="Times New Roman"/>
          <w:i/>
          <w:iCs/>
          <w:sz w:val="24"/>
          <w:szCs w:val="24"/>
        </w:rPr>
        <w:t>Welfare Board v Baba and Kwara State Pilgrims</w:t>
      </w:r>
      <w:r>
        <w:rPr>
          <w:rFonts w:ascii="Times New Roman" w:hAnsi="Times New Roman"/>
          <w:sz w:val="24"/>
          <w:szCs w:val="24"/>
        </w:rPr>
        <w:t xml:space="preserve"> </w:t>
      </w:r>
      <w:r>
        <w:rPr>
          <w:rStyle w:val="FootnoteReference"/>
          <w:rFonts w:ascii="Times New Roman" w:hAnsi="Times New Roman"/>
          <w:sz w:val="24"/>
          <w:szCs w:val="24"/>
        </w:rPr>
        <w:footnoteReference w:id="150"/>
      </w:r>
      <w:r>
        <w:rPr>
          <w:rFonts w:ascii="Times New Roman" w:hAnsi="Times New Roman"/>
          <w:sz w:val="24"/>
          <w:szCs w:val="24"/>
        </w:rPr>
        <w:t>.</w:t>
      </w:r>
    </w:p>
    <w:p w:rsidR="00EC7CD2" w:rsidRDefault="00EC7CD2">
      <w:pPr>
        <w:spacing w:after="0" w:line="480" w:lineRule="auto"/>
        <w:jc w:val="both"/>
        <w:rPr>
          <w:rFonts w:ascii="Times New Roman" w:hAnsi="Times New Roman"/>
          <w:sz w:val="24"/>
          <w:szCs w:val="24"/>
        </w:rPr>
      </w:pPr>
    </w:p>
    <w:p w:rsidR="00EC7CD2" w:rsidRDefault="00453B03">
      <w:pPr>
        <w:pStyle w:val="ListParagraph"/>
        <w:numPr>
          <w:ilvl w:val="0"/>
          <w:numId w:val="13"/>
        </w:numPr>
        <w:spacing w:line="480" w:lineRule="auto"/>
        <w:ind w:left="0"/>
        <w:rPr>
          <w:sz w:val="24"/>
          <w:szCs w:val="24"/>
        </w:rPr>
      </w:pPr>
      <w:r>
        <w:rPr>
          <w:sz w:val="24"/>
          <w:szCs w:val="24"/>
        </w:rPr>
        <w:t>Cases of Recovery of Land:</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 It is settled law that, the Public Officers Protection Law does not apply in cases of recovery of land. Galadima, J.S.C, in</w:t>
      </w:r>
      <w:r>
        <w:rPr>
          <w:rFonts w:ascii="Times New Roman" w:hAnsi="Times New Roman"/>
          <w:i/>
          <w:iCs/>
          <w:sz w:val="24"/>
          <w:szCs w:val="24"/>
        </w:rPr>
        <w:t xml:space="preserve"> Attorney-General of Rivers State v Attorney General of Bayelsa State &amp; Anor</w:t>
      </w:r>
      <w:r>
        <w:rPr>
          <w:rFonts w:ascii="Times New Roman" w:hAnsi="Times New Roman"/>
          <w:sz w:val="24"/>
          <w:szCs w:val="24"/>
        </w:rPr>
        <w:t>.</w:t>
      </w:r>
      <w:r>
        <w:rPr>
          <w:rStyle w:val="FootnoteReference"/>
          <w:rFonts w:ascii="Times New Roman" w:hAnsi="Times New Roman"/>
          <w:sz w:val="24"/>
          <w:szCs w:val="24"/>
        </w:rPr>
        <w:footnoteReference w:id="151"/>
      </w:r>
      <w:r>
        <w:rPr>
          <w:rFonts w:ascii="Times New Roman" w:hAnsi="Times New Roman"/>
          <w:sz w:val="24"/>
          <w:szCs w:val="24"/>
        </w:rPr>
        <w:t xml:space="preserve"> held instructively thus: Again, the Plaintiff argues that the protection afforded Public Officers under the Act does not apply in cases of recovery of land. I have noted however, that the Plaintiff's action is related to recovery of land. The claim, particularly, of Oil wells fields are in issue, as well as the revenue therefrom. In view of the foregoing and for the fact that the Plaintiff is mostly seeking for declaratory reliefs having to do with the claim of entitlement to derivative funds from the disputed Oil fields, which have fallen due and which they complained have not been paid, the Act cannot be invoked to defeat the grant of such reliefs. </w:t>
      </w:r>
    </w:p>
    <w:p w:rsidR="00EC7CD2" w:rsidRDefault="00453B03">
      <w:pPr>
        <w:pStyle w:val="ListParagraph"/>
        <w:numPr>
          <w:ilvl w:val="0"/>
          <w:numId w:val="13"/>
        </w:numPr>
        <w:spacing w:line="480" w:lineRule="auto"/>
        <w:ind w:left="0"/>
        <w:rPr>
          <w:sz w:val="24"/>
          <w:szCs w:val="24"/>
        </w:rPr>
      </w:pPr>
      <w:r>
        <w:rPr>
          <w:sz w:val="24"/>
          <w:szCs w:val="24"/>
        </w:rPr>
        <w:t>Breaches of Contract:</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 It is also settled law that, the Public Officers Protection Law does not apply in cases of breaches of contract. In </w:t>
      </w:r>
      <w:r>
        <w:rPr>
          <w:rFonts w:ascii="Times New Roman" w:hAnsi="Times New Roman"/>
          <w:i/>
          <w:iCs/>
          <w:sz w:val="24"/>
          <w:szCs w:val="24"/>
        </w:rPr>
        <w:t>Bureau of Public Enterprises v Reinsurance Acquisition Group Ltd &amp; Ors</w:t>
      </w:r>
      <w:r>
        <w:rPr>
          <w:rStyle w:val="FootnoteReference"/>
          <w:rFonts w:ascii="Times New Roman" w:hAnsi="Times New Roman"/>
          <w:sz w:val="24"/>
          <w:szCs w:val="24"/>
        </w:rPr>
        <w:footnoteReference w:id="152"/>
      </w:r>
      <w:r>
        <w:rPr>
          <w:rFonts w:ascii="Times New Roman" w:hAnsi="Times New Roman"/>
          <w:sz w:val="24"/>
          <w:szCs w:val="24"/>
        </w:rPr>
        <w:t xml:space="preserve"> the Court of Appeal in its lead judgment relied on the dictum of Mohammed JSC in </w:t>
      </w:r>
      <w:r>
        <w:rPr>
          <w:rFonts w:ascii="Times New Roman" w:hAnsi="Times New Roman"/>
          <w:i/>
          <w:iCs/>
          <w:sz w:val="24"/>
          <w:szCs w:val="24"/>
        </w:rPr>
        <w:t>FGN v Zebra Energy Ltd</w:t>
      </w:r>
      <w:r>
        <w:rPr>
          <w:rFonts w:ascii="Times New Roman" w:hAnsi="Times New Roman"/>
          <w:sz w:val="24"/>
          <w:szCs w:val="24"/>
        </w:rPr>
        <w:t>.</w:t>
      </w:r>
      <w:r>
        <w:rPr>
          <w:rStyle w:val="FootnoteReference"/>
          <w:rFonts w:ascii="Times New Roman" w:hAnsi="Times New Roman"/>
          <w:sz w:val="24"/>
          <w:szCs w:val="24"/>
        </w:rPr>
        <w:footnoteReference w:id="153"/>
      </w:r>
      <w:r>
        <w:rPr>
          <w:rFonts w:ascii="Times New Roman" w:hAnsi="Times New Roman"/>
          <w:sz w:val="24"/>
          <w:szCs w:val="24"/>
        </w:rPr>
        <w:t xml:space="preserve"> and pronounced that: “The provisions of the Public Officers Protection Law are not absolute. The provisions do not apply in actions for recovery of land, breaches of contract, claims for work and labour done.”</w:t>
      </w:r>
      <w:r>
        <w:rPr>
          <w:rStyle w:val="FootnoteReference"/>
          <w:rFonts w:ascii="Times New Roman" w:hAnsi="Times New Roman"/>
          <w:sz w:val="24"/>
          <w:szCs w:val="24"/>
        </w:rPr>
        <w:footnoteReference w:id="154"/>
      </w:r>
      <w:r>
        <w:rPr>
          <w:rFonts w:ascii="Times New Roman" w:hAnsi="Times New Roman"/>
          <w:sz w:val="24"/>
          <w:szCs w:val="24"/>
        </w:rPr>
        <w:t xml:space="preserve"> The Public Officers Protection Act was not intended by the Legislature to apply to contract. The law does not apply in cases of recovery of land, breaches of contract or for claims for work and labour done. Likewise, in the case of </w:t>
      </w:r>
      <w:r>
        <w:rPr>
          <w:rFonts w:ascii="Times New Roman" w:hAnsi="Times New Roman"/>
          <w:i/>
          <w:iCs/>
          <w:sz w:val="24"/>
          <w:szCs w:val="24"/>
        </w:rPr>
        <w:t xml:space="preserve">Nigerian Ports Authority </w:t>
      </w:r>
      <w:r>
        <w:rPr>
          <w:rFonts w:ascii="Times New Roman" w:hAnsi="Times New Roman"/>
          <w:i/>
          <w:iCs/>
          <w:sz w:val="24"/>
          <w:szCs w:val="24"/>
        </w:rPr>
        <w:lastRenderedPageBreak/>
        <w:t>v Construzioni General Farsura Cogefar Spa &amp; Another</w:t>
      </w:r>
      <w:r>
        <w:rPr>
          <w:rStyle w:val="FootnoteReference"/>
          <w:rFonts w:ascii="Times New Roman" w:hAnsi="Times New Roman"/>
          <w:sz w:val="24"/>
          <w:szCs w:val="24"/>
        </w:rPr>
        <w:footnoteReference w:id="155"/>
      </w:r>
      <w:r>
        <w:rPr>
          <w:rFonts w:ascii="Times New Roman" w:hAnsi="Times New Roman"/>
          <w:sz w:val="24"/>
          <w:szCs w:val="24"/>
        </w:rPr>
        <w:t xml:space="preserve">, it was held that, an action for breach of contract does not fall within the contemplation of Section 2(a) of the Public Officer (Protection) Law. </w:t>
      </w:r>
    </w:p>
    <w:p w:rsidR="00EC7CD2" w:rsidRDefault="00453B03">
      <w:pPr>
        <w:pStyle w:val="ListParagraph"/>
        <w:numPr>
          <w:ilvl w:val="0"/>
          <w:numId w:val="13"/>
        </w:numPr>
        <w:spacing w:line="480" w:lineRule="auto"/>
        <w:ind w:left="0"/>
        <w:rPr>
          <w:sz w:val="24"/>
          <w:szCs w:val="24"/>
        </w:rPr>
      </w:pPr>
      <w:r>
        <w:rPr>
          <w:sz w:val="24"/>
          <w:szCs w:val="24"/>
        </w:rPr>
        <w:t xml:space="preserve">Claims for Work and Labour done: </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It is glaring from the cases of </w:t>
      </w:r>
      <w:r>
        <w:rPr>
          <w:rFonts w:ascii="Times New Roman" w:hAnsi="Times New Roman"/>
          <w:i/>
          <w:iCs/>
          <w:sz w:val="24"/>
          <w:szCs w:val="24"/>
        </w:rPr>
        <w:t>Bureau of Public Enterprises v Reinsurance Acquisition Group Ltd &amp; Ors</w:t>
      </w:r>
      <w:r>
        <w:rPr>
          <w:rFonts w:ascii="Times New Roman" w:hAnsi="Times New Roman"/>
          <w:sz w:val="24"/>
          <w:szCs w:val="24"/>
        </w:rPr>
        <w:t>.</w:t>
      </w:r>
      <w:r>
        <w:rPr>
          <w:rStyle w:val="FootnoteReference"/>
          <w:rFonts w:ascii="Times New Roman" w:hAnsi="Times New Roman"/>
          <w:sz w:val="24"/>
          <w:szCs w:val="24"/>
        </w:rPr>
        <w:footnoteReference w:id="156"/>
      </w:r>
      <w:r>
        <w:rPr>
          <w:rFonts w:ascii="Times New Roman" w:hAnsi="Times New Roman"/>
          <w:sz w:val="24"/>
          <w:szCs w:val="24"/>
        </w:rPr>
        <w:t xml:space="preserve"> and </w:t>
      </w:r>
      <w:r>
        <w:rPr>
          <w:rFonts w:ascii="Times New Roman" w:hAnsi="Times New Roman"/>
          <w:i/>
          <w:iCs/>
          <w:sz w:val="24"/>
          <w:szCs w:val="24"/>
        </w:rPr>
        <w:t>FGN v Zebra Energy Ltd</w:t>
      </w:r>
      <w:r>
        <w:rPr>
          <w:rFonts w:ascii="Times New Roman" w:hAnsi="Times New Roman"/>
          <w:sz w:val="24"/>
          <w:szCs w:val="24"/>
        </w:rPr>
        <w:t>.</w:t>
      </w:r>
      <w:r>
        <w:rPr>
          <w:rStyle w:val="FootnoteReference"/>
          <w:rFonts w:ascii="Times New Roman" w:hAnsi="Times New Roman"/>
          <w:sz w:val="24"/>
          <w:szCs w:val="24"/>
        </w:rPr>
        <w:footnoteReference w:id="157"/>
      </w:r>
      <w:r>
        <w:rPr>
          <w:rFonts w:ascii="Times New Roman" w:hAnsi="Times New Roman"/>
          <w:sz w:val="24"/>
          <w:szCs w:val="24"/>
        </w:rPr>
        <w:t xml:space="preserve"> that, the provisions of the Public Officers Protection Law does not apply not only to cases of recovery of land, breaches of contract but also for claims for work and labour done.</w:t>
      </w:r>
      <w:r>
        <w:rPr>
          <w:rStyle w:val="FootnoteReference"/>
          <w:rFonts w:ascii="Times New Roman" w:hAnsi="Times New Roman"/>
          <w:sz w:val="24"/>
          <w:szCs w:val="24"/>
        </w:rPr>
        <w:footnoteReference w:id="158"/>
      </w:r>
    </w:p>
    <w:p w:rsidR="00EC7CD2" w:rsidRDefault="00453B03">
      <w:pPr>
        <w:pStyle w:val="ListParagraph"/>
        <w:numPr>
          <w:ilvl w:val="0"/>
          <w:numId w:val="13"/>
        </w:numPr>
        <w:spacing w:line="480" w:lineRule="auto"/>
        <w:ind w:left="0"/>
        <w:rPr>
          <w:sz w:val="24"/>
          <w:szCs w:val="24"/>
        </w:rPr>
      </w:pPr>
      <w:r>
        <w:rPr>
          <w:sz w:val="24"/>
          <w:szCs w:val="24"/>
        </w:rPr>
        <w:t>Good Faith</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 In </w:t>
      </w:r>
      <w:r>
        <w:rPr>
          <w:rFonts w:ascii="Times New Roman" w:hAnsi="Times New Roman"/>
          <w:i/>
          <w:iCs/>
          <w:sz w:val="24"/>
          <w:szCs w:val="24"/>
        </w:rPr>
        <w:t>Inspector General of Police v Olatunji</w:t>
      </w:r>
      <w:r>
        <w:rPr>
          <w:rStyle w:val="FootnoteReference"/>
          <w:rFonts w:ascii="Times New Roman" w:hAnsi="Times New Roman"/>
          <w:sz w:val="24"/>
          <w:szCs w:val="24"/>
        </w:rPr>
        <w:footnoteReference w:id="159"/>
      </w:r>
      <w:r>
        <w:rPr>
          <w:rFonts w:ascii="Times New Roman" w:hAnsi="Times New Roman"/>
          <w:sz w:val="24"/>
          <w:szCs w:val="24"/>
        </w:rPr>
        <w:t xml:space="preserve"> it was held that, the protection under Public Officers Protection Law is only available to a public officer who acted in good faith in the execution of his public duty. Where an action against a public officer is instituted within the period of the three months prescribed, there is a cause of action, and the legality of the action complained of can be in issue. In such a situation, evidence can be led at the trial to determine whether the protection under the Public Officers (Protection) Act has been vitiated by malice, improper motive, bad faith or deliberate exercise of power without lawful authority. When however the defendant invokes, in time, the provision of the Public Officers (Protection) Act, it is not proper for the trial court to conclude or infer from the pleadings that the protection afforded the defendant by the law has been vitiated by malice or bad faith. What the trial court is obliged to decide at that stage is whether the action is maintainable and not whether the defendant is liable. “Where the protection is not raised </w:t>
      </w:r>
      <w:r>
        <w:rPr>
          <w:rFonts w:ascii="Times New Roman" w:hAnsi="Times New Roman"/>
          <w:sz w:val="24"/>
          <w:szCs w:val="24"/>
        </w:rPr>
        <w:lastRenderedPageBreak/>
        <w:t>as a shield in time and is merely pleaded, and issues are joined and evidence led on it by the parties, the trial court is entitled to examine the circumstances under which the cause of action or the act complained of was performed, for it, in determining liability, to invoke Section 2 of the Act.”</w:t>
      </w:r>
      <w:r>
        <w:rPr>
          <w:rStyle w:val="FootnoteReference"/>
          <w:rFonts w:ascii="Times New Roman" w:hAnsi="Times New Roman"/>
          <w:sz w:val="24"/>
          <w:szCs w:val="24"/>
        </w:rPr>
        <w:footnoteReference w:id="160"/>
      </w:r>
    </w:p>
    <w:p w:rsidR="00EC7CD2" w:rsidRDefault="00453B03">
      <w:pPr>
        <w:spacing w:after="0" w:line="480" w:lineRule="auto"/>
        <w:jc w:val="both"/>
        <w:rPr>
          <w:rFonts w:ascii="Times New Roman" w:eastAsia="Hiragino Mincho ProN W3" w:hAnsi="Times New Roman"/>
          <w:sz w:val="24"/>
          <w:szCs w:val="24"/>
        </w:rPr>
      </w:pPr>
      <w:r>
        <w:rPr>
          <w:rFonts w:ascii="Times New Roman" w:eastAsia="Hiragino Mincho ProN W3" w:hAnsi="Times New Roman"/>
          <w:sz w:val="24"/>
          <w:szCs w:val="24"/>
        </w:rPr>
        <w:t>“The Public Officers Protection Act (POPA) was enacted to shield public officers from stale, vexatious and frivolous claims resulting from actions performed while performing their official functions. Although the Public Officers Protection Act plays an indispensable role in the administration process, it has been associated with controversy within the legal system in Nigeria. There are some loopholes and limitations in the Act which have led to clamour for legislative reforms.”</w:t>
      </w:r>
    </w:p>
    <w:p w:rsidR="00EC7CD2" w:rsidRDefault="00453B03">
      <w:pPr>
        <w:spacing w:after="0" w:line="480" w:lineRule="auto"/>
        <w:jc w:val="both"/>
        <w:rPr>
          <w:rFonts w:ascii="Times New Roman" w:eastAsia="Hiragino Mincho ProN W3" w:hAnsi="Times New Roman"/>
          <w:sz w:val="24"/>
          <w:szCs w:val="24"/>
        </w:rPr>
      </w:pPr>
      <w:r>
        <w:rPr>
          <w:rFonts w:ascii="Times New Roman" w:eastAsia="Hiragino Mincho ProN W3" w:hAnsi="Times New Roman"/>
          <w:sz w:val="24"/>
          <w:szCs w:val="24"/>
        </w:rPr>
        <w:t>Firstly, “the Public Officers Protection Act faces criticism on the grounds of a very short limitation period provided under section 2(a)</w:t>
      </w:r>
      <w:r>
        <w:rPr>
          <w:rStyle w:val="FootnoteReference"/>
          <w:rFonts w:ascii="Times New Roman" w:eastAsia="Hiragino Mincho ProN W3" w:hAnsi="Times New Roman"/>
          <w:sz w:val="24"/>
          <w:szCs w:val="24"/>
        </w:rPr>
        <w:footnoteReference w:id="161"/>
      </w:r>
      <w:r>
        <w:rPr>
          <w:rFonts w:ascii="Times New Roman" w:eastAsia="Hiragino Mincho ProN W3" w:hAnsi="Times New Roman"/>
          <w:sz w:val="24"/>
          <w:szCs w:val="24"/>
        </w:rPr>
        <w:t xml:space="preserve"> of the Act. The provision stipulates that any aggrieved party should institute an action against a public officer within three months after the date on which the cause of action accrued. While this is a requirement aimed at ensuring that any litigation process is swift and effective, the limitation period has proven to be extremely difficult for aggrieved parties who need more time to seek legal advise and other preparations before instituting a case. Odusote asserts that the limitation period of three months bars deserving claimants from seeking justice by frustrating court’s consideration of the substance of their claims.”</w:t>
      </w:r>
      <w:r>
        <w:rPr>
          <w:rStyle w:val="FootnoteReference"/>
          <w:rFonts w:ascii="Times New Roman" w:eastAsia="Hiragino Mincho ProN W3" w:hAnsi="Times New Roman"/>
          <w:sz w:val="24"/>
          <w:szCs w:val="24"/>
        </w:rPr>
        <w:footnoteReference w:id="162"/>
      </w:r>
    </w:p>
    <w:p w:rsidR="00EC7CD2" w:rsidRDefault="00453B03">
      <w:pPr>
        <w:spacing w:after="0" w:line="480" w:lineRule="auto"/>
        <w:jc w:val="both"/>
        <w:rPr>
          <w:rFonts w:ascii="Times New Roman" w:eastAsia="Hiragino Mincho ProN W3" w:hAnsi="Times New Roman"/>
          <w:sz w:val="24"/>
          <w:szCs w:val="24"/>
        </w:rPr>
      </w:pPr>
      <w:r>
        <w:rPr>
          <w:rFonts w:ascii="Times New Roman" w:eastAsia="Hiragino Mincho ProN W3" w:hAnsi="Times New Roman"/>
          <w:sz w:val="24"/>
          <w:szCs w:val="24"/>
        </w:rPr>
        <w:t xml:space="preserve">A further loophole can be found in the wide interpretation of the phrase “public officers.” Though the Act was meant to protect individual public officers while performing their duties, the Act has been applied to government ministries, departments, agencies and statutory corporations by the </w:t>
      </w:r>
      <w:r>
        <w:rPr>
          <w:rFonts w:ascii="Times New Roman" w:eastAsia="Hiragino Mincho ProN W3" w:hAnsi="Times New Roman"/>
          <w:sz w:val="24"/>
          <w:szCs w:val="24"/>
        </w:rPr>
        <w:lastRenderedPageBreak/>
        <w:t>courts in Nigeria. This interpretation has greatly expanded the scope of protection under the Act and allowed public offices to make use of the Act as defence against legitimate claims. As stated by Odusote, this judicial extension of the scope of application of the Act has turned the Act into an impediment to public</w:t>
      </w:r>
    </w:p>
    <w:p w:rsidR="00EC7CD2" w:rsidRDefault="00453B03">
      <w:pPr>
        <w:spacing w:after="0" w:line="480" w:lineRule="auto"/>
        <w:jc w:val="both"/>
        <w:rPr>
          <w:rFonts w:ascii="Times New Roman" w:eastAsia="Hiragino Mincho ProN W3" w:hAnsi="Times New Roman"/>
          <w:sz w:val="24"/>
          <w:szCs w:val="24"/>
        </w:rPr>
      </w:pPr>
      <w:r>
        <w:rPr>
          <w:rFonts w:ascii="Times New Roman" w:eastAsia="Hiragino Mincho ProN W3" w:hAnsi="Times New Roman"/>
          <w:sz w:val="24"/>
          <w:szCs w:val="24"/>
        </w:rPr>
        <w:t>accountability.</w:t>
      </w:r>
      <w:r>
        <w:rPr>
          <w:rStyle w:val="FootnoteReference"/>
          <w:rFonts w:ascii="Times New Roman" w:eastAsia="Hiragino Mincho ProN W3" w:hAnsi="Times New Roman"/>
          <w:sz w:val="24"/>
          <w:szCs w:val="24"/>
        </w:rPr>
        <w:footnoteReference w:id="163"/>
      </w:r>
    </w:p>
    <w:p w:rsidR="00EC7CD2" w:rsidRDefault="00EC7CD2">
      <w:pPr>
        <w:spacing w:after="0" w:line="480" w:lineRule="auto"/>
        <w:jc w:val="both"/>
        <w:rPr>
          <w:rFonts w:ascii="Times New Roman" w:eastAsia="Hiragino Mincho ProN W3" w:hAnsi="Times New Roman"/>
          <w:sz w:val="24"/>
          <w:szCs w:val="24"/>
        </w:rPr>
      </w:pPr>
    </w:p>
    <w:p w:rsidR="00EC7CD2" w:rsidRDefault="00453B03">
      <w:pPr>
        <w:spacing w:after="0" w:line="480" w:lineRule="auto"/>
        <w:jc w:val="both"/>
        <w:rPr>
          <w:rFonts w:ascii="Times New Roman" w:eastAsia="Hiragino Mincho ProN W3" w:hAnsi="Times New Roman"/>
          <w:sz w:val="24"/>
          <w:szCs w:val="24"/>
        </w:rPr>
      </w:pPr>
      <w:r>
        <w:rPr>
          <w:rFonts w:ascii="Times New Roman" w:eastAsia="Hiragino Mincho ProN W3" w:hAnsi="Times New Roman"/>
          <w:sz w:val="24"/>
          <w:szCs w:val="24"/>
        </w:rPr>
        <w:t>It is also criticized for creating barriers to access to justice. “Section 6 of the Constitution of the Federal Republic of Nigeria 1999 (as amended)</w:t>
      </w:r>
      <w:r>
        <w:rPr>
          <w:rStyle w:val="FootnoteReference"/>
          <w:rFonts w:ascii="Times New Roman" w:eastAsia="Hiragino Mincho ProN W3" w:hAnsi="Times New Roman"/>
          <w:sz w:val="24"/>
          <w:szCs w:val="24"/>
        </w:rPr>
        <w:footnoteReference w:id="164"/>
      </w:r>
      <w:r>
        <w:rPr>
          <w:rFonts w:ascii="Times New Roman" w:eastAsia="Hiragino Mincho ProN W3" w:hAnsi="Times New Roman"/>
          <w:sz w:val="24"/>
          <w:szCs w:val="24"/>
        </w:rPr>
        <w:t xml:space="preserve"> states that the judicial powers shall vest in the courts and all citizens have the right to seek remedy for breach of their civil rights and obligations. Nevertheless, the application of the Act usually leads to the rejection of cases because they were not instituted within the required statutory period without taking into account the merit of the case. The Act creates constitutional issues as it greatly restricts the actual access to court.”</w:t>
      </w:r>
      <w:r>
        <w:rPr>
          <w:rStyle w:val="FootnoteReference"/>
          <w:rFonts w:ascii="Times New Roman" w:eastAsia="Hiragino Mincho ProN W3" w:hAnsi="Times New Roman"/>
          <w:sz w:val="24"/>
          <w:szCs w:val="24"/>
        </w:rPr>
        <w:footnoteReference w:id="165"/>
      </w:r>
    </w:p>
    <w:p w:rsidR="00EC7CD2" w:rsidRDefault="00453B03">
      <w:pPr>
        <w:spacing w:after="0" w:line="480" w:lineRule="auto"/>
        <w:jc w:val="both"/>
        <w:rPr>
          <w:rFonts w:ascii="Times New Roman" w:eastAsia="Hiragino Mincho ProN W3" w:hAnsi="Times New Roman"/>
          <w:sz w:val="24"/>
          <w:szCs w:val="24"/>
        </w:rPr>
      </w:pPr>
      <w:r>
        <w:rPr>
          <w:rFonts w:ascii="Times New Roman" w:eastAsia="Hiragino Mincho ProN W3" w:hAnsi="Times New Roman"/>
          <w:sz w:val="24"/>
          <w:szCs w:val="24"/>
        </w:rPr>
        <w:t xml:space="preserve">Moreover, the law has brought about a situation of inequality between public officers and citizens of Nigeria. While individuals in private sectors still operate under general laws of limitation, public officers benefit from a statutory protection, which is not available to other citizens. “The law has been faulted for failing to accord with the principle of equality before the law. The faulting becomes more pronounced by the fact that the English Public Authorities Protection Act of 1893, from which the current Nigerian law emanates, has since been repealed in the United Kingdom.” </w:t>
      </w:r>
      <w:r>
        <w:rPr>
          <w:rFonts w:ascii="Times New Roman" w:eastAsia="Hiragino Mincho ProN W3" w:hAnsi="Times New Roman"/>
          <w:sz w:val="24"/>
          <w:szCs w:val="24"/>
        </w:rPr>
        <w:lastRenderedPageBreak/>
        <w:t>It is for this reason that several scholars have referred to the law as out-of-date and incompatible with contemporary standards of accountability.</w:t>
      </w:r>
      <w:r>
        <w:rPr>
          <w:rStyle w:val="FootnoteReference"/>
          <w:rFonts w:ascii="Times New Roman" w:eastAsia="Hiragino Mincho ProN W3" w:hAnsi="Times New Roman"/>
          <w:sz w:val="24"/>
          <w:szCs w:val="24"/>
        </w:rPr>
        <w:footnoteReference w:id="166"/>
      </w:r>
    </w:p>
    <w:p w:rsidR="00EC7CD2" w:rsidRDefault="00453B03">
      <w:pPr>
        <w:spacing w:after="0" w:line="480" w:lineRule="auto"/>
        <w:jc w:val="both"/>
        <w:rPr>
          <w:rFonts w:ascii="Times New Roman" w:eastAsia="Hiragino Mincho ProN W3" w:hAnsi="Times New Roman"/>
          <w:sz w:val="24"/>
          <w:szCs w:val="24"/>
        </w:rPr>
      </w:pPr>
      <w:r>
        <w:rPr>
          <w:rFonts w:ascii="Times New Roman" w:eastAsia="Hiragino Mincho ProN W3" w:hAnsi="Times New Roman"/>
          <w:sz w:val="24"/>
          <w:szCs w:val="24"/>
        </w:rPr>
        <w:t xml:space="preserve">A related difficulty posed by the Act is the lack of certainty arising from many judicial exceptions to its application. It has been held in many cases in Nigeria that the protection provided under the Act cannot be enjoyed by a public officer if he or she acts ultra vires, commits malice or bad faith, performs an act resulting in continuous harm or when such an act is based on a contract. “According to the Supreme Court judgment of </w:t>
      </w:r>
      <w:r>
        <w:rPr>
          <w:rFonts w:ascii="Times New Roman" w:eastAsia="Hiragino Mincho ProN W3" w:hAnsi="Times New Roman"/>
          <w:i/>
          <w:sz w:val="24"/>
          <w:szCs w:val="24"/>
        </w:rPr>
        <w:t>National Revenue Mobilisation Allocation and Fiscal Commission v. Ajibola Johnson</w:t>
      </w:r>
      <w:r>
        <w:rPr>
          <w:rFonts w:ascii="Times New Roman" w:eastAsia="Hiragino Mincho ProN W3" w:hAnsi="Times New Roman"/>
          <w:iCs/>
          <w:sz w:val="24"/>
          <w:szCs w:val="24"/>
        </w:rPr>
        <w:t>,</w:t>
      </w:r>
      <w:r>
        <w:rPr>
          <w:rStyle w:val="FootnoteReference"/>
          <w:rFonts w:ascii="Times New Roman" w:eastAsia="Hiragino Mincho ProN W3" w:hAnsi="Times New Roman"/>
          <w:i/>
          <w:sz w:val="24"/>
          <w:szCs w:val="24"/>
        </w:rPr>
        <w:footnoteReference w:id="167"/>
      </w:r>
      <w:r>
        <w:rPr>
          <w:rFonts w:ascii="Times New Roman" w:eastAsia="Hiragino Mincho ProN W3" w:hAnsi="Times New Roman"/>
          <w:sz w:val="24"/>
          <w:szCs w:val="24"/>
        </w:rPr>
        <w:t xml:space="preserve"> the Act does not apply to employment contracts. Again, the application of the Act has been ruled not applicable in abuse of office and bad faith. While judicial exceptions have contributed immensely to justice, they have generated uncertainty concerning the circumstances in which the Act applies. As noted by Badmos, the growing number of judicial exceptions has made the application of section 2(a) unpredictable.”</w:t>
      </w:r>
      <w:r>
        <w:rPr>
          <w:rStyle w:val="FootnoteReference"/>
          <w:rFonts w:ascii="Times New Roman" w:eastAsia="Hiragino Mincho ProN W3" w:hAnsi="Times New Roman"/>
          <w:sz w:val="24"/>
          <w:szCs w:val="24"/>
        </w:rPr>
        <w:footnoteReference w:id="168"/>
      </w:r>
    </w:p>
    <w:p w:rsidR="00EC7CD2" w:rsidRDefault="00453B03">
      <w:pPr>
        <w:spacing w:after="0" w:line="480" w:lineRule="auto"/>
        <w:jc w:val="both"/>
        <w:rPr>
          <w:rFonts w:ascii="Times New Roman" w:eastAsia="Hiragino Mincho ProN W3" w:hAnsi="Times New Roman"/>
          <w:sz w:val="24"/>
          <w:szCs w:val="24"/>
        </w:rPr>
      </w:pPr>
      <w:r>
        <w:rPr>
          <w:rFonts w:ascii="Times New Roman" w:eastAsia="Hiragino Mincho ProN W3" w:hAnsi="Times New Roman"/>
          <w:sz w:val="24"/>
          <w:szCs w:val="24"/>
        </w:rPr>
        <w:t>This Act has also been accused of compromising public accountability. Democratic government systems require public servants to be answerable for any misconduct committed when exercising public power. Yet, the limitation defense under this Act often allows public servants and public agencies to escape judicial scrutiny without resolving the substance of the allegations. Such a practice might compromise public faith in the functioning of government institutions and the rule of law. As Okeke has pointed out, legal standards that offer too much protection to public authorities against judicial scrutiny can diminish public confidence in governance.</w:t>
      </w:r>
      <w:r>
        <w:rPr>
          <w:rStyle w:val="FootnoteReference"/>
          <w:rFonts w:ascii="Times New Roman" w:eastAsia="Hiragino Mincho ProN W3" w:hAnsi="Times New Roman"/>
          <w:sz w:val="24"/>
          <w:szCs w:val="24"/>
        </w:rPr>
        <w:footnoteReference w:id="169"/>
      </w:r>
    </w:p>
    <w:p w:rsidR="00EC7CD2" w:rsidRDefault="00453B03">
      <w:pPr>
        <w:spacing w:after="0" w:line="480" w:lineRule="auto"/>
        <w:jc w:val="both"/>
        <w:rPr>
          <w:rFonts w:ascii="Times New Roman" w:eastAsia="Hiragino Mincho ProN W3" w:hAnsi="Times New Roman"/>
          <w:sz w:val="24"/>
          <w:szCs w:val="24"/>
        </w:rPr>
      </w:pPr>
      <w:r>
        <w:rPr>
          <w:rFonts w:ascii="Times New Roman" w:eastAsia="Hiragino Mincho ProN W3" w:hAnsi="Times New Roman"/>
          <w:sz w:val="24"/>
          <w:szCs w:val="24"/>
        </w:rPr>
        <w:lastRenderedPageBreak/>
        <w:t>It can be seen clearly that while the Public Officers Protection Act does indeed achieve the valid purpose of safeguarding public officers from obsolete and vexatious suits, there are quite a number of gaps and inadequacies that come with its implementation. From the limitation period, the wide scope of the meaning of “public officer”, the uncertainties posed by judicial exceptions, as well as the possible limitation of the right of access to justice, criticism has been plentiful.</w:t>
      </w:r>
    </w:p>
    <w:p w:rsidR="00EC7CD2" w:rsidRDefault="00453B03">
      <w:pPr>
        <w:pStyle w:val="Heading3"/>
        <w:spacing w:before="0" w:after="0" w:line="480" w:lineRule="auto"/>
        <w:jc w:val="both"/>
        <w:rPr>
          <w:rFonts w:ascii="Times New Roman" w:eastAsia="Times New Roman" w:hAnsi="Times New Roman" w:cs="Times New Roman"/>
          <w:b/>
          <w:bCs/>
          <w:color w:val="auto"/>
          <w:kern w:val="0"/>
          <w:sz w:val="24"/>
          <w:szCs w:val="24"/>
          <w14:ligatures w14:val="none"/>
        </w:rPr>
      </w:pPr>
      <w:r>
        <w:rPr>
          <w:rFonts w:ascii="Times New Roman" w:eastAsia="Hiragino Mincho ProN W3" w:hAnsi="Times New Roman" w:cs="Times New Roman"/>
          <w:color w:val="36363D"/>
          <w:sz w:val="24"/>
          <w:szCs w:val="24"/>
        </w:rPr>
        <w:t>4.2</w:t>
      </w:r>
      <w:r>
        <w:rPr>
          <w:rFonts w:ascii="Times New Roman" w:eastAsia="Hiragino Mincho ProN W3" w:hAnsi="Times New Roman" w:cs="Times New Roman"/>
          <w:sz w:val="24"/>
          <w:szCs w:val="24"/>
        </w:rPr>
        <w:t xml:space="preserve"> </w:t>
      </w:r>
      <w:r>
        <w:rPr>
          <w:rFonts w:ascii="Times New Roman" w:eastAsia="Times New Roman" w:hAnsi="Times New Roman" w:cs="Times New Roman"/>
          <w:b/>
          <w:bCs/>
          <w:color w:val="auto"/>
          <w:kern w:val="0"/>
          <w:sz w:val="24"/>
          <w:szCs w:val="24"/>
          <w14:ligatures w14:val="none"/>
        </w:rPr>
        <w:t>Abuse of Legal Immunities by Public Officers</w:t>
      </w:r>
    </w:p>
    <w:p w:rsidR="00EC7CD2" w:rsidRDefault="00453B03">
      <w:pPr>
        <w:spacing w:after="0" w:line="480" w:lineRule="auto"/>
        <w:jc w:val="both"/>
        <w:rPr>
          <w:rFonts w:ascii="Times New Roman" w:eastAsia="Hiragino Mincho ProN W3" w:hAnsi="Times New Roman"/>
          <w:sz w:val="24"/>
          <w:szCs w:val="24"/>
        </w:rPr>
      </w:pPr>
      <w:r>
        <w:rPr>
          <w:rFonts w:ascii="Times New Roman" w:eastAsia="Hiragino Mincho ProN W3" w:hAnsi="Times New Roman"/>
          <w:sz w:val="24"/>
          <w:szCs w:val="24"/>
        </w:rPr>
        <w:t>Immunities are intended to facilitate the ability of public officials to carry out their official duties efficiently without having to worry about frivolous suits or being intimidated. In Nigeria, such immunities can be seen in Section 308 of the Constitution,</w:t>
      </w:r>
      <w:r>
        <w:rPr>
          <w:rStyle w:val="FootnoteReference"/>
          <w:rFonts w:ascii="Times New Roman" w:eastAsia="Hiragino Mincho ProN W3" w:hAnsi="Times New Roman"/>
          <w:sz w:val="24"/>
          <w:szCs w:val="24"/>
        </w:rPr>
        <w:footnoteReference w:id="170"/>
      </w:r>
      <w:r>
        <w:rPr>
          <w:rFonts w:ascii="Times New Roman" w:eastAsia="Hiragino Mincho ProN W3" w:hAnsi="Times New Roman"/>
          <w:sz w:val="24"/>
          <w:szCs w:val="24"/>
        </w:rPr>
        <w:t xml:space="preserve"> which confers immunity from both civil and criminal suits to the President, Vice-President, Governors and Deputy Governors during their tenure in office. Another immunity that exists is the procedural protection afforded to public officers in the Public Officers Protection Act when carrying out their official duties. Although these immunities have valid government purposes, fears have been raised about their abuse by public officers to avoid accountability for wrongful actions.</w:t>
      </w:r>
    </w:p>
    <w:p w:rsidR="00EC7CD2" w:rsidRDefault="00EC7CD2">
      <w:pPr>
        <w:spacing w:after="0" w:line="480" w:lineRule="auto"/>
        <w:jc w:val="both"/>
        <w:rPr>
          <w:rFonts w:ascii="Times New Roman" w:eastAsia="Hiragino Mincho ProN W3" w:hAnsi="Times New Roman"/>
          <w:sz w:val="24"/>
          <w:szCs w:val="24"/>
        </w:rPr>
      </w:pPr>
    </w:p>
    <w:p w:rsidR="00EC7CD2" w:rsidRDefault="00453B03">
      <w:pPr>
        <w:spacing w:after="0" w:line="480" w:lineRule="auto"/>
        <w:jc w:val="both"/>
        <w:rPr>
          <w:rFonts w:ascii="Times New Roman" w:eastAsia="Hiragino Mincho ProN W3" w:hAnsi="Times New Roman"/>
          <w:sz w:val="24"/>
          <w:szCs w:val="24"/>
        </w:rPr>
      </w:pPr>
      <w:r>
        <w:rPr>
          <w:rFonts w:ascii="Times New Roman" w:eastAsia="Hiragino Mincho ProN W3" w:hAnsi="Times New Roman"/>
          <w:sz w:val="24"/>
          <w:szCs w:val="24"/>
        </w:rPr>
        <w:t>One of the biggest problems that has been linked to immunities is the use of such immunities as a defense against investigations and prosecutions in cases involving corruption, misuse of office and other forms of misconduct by public officials. Section 308 of the constitution</w:t>
      </w:r>
      <w:r>
        <w:rPr>
          <w:rStyle w:val="FootnoteReference"/>
          <w:rFonts w:ascii="Times New Roman" w:eastAsia="Hiragino Mincho ProN W3" w:hAnsi="Times New Roman"/>
          <w:sz w:val="24"/>
          <w:szCs w:val="24"/>
        </w:rPr>
        <w:footnoteReference w:id="171"/>
      </w:r>
      <w:r>
        <w:rPr>
          <w:rFonts w:ascii="Times New Roman" w:eastAsia="Hiragino Mincho ProN W3" w:hAnsi="Times New Roman"/>
          <w:sz w:val="24"/>
          <w:szCs w:val="24"/>
        </w:rPr>
        <w:t xml:space="preserve"> was designed to ensure that there are no distractions that would hamper the effective execution of executive duties. It is also alleged that some of the people holding public offices have misused this constitutional provision to shield themselves from being scrutinized while in office. Igwenyi, Igwe and Udude </w:t>
      </w:r>
      <w:r>
        <w:rPr>
          <w:rFonts w:ascii="Times New Roman" w:eastAsia="Hiragino Mincho ProN W3" w:hAnsi="Times New Roman"/>
          <w:sz w:val="24"/>
          <w:szCs w:val="24"/>
        </w:rPr>
        <w:lastRenderedPageBreak/>
        <w:t>suggest that this immunity provision has, at times, been used as a way of delaying accountability such that corrupt public officials can elude prosecution until the end of their term in office.</w:t>
      </w:r>
      <w:r>
        <w:rPr>
          <w:rStyle w:val="FootnoteReference"/>
          <w:rFonts w:ascii="Times New Roman" w:eastAsia="Hiragino Mincho ProN W3" w:hAnsi="Times New Roman"/>
          <w:sz w:val="24"/>
          <w:szCs w:val="24"/>
        </w:rPr>
        <w:footnoteReference w:id="172"/>
      </w:r>
    </w:p>
    <w:p w:rsidR="00EC7CD2" w:rsidRDefault="00453B03">
      <w:pPr>
        <w:spacing w:after="0" w:line="480" w:lineRule="auto"/>
        <w:jc w:val="both"/>
        <w:rPr>
          <w:rFonts w:ascii="Times New Roman" w:eastAsia="Hiragino Mincho ProN W3" w:hAnsi="Times New Roman"/>
          <w:sz w:val="24"/>
          <w:szCs w:val="24"/>
        </w:rPr>
      </w:pPr>
      <w:r>
        <w:rPr>
          <w:rFonts w:ascii="Times New Roman" w:eastAsia="Hiragino Mincho ProN W3" w:hAnsi="Times New Roman"/>
          <w:sz w:val="24"/>
          <w:szCs w:val="24"/>
        </w:rPr>
        <w:t>Constitutional immunity abuse is quite clear in instances where the cases of corruption, financial crime, and abuse of public facilities are brought about during the period of tenure of public office holders. As criminal charges cannot be filed on individuals who enjoy Section 308</w:t>
      </w:r>
      <w:r>
        <w:rPr>
          <w:rStyle w:val="FootnoteReference"/>
          <w:rFonts w:ascii="Times New Roman" w:eastAsia="Hiragino Mincho ProN W3" w:hAnsi="Times New Roman"/>
          <w:sz w:val="24"/>
          <w:szCs w:val="24"/>
        </w:rPr>
        <w:footnoteReference w:id="173"/>
      </w:r>
      <w:r>
        <w:rPr>
          <w:rFonts w:ascii="Times New Roman" w:eastAsia="Hiragino Mincho ProN W3" w:hAnsi="Times New Roman"/>
          <w:sz w:val="24"/>
          <w:szCs w:val="24"/>
        </w:rPr>
        <w:t xml:space="preserve"> constitutional protection, investigations will have to wait until such period ends. Such an eventuality can lead to the disappearance of evidence and witness tampering among other challenges which could affect justice administration process. Ukoh and Ngwoke indicate that the provision of immunity in the constitution has faced a lot of criticism as it has often been seen as a stumbling block to corruption fighting and good governance</w:t>
      </w:r>
      <w:r>
        <w:rPr>
          <w:rStyle w:val="FootnoteReference"/>
          <w:rFonts w:ascii="Times New Roman" w:eastAsia="Hiragino Mincho ProN W3" w:hAnsi="Times New Roman"/>
          <w:sz w:val="24"/>
          <w:szCs w:val="24"/>
        </w:rPr>
        <w:footnoteReference w:id="174"/>
      </w:r>
    </w:p>
    <w:p w:rsidR="00EC7CD2" w:rsidRDefault="00453B03">
      <w:pPr>
        <w:spacing w:after="0" w:line="480" w:lineRule="auto"/>
        <w:jc w:val="both"/>
        <w:rPr>
          <w:rFonts w:ascii="Times New Roman" w:eastAsia="Hiragino Mincho ProN W3" w:hAnsi="Times New Roman"/>
          <w:sz w:val="24"/>
          <w:szCs w:val="24"/>
        </w:rPr>
      </w:pPr>
      <w:r>
        <w:rPr>
          <w:rFonts w:ascii="Times New Roman" w:eastAsia="Hiragino Mincho ProN W3" w:hAnsi="Times New Roman"/>
          <w:sz w:val="24"/>
          <w:szCs w:val="24"/>
        </w:rPr>
        <w:t xml:space="preserve">Yet another form of abuse is brought about by the functioning of the Public Officers Protection Act. Even though this law was created with the objective of protecting good faith public officers from stale and vexatious claims, there have been instances where certain public bodies and officers use this Act to dodge liability for wrongs done to others. This is because of the broad interpretation of the definition of “public officer” by the courts. This Act not only protects the public officer, but has been interpreted to cover public bodies and statutory officers. As a result, public bodies at times use this Act to dodge legitimate claims made against them. According to Odusote, this </w:t>
      </w:r>
      <w:r>
        <w:rPr>
          <w:rFonts w:ascii="Times New Roman" w:eastAsia="Hiragino Mincho ProN W3" w:hAnsi="Times New Roman"/>
          <w:sz w:val="24"/>
          <w:szCs w:val="24"/>
        </w:rPr>
        <w:lastRenderedPageBreak/>
        <w:t>development has changed the Act from an instrument of protection of diligent public officers into a procedural hurdle.</w:t>
      </w:r>
      <w:r>
        <w:rPr>
          <w:rStyle w:val="FootnoteReference"/>
          <w:rFonts w:ascii="Times New Roman" w:eastAsia="Hiragino Mincho ProN W3" w:hAnsi="Times New Roman"/>
          <w:sz w:val="24"/>
          <w:szCs w:val="24"/>
        </w:rPr>
        <w:footnoteReference w:id="175"/>
      </w:r>
    </w:p>
    <w:p w:rsidR="00EC7CD2" w:rsidRDefault="00453B03">
      <w:pPr>
        <w:spacing w:after="0" w:line="480" w:lineRule="auto"/>
        <w:jc w:val="both"/>
        <w:rPr>
          <w:rFonts w:ascii="Times New Roman" w:eastAsia="Hiragino Mincho ProN W3" w:hAnsi="Times New Roman"/>
          <w:sz w:val="24"/>
          <w:szCs w:val="24"/>
        </w:rPr>
      </w:pPr>
      <w:r>
        <w:rPr>
          <w:rFonts w:ascii="Times New Roman" w:eastAsia="Hiragino Mincho ProN W3" w:hAnsi="Times New Roman"/>
          <w:sz w:val="24"/>
          <w:szCs w:val="24"/>
        </w:rPr>
        <w:t>In addition, legal immunities have fostered a culture of impunity among public officers. The notion that particular types of public officials are immune from liability for any misconduct could have adverse effects on their commitment to the concepts of transparency, accountability and rule of law. According to Oluyinka Olutola, the immunity clause has raised doubts about the issue of corruption, misuse of powers and disregard for the principle of legal accountability by some public officers in Nigeria.</w:t>
      </w:r>
      <w:r>
        <w:rPr>
          <w:rStyle w:val="FootnoteReference"/>
          <w:rFonts w:ascii="Times New Roman" w:eastAsia="Hiragino Mincho ProN W3" w:hAnsi="Times New Roman"/>
          <w:sz w:val="24"/>
          <w:szCs w:val="24"/>
        </w:rPr>
        <w:footnoteReference w:id="176"/>
      </w:r>
    </w:p>
    <w:p w:rsidR="00EC7CD2" w:rsidRDefault="00453B03">
      <w:pPr>
        <w:spacing w:after="0" w:line="480" w:lineRule="auto"/>
        <w:jc w:val="both"/>
        <w:rPr>
          <w:rFonts w:ascii="Times New Roman" w:eastAsia="Hiragino Mincho ProN W3" w:hAnsi="Times New Roman"/>
          <w:sz w:val="24"/>
          <w:szCs w:val="24"/>
        </w:rPr>
      </w:pPr>
      <w:r>
        <w:rPr>
          <w:rFonts w:ascii="Times New Roman" w:eastAsia="Hiragino Mincho ProN W3" w:hAnsi="Times New Roman"/>
          <w:sz w:val="24"/>
          <w:szCs w:val="24"/>
        </w:rPr>
        <w:t>Furthermore, the abuse of legal immunities erodes public trust in the government's institutions. In a democracy where everything is subject to the rule of law, all individuals are supposed to be accountable for any actions deemed to be illegal irrespective of whether they hold political positions or not. As such, when public officials are seen to be immune from liability because of statutory and constitutional provisions, public trust in the justice system can easily be undermined.</w:t>
      </w:r>
      <w:r>
        <w:rPr>
          <w:rStyle w:val="FootnoteReference"/>
          <w:rFonts w:ascii="Times New Roman" w:eastAsia="Hiragino Mincho ProN W3" w:hAnsi="Times New Roman"/>
          <w:sz w:val="24"/>
          <w:szCs w:val="24"/>
        </w:rPr>
        <w:footnoteReference w:id="177"/>
      </w:r>
    </w:p>
    <w:p w:rsidR="00EC7CD2" w:rsidRDefault="00453B03">
      <w:pPr>
        <w:spacing w:after="0" w:line="480" w:lineRule="auto"/>
        <w:jc w:val="both"/>
        <w:rPr>
          <w:rFonts w:ascii="Times New Roman" w:eastAsia="Hiragino Mincho ProN W3" w:hAnsi="Times New Roman"/>
          <w:sz w:val="24"/>
          <w:szCs w:val="24"/>
        </w:rPr>
      </w:pPr>
      <w:r>
        <w:rPr>
          <w:rFonts w:ascii="Times New Roman" w:eastAsia="Hiragino Mincho ProN W3" w:hAnsi="Times New Roman"/>
          <w:sz w:val="24"/>
          <w:szCs w:val="24"/>
        </w:rPr>
        <w:t>Notwithstanding the above issues, it should be noted that legal immunities are not inviolable in nature. Nigerian courts have maintained the position that the immunity provided for under the Public Officers Protection Act does not cover actions made in bad faith, abuse of office, malicious actions and actions outside the scope of statutory duties. In addition, Section 308 of the Constitution</w:t>
      </w:r>
      <w:r>
        <w:rPr>
          <w:rStyle w:val="FootnoteReference"/>
          <w:rFonts w:ascii="Times New Roman" w:eastAsia="Hiragino Mincho ProN W3" w:hAnsi="Times New Roman"/>
          <w:sz w:val="24"/>
          <w:szCs w:val="24"/>
        </w:rPr>
        <w:footnoteReference w:id="178"/>
      </w:r>
      <w:r>
        <w:rPr>
          <w:rFonts w:ascii="Times New Roman" w:eastAsia="Hiragino Mincho ProN W3" w:hAnsi="Times New Roman"/>
          <w:sz w:val="24"/>
          <w:szCs w:val="24"/>
        </w:rPr>
        <w:t xml:space="preserve"> cannot prevent any investigation being undertaken against the public officers </w:t>
      </w:r>
      <w:r>
        <w:rPr>
          <w:rFonts w:ascii="Times New Roman" w:eastAsia="Hiragino Mincho ProN W3" w:hAnsi="Times New Roman"/>
          <w:sz w:val="24"/>
          <w:szCs w:val="24"/>
        </w:rPr>
        <w:lastRenderedPageBreak/>
        <w:t>enjoying its immunity; all it does is suspend the commencement of legal processes while they are holding office. However, the challenges related to the suspension of prosecution persist in generating doubts about the efficacy of accountability measures in Nigeria.</w:t>
      </w:r>
      <w:r>
        <w:rPr>
          <w:rStyle w:val="FootnoteReference"/>
          <w:rFonts w:ascii="Times New Roman" w:eastAsia="Hiragino Mincho ProN W3" w:hAnsi="Times New Roman"/>
          <w:sz w:val="24"/>
          <w:szCs w:val="24"/>
        </w:rPr>
        <w:footnoteReference w:id="179"/>
      </w:r>
    </w:p>
    <w:p w:rsidR="00EC7CD2" w:rsidRDefault="00EC7CD2">
      <w:pPr>
        <w:spacing w:after="0" w:line="480" w:lineRule="auto"/>
        <w:jc w:val="both"/>
        <w:rPr>
          <w:rFonts w:ascii="Times New Roman" w:eastAsia="Hiragino Mincho ProN W3" w:hAnsi="Times New Roman"/>
          <w:sz w:val="24"/>
          <w:szCs w:val="24"/>
        </w:rPr>
      </w:pPr>
    </w:p>
    <w:p w:rsidR="00EC7CD2" w:rsidRDefault="00453B03">
      <w:pPr>
        <w:spacing w:after="0" w:line="480" w:lineRule="auto"/>
        <w:jc w:val="both"/>
        <w:rPr>
          <w:rFonts w:ascii="Times New Roman" w:eastAsia="Hiragino Mincho ProN W3" w:hAnsi="Times New Roman"/>
          <w:sz w:val="24"/>
          <w:szCs w:val="24"/>
        </w:rPr>
      </w:pPr>
      <w:r>
        <w:rPr>
          <w:rFonts w:ascii="Times New Roman" w:eastAsia="Hiragino Mincho ProN W3" w:hAnsi="Times New Roman"/>
          <w:sz w:val="24"/>
          <w:szCs w:val="24"/>
        </w:rPr>
        <w:t>From the foregoing, it is clear that although immunities are inevitable for the efficient operation of the government, their abuse by the public officers presents a serious problem in the legal framework of Nigeria. The use of immunities as means of avoiding accountability measures leads to loss of confidence in governance, hampers anti-corruption efforts and complicates the administration of justice. As such, there have been growing calls for changes in the laws meant to ensure that legal immunities fulfill their intended purpose.</w:t>
      </w:r>
    </w:p>
    <w:p w:rsidR="00EC7CD2" w:rsidRDefault="00453B03">
      <w:pPr>
        <w:spacing w:after="0" w:line="480" w:lineRule="auto"/>
        <w:jc w:val="both"/>
        <w:outlineLvl w:val="2"/>
        <w:rPr>
          <w:rFonts w:ascii="Times New Roman" w:eastAsia="Times New Roman" w:hAnsi="Times New Roman"/>
          <w:b/>
          <w:bCs/>
          <w:sz w:val="24"/>
          <w:szCs w:val="24"/>
        </w:rPr>
      </w:pPr>
      <w:r>
        <w:rPr>
          <w:rFonts w:ascii="Times New Roman" w:eastAsia="Times New Roman" w:hAnsi="Times New Roman"/>
          <w:b/>
          <w:bCs/>
          <w:sz w:val="24"/>
          <w:szCs w:val="24"/>
        </w:rPr>
        <w:t>4.3 Judicial Inconsistencies and Policy Gaps</w:t>
      </w:r>
    </w:p>
    <w:p w:rsidR="00EC7CD2" w:rsidRDefault="00453B03">
      <w:pPr>
        <w:spacing w:after="0" w:line="480" w:lineRule="auto"/>
        <w:jc w:val="both"/>
        <w:outlineLvl w:val="2"/>
        <w:rPr>
          <w:rFonts w:ascii="Times New Roman" w:eastAsia="Times New Roman" w:hAnsi="Times New Roman"/>
          <w:sz w:val="24"/>
          <w:szCs w:val="24"/>
        </w:rPr>
      </w:pPr>
      <w:r>
        <w:rPr>
          <w:rFonts w:ascii="Times New Roman" w:eastAsia="Times New Roman" w:hAnsi="Times New Roman"/>
          <w:sz w:val="24"/>
          <w:szCs w:val="24"/>
        </w:rPr>
        <w:t>Inconsistent judgements and policy gaps in the interpretation and enforcement of laws form one of the major issues that pose a challenge to the legal protection of public officers in Nigeria. “While laws such as Public Officers Protection Act (POPA), Constitution of the Federal Republic of Nigeria 1999 (as amended), and other laws attempt to offer legal protection to public officers while on duty, lack of consistent judicial approach makes the issue of whether there is legal protection in such scenarios remain ambiguous.”</w:t>
      </w:r>
    </w:p>
    <w:p w:rsidR="00EC7CD2" w:rsidRDefault="00453B03">
      <w:pPr>
        <w:spacing w:after="0" w:line="480" w:lineRule="auto"/>
        <w:jc w:val="both"/>
        <w:outlineLvl w:val="2"/>
        <w:rPr>
          <w:rFonts w:ascii="Times New Roman" w:eastAsia="Times New Roman" w:hAnsi="Times New Roman"/>
          <w:sz w:val="24"/>
          <w:szCs w:val="24"/>
        </w:rPr>
      </w:pPr>
      <w:r>
        <w:rPr>
          <w:rFonts w:ascii="Times New Roman" w:eastAsia="Times New Roman" w:hAnsi="Times New Roman"/>
          <w:sz w:val="24"/>
          <w:szCs w:val="24"/>
        </w:rPr>
        <w:t xml:space="preserve">Inconsistency in judgments can be defined as a situation where courts give inconsistent rulings on substantially the same case but on the basis of different interpretations of law. As regards to the Public Officers Protection Act, there have been many different judgements over the years in the Nigerian courts concerning the kinds of people who fall under the umbrella of protection by the </w:t>
      </w:r>
      <w:r>
        <w:rPr>
          <w:rFonts w:ascii="Times New Roman" w:eastAsia="Times New Roman" w:hAnsi="Times New Roman"/>
          <w:sz w:val="24"/>
          <w:szCs w:val="24"/>
        </w:rPr>
        <w:lastRenderedPageBreak/>
        <w:t>Act, what kinds of actions fall under the protection offered by the Act, and conditions that might prevent the applicability of the act in certain cases.</w:t>
      </w:r>
    </w:p>
    <w:p w:rsidR="00EC7CD2" w:rsidRDefault="00453B03">
      <w:pPr>
        <w:spacing w:after="0" w:line="480" w:lineRule="auto"/>
        <w:jc w:val="both"/>
        <w:outlineLvl w:val="2"/>
        <w:rPr>
          <w:rFonts w:ascii="Times New Roman" w:eastAsia="Times New Roman" w:hAnsi="Times New Roman"/>
          <w:sz w:val="24"/>
          <w:szCs w:val="24"/>
        </w:rPr>
      </w:pPr>
      <w:r>
        <w:rPr>
          <w:rFonts w:ascii="Times New Roman" w:eastAsia="Times New Roman" w:hAnsi="Times New Roman"/>
          <w:sz w:val="24"/>
          <w:szCs w:val="24"/>
        </w:rPr>
        <w:t xml:space="preserve">“The prevalence of judicial discrepancies is best illustrated through the interpretation of section 2(a) of the Public Officers Protection Act. Over the years, the Nigerian courts adopted differing methods in interpreting the ambit of protection under the Public Officers Protection Act. In </w:t>
      </w:r>
      <w:r>
        <w:rPr>
          <w:rFonts w:ascii="Times New Roman" w:eastAsia="Times New Roman" w:hAnsi="Times New Roman"/>
          <w:i/>
          <w:sz w:val="24"/>
          <w:szCs w:val="24"/>
        </w:rPr>
        <w:t xml:space="preserve">Osun State Government v. Dalami </w:t>
      </w:r>
      <w:r>
        <w:rPr>
          <w:rFonts w:ascii="Times New Roman" w:eastAsia="Times New Roman" w:hAnsi="Times New Roman"/>
          <w:sz w:val="24"/>
          <w:szCs w:val="24"/>
        </w:rPr>
        <w:t>(</w:t>
      </w:r>
      <w:r>
        <w:rPr>
          <w:rFonts w:ascii="Times New Roman" w:eastAsia="Times New Roman" w:hAnsi="Times New Roman"/>
          <w:i/>
          <w:sz w:val="24"/>
          <w:szCs w:val="24"/>
        </w:rPr>
        <w:t xml:space="preserve">Nig.) Ltd </w:t>
      </w:r>
      <w:r>
        <w:rPr>
          <w:rStyle w:val="FootnoteReference"/>
          <w:rFonts w:ascii="Times New Roman" w:eastAsia="Times New Roman" w:hAnsi="Times New Roman"/>
          <w:i/>
          <w:sz w:val="24"/>
          <w:szCs w:val="24"/>
        </w:rPr>
        <w:footnoteReference w:id="180"/>
      </w:r>
      <w:r>
        <w:rPr>
          <w:rFonts w:ascii="Times New Roman" w:eastAsia="Times New Roman" w:hAnsi="Times New Roman"/>
          <w:sz w:val="24"/>
          <w:szCs w:val="24"/>
        </w:rPr>
        <w:t xml:space="preserve">, the Supreme Court decided that the Public Officers Protection Act does not cover cases based on contract, which means that contractual cases are not covered by the Act. Likewise, in the case of </w:t>
      </w:r>
      <w:r>
        <w:rPr>
          <w:rFonts w:ascii="Times New Roman" w:eastAsia="Times New Roman" w:hAnsi="Times New Roman"/>
          <w:i/>
          <w:sz w:val="24"/>
          <w:szCs w:val="24"/>
        </w:rPr>
        <w:t>National Revenue Mobilisation Allocation and Fiscal Commission v. Ajibola Johnson</w:t>
      </w:r>
      <w:r>
        <w:rPr>
          <w:rStyle w:val="FootnoteReference"/>
          <w:rFonts w:ascii="Times New Roman" w:eastAsia="Times New Roman" w:hAnsi="Times New Roman"/>
          <w:sz w:val="24"/>
          <w:szCs w:val="24"/>
        </w:rPr>
        <w:footnoteReference w:id="181"/>
      </w:r>
      <w:r>
        <w:rPr>
          <w:rFonts w:ascii="Times New Roman" w:eastAsia="Times New Roman" w:hAnsi="Times New Roman"/>
          <w:sz w:val="24"/>
          <w:szCs w:val="24"/>
        </w:rPr>
        <w:t>, the Supreme Court affirmed that the Public Officers Protection Act does not cover contract of employment and other contractual matters. Prior to these landmark judgments, many courts below applied the Public Officers Protection Act widely in contractual matters against the public authorities.”</w:t>
      </w:r>
    </w:p>
    <w:p w:rsidR="00EC7CD2" w:rsidRDefault="00453B03">
      <w:pPr>
        <w:spacing w:after="0" w:line="480" w:lineRule="auto"/>
        <w:jc w:val="both"/>
        <w:outlineLvl w:val="2"/>
        <w:rPr>
          <w:rFonts w:ascii="Times New Roman" w:eastAsia="Times New Roman" w:hAnsi="Times New Roman"/>
          <w:sz w:val="24"/>
          <w:szCs w:val="24"/>
        </w:rPr>
      </w:pPr>
      <w:r>
        <w:rPr>
          <w:rFonts w:ascii="Times New Roman" w:eastAsia="Times New Roman" w:hAnsi="Times New Roman"/>
          <w:sz w:val="24"/>
          <w:szCs w:val="24"/>
        </w:rPr>
        <w:t xml:space="preserve">“Inconsistency on the part of the judiciary also manifested itself in regard to the classification of public officers who could be accorded protection pursuant to the Public Officers Protection Act. In earlier cases, it was accepted as general practice that the Public Officers Protection Act applied to public institutions, government organizations, and statutory corporations. However, the Supreme Court took up an entirely different stand on the issue in the case of </w:t>
      </w:r>
      <w:r>
        <w:rPr>
          <w:rFonts w:ascii="Times New Roman" w:eastAsia="Times New Roman" w:hAnsi="Times New Roman"/>
          <w:i/>
          <w:sz w:val="24"/>
          <w:szCs w:val="24"/>
        </w:rPr>
        <w:t>CIL Risk &amp; Asset Management Ltd v. Ekiti State Government</w:t>
      </w:r>
      <w:r>
        <w:rPr>
          <w:rStyle w:val="FootnoteReference"/>
          <w:rFonts w:ascii="Times New Roman" w:eastAsia="Times New Roman" w:hAnsi="Times New Roman"/>
          <w:i/>
          <w:sz w:val="24"/>
          <w:szCs w:val="24"/>
        </w:rPr>
        <w:footnoteReference w:id="182"/>
      </w:r>
      <w:r>
        <w:rPr>
          <w:rFonts w:ascii="Times New Roman" w:eastAsia="Times New Roman" w:hAnsi="Times New Roman"/>
          <w:sz w:val="24"/>
          <w:szCs w:val="24"/>
        </w:rPr>
        <w:t xml:space="preserve"> wherein Eko JSC held that, since the Public Officers Protection Act is a federal law, its intention is to protect officers in the public service of the Federation, and not of a State.”</w:t>
      </w:r>
    </w:p>
    <w:p w:rsidR="00EC7CD2" w:rsidRDefault="00453B03">
      <w:pPr>
        <w:spacing w:after="0" w:line="480" w:lineRule="auto"/>
        <w:jc w:val="both"/>
        <w:rPr>
          <w:rFonts w:ascii="Times New Roman" w:eastAsia="Hiragino Mincho ProN W3" w:hAnsi="Times New Roman"/>
          <w:sz w:val="24"/>
          <w:szCs w:val="24"/>
        </w:rPr>
      </w:pPr>
      <w:r>
        <w:rPr>
          <w:rFonts w:ascii="Times New Roman" w:eastAsia="Hiragino Mincho ProN W3" w:hAnsi="Times New Roman"/>
          <w:sz w:val="24"/>
          <w:szCs w:val="24"/>
        </w:rPr>
        <w:lastRenderedPageBreak/>
        <w:t xml:space="preserve">The other area of inconsistency involves the accepted exceptions to the effect of the Act. Although the courts have maintained that the Act is not a shield for public officers who are motivated by malice, bad faith and/or lack statutory authority, the way the exceptions have been applied has been inconsistent at times. For instance, in </w:t>
      </w:r>
      <w:r>
        <w:rPr>
          <w:rFonts w:ascii="Times New Roman" w:eastAsia="Hiragino Mincho ProN W3" w:hAnsi="Times New Roman"/>
          <w:i/>
          <w:sz w:val="24"/>
          <w:szCs w:val="24"/>
        </w:rPr>
        <w:t>CIL Risk &amp; Asset Management Ltd v. Ekiti State Government</w:t>
      </w:r>
      <w:r>
        <w:rPr>
          <w:rStyle w:val="FootnoteReference"/>
          <w:rFonts w:ascii="Times New Roman" w:eastAsia="Hiragino Mincho ProN W3" w:hAnsi="Times New Roman"/>
          <w:sz w:val="24"/>
          <w:szCs w:val="24"/>
        </w:rPr>
        <w:footnoteReference w:id="183"/>
      </w:r>
      <w:r>
        <w:rPr>
          <w:rFonts w:ascii="Times New Roman" w:eastAsia="Hiragino Mincho ProN W3" w:hAnsi="Times New Roman"/>
          <w:sz w:val="24"/>
          <w:szCs w:val="24"/>
        </w:rPr>
        <w:t xml:space="preserve"> "The abuse of office and bad faith on the part of the officer make him ineligible to enjoy the privilege of the Act, and the court must consider the factual situation in the case to determine if it is statute-barred." Until now, courts used to consider the limitation period alone to determine if a matter was statute-barred and were not bothered about the question of abuse of office. Inconsistency in the interpretation of the Act has created a clear policy gap in the legal system with respect to the protection of public officers in Nigeria. Rather than providing any form of certainty to the law, it has created confusion on matters such as the scope of protection, meaning of a public officer, applicability of the Act in relation to contractual disputes, and existence of certain exceptions. As a result, litigants often find it difficult to predict the probable results of litigation relating to public officers. It can thus be seen that the problems of judicial inconsistency and policy gaps form formidable impediments to the efficiency of the legal framework which ensures the protection of public officers in Nigeria. The existence of judicial inconsistency, legislative gaps, outdated laws and policy disco-ordination have been responsible for creating uncertainty and complexities in the law. It is imperative that the law must be reformed, harmonised and the policies restructured in order for the protection of the public officers to lead to efficient public administration.</w:t>
      </w:r>
    </w:p>
    <w:p w:rsidR="00EC7CD2" w:rsidRDefault="00453B03">
      <w:pPr>
        <w:spacing w:after="0" w:line="480" w:lineRule="auto"/>
        <w:jc w:val="both"/>
        <w:rPr>
          <w:rFonts w:ascii="Times New Roman" w:eastAsia="Hiragino Mincho ProN W3" w:hAnsi="Times New Roman"/>
          <w:sz w:val="24"/>
          <w:szCs w:val="24"/>
        </w:rPr>
      </w:pPr>
      <w:r>
        <w:rPr>
          <w:rFonts w:ascii="Times New Roman" w:eastAsia="Hiragino Mincho ProN W3" w:hAnsi="Times New Roman"/>
          <w:sz w:val="24"/>
          <w:szCs w:val="24"/>
        </w:rPr>
        <w:lastRenderedPageBreak/>
        <w:t xml:space="preserve">Another inconsistency played in recent cases is that of </w:t>
      </w:r>
      <w:r>
        <w:rPr>
          <w:rFonts w:ascii="Times New Roman" w:eastAsia="Hiragino Mincho ProN W3" w:hAnsi="Times New Roman"/>
          <w:i/>
          <w:sz w:val="24"/>
          <w:szCs w:val="24"/>
        </w:rPr>
        <w:t>Okoronkwo v. INEC</w:t>
      </w:r>
      <w:r>
        <w:rPr>
          <w:rStyle w:val="FootnoteReference"/>
          <w:rFonts w:ascii="Times New Roman" w:eastAsia="Hiragino Mincho ProN W3" w:hAnsi="Times New Roman"/>
          <w:sz w:val="24"/>
          <w:szCs w:val="24"/>
        </w:rPr>
        <w:footnoteReference w:id="184"/>
      </w:r>
      <w:r>
        <w:rPr>
          <w:rFonts w:ascii="Times New Roman" w:eastAsia="Hiragino Mincho ProN W3" w:hAnsi="Times New Roman"/>
          <w:i/>
          <w:sz w:val="24"/>
          <w:szCs w:val="24"/>
        </w:rPr>
        <w:t xml:space="preserve"> </w:t>
      </w:r>
      <w:r>
        <w:rPr>
          <w:rFonts w:ascii="Times New Roman" w:eastAsia="Hiragino Mincho ProN W3" w:hAnsi="Times New Roman"/>
          <w:sz w:val="24"/>
          <w:szCs w:val="24"/>
        </w:rPr>
        <w:t xml:space="preserve">where the Supreme Court clarified the application of the Public Officers Protection Act (POPA) with regards to employment disputes involving statutory employment. The court held that employment-related actions brought against public bodies must be commenced within a prescribed period or risk being statute-barred. This decision is inconsistent with National Industrial Court recent decision breaking from the Supreme Court in </w:t>
      </w:r>
      <w:r>
        <w:rPr>
          <w:rFonts w:ascii="Times New Roman" w:eastAsia="Hiragino Mincho ProN W3" w:hAnsi="Times New Roman"/>
          <w:i/>
          <w:sz w:val="24"/>
          <w:szCs w:val="24"/>
        </w:rPr>
        <w:t>Dr. Eze v. Federal Polytechnic Ohodo &amp; Ors</w:t>
      </w:r>
      <w:r>
        <w:rPr>
          <w:rStyle w:val="FootnoteReference"/>
          <w:rFonts w:ascii="Times New Roman" w:eastAsia="Hiragino Mincho ProN W3" w:hAnsi="Times New Roman"/>
          <w:sz w:val="24"/>
          <w:szCs w:val="24"/>
        </w:rPr>
        <w:footnoteReference w:id="185"/>
      </w:r>
      <w:r>
        <w:rPr>
          <w:rFonts w:ascii="Times New Roman" w:eastAsia="Hiragino Mincho ProN W3" w:hAnsi="Times New Roman"/>
          <w:i/>
          <w:sz w:val="24"/>
          <w:szCs w:val="24"/>
        </w:rPr>
        <w:t xml:space="preserve"> </w:t>
      </w:r>
      <w:r>
        <w:rPr>
          <w:rFonts w:ascii="Times New Roman" w:eastAsia="Hiragino Mincho ProN W3" w:hAnsi="Times New Roman"/>
          <w:sz w:val="24"/>
          <w:szCs w:val="24"/>
        </w:rPr>
        <w:t>Justice O. Arowosegbe declared the Public Officers Protection Act as unconstitutional and illegal in relations to employment disputes. It was held that POPA as a statute designed to shield public officers from frivolous litigations cannot however override the National Industrial Court’s exclusive constitutional jurisdiction provided for in section 254(1)(b),(f)-(h) and (2)</w:t>
      </w:r>
      <w:r>
        <w:rPr>
          <w:rStyle w:val="FootnoteReference"/>
          <w:rFonts w:ascii="Times New Roman" w:eastAsia="Hiragino Mincho ProN W3" w:hAnsi="Times New Roman"/>
          <w:sz w:val="24"/>
          <w:szCs w:val="24"/>
        </w:rPr>
        <w:footnoteReference w:id="186"/>
      </w:r>
      <w:r>
        <w:rPr>
          <w:rFonts w:ascii="Times New Roman" w:eastAsia="Hiragino Mincho ProN W3" w:hAnsi="Times New Roman"/>
          <w:sz w:val="24"/>
          <w:szCs w:val="24"/>
        </w:rPr>
        <w:t xml:space="preserve"> to handle labour, employment and industrial-related matters. The judge then concluded that the present suit was not statute-barred. Whereas, this is the most recent supreme court decision which is more or less a call for the legislature to make an amendment of the statute.</w:t>
      </w:r>
    </w:p>
    <w:p w:rsidR="00EC7CD2" w:rsidRDefault="00EC7CD2">
      <w:pPr>
        <w:spacing w:after="0" w:line="480" w:lineRule="auto"/>
        <w:jc w:val="both"/>
        <w:rPr>
          <w:rFonts w:ascii="Times New Roman" w:eastAsia="Hiragino Mincho ProN W3" w:hAnsi="Times New Roman"/>
          <w:sz w:val="24"/>
          <w:szCs w:val="24"/>
        </w:rPr>
      </w:pPr>
    </w:p>
    <w:p w:rsidR="00EC7CD2" w:rsidRDefault="00EC7CD2">
      <w:pPr>
        <w:spacing w:after="0" w:line="480" w:lineRule="auto"/>
        <w:jc w:val="both"/>
        <w:rPr>
          <w:rFonts w:ascii="Times New Roman" w:eastAsia="Hiragino Mincho ProN W3" w:hAnsi="Times New Roman"/>
          <w:sz w:val="24"/>
          <w:szCs w:val="24"/>
        </w:rPr>
      </w:pPr>
    </w:p>
    <w:p w:rsidR="00EC7CD2" w:rsidRDefault="00EC7CD2">
      <w:pPr>
        <w:spacing w:after="0" w:line="480" w:lineRule="auto"/>
        <w:jc w:val="both"/>
        <w:rPr>
          <w:rFonts w:ascii="Times New Roman" w:hAnsi="Times New Roman"/>
          <w:b/>
          <w:bCs/>
          <w:sz w:val="24"/>
          <w:szCs w:val="24"/>
        </w:rPr>
      </w:pPr>
    </w:p>
    <w:p w:rsidR="00EC7CD2" w:rsidRDefault="00EC7CD2">
      <w:pPr>
        <w:spacing w:after="0" w:line="480" w:lineRule="auto"/>
        <w:jc w:val="both"/>
        <w:rPr>
          <w:rFonts w:ascii="Times New Roman" w:hAnsi="Times New Roman"/>
          <w:b/>
          <w:bCs/>
          <w:sz w:val="24"/>
          <w:szCs w:val="24"/>
        </w:rPr>
      </w:pPr>
    </w:p>
    <w:p w:rsidR="00EC7CD2" w:rsidRDefault="00EC7CD2">
      <w:pPr>
        <w:spacing w:after="0" w:line="480" w:lineRule="auto"/>
        <w:jc w:val="both"/>
        <w:rPr>
          <w:rFonts w:ascii="Times New Roman" w:hAnsi="Times New Roman"/>
          <w:b/>
          <w:bCs/>
          <w:sz w:val="24"/>
          <w:szCs w:val="24"/>
        </w:rPr>
      </w:pPr>
    </w:p>
    <w:p w:rsidR="00EC7CD2" w:rsidRDefault="00EC7CD2">
      <w:pPr>
        <w:spacing w:after="0" w:line="480" w:lineRule="auto"/>
        <w:jc w:val="both"/>
        <w:rPr>
          <w:rFonts w:ascii="Times New Roman" w:hAnsi="Times New Roman"/>
          <w:b/>
          <w:bCs/>
          <w:sz w:val="24"/>
          <w:szCs w:val="24"/>
        </w:rPr>
      </w:pPr>
    </w:p>
    <w:p w:rsidR="00EC7CD2" w:rsidRDefault="00EC7CD2" w:rsidP="0071211C">
      <w:pPr>
        <w:spacing w:after="0" w:line="480" w:lineRule="auto"/>
        <w:rPr>
          <w:rFonts w:ascii="Times New Roman" w:hAnsi="Times New Roman"/>
          <w:b/>
          <w:bCs/>
          <w:sz w:val="24"/>
          <w:szCs w:val="24"/>
        </w:rPr>
      </w:pPr>
    </w:p>
    <w:p w:rsidR="00EC7CD2" w:rsidRDefault="00EC7CD2">
      <w:pPr>
        <w:spacing w:after="0" w:line="480" w:lineRule="auto"/>
        <w:jc w:val="center"/>
        <w:rPr>
          <w:rFonts w:ascii="Times New Roman" w:hAnsi="Times New Roman"/>
          <w:b/>
          <w:bCs/>
          <w:sz w:val="24"/>
          <w:szCs w:val="24"/>
        </w:rPr>
      </w:pPr>
    </w:p>
    <w:p w:rsidR="00EC7CD2" w:rsidRDefault="00453B03">
      <w:pPr>
        <w:spacing w:after="0" w:line="480" w:lineRule="auto"/>
        <w:jc w:val="center"/>
        <w:rPr>
          <w:rFonts w:ascii="Times New Roman" w:hAnsi="Times New Roman"/>
          <w:b/>
          <w:bCs/>
          <w:sz w:val="24"/>
          <w:szCs w:val="24"/>
        </w:rPr>
      </w:pPr>
      <w:r>
        <w:rPr>
          <w:rFonts w:ascii="Times New Roman" w:hAnsi="Times New Roman"/>
          <w:b/>
          <w:bCs/>
          <w:sz w:val="24"/>
          <w:szCs w:val="24"/>
        </w:rPr>
        <w:lastRenderedPageBreak/>
        <w:t>CHAPTER FIVE</w:t>
      </w:r>
    </w:p>
    <w:p w:rsidR="00EC7CD2" w:rsidRDefault="00453B03">
      <w:pPr>
        <w:spacing w:after="0" w:line="480" w:lineRule="auto"/>
        <w:jc w:val="center"/>
        <w:rPr>
          <w:rFonts w:ascii="Times New Roman" w:hAnsi="Times New Roman"/>
          <w:b/>
          <w:bCs/>
          <w:sz w:val="24"/>
          <w:szCs w:val="24"/>
        </w:rPr>
      </w:pPr>
      <w:r>
        <w:rPr>
          <w:rFonts w:ascii="Times New Roman" w:hAnsi="Times New Roman"/>
          <w:b/>
          <w:bCs/>
          <w:sz w:val="24"/>
          <w:szCs w:val="24"/>
        </w:rPr>
        <w:t>SUMMARY OF FINDINGS, RECOMMENDATIONS AND CONCLUSION</w:t>
      </w:r>
    </w:p>
    <w:p w:rsidR="00EC7CD2" w:rsidRDefault="00453B03">
      <w:pPr>
        <w:spacing w:after="0" w:line="480" w:lineRule="auto"/>
        <w:jc w:val="both"/>
        <w:rPr>
          <w:rFonts w:ascii="Times New Roman" w:hAnsi="Times New Roman"/>
          <w:b/>
          <w:bCs/>
          <w:sz w:val="24"/>
          <w:szCs w:val="24"/>
        </w:rPr>
      </w:pPr>
      <w:r>
        <w:rPr>
          <w:rFonts w:ascii="Times New Roman" w:hAnsi="Times New Roman"/>
          <w:b/>
          <w:bCs/>
          <w:sz w:val="24"/>
          <w:szCs w:val="24"/>
        </w:rPr>
        <w:t>5.1 Summary of Findings</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While conducting this research, the laws concerning the protection of public officers in Nigeria were examined, keeping in mind the following aspects: constitutional laws; laws guaranteeing the protection of public officers; and court interpretation of the level of immunity conferred upon public officers. The issue of protection of public officers is quite significant in the realm of constitutional and administrative law since in order to have effective governance, there has to be some mechanism to protect public officers from any sort of legal challenges that can hinder the process of governance.</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 Furthermore, it can be said that although these immunities were established to achieve the administrative objective of such immunities, moreover, in our Nigerian administrative system,it appears that these immunities are being misused by government officials so as to protect themselves from being tried for the unlawful acts that they commit in course of their duty. A conclusion that can be drawn in this matter is that there are certain deficiencies in the Public Officers Protection Act, especially section 2(a) and its three months limitation clause. Interpretation of law through the judicial process has, however, changed over time. The earlier cases have all been inclined towards interpreting the statutory immunities in favor of the protection of public officers.  It is also evident that the immunity provided for in Section 308 of the constitution has turned out to be a highly controversial area since political actors tend to seek temporary immunity as a way of protecting themselves against the charge of corruption while in office. Overall, it was established that the laws such as Corrupt Practices and Other Related Offences Act and the Code of Conduct Bureau and Tribunal Act could be in opposition with the </w:t>
      </w:r>
      <w:r>
        <w:rPr>
          <w:rFonts w:ascii="Times New Roman" w:hAnsi="Times New Roman"/>
          <w:sz w:val="24"/>
          <w:szCs w:val="24"/>
        </w:rPr>
        <w:lastRenderedPageBreak/>
        <w:t xml:space="preserve">rights of public office holders. In the recent decision of </w:t>
      </w:r>
      <w:r>
        <w:rPr>
          <w:rFonts w:ascii="Times New Roman" w:hAnsi="Times New Roman"/>
          <w:i/>
          <w:iCs/>
          <w:sz w:val="24"/>
          <w:szCs w:val="24"/>
        </w:rPr>
        <w:t>Okoronkwo v. INEC</w:t>
      </w:r>
      <w:r>
        <w:rPr>
          <w:rFonts w:ascii="Times New Roman" w:hAnsi="Times New Roman"/>
          <w:sz w:val="24"/>
          <w:szCs w:val="24"/>
        </w:rPr>
        <w:t xml:space="preserve"> , the Supreme Court of Nigeria clarifies the application of the Public Officers Protection Act (POPA) to employment disputes involving statutory employment. The Court held that employment-related actions against public bodies must be commenced within the prescribed period or risk being statute-barred. Importantly, this judgment provides clarity in light of earlier National Industrial Court (NIC) decisions that had suggested otherwise. In his notable concurring decision, Justice Ogbuinya, JSC affirmed the broader legal position, stating: “It is an elementary law that an action rooted in contract of employment is amenable to limitation law…”</w:t>
      </w:r>
    </w:p>
    <w:p w:rsidR="00EC7CD2" w:rsidRDefault="00453B03">
      <w:pPr>
        <w:spacing w:after="0" w:line="480" w:lineRule="auto"/>
        <w:jc w:val="both"/>
        <w:rPr>
          <w:rFonts w:ascii="Times New Roman" w:hAnsi="Times New Roman"/>
          <w:b/>
          <w:bCs/>
          <w:sz w:val="24"/>
          <w:szCs w:val="24"/>
        </w:rPr>
      </w:pPr>
      <w:r>
        <w:rPr>
          <w:rFonts w:ascii="Times New Roman" w:hAnsi="Times New Roman"/>
          <w:b/>
          <w:bCs/>
          <w:sz w:val="24"/>
          <w:szCs w:val="24"/>
        </w:rPr>
        <w:t>5.2 Recommendations</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In light of the findings reached in this study, the following recommendations are proposed;</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Firstly, It is necessary for the National Assembly to make extensive amendments to the Public Officers Protection Act. The existing time limit of three months is too restrictive and should be extended to give citizens access to the court process. There will be exceptions to the Statute where the public officers are protected from acts such as corruption, abuse of power, malice, fraud, unconstitutionality, or breach of fundamental rights. Where these are being implemented, it would cure the mischief which the legislature originally intended to cure when enacting the statute.</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Secondly, there is need for an amendment of  Section 308 of the constitution to be made, in order to limit the extent of immunity that the executives enjoy under the constitution. While it is true that the constitution is a rigid document and hence amending it is quite hard, but keeping the issue of efficiency in mind, it is essential to ensure that laws passed for the citizens are just and fair. It is understandable for executives to enjoy some degree of immunity from any sort of lawsuit, but not from any investigation related to corruption. Constitutional changes should therefore permit the independent corruption institutions to probe any financial crimes committed by individuals </w:t>
      </w:r>
      <w:r>
        <w:rPr>
          <w:rFonts w:ascii="Times New Roman" w:hAnsi="Times New Roman"/>
          <w:sz w:val="24"/>
          <w:szCs w:val="24"/>
        </w:rPr>
        <w:lastRenderedPageBreak/>
        <w:t>who occupy positions that enjoy constitutional protection until their terms expire. This is necessary in order for the officials to have accountability for performing their constitutional duties.</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Thirdly, It is essential for the Nigerian judiciary to continue in its narrow view of statutory immunity to ensure that no form of illegality can be protected by the law. It should be made clear by the Supreme Court what constitutes the legal criteria for when statutory immunity is no longer available. It is very important to ensure consistency in the judiciary concerning continuing injury, abuse of office, contracts, and constitutional maladministration in public offices. It is very important for the court to have the authority to deliver a verdict on the basis of previous rulings in a similar case.</w:t>
      </w:r>
    </w:p>
    <w:p w:rsidR="00EC7CD2" w:rsidRDefault="00EC7CD2">
      <w:pPr>
        <w:jc w:val="center"/>
        <w:rPr>
          <w:rFonts w:ascii="Times New Roman" w:hAnsi="Times New Roman"/>
          <w:sz w:val="24"/>
          <w:szCs w:val="24"/>
        </w:rPr>
      </w:pP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Lastly, It is necessary to foster an attitude of accountability whereby the individual will be made to understand that occupying public office is fiduciary trust rather than individual privilege. Public office holders should be made aware of the fact that legal immunities apply only when performing official duties properly, and not as tools for abusing government power. Legal educational courses should be designed with the above considerations in mind.</w:t>
      </w:r>
    </w:p>
    <w:p w:rsidR="00EC7CD2" w:rsidRDefault="00453B03">
      <w:pPr>
        <w:spacing w:after="0" w:line="480" w:lineRule="auto"/>
        <w:jc w:val="both"/>
        <w:rPr>
          <w:rFonts w:ascii="Times New Roman" w:hAnsi="Times New Roman"/>
          <w:b/>
          <w:bCs/>
          <w:sz w:val="24"/>
          <w:szCs w:val="24"/>
        </w:rPr>
      </w:pPr>
      <w:r>
        <w:rPr>
          <w:rFonts w:ascii="Times New Roman" w:hAnsi="Times New Roman"/>
          <w:b/>
          <w:bCs/>
          <w:sz w:val="24"/>
          <w:szCs w:val="24"/>
        </w:rPr>
        <w:t xml:space="preserve"> 5.3 Conclusion</w:t>
      </w:r>
    </w:p>
    <w:p w:rsidR="00EC7CD2" w:rsidRDefault="00453B03">
      <w:pPr>
        <w:spacing w:after="0" w:line="480" w:lineRule="auto"/>
        <w:jc w:val="both"/>
        <w:rPr>
          <w:rFonts w:ascii="Times New Roman" w:hAnsi="Times New Roman"/>
          <w:sz w:val="24"/>
          <w:szCs w:val="24"/>
        </w:rPr>
      </w:pPr>
      <w:r>
        <w:rPr>
          <w:rFonts w:ascii="Times New Roman" w:hAnsi="Times New Roman"/>
          <w:sz w:val="24"/>
          <w:szCs w:val="24"/>
        </w:rPr>
        <w:t xml:space="preserve">The concept of the protection of public officers is a necessary component of constitutional democracy because it allows government institutions to function effectively without the disruption of continuously being exposed to frivolous litigation hindering administrative efficiency. Nigerian law, therefore, legitimately recognises the need for procedural safeguards protecting public officers acting lawfully in execution of public duty. In conducting this research, one can observe that the need for the reformation of the laws governing the protection of public officers should be taken into consideration because there are shortcomings in the laws that need to be amended in </w:t>
      </w:r>
      <w:r>
        <w:rPr>
          <w:rFonts w:ascii="Times New Roman" w:hAnsi="Times New Roman"/>
          <w:sz w:val="24"/>
          <w:szCs w:val="24"/>
        </w:rPr>
        <w:lastRenderedPageBreak/>
        <w:t>order to give the court an avenue to make its judgments consistently. It is believed that the court is the last hope of a common man; in making its judgments concerning the protection of public officers, this should be the testimony of aggrieved individuals. The Public Officers Protection Act, in particular, has outlived significant aspects of its original legislative purpose. Contemporary constitutional democracy demands stronger accountability standards than those contemplated when the statute originally emerged. The law can no longer justify blanket procedural immunity where public officers act unlawfully or abuse powers entrusted for public benefit. The future development of Nigerian public law must therefore move toward a legal framework in which protection of public officers remains available only to the extent necessary for lawful governance while ensuring that no holder of public office can exploit legal immunity as a shield against accountability, corruption or abuse of constitutional trust.</w:t>
      </w:r>
    </w:p>
    <w:p w:rsidR="00EC7CD2" w:rsidRDefault="00EC7CD2">
      <w:pPr>
        <w:spacing w:after="0" w:line="480" w:lineRule="auto"/>
        <w:jc w:val="both"/>
        <w:rPr>
          <w:rFonts w:ascii="Times New Roman" w:hAnsi="Times New Roman"/>
          <w:sz w:val="24"/>
          <w:szCs w:val="24"/>
        </w:rPr>
      </w:pPr>
    </w:p>
    <w:p w:rsidR="00EC7CD2" w:rsidRDefault="00EC7CD2">
      <w:pPr>
        <w:spacing w:after="0" w:line="480" w:lineRule="auto"/>
        <w:jc w:val="both"/>
        <w:rPr>
          <w:rFonts w:ascii="Times New Roman" w:hAnsi="Times New Roman"/>
          <w:sz w:val="24"/>
          <w:szCs w:val="24"/>
        </w:rPr>
      </w:pPr>
    </w:p>
    <w:p w:rsidR="00EC7CD2" w:rsidRDefault="00EC7CD2">
      <w:pPr>
        <w:spacing w:after="0" w:line="480" w:lineRule="auto"/>
        <w:jc w:val="both"/>
        <w:rPr>
          <w:rFonts w:ascii="Times New Roman" w:hAnsi="Times New Roman"/>
          <w:sz w:val="24"/>
          <w:szCs w:val="24"/>
        </w:rPr>
      </w:pPr>
    </w:p>
    <w:p w:rsidR="00EC7CD2" w:rsidRDefault="00EC7CD2">
      <w:pPr>
        <w:spacing w:after="0" w:line="480" w:lineRule="auto"/>
        <w:jc w:val="both"/>
        <w:rPr>
          <w:rFonts w:ascii="Times New Roman" w:hAnsi="Times New Roman"/>
          <w:sz w:val="24"/>
          <w:szCs w:val="24"/>
        </w:rPr>
      </w:pPr>
    </w:p>
    <w:p w:rsidR="00EC7CD2" w:rsidRDefault="00EC7CD2">
      <w:pPr>
        <w:spacing w:after="0" w:line="480" w:lineRule="auto"/>
        <w:jc w:val="both"/>
        <w:rPr>
          <w:rFonts w:ascii="Times New Roman" w:hAnsi="Times New Roman"/>
          <w:sz w:val="24"/>
          <w:szCs w:val="24"/>
        </w:rPr>
      </w:pPr>
    </w:p>
    <w:p w:rsidR="00EC7CD2" w:rsidRDefault="00EC7CD2">
      <w:pPr>
        <w:spacing w:after="0" w:line="480" w:lineRule="auto"/>
        <w:jc w:val="both"/>
        <w:rPr>
          <w:rFonts w:ascii="Times New Roman" w:hAnsi="Times New Roman"/>
          <w:sz w:val="24"/>
          <w:szCs w:val="24"/>
        </w:rPr>
      </w:pPr>
    </w:p>
    <w:p w:rsidR="00EC7CD2" w:rsidRDefault="00EC7CD2">
      <w:pPr>
        <w:spacing w:line="480" w:lineRule="auto"/>
        <w:jc w:val="both"/>
        <w:rPr>
          <w:rFonts w:ascii="Times New Roman" w:hAnsi="Times New Roman"/>
          <w:sz w:val="24"/>
          <w:szCs w:val="24"/>
        </w:rPr>
      </w:pPr>
    </w:p>
    <w:p w:rsidR="00EC7CD2" w:rsidRDefault="00EC7CD2">
      <w:pPr>
        <w:spacing w:line="480" w:lineRule="auto"/>
        <w:jc w:val="both"/>
        <w:rPr>
          <w:rFonts w:ascii="Times New Roman" w:eastAsia="Hiragino Mincho ProN W3" w:hAnsi="Times New Roman"/>
          <w:b/>
          <w:bCs/>
          <w:sz w:val="24"/>
          <w:szCs w:val="24"/>
          <w:lang w:val="en-GB"/>
        </w:rPr>
      </w:pPr>
    </w:p>
    <w:p w:rsidR="00EC7CD2" w:rsidRDefault="00EC7CD2">
      <w:pPr>
        <w:spacing w:line="480" w:lineRule="auto"/>
        <w:jc w:val="both"/>
        <w:rPr>
          <w:rFonts w:ascii="Times New Roman" w:eastAsia="Hiragino Mincho ProN W3" w:hAnsi="Times New Roman"/>
          <w:b/>
          <w:bCs/>
          <w:sz w:val="24"/>
          <w:szCs w:val="24"/>
          <w:lang w:val="en-GB"/>
        </w:rPr>
      </w:pPr>
    </w:p>
    <w:p w:rsidR="00EC7CD2" w:rsidRDefault="00EC7CD2">
      <w:pPr>
        <w:spacing w:line="480" w:lineRule="auto"/>
        <w:jc w:val="both"/>
        <w:rPr>
          <w:rFonts w:ascii="Times New Roman" w:eastAsia="Hiragino Mincho ProN W3" w:hAnsi="Times New Roman"/>
          <w:b/>
          <w:bCs/>
          <w:sz w:val="24"/>
          <w:szCs w:val="24"/>
          <w:lang w:val="en-GB"/>
        </w:rPr>
      </w:pP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b/>
          <w:bCs/>
          <w:sz w:val="24"/>
          <w:szCs w:val="24"/>
          <w:lang w:val="en-GB"/>
        </w:rPr>
        <w:lastRenderedPageBreak/>
        <w:t>BIBLOGRAPHY</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b/>
          <w:bCs/>
          <w:sz w:val="24"/>
          <w:szCs w:val="24"/>
          <w:lang w:val="en-GB"/>
        </w:rPr>
        <w:t>A. Books</w:t>
      </w:r>
    </w:p>
    <w:p w:rsidR="00EC7CD2" w:rsidRDefault="00453B03">
      <w:pPr>
        <w:spacing w:line="480" w:lineRule="auto"/>
        <w:rPr>
          <w:rFonts w:ascii="Times New Roman" w:hAnsi="Times New Roman"/>
          <w:sz w:val="24"/>
          <w:szCs w:val="24"/>
        </w:rPr>
      </w:pPr>
      <w:r>
        <w:rPr>
          <w:rFonts w:ascii="Times New Roman" w:eastAsia="Hiragino Mincho ProN W3" w:hAnsi="Times New Roman"/>
          <w:sz w:val="24"/>
          <w:szCs w:val="24"/>
          <w:lang w:val="en-GB"/>
        </w:rPr>
        <w:t xml:space="preserve">Austin, John, </w:t>
      </w:r>
      <w:r>
        <w:rPr>
          <w:rFonts w:ascii="Times New Roman" w:eastAsia="Hiragino Mincho ProN W3" w:hAnsi="Times New Roman"/>
          <w:i/>
          <w:iCs/>
          <w:sz w:val="24"/>
          <w:szCs w:val="24"/>
          <w:lang w:val="en-GB"/>
        </w:rPr>
        <w:t>The Province of Jurisprudence Determined</w:t>
      </w:r>
      <w:r>
        <w:rPr>
          <w:rFonts w:ascii="Times New Roman" w:eastAsia="Hiragino Mincho ProN W3" w:hAnsi="Times New Roman"/>
          <w:sz w:val="24"/>
          <w:szCs w:val="24"/>
          <w:lang w:val="en-GB"/>
        </w:rPr>
        <w:t xml:space="preserve"> (W Rumble ed, Cambridge University Press 1995).</w:t>
      </w:r>
    </w:p>
    <w:p w:rsidR="00EC7CD2" w:rsidRDefault="00453B03">
      <w:pPr>
        <w:spacing w:line="480" w:lineRule="auto"/>
        <w:rPr>
          <w:rFonts w:ascii="Times New Roman" w:hAnsi="Times New Roman"/>
          <w:sz w:val="24"/>
          <w:szCs w:val="24"/>
        </w:rPr>
      </w:pPr>
      <w:r>
        <w:rPr>
          <w:rFonts w:ascii="Times New Roman" w:eastAsia="Hiragino Mincho ProN W3" w:hAnsi="Times New Roman"/>
          <w:sz w:val="24"/>
          <w:szCs w:val="24"/>
          <w:lang w:val="en-GB"/>
        </w:rPr>
        <w:t xml:space="preserve">Appadorai, A, </w:t>
      </w:r>
      <w:r>
        <w:rPr>
          <w:rFonts w:ascii="Times New Roman" w:eastAsia="Hiragino Mincho ProN W3" w:hAnsi="Times New Roman"/>
          <w:i/>
          <w:iCs/>
          <w:sz w:val="24"/>
          <w:szCs w:val="24"/>
          <w:lang w:val="en-GB"/>
        </w:rPr>
        <w:t>The Substance of Politics</w:t>
      </w:r>
      <w:r>
        <w:rPr>
          <w:rFonts w:ascii="Times New Roman" w:eastAsia="Hiragino Mincho ProN W3" w:hAnsi="Times New Roman"/>
          <w:sz w:val="24"/>
          <w:szCs w:val="24"/>
          <w:lang w:val="en-GB"/>
        </w:rPr>
        <w:t xml:space="preserve"> (Oxford University Press 2004).</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Adebayo, Augustus, </w:t>
      </w:r>
      <w:r>
        <w:rPr>
          <w:rFonts w:ascii="Times New Roman" w:eastAsia="Hiragino Mincho ProN W3" w:hAnsi="Times New Roman"/>
          <w:i/>
          <w:iCs/>
          <w:sz w:val="24"/>
          <w:szCs w:val="24"/>
          <w:lang w:val="en-GB" w:eastAsia="en-US"/>
        </w:rPr>
        <w:t>Principles and Practice of Public Administration in Nigeria</w:t>
      </w:r>
      <w:r>
        <w:rPr>
          <w:rFonts w:ascii="Times New Roman" w:eastAsia="Hiragino Mincho ProN W3" w:hAnsi="Times New Roman"/>
          <w:sz w:val="24"/>
          <w:szCs w:val="24"/>
          <w:lang w:val="en-GB" w:eastAsia="en-US"/>
        </w:rPr>
        <w:t xml:space="preserve"> (Spectrum Books 2001).</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Dicey, A V, </w:t>
      </w:r>
      <w:r>
        <w:rPr>
          <w:rFonts w:ascii="Times New Roman" w:eastAsia="Hiragino Mincho ProN W3" w:hAnsi="Times New Roman"/>
          <w:i/>
          <w:iCs/>
          <w:sz w:val="24"/>
          <w:szCs w:val="24"/>
          <w:lang w:val="en-GB" w:eastAsia="en-US"/>
        </w:rPr>
        <w:t>Introduction to the Study of the Law of the Constitution</w:t>
      </w:r>
      <w:r>
        <w:rPr>
          <w:rFonts w:ascii="Times New Roman" w:eastAsia="Hiragino Mincho ProN W3" w:hAnsi="Times New Roman"/>
          <w:sz w:val="24"/>
          <w:szCs w:val="24"/>
          <w:lang w:val="en-GB" w:eastAsia="en-US"/>
        </w:rPr>
        <w:t xml:space="preserve"> (10th edn, Macmillan 1959).</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Garner, Bryan A, </w:t>
      </w:r>
      <w:r>
        <w:rPr>
          <w:rFonts w:ascii="Times New Roman" w:eastAsia="Hiragino Mincho ProN W3" w:hAnsi="Times New Roman"/>
          <w:i/>
          <w:iCs/>
          <w:sz w:val="24"/>
          <w:szCs w:val="24"/>
          <w:lang w:val="en-GB" w:eastAsia="en-US"/>
        </w:rPr>
        <w:t>Black’s Law Dictionary</w:t>
      </w:r>
      <w:r>
        <w:rPr>
          <w:rFonts w:ascii="Times New Roman" w:eastAsia="Hiragino Mincho ProN W3" w:hAnsi="Times New Roman"/>
          <w:sz w:val="24"/>
          <w:szCs w:val="24"/>
          <w:lang w:val="en-GB" w:eastAsia="en-US"/>
        </w:rPr>
        <w:t xml:space="preserve"> (8th edn, Thomson West 2004).</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Garner, Bryan A, </w:t>
      </w:r>
      <w:r>
        <w:rPr>
          <w:rFonts w:ascii="Times New Roman" w:eastAsia="Hiragino Mincho ProN W3" w:hAnsi="Times New Roman"/>
          <w:i/>
          <w:iCs/>
          <w:sz w:val="24"/>
          <w:szCs w:val="24"/>
          <w:lang w:val="en-GB" w:eastAsia="en-US"/>
        </w:rPr>
        <w:t>Black’s Law Dictionary</w:t>
      </w:r>
      <w:r>
        <w:rPr>
          <w:rFonts w:ascii="Times New Roman" w:eastAsia="Hiragino Mincho ProN W3" w:hAnsi="Times New Roman"/>
          <w:sz w:val="24"/>
          <w:szCs w:val="24"/>
          <w:lang w:val="en-GB" w:eastAsia="en-US"/>
        </w:rPr>
        <w:t xml:space="preserve"> (10th edn, West Publishing Company 2014).</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Hornby, A S, </w:t>
      </w:r>
      <w:r>
        <w:rPr>
          <w:rFonts w:ascii="Times New Roman" w:eastAsia="Hiragino Mincho ProN W3" w:hAnsi="Times New Roman"/>
          <w:i/>
          <w:iCs/>
          <w:sz w:val="24"/>
          <w:szCs w:val="24"/>
          <w:lang w:val="en-GB" w:eastAsia="en-US"/>
        </w:rPr>
        <w:t>Oxford Advanced Learner’s Dictionary of Current English</w:t>
      </w:r>
      <w:r>
        <w:rPr>
          <w:rFonts w:ascii="Times New Roman" w:eastAsia="Hiragino Mincho ProN W3" w:hAnsi="Times New Roman"/>
          <w:sz w:val="24"/>
          <w:szCs w:val="24"/>
          <w:lang w:val="en-GB" w:eastAsia="en-US"/>
        </w:rPr>
        <w:t xml:space="preserve"> (Oxford University Press 2001).</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Malemi, Ese, </w:t>
      </w:r>
      <w:r>
        <w:rPr>
          <w:rFonts w:ascii="Times New Roman" w:eastAsia="Hiragino Mincho ProN W3" w:hAnsi="Times New Roman"/>
          <w:i/>
          <w:iCs/>
          <w:sz w:val="24"/>
          <w:szCs w:val="24"/>
          <w:lang w:val="en-GB" w:eastAsia="en-US"/>
        </w:rPr>
        <w:t>Administrative Law</w:t>
      </w:r>
      <w:r>
        <w:rPr>
          <w:rFonts w:ascii="Times New Roman" w:eastAsia="Hiragino Mincho ProN W3" w:hAnsi="Times New Roman"/>
          <w:sz w:val="24"/>
          <w:szCs w:val="24"/>
          <w:lang w:val="en-GB" w:eastAsia="en-US"/>
        </w:rPr>
        <w:t xml:space="preserve"> (5th edn, Princeton Publishing 2022).</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Mowoe, K M, </w:t>
      </w:r>
      <w:r>
        <w:rPr>
          <w:rFonts w:ascii="Times New Roman" w:eastAsia="Hiragino Mincho ProN W3" w:hAnsi="Times New Roman"/>
          <w:i/>
          <w:iCs/>
          <w:sz w:val="24"/>
          <w:szCs w:val="24"/>
          <w:lang w:val="en-GB" w:eastAsia="en-US"/>
        </w:rPr>
        <w:t>Constitutional Law in Nigeria</w:t>
      </w:r>
      <w:r>
        <w:rPr>
          <w:rFonts w:ascii="Times New Roman" w:eastAsia="Hiragino Mincho ProN W3" w:hAnsi="Times New Roman"/>
          <w:sz w:val="24"/>
          <w:szCs w:val="24"/>
          <w:lang w:val="en-GB" w:eastAsia="en-US"/>
        </w:rPr>
        <w:t xml:space="preserve"> (Malthouse Press 2008).</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Nwabueze, B O, </w:t>
      </w:r>
      <w:r>
        <w:rPr>
          <w:rFonts w:ascii="Times New Roman" w:eastAsia="Hiragino Mincho ProN W3" w:hAnsi="Times New Roman"/>
          <w:i/>
          <w:iCs/>
          <w:sz w:val="24"/>
          <w:szCs w:val="24"/>
          <w:lang w:val="en-GB" w:eastAsia="en-US"/>
        </w:rPr>
        <w:t>Constitutionalism in the Emergent States</w:t>
      </w:r>
      <w:r>
        <w:rPr>
          <w:rFonts w:ascii="Times New Roman" w:eastAsia="Hiragino Mincho ProN W3" w:hAnsi="Times New Roman"/>
          <w:sz w:val="24"/>
          <w:szCs w:val="24"/>
          <w:lang w:val="en-GB" w:eastAsia="en-US"/>
        </w:rPr>
        <w:t xml:space="preserve"> (C Hurst &amp; Co 1973).</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Nwabueze, B O, </w:t>
      </w:r>
      <w:r>
        <w:rPr>
          <w:rFonts w:ascii="Times New Roman" w:eastAsia="Hiragino Mincho ProN W3" w:hAnsi="Times New Roman"/>
          <w:i/>
          <w:iCs/>
          <w:sz w:val="24"/>
          <w:szCs w:val="24"/>
          <w:lang w:val="en-GB" w:eastAsia="en-US"/>
        </w:rPr>
        <w:t>Presidentialism in Commonwealth Africa</w:t>
      </w:r>
      <w:r>
        <w:rPr>
          <w:rFonts w:ascii="Times New Roman" w:eastAsia="Hiragino Mincho ProN W3" w:hAnsi="Times New Roman"/>
          <w:sz w:val="24"/>
          <w:szCs w:val="24"/>
          <w:lang w:val="en-GB" w:eastAsia="en-US"/>
        </w:rPr>
        <w:t xml:space="preserve"> (C Hurst &amp; Company 1974).</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Oluyede, E O and Oluyede, P A, </w:t>
      </w:r>
      <w:r>
        <w:rPr>
          <w:rFonts w:ascii="Times New Roman" w:eastAsia="Hiragino Mincho ProN W3" w:hAnsi="Times New Roman"/>
          <w:i/>
          <w:iCs/>
          <w:sz w:val="24"/>
          <w:szCs w:val="24"/>
          <w:lang w:val="en-GB" w:eastAsia="en-US"/>
        </w:rPr>
        <w:t>Administrative Law in Nigeria</w:t>
      </w:r>
      <w:r>
        <w:rPr>
          <w:rFonts w:ascii="Times New Roman" w:eastAsia="Hiragino Mincho ProN W3" w:hAnsi="Times New Roman"/>
          <w:sz w:val="24"/>
          <w:szCs w:val="24"/>
          <w:lang w:val="en-GB" w:eastAsia="en-US"/>
        </w:rPr>
        <w:t xml:space="preserve"> (University Press Plc 2001).</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lastRenderedPageBreak/>
        <w:t xml:space="preserve">Schmitt, Carl, </w:t>
      </w:r>
      <w:r>
        <w:rPr>
          <w:rFonts w:ascii="Times New Roman" w:eastAsia="Hiragino Mincho ProN W3" w:hAnsi="Times New Roman"/>
          <w:i/>
          <w:iCs/>
          <w:sz w:val="24"/>
          <w:szCs w:val="24"/>
          <w:lang w:val="en-GB" w:eastAsia="en-US"/>
        </w:rPr>
        <w:t>Political Theology: Four Chapters on the Concept of Sovereignty</w:t>
      </w:r>
      <w:r>
        <w:rPr>
          <w:rFonts w:ascii="Times New Roman" w:eastAsia="Hiragino Mincho ProN W3" w:hAnsi="Times New Roman"/>
          <w:sz w:val="24"/>
          <w:szCs w:val="24"/>
          <w:lang w:val="en-GB" w:eastAsia="en-US"/>
        </w:rPr>
        <w:t xml:space="preserve"> (University of Chicago Press 2005).</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Wade, H W R and Forsyth, C F, </w:t>
      </w:r>
      <w:r>
        <w:rPr>
          <w:rFonts w:ascii="Times New Roman" w:eastAsia="Hiragino Mincho ProN W3" w:hAnsi="Times New Roman"/>
          <w:i/>
          <w:iCs/>
          <w:sz w:val="24"/>
          <w:szCs w:val="24"/>
          <w:lang w:val="en-GB" w:eastAsia="en-US"/>
        </w:rPr>
        <w:t>Administrative Law</w:t>
      </w:r>
      <w:r>
        <w:rPr>
          <w:rFonts w:ascii="Times New Roman" w:eastAsia="Hiragino Mincho ProN W3" w:hAnsi="Times New Roman"/>
          <w:sz w:val="24"/>
          <w:szCs w:val="24"/>
          <w:lang w:val="en-GB" w:eastAsia="en-US"/>
        </w:rPr>
        <w:t xml:space="preserve"> (11th edn, Oxford University Press 2014).</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Woolf, Harry, Jowell, Jeffrey and Le Sueur, Andrew, </w:t>
      </w:r>
      <w:r>
        <w:rPr>
          <w:rFonts w:ascii="Times New Roman" w:eastAsia="Hiragino Mincho ProN W3" w:hAnsi="Times New Roman"/>
          <w:i/>
          <w:iCs/>
          <w:sz w:val="24"/>
          <w:szCs w:val="24"/>
          <w:lang w:val="en-GB" w:eastAsia="en-US"/>
        </w:rPr>
        <w:t>De Smith’s Judicial Review</w:t>
      </w:r>
      <w:r>
        <w:rPr>
          <w:rFonts w:ascii="Times New Roman" w:eastAsia="Hiragino Mincho ProN W3" w:hAnsi="Times New Roman"/>
          <w:sz w:val="24"/>
          <w:szCs w:val="24"/>
          <w:lang w:val="en-GB" w:eastAsia="en-US"/>
        </w:rPr>
        <w:t xml:space="preserve"> (8th edn, Sweet &amp; Maxwell 2018).</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Agamben, Giorgio, </w:t>
      </w:r>
      <w:r>
        <w:rPr>
          <w:rFonts w:ascii="Times New Roman" w:eastAsia="Hiragino Mincho ProN W3" w:hAnsi="Times New Roman"/>
          <w:i/>
          <w:iCs/>
          <w:sz w:val="24"/>
          <w:szCs w:val="24"/>
          <w:lang w:val="en-GB" w:eastAsia="en-US"/>
        </w:rPr>
        <w:t>State of Exception</w:t>
      </w:r>
      <w:r>
        <w:rPr>
          <w:rFonts w:ascii="Times New Roman" w:eastAsia="Hiragino Mincho ProN W3" w:hAnsi="Times New Roman"/>
          <w:sz w:val="24"/>
          <w:szCs w:val="24"/>
          <w:lang w:val="en-GB" w:eastAsia="en-US"/>
        </w:rPr>
        <w:t xml:space="preserve"> (University of Chicago Press 2005).</w:t>
      </w:r>
    </w:p>
    <w:p w:rsidR="00EC7CD2" w:rsidRDefault="00EC7CD2">
      <w:pPr>
        <w:spacing w:line="480" w:lineRule="auto"/>
        <w:jc w:val="both"/>
        <w:rPr>
          <w:rFonts w:ascii="Times New Roman" w:hAnsi="Times New Roman"/>
          <w:sz w:val="24"/>
          <w:szCs w:val="24"/>
        </w:rPr>
      </w:pP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b/>
          <w:bCs/>
          <w:sz w:val="24"/>
          <w:szCs w:val="24"/>
          <w:lang w:val="en-GB"/>
        </w:rPr>
        <w:t>B. Journal Articles</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Agbonika, Josephine Aladi Achor, ‘The Statute of Limitation and its Applicability to Tax Matters’ (2018) 3(1) </w:t>
      </w:r>
      <w:r>
        <w:rPr>
          <w:rFonts w:ascii="Times New Roman" w:eastAsia="Hiragino Mincho ProN W3" w:hAnsi="Times New Roman"/>
          <w:i/>
          <w:iCs/>
          <w:sz w:val="24"/>
          <w:szCs w:val="24"/>
          <w:lang w:val="en-GB" w:eastAsia="en-US"/>
        </w:rPr>
        <w:t>KIU Journal of Humanities</w:t>
      </w:r>
      <w:r>
        <w:rPr>
          <w:rFonts w:ascii="Times New Roman" w:eastAsia="Hiragino Mincho ProN W3" w:hAnsi="Times New Roman"/>
          <w:sz w:val="24"/>
          <w:szCs w:val="24"/>
          <w:lang w:val="en-GB" w:eastAsia="en-US"/>
        </w:rPr>
        <w:t>.</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Akpambang, Enobong Mbang, ‘Immunities and Tenures of Office in the Three Arms of Government in Nigeria: Legal Perspective’ (2016) 4(4) </w:t>
      </w:r>
      <w:r>
        <w:rPr>
          <w:rFonts w:ascii="Times New Roman" w:eastAsia="Hiragino Mincho ProN W3" w:hAnsi="Times New Roman"/>
          <w:i/>
          <w:iCs/>
          <w:sz w:val="24"/>
          <w:szCs w:val="24"/>
          <w:lang w:val="en-GB" w:eastAsia="en-US"/>
        </w:rPr>
        <w:t>Global Journal of Politics and Law Research</w:t>
      </w:r>
      <w:r>
        <w:rPr>
          <w:rFonts w:ascii="Times New Roman" w:eastAsia="Hiragino Mincho ProN W3" w:hAnsi="Times New Roman"/>
          <w:sz w:val="24"/>
          <w:szCs w:val="24"/>
          <w:lang w:val="en-GB" w:eastAsia="en-US"/>
        </w:rPr>
        <w:t>.</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Badmos, Abdulkabir, ‘Has the Supreme Court Created a New Exception to the Application of Section 2(a) of the Public Officers’ Protection Act?’ (2020) </w:t>
      </w:r>
      <w:r>
        <w:rPr>
          <w:rFonts w:ascii="Times New Roman" w:eastAsia="Hiragino Mincho ProN W3" w:hAnsi="Times New Roman"/>
          <w:i/>
          <w:iCs/>
          <w:sz w:val="24"/>
          <w:szCs w:val="24"/>
          <w:lang w:val="en-GB" w:eastAsia="en-US"/>
        </w:rPr>
        <w:t>SSRN Electronic Journal</w:t>
      </w:r>
      <w:r>
        <w:rPr>
          <w:rFonts w:ascii="Times New Roman" w:eastAsia="Hiragino Mincho ProN W3" w:hAnsi="Times New Roman"/>
          <w:sz w:val="24"/>
          <w:szCs w:val="24"/>
          <w:lang w:val="en-GB" w:eastAsia="en-US"/>
        </w:rPr>
        <w:t>.</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Chukwu, A E, ‘Immunity of Public Officers under the 1999 Constitution of the Federal Republic of Nigeria’ (2008) 1 </w:t>
      </w:r>
      <w:r>
        <w:rPr>
          <w:rFonts w:ascii="Times New Roman" w:eastAsia="Hiragino Mincho ProN W3" w:hAnsi="Times New Roman"/>
          <w:i/>
          <w:iCs/>
          <w:sz w:val="24"/>
          <w:szCs w:val="24"/>
          <w:lang w:val="en-GB" w:eastAsia="en-US"/>
        </w:rPr>
        <w:t>Journal of Private and Commercial Law</w:t>
      </w:r>
      <w:r>
        <w:rPr>
          <w:rFonts w:ascii="Times New Roman" w:eastAsia="Hiragino Mincho ProN W3" w:hAnsi="Times New Roman"/>
          <w:sz w:val="24"/>
          <w:szCs w:val="24"/>
          <w:lang w:val="en-GB" w:eastAsia="en-US"/>
        </w:rPr>
        <w:t>.</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Fagbemi, S A, </w:t>
      </w:r>
      <w:r>
        <w:rPr>
          <w:rFonts w:ascii="Times New Roman" w:eastAsia="Hiragino Mincho ProN W3" w:hAnsi="Times New Roman"/>
          <w:i/>
          <w:iCs/>
          <w:sz w:val="24"/>
          <w:szCs w:val="24"/>
          <w:lang w:val="en-GB" w:eastAsia="en-US"/>
        </w:rPr>
        <w:t>Nigerian Administrative Law</w:t>
      </w:r>
      <w:r>
        <w:rPr>
          <w:rFonts w:ascii="Times New Roman" w:eastAsia="Hiragino Mincho ProN W3" w:hAnsi="Times New Roman"/>
          <w:sz w:val="24"/>
          <w:szCs w:val="24"/>
          <w:lang w:val="en-GB" w:eastAsia="en-US"/>
        </w:rPr>
        <w:t xml:space="preserve"> (Malthouse Press 2012).</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lastRenderedPageBreak/>
        <w:t xml:space="preserve">Gross, Leo, ‘The Peace of Westphalia, 1648–1948’ (1948) 42(1) </w:t>
      </w:r>
      <w:r>
        <w:rPr>
          <w:rFonts w:ascii="Times New Roman" w:eastAsia="Hiragino Mincho ProN W3" w:hAnsi="Times New Roman"/>
          <w:i/>
          <w:iCs/>
          <w:sz w:val="24"/>
          <w:szCs w:val="24"/>
          <w:lang w:val="en-GB" w:eastAsia="en-US"/>
        </w:rPr>
        <w:t>American Journal of International Law</w:t>
      </w:r>
      <w:r>
        <w:rPr>
          <w:rFonts w:ascii="Times New Roman" w:eastAsia="Hiragino Mincho ProN W3" w:hAnsi="Times New Roman"/>
          <w:sz w:val="24"/>
          <w:szCs w:val="24"/>
          <w:lang w:val="en-GB" w:eastAsia="en-US"/>
        </w:rPr>
        <w:t>.</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Heise, Michael, ‘Statutes of Limitations’ in </w:t>
      </w:r>
      <w:r>
        <w:rPr>
          <w:rFonts w:ascii="Times New Roman" w:eastAsia="Hiragino Mincho ProN W3" w:hAnsi="Times New Roman"/>
          <w:i/>
          <w:iCs/>
          <w:sz w:val="24"/>
          <w:szCs w:val="24"/>
          <w:lang w:val="en-GB" w:eastAsia="en-US"/>
        </w:rPr>
        <w:t>International Encyclopedia of the Social &amp; Behavioral Sciences</w:t>
      </w:r>
      <w:r>
        <w:rPr>
          <w:rFonts w:ascii="Times New Roman" w:eastAsia="Hiragino Mincho ProN W3" w:hAnsi="Times New Roman"/>
          <w:sz w:val="24"/>
          <w:szCs w:val="24"/>
          <w:lang w:val="en-GB" w:eastAsia="en-US"/>
        </w:rPr>
        <w:t xml:space="preserve"> (Elsevier 2001).</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Igwenyi, Benjamin, Igwe, Chinedu Akam and Udude, Kevin Onwuka, ‘Immunity Clause in the Nigerian Constitution: A Call for a Paradigm Shift’ (2022) 4(3) </w:t>
      </w:r>
      <w:r>
        <w:rPr>
          <w:rFonts w:ascii="Times New Roman" w:eastAsia="Hiragino Mincho ProN W3" w:hAnsi="Times New Roman"/>
          <w:i/>
          <w:iCs/>
          <w:sz w:val="24"/>
          <w:szCs w:val="24"/>
          <w:lang w:val="en-GB" w:eastAsia="en-US"/>
        </w:rPr>
        <w:t>International Journal of Comparative Law and Legal Philosophy</w:t>
      </w:r>
      <w:r>
        <w:rPr>
          <w:rFonts w:ascii="Times New Roman" w:eastAsia="Hiragino Mincho ProN W3" w:hAnsi="Times New Roman"/>
          <w:sz w:val="24"/>
          <w:szCs w:val="24"/>
          <w:lang w:val="en-GB" w:eastAsia="en-US"/>
        </w:rPr>
        <w:t>.</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Nwigwe, C, ‘Impediments to the Enforcement of Anti-Corruption Laws in Nigeria: A Legal Perspective’.</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Odusote, Abiodun, ‘The Nigerian Public Officers Protection Act: An Anachronistic Legislation Yearning for Reforms’ (2019) 9(1) </w:t>
      </w:r>
      <w:r>
        <w:rPr>
          <w:rFonts w:ascii="Times New Roman" w:eastAsia="Hiragino Mincho ProN W3" w:hAnsi="Times New Roman"/>
          <w:i/>
          <w:iCs/>
          <w:sz w:val="24"/>
          <w:szCs w:val="24"/>
          <w:lang w:val="en-GB" w:eastAsia="en-US"/>
        </w:rPr>
        <w:t>Journal of Public Administration and Governance</w:t>
      </w:r>
      <w:r>
        <w:rPr>
          <w:rFonts w:ascii="Times New Roman" w:eastAsia="Hiragino Mincho ProN W3" w:hAnsi="Times New Roman"/>
          <w:sz w:val="24"/>
          <w:szCs w:val="24"/>
          <w:lang w:val="en-GB" w:eastAsia="en-US"/>
        </w:rPr>
        <w:t>.</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Okeke, Chukwuebuka S, ‘Constitutionality of the Public Officers Protection Act: A Fresh Look at the Principles of Reasonableness and Proportionality’ (2019) </w:t>
      </w:r>
      <w:r>
        <w:rPr>
          <w:rFonts w:ascii="Times New Roman" w:eastAsia="Hiragino Mincho ProN W3" w:hAnsi="Times New Roman"/>
          <w:i/>
          <w:iCs/>
          <w:sz w:val="24"/>
          <w:szCs w:val="24"/>
          <w:lang w:val="en-GB" w:eastAsia="en-US"/>
        </w:rPr>
        <w:t>NILDS Journal of Law Review</w:t>
      </w:r>
      <w:r>
        <w:rPr>
          <w:rFonts w:ascii="Times New Roman" w:eastAsia="Hiragino Mincho ProN W3" w:hAnsi="Times New Roman"/>
          <w:sz w:val="24"/>
          <w:szCs w:val="24"/>
          <w:lang w:val="en-GB" w:eastAsia="en-US"/>
        </w:rPr>
        <w:t>.</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Oyewo, O, ‘Sounding the Death Knell of the Public Officer Protection Act/Law in Nigeria’ (2016) 4(1) </w:t>
      </w:r>
      <w:r>
        <w:rPr>
          <w:rFonts w:ascii="Times New Roman" w:eastAsia="Hiragino Mincho ProN W3" w:hAnsi="Times New Roman"/>
          <w:i/>
          <w:iCs/>
          <w:sz w:val="24"/>
          <w:szCs w:val="24"/>
          <w:lang w:val="en-GB" w:eastAsia="en-US"/>
        </w:rPr>
        <w:t>International Journal of Liberal Arts and Social Science</w:t>
      </w:r>
      <w:r>
        <w:rPr>
          <w:rFonts w:ascii="Times New Roman" w:eastAsia="Hiragino Mincho ProN W3" w:hAnsi="Times New Roman"/>
          <w:sz w:val="24"/>
          <w:szCs w:val="24"/>
          <w:lang w:val="en-GB" w:eastAsia="en-US"/>
        </w:rPr>
        <w:t>.</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Philip, Folarin Abiodun and Ajala, Taiwo, ‘Limiting the Statute of Limitation: An Agenda for Reform’ (2017) </w:t>
      </w:r>
      <w:r>
        <w:rPr>
          <w:rFonts w:ascii="Times New Roman" w:eastAsia="Hiragino Mincho ProN W3" w:hAnsi="Times New Roman"/>
          <w:i/>
          <w:iCs/>
          <w:sz w:val="24"/>
          <w:szCs w:val="24"/>
          <w:lang w:val="en-GB" w:eastAsia="en-US"/>
        </w:rPr>
        <w:t>Journal of Private and Property Law</w:t>
      </w:r>
      <w:r>
        <w:rPr>
          <w:rFonts w:ascii="Times New Roman" w:eastAsia="Hiragino Mincho ProN W3" w:hAnsi="Times New Roman"/>
          <w:sz w:val="24"/>
          <w:szCs w:val="24"/>
          <w:lang w:val="en-GB" w:eastAsia="en-US"/>
        </w:rPr>
        <w:t>.</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Tajudeen, I O, ‘Executive Immunity in Nigeria: Putting Off Old Garments’ (2013) 6(3) </w:t>
      </w:r>
      <w:r>
        <w:rPr>
          <w:rFonts w:ascii="Times New Roman" w:eastAsia="Hiragino Mincho ProN W3" w:hAnsi="Times New Roman"/>
          <w:i/>
          <w:iCs/>
          <w:sz w:val="24"/>
          <w:szCs w:val="24"/>
          <w:lang w:val="en-GB" w:eastAsia="en-US"/>
        </w:rPr>
        <w:t>Journal of Politics and Law</w:t>
      </w:r>
      <w:r>
        <w:rPr>
          <w:rFonts w:ascii="Times New Roman" w:eastAsia="Hiragino Mincho ProN W3" w:hAnsi="Times New Roman"/>
          <w:sz w:val="24"/>
          <w:szCs w:val="24"/>
          <w:lang w:val="en-GB" w:eastAsia="en-US"/>
        </w:rPr>
        <w:t>.</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lastRenderedPageBreak/>
        <w:t xml:space="preserve">Udeh, P, ‘Immunity of Sovereign States: Historical and Contemporary Perspectives’ (2009) 2(1) </w:t>
      </w:r>
      <w:r>
        <w:rPr>
          <w:rFonts w:ascii="Times New Roman" w:eastAsia="Hiragino Mincho ProN W3" w:hAnsi="Times New Roman"/>
          <w:i/>
          <w:iCs/>
          <w:sz w:val="24"/>
          <w:szCs w:val="24"/>
          <w:lang w:val="en-GB" w:eastAsia="en-US"/>
        </w:rPr>
        <w:t>Nigerian Journal of Public Law</w:t>
      </w:r>
      <w:r>
        <w:rPr>
          <w:rFonts w:ascii="Times New Roman" w:eastAsia="Hiragino Mincho ProN W3" w:hAnsi="Times New Roman"/>
          <w:sz w:val="24"/>
          <w:szCs w:val="24"/>
          <w:lang w:val="en-GB" w:eastAsia="en-US"/>
        </w:rPr>
        <w:t>.</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Ukoh, Francis N, ‘State Sovereign Powers: The Challenge of Terrorism’ (2018) 4 </w:t>
      </w:r>
      <w:r>
        <w:rPr>
          <w:rFonts w:ascii="Times New Roman" w:eastAsia="Hiragino Mincho ProN W3" w:hAnsi="Times New Roman"/>
          <w:i/>
          <w:iCs/>
          <w:sz w:val="24"/>
          <w:szCs w:val="24"/>
          <w:lang w:val="en-GB" w:eastAsia="en-US"/>
        </w:rPr>
        <w:t>Human Rights and Jurisprudence Journal</w:t>
      </w:r>
      <w:r>
        <w:rPr>
          <w:rFonts w:ascii="Times New Roman" w:eastAsia="Hiragino Mincho ProN W3" w:hAnsi="Times New Roman"/>
          <w:sz w:val="24"/>
          <w:szCs w:val="24"/>
          <w:lang w:val="en-GB" w:eastAsia="en-US"/>
        </w:rPr>
        <w:t>.</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Ukoh, Francis N and Ngwoke, Rita Abhavan, ‘Immunity Clause under the 1999 Constitution of Nigeria: A Dire Need for Reform’ (2020) 14(2) </w:t>
      </w:r>
      <w:r>
        <w:rPr>
          <w:rFonts w:ascii="Times New Roman" w:eastAsia="Hiragino Mincho ProN W3" w:hAnsi="Times New Roman"/>
          <w:i/>
          <w:iCs/>
          <w:sz w:val="24"/>
          <w:szCs w:val="24"/>
          <w:lang w:val="en-GB" w:eastAsia="en-US"/>
        </w:rPr>
        <w:t>Journal of Politics and Law</w:t>
      </w:r>
      <w:r>
        <w:rPr>
          <w:rFonts w:ascii="Times New Roman" w:eastAsia="Hiragino Mincho ProN W3" w:hAnsi="Times New Roman"/>
          <w:sz w:val="24"/>
          <w:szCs w:val="24"/>
          <w:lang w:val="en-GB" w:eastAsia="en-US"/>
        </w:rPr>
        <w:t>.</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Wigwe, C, ‘Statute of Limitation vis-à-vis Compulsory Acquisition in Nigeria’ (2018) </w:t>
      </w:r>
      <w:r>
        <w:rPr>
          <w:rFonts w:ascii="Times New Roman" w:eastAsia="Hiragino Mincho ProN W3" w:hAnsi="Times New Roman"/>
          <w:i/>
          <w:iCs/>
          <w:sz w:val="24"/>
          <w:szCs w:val="24"/>
          <w:lang w:val="en-GB" w:eastAsia="en-US"/>
        </w:rPr>
        <w:t>Journal of Property Law and Contemporary Issues</w:t>
      </w:r>
      <w:r>
        <w:rPr>
          <w:rFonts w:ascii="Times New Roman" w:eastAsia="Hiragino Mincho ProN W3" w:hAnsi="Times New Roman"/>
          <w:sz w:val="24"/>
          <w:szCs w:val="24"/>
          <w:lang w:val="en-GB" w:eastAsia="en-US"/>
        </w:rPr>
        <w:t>.</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b/>
          <w:bCs/>
          <w:sz w:val="24"/>
          <w:szCs w:val="24"/>
          <w:lang w:val="en-GB"/>
        </w:rPr>
        <w:t>C. Online Sources</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Akpambang, Enobong Mbang, ‘Immunities and Tenures of Office in the Three Arms of Government in Nigeria: Legal Perspective’ (2016) 4(4) Global Journal of Politics and Law Research. Available at: </w:t>
      </w:r>
      <w:hyperlink r:id="rId10" w:history="1">
        <w:r>
          <w:rPr>
            <w:rStyle w:val="Hyperlink"/>
            <w:rFonts w:ascii="Times New Roman" w:eastAsia="Hiragino Mincho ProN W3" w:hAnsi="Times New Roman"/>
            <w:color w:val="auto"/>
            <w:sz w:val="24"/>
            <w:szCs w:val="24"/>
            <w:lang w:val="en-GB" w:eastAsia="en-US"/>
          </w:rPr>
          <w:t>https://eajournals.org/gjplr/vol-4-issue-4-july-2016/immunities-tenures-office-three-arms-government-nigeria-legal-perspective/</w:t>
        </w:r>
      </w:hyperlink>
      <w:r>
        <w:rPr>
          <w:rFonts w:ascii="Times New Roman" w:eastAsia="Hiragino Mincho ProN W3" w:hAnsi="Times New Roman"/>
          <w:sz w:val="24"/>
          <w:szCs w:val="24"/>
          <w:lang w:val="en-GB" w:eastAsia="en-US"/>
        </w:rPr>
        <w:t xml:space="preserve"> accessed 19 June 2026.</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Badmos, Abdulkabir, ‘Has the Supreme Court Created a New Exception to the Application of Section 2(a) of the Public Officers’ Protection Act?’ (2020) SSRN Electronic Journal. Available at: </w:t>
      </w:r>
      <w:hyperlink r:id="rId11" w:history="1">
        <w:r>
          <w:rPr>
            <w:rStyle w:val="Hyperlink"/>
            <w:rFonts w:ascii="Times New Roman" w:eastAsia="Hiragino Mincho ProN W3" w:hAnsi="Times New Roman"/>
            <w:color w:val="auto"/>
            <w:sz w:val="24"/>
            <w:szCs w:val="24"/>
            <w:lang w:val="en-GB" w:eastAsia="en-US"/>
          </w:rPr>
          <w:t>https://ssrn.com/abstract=3632759</w:t>
        </w:r>
      </w:hyperlink>
      <w:r>
        <w:rPr>
          <w:rFonts w:ascii="Times New Roman" w:eastAsia="Hiragino Mincho ProN W3" w:hAnsi="Times New Roman"/>
          <w:sz w:val="24"/>
          <w:szCs w:val="24"/>
          <w:lang w:val="en-GB" w:eastAsia="en-US"/>
        </w:rPr>
        <w:t xml:space="preserve"> accessed 19 June 2026.</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Gross, Leo, ‘The Peace of Westphalia, 1648–1948’ (1948) 42(1) American Journal of International Law. Available at: </w:t>
      </w:r>
      <w:hyperlink r:id="rId12" w:history="1">
        <w:r>
          <w:rPr>
            <w:rStyle w:val="Hyperlink"/>
            <w:rFonts w:ascii="Times New Roman" w:eastAsia="Hiragino Mincho ProN W3" w:hAnsi="Times New Roman"/>
            <w:color w:val="auto"/>
            <w:sz w:val="24"/>
            <w:szCs w:val="24"/>
            <w:lang w:val="en-GB" w:eastAsia="en-US"/>
          </w:rPr>
          <w:t>https://doi.org/10.2307/2193560</w:t>
        </w:r>
      </w:hyperlink>
      <w:r>
        <w:rPr>
          <w:rFonts w:ascii="Times New Roman" w:eastAsia="Hiragino Mincho ProN W3" w:hAnsi="Times New Roman"/>
          <w:sz w:val="24"/>
          <w:szCs w:val="24"/>
          <w:lang w:val="en-GB" w:eastAsia="en-US"/>
        </w:rPr>
        <w:t xml:space="preserve"> accessed 15 January 2026.</w:t>
      </w:r>
    </w:p>
    <w:p w:rsidR="00EC7CD2" w:rsidRDefault="00453B03">
      <w:pPr>
        <w:spacing w:line="480" w:lineRule="auto"/>
        <w:rPr>
          <w:rFonts w:ascii="Times New Roman" w:hAnsi="Times New Roman"/>
          <w:sz w:val="24"/>
          <w:szCs w:val="24"/>
        </w:rPr>
      </w:pPr>
      <w:r>
        <w:rPr>
          <w:rFonts w:ascii="Times New Roman" w:eastAsia="Hiragino Mincho ProN W3" w:hAnsi="Times New Roman"/>
          <w:sz w:val="24"/>
          <w:szCs w:val="24"/>
          <w:lang w:val="en-GB" w:eastAsia="en-US"/>
        </w:rPr>
        <w:lastRenderedPageBreak/>
        <w:t xml:space="preserve">Heise, Michael, ‘Statutes of Limitations’ in International Encyclopedia of the Social &amp; Behavioral Sciences (Elsevier 2001). Available at: </w:t>
      </w:r>
      <w:hyperlink r:id="rId13" w:history="1">
        <w:r>
          <w:rPr>
            <w:rStyle w:val="Hyperlink"/>
            <w:rFonts w:ascii="Times New Roman" w:eastAsia="Hiragino Mincho ProN W3" w:hAnsi="Times New Roman"/>
            <w:color w:val="auto"/>
            <w:sz w:val="24"/>
            <w:szCs w:val="24"/>
            <w:lang w:val="en-GB" w:eastAsia="en-US"/>
          </w:rPr>
          <w:t>https://www.sciencedirect.com/topics/social-sciences/statute-of-limitations</w:t>
        </w:r>
      </w:hyperlink>
      <w:r>
        <w:rPr>
          <w:rFonts w:ascii="Times New Roman" w:eastAsia="Hiragino Mincho ProN W3" w:hAnsi="Times New Roman"/>
          <w:sz w:val="24"/>
          <w:szCs w:val="24"/>
          <w:lang w:val="en-GB" w:eastAsia="en-US"/>
        </w:rPr>
        <w:t xml:space="preserve"> accessed 19 June 2026.</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Igwenyi, Benjamin, Chinedu Akam Igwe and Kevin Onwuka Udude, ‘Immunity Clause in the Nigerian Constitution: A Call for a Paradigm Shift’ (2022) 4(3) International Journal of Comparative Law and Legal Philosophy. Available at: </w:t>
      </w:r>
      <w:hyperlink r:id="rId14" w:history="1">
        <w:r>
          <w:rPr>
            <w:rStyle w:val="Hyperlink"/>
            <w:rFonts w:ascii="Times New Roman" w:eastAsia="Hiragino Mincho ProN W3" w:hAnsi="Times New Roman"/>
            <w:color w:val="auto"/>
            <w:sz w:val="24"/>
            <w:szCs w:val="24"/>
            <w:lang w:val="en-GB" w:eastAsia="en-US"/>
          </w:rPr>
          <w:t>https://www.nigerianjournalsonline.com/index.php/IJOCLLEP/article/view/973</w:t>
        </w:r>
      </w:hyperlink>
      <w:r>
        <w:rPr>
          <w:rFonts w:ascii="Times New Roman" w:eastAsia="Hiragino Mincho ProN W3" w:hAnsi="Times New Roman"/>
          <w:sz w:val="24"/>
          <w:szCs w:val="24"/>
          <w:lang w:val="en-GB" w:eastAsia="en-US"/>
        </w:rPr>
        <w:t xml:space="preserve"> accessed 19 June 2026.</w:t>
      </w:r>
    </w:p>
    <w:p w:rsidR="00EC7CD2" w:rsidRDefault="00453B03">
      <w:pPr>
        <w:spacing w:line="480" w:lineRule="auto"/>
        <w:rPr>
          <w:rFonts w:ascii="Times New Roman" w:hAnsi="Times New Roman"/>
          <w:sz w:val="24"/>
          <w:szCs w:val="24"/>
        </w:rPr>
      </w:pPr>
      <w:r>
        <w:rPr>
          <w:rFonts w:ascii="Times New Roman" w:eastAsia="Hiragino Mincho ProN W3" w:hAnsi="Times New Roman"/>
          <w:sz w:val="24"/>
          <w:szCs w:val="24"/>
          <w:lang w:val="en-GB"/>
        </w:rPr>
        <w:t xml:space="preserve">Odusote, Abiodun, ‘The Nigerian Public Officers Protection Act: An Anachronistic Legislation Yearning for Reforms’ (2019) 9(1) Journal of Public Administration and Governance. Available at: </w:t>
      </w:r>
      <w:hyperlink r:id="rId15" w:history="1">
        <w:r>
          <w:rPr>
            <w:rStyle w:val="Hyperlink"/>
            <w:rFonts w:ascii="Times New Roman" w:eastAsia="Hiragino Mincho ProN W3" w:hAnsi="Times New Roman"/>
            <w:color w:val="auto"/>
            <w:sz w:val="24"/>
            <w:szCs w:val="24"/>
            <w:lang w:val="en-GB"/>
          </w:rPr>
          <w:t>https://www.macrothink.org/journal/index.php/jpag/article/view/14404</w:t>
        </w:r>
      </w:hyperlink>
      <w:r>
        <w:rPr>
          <w:rFonts w:ascii="Times New Roman" w:eastAsia="Hiragino Mincho ProN W3" w:hAnsi="Times New Roman"/>
          <w:sz w:val="24"/>
          <w:szCs w:val="24"/>
          <w:lang w:val="en-GB"/>
        </w:rPr>
        <w:t xml:space="preserve"> accessed 19 June 2026.</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Okeke, Chukwuebuka S, ‘Constitutionality of the Public Officers Protection Act: A Fresh Look at the Principles of Reasonableness and Proportionality’ (2019) NILDS Journal of Law Review. Available at: </w:t>
      </w:r>
      <w:hyperlink r:id="rId16" w:history="1">
        <w:r>
          <w:rPr>
            <w:rStyle w:val="Hyperlink"/>
            <w:rFonts w:ascii="Times New Roman" w:eastAsia="Hiragino Mincho ProN W3" w:hAnsi="Times New Roman"/>
            <w:color w:val="auto"/>
            <w:sz w:val="24"/>
            <w:szCs w:val="24"/>
            <w:lang w:val="en-GB" w:eastAsia="en-US"/>
          </w:rPr>
          <w:t>https://ir.nilds.gov.ng/handle/123456789/398</w:t>
        </w:r>
      </w:hyperlink>
      <w:r>
        <w:rPr>
          <w:rFonts w:ascii="Times New Roman" w:eastAsia="Hiragino Mincho ProN W3" w:hAnsi="Times New Roman"/>
          <w:sz w:val="24"/>
          <w:szCs w:val="24"/>
          <w:lang w:val="en-GB" w:eastAsia="en-US"/>
        </w:rPr>
        <w:t xml:space="preserve"> accessed 19 June 2026.</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Olutola, Oluyinka, ‘A Critical Examination of the Role of Immunity Clause under the Nigerian Constitution’. Available at: </w:t>
      </w:r>
      <w:hyperlink r:id="rId17" w:history="1">
        <w:r>
          <w:rPr>
            <w:rStyle w:val="Hyperlink"/>
            <w:rFonts w:ascii="Times New Roman" w:eastAsia="Hiragino Mincho ProN W3" w:hAnsi="Times New Roman"/>
            <w:color w:val="auto"/>
            <w:sz w:val="24"/>
            <w:szCs w:val="24"/>
            <w:lang w:val="en-GB" w:eastAsia="en-US"/>
          </w:rPr>
          <w:t>https://repository.run.edu.ng/items/d8496596-cafb-43e8-9247-f0a7f2aa96ff</w:t>
        </w:r>
      </w:hyperlink>
      <w:r>
        <w:rPr>
          <w:rFonts w:ascii="Times New Roman" w:eastAsia="Hiragino Mincho ProN W3" w:hAnsi="Times New Roman"/>
          <w:sz w:val="24"/>
          <w:szCs w:val="24"/>
          <w:lang w:val="en-GB" w:eastAsia="en-US"/>
        </w:rPr>
        <w:t xml:space="preserve"> accessed 19 June 2026.</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Odeleye, D, ‘Review of Section 308 of the Constitution of the Federal Republic of Nigeria 1999’. Kogi State University Bi-Annual Journal of Public Law. Available at: </w:t>
      </w:r>
      <w:hyperlink r:id="rId18" w:history="1">
        <w:r>
          <w:rPr>
            <w:rStyle w:val="Hyperlink"/>
            <w:rFonts w:ascii="Times New Roman" w:eastAsia="Hiragino Mincho ProN W3" w:hAnsi="Times New Roman"/>
            <w:color w:val="auto"/>
            <w:sz w:val="24"/>
            <w:szCs w:val="24"/>
            <w:lang w:val="en-GB" w:eastAsia="en-US"/>
          </w:rPr>
          <w:t>https://papers.ssrn.com/sol3/papers.cfm?abstract_id=5018572</w:t>
        </w:r>
      </w:hyperlink>
      <w:r>
        <w:rPr>
          <w:rFonts w:ascii="Times New Roman" w:eastAsia="Hiragino Mincho ProN W3" w:hAnsi="Times New Roman"/>
          <w:sz w:val="24"/>
          <w:szCs w:val="24"/>
          <w:lang w:val="en-GB" w:eastAsia="en-US"/>
        </w:rPr>
        <w:t xml:space="preserve"> accessed 19 June 2026.</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lastRenderedPageBreak/>
        <w:t xml:space="preserve">Philip, Folarin Abiodun and Ajala Taiwo, ‘Limiting the Statute of Limitation: An Agenda for Reform’ (2017) Journal of Private and Property Law. Available at: </w:t>
      </w:r>
      <w:hyperlink r:id="rId19" w:history="1">
        <w:r>
          <w:rPr>
            <w:rStyle w:val="Hyperlink"/>
            <w:rFonts w:ascii="Times New Roman" w:eastAsia="Hiragino Mincho ProN W3" w:hAnsi="Times New Roman"/>
            <w:color w:val="auto"/>
            <w:sz w:val="24"/>
            <w:szCs w:val="24"/>
            <w:lang w:val="en-GB" w:eastAsia="en-US"/>
          </w:rPr>
          <w:t>https://ssrn.com/abstract=3057933</w:t>
        </w:r>
      </w:hyperlink>
      <w:r>
        <w:rPr>
          <w:rFonts w:ascii="Times New Roman" w:eastAsia="Hiragino Mincho ProN W3" w:hAnsi="Times New Roman"/>
          <w:sz w:val="24"/>
          <w:szCs w:val="24"/>
          <w:lang w:val="en-GB" w:eastAsia="en-US"/>
        </w:rPr>
        <w:t xml:space="preserve"> accessed 19 June 2026.</w:t>
      </w:r>
    </w:p>
    <w:p w:rsidR="00EC7CD2" w:rsidRDefault="00453B03">
      <w:pPr>
        <w:spacing w:line="480" w:lineRule="auto"/>
        <w:jc w:val="both"/>
        <w:rPr>
          <w:rFonts w:ascii="Times New Roman" w:hAnsi="Times New Roman"/>
          <w:sz w:val="24"/>
          <w:szCs w:val="24"/>
        </w:rPr>
      </w:pPr>
      <w:r>
        <w:rPr>
          <w:rFonts w:ascii="Times New Roman" w:eastAsia="Hiragino Mincho ProN W3" w:hAnsi="Times New Roman"/>
          <w:sz w:val="24"/>
          <w:szCs w:val="24"/>
          <w:lang w:val="en-GB" w:eastAsia="en-US"/>
        </w:rPr>
        <w:t xml:space="preserve">Tajudeen, I O, ‘Executive Immunity in Nigeria: Putting Off Old Garments’ (2013) 6(3) Journal of Politics and Law. Available at: </w:t>
      </w:r>
      <w:hyperlink r:id="rId20" w:history="1">
        <w:r>
          <w:rPr>
            <w:rStyle w:val="Hyperlink"/>
            <w:rFonts w:ascii="Times New Roman" w:eastAsia="Hiragino Mincho ProN W3" w:hAnsi="Times New Roman"/>
            <w:color w:val="auto"/>
            <w:sz w:val="24"/>
            <w:szCs w:val="24"/>
            <w:lang w:val="en-GB" w:eastAsia="en-US"/>
          </w:rPr>
          <w:t>https://doi.org/10.5539/jpl.v6n3p189</w:t>
        </w:r>
      </w:hyperlink>
      <w:r>
        <w:rPr>
          <w:rFonts w:ascii="Times New Roman" w:eastAsia="Hiragino Mincho ProN W3" w:hAnsi="Times New Roman"/>
          <w:sz w:val="24"/>
          <w:szCs w:val="24"/>
          <w:lang w:val="en-GB" w:eastAsia="en-US"/>
        </w:rPr>
        <w:t xml:space="preserve"> accessed 15 January 2026.</w:t>
      </w:r>
    </w:p>
    <w:p w:rsidR="00EC7CD2" w:rsidRDefault="00453B03">
      <w:pPr>
        <w:spacing w:line="480" w:lineRule="auto"/>
        <w:rPr>
          <w:rFonts w:ascii="Times New Roman" w:hAnsi="Times New Roman"/>
          <w:sz w:val="24"/>
          <w:szCs w:val="24"/>
        </w:rPr>
      </w:pPr>
      <w:r>
        <w:rPr>
          <w:rFonts w:ascii="Times New Roman" w:eastAsia="Hiragino Mincho ProN W3" w:hAnsi="Times New Roman"/>
          <w:sz w:val="24"/>
          <w:szCs w:val="24"/>
          <w:lang w:val="en-GB" w:eastAsia="en-US"/>
        </w:rPr>
        <w:t xml:space="preserve">Ukoh, Francis N and Rita Abhavan Ngwoke, ‘Immunity Clause under the 1999 Constitution of Nigeria: A Dire Need for Reform’ (2020) 14(2) Journal of Politics and Law. Available at: </w:t>
      </w:r>
      <w:hyperlink r:id="rId21" w:history="1">
        <w:r>
          <w:rPr>
            <w:rStyle w:val="Hyperlink"/>
            <w:rFonts w:ascii="Times New Roman" w:eastAsia="Hiragino Mincho ProN W3" w:hAnsi="Times New Roman"/>
            <w:color w:val="auto"/>
            <w:sz w:val="24"/>
            <w:szCs w:val="24"/>
            <w:lang w:val="en-GB" w:eastAsia="en-US"/>
          </w:rPr>
          <w:t>https://www.researchgate.net/publication/348013456_Immunity_Clause_under_the_1999_Constitution_of_Nigeria_A_Dire_Need_for_Reform</w:t>
        </w:r>
      </w:hyperlink>
      <w:r>
        <w:rPr>
          <w:rFonts w:ascii="Times New Roman" w:eastAsia="Hiragino Mincho ProN W3" w:hAnsi="Times New Roman"/>
          <w:sz w:val="24"/>
          <w:szCs w:val="24"/>
          <w:lang w:val="en-GB" w:eastAsia="en-US"/>
        </w:rPr>
        <w:t xml:space="preserve"> accessed 19 June 2026.</w:t>
      </w:r>
    </w:p>
    <w:p w:rsidR="00EC7CD2" w:rsidRDefault="00453B03">
      <w:pPr>
        <w:spacing w:line="480" w:lineRule="auto"/>
        <w:rPr>
          <w:rFonts w:ascii="Times New Roman" w:hAnsi="Times New Roman"/>
          <w:sz w:val="24"/>
          <w:szCs w:val="24"/>
        </w:rPr>
      </w:pPr>
      <w:r>
        <w:rPr>
          <w:rFonts w:ascii="Times New Roman" w:eastAsia="Hiragino Mincho ProN W3" w:hAnsi="Times New Roman"/>
          <w:sz w:val="24"/>
          <w:szCs w:val="24"/>
          <w:lang w:val="en-GB" w:eastAsia="en-US"/>
        </w:rPr>
        <w:t xml:space="preserve">Umoru, Henry, ‘Constitution Review: Senate Commences Process, Calls for Memoranda’ Vanguard Newspaper (25 August 2020). Available at: </w:t>
      </w:r>
      <w:hyperlink r:id="rId22" w:history="1">
        <w:r>
          <w:rPr>
            <w:rStyle w:val="Hyperlink"/>
            <w:rFonts w:ascii="Times New Roman" w:eastAsia="Hiragino Mincho ProN W3" w:hAnsi="Times New Roman"/>
            <w:color w:val="auto"/>
            <w:sz w:val="24"/>
            <w:szCs w:val="24"/>
            <w:lang w:val="en-GB" w:eastAsia="en-US"/>
          </w:rPr>
          <w:t>https://www.vanguardngr.com/2020/08/constitution-review-senate-commences-process-calls-for-memoranda/</w:t>
        </w:r>
      </w:hyperlink>
      <w:r>
        <w:rPr>
          <w:rFonts w:ascii="Times New Roman" w:eastAsia="Hiragino Mincho ProN W3" w:hAnsi="Times New Roman"/>
          <w:sz w:val="24"/>
          <w:szCs w:val="24"/>
          <w:lang w:val="en-GB" w:eastAsia="en-US"/>
        </w:rPr>
        <w:t xml:space="preserve"> accessed 22 June 2026</w:t>
      </w:r>
      <w:r w:rsidR="0071211C">
        <w:rPr>
          <w:rFonts w:ascii="Times New Roman" w:eastAsia="Hiragino Mincho ProN W3" w:hAnsi="Times New Roman"/>
          <w:sz w:val="24"/>
          <w:szCs w:val="24"/>
          <w:lang w:val="en-GB" w:eastAsia="en-US"/>
        </w:rPr>
        <w:t>.</w:t>
      </w:r>
      <w:bookmarkStart w:id="0" w:name="_GoBack"/>
      <w:bookmarkEnd w:id="0"/>
    </w:p>
    <w:p w:rsidR="00EC7CD2" w:rsidRDefault="00453B03">
      <w:pPr>
        <w:spacing w:line="480" w:lineRule="auto"/>
        <w:rPr>
          <w:rFonts w:ascii="Times New Roman" w:hAnsi="Times New Roman"/>
          <w:sz w:val="24"/>
          <w:szCs w:val="24"/>
        </w:rPr>
      </w:pPr>
      <w:r>
        <w:rPr>
          <w:rFonts w:ascii="Times New Roman" w:eastAsia="Hiragino Mincho ProN W3" w:hAnsi="Times New Roman"/>
          <w:sz w:val="24"/>
          <w:szCs w:val="24"/>
          <w:lang w:val="en-GB"/>
        </w:rPr>
        <w:t xml:space="preserve">‘Application of Law in Relation to Public Officers and Public Authorities in Nigeria’ (2025). Available at: </w:t>
      </w:r>
      <w:hyperlink r:id="rId23" w:history="1">
        <w:r>
          <w:rPr>
            <w:rStyle w:val="Hyperlink"/>
            <w:rFonts w:ascii="Times New Roman" w:eastAsia="Hiragino Mincho ProN W3" w:hAnsi="Times New Roman"/>
            <w:color w:val="auto"/>
            <w:sz w:val="24"/>
            <w:szCs w:val="24"/>
            <w:lang w:val="en-GB"/>
          </w:rPr>
          <w:t>https://dx.doi.org/10.47772/IJRISS.2025.908000507</w:t>
        </w:r>
      </w:hyperlink>
      <w:r>
        <w:rPr>
          <w:rFonts w:ascii="Times New Roman" w:eastAsia="Hiragino Mincho ProN W3" w:hAnsi="Times New Roman"/>
          <w:sz w:val="24"/>
          <w:szCs w:val="24"/>
          <w:lang w:val="en-GB"/>
        </w:rPr>
        <w:t xml:space="preserve"> accessed 15 January 2026.</w:t>
      </w:r>
    </w:p>
    <w:p w:rsidR="00EC7CD2" w:rsidRDefault="00453B03">
      <w:pPr>
        <w:spacing w:line="480" w:lineRule="auto"/>
        <w:rPr>
          <w:rFonts w:ascii="Times New Roman" w:hAnsi="Times New Roman"/>
          <w:sz w:val="24"/>
          <w:szCs w:val="24"/>
        </w:rPr>
      </w:pPr>
      <w:r>
        <w:rPr>
          <w:rFonts w:ascii="Times New Roman" w:eastAsia="Hiragino Mincho ProN W3" w:hAnsi="Times New Roman"/>
          <w:sz w:val="24"/>
          <w:szCs w:val="24"/>
          <w:lang w:val="en-GB"/>
        </w:rPr>
        <w:t xml:space="preserve">‘Action Against a Public Officer and Section 2(a) of the Public Officers Protection Act: The Case of CIL Risk &amp; Asset Management Ltd v Ekiti State Government’. Available at: </w:t>
      </w:r>
      <w:hyperlink r:id="rId24" w:history="1">
        <w:r>
          <w:rPr>
            <w:rStyle w:val="Hyperlink"/>
            <w:rFonts w:ascii="Times New Roman" w:eastAsia="Hiragino Mincho ProN W3" w:hAnsi="Times New Roman"/>
            <w:color w:val="auto"/>
            <w:sz w:val="24"/>
            <w:szCs w:val="24"/>
            <w:lang w:val="en-GB"/>
          </w:rPr>
          <w:t>https://www.linkedin.com/pulse/action-against-public-officer-section-2a-officers-act-toye-latilo</w:t>
        </w:r>
      </w:hyperlink>
      <w:r>
        <w:rPr>
          <w:rFonts w:ascii="Times New Roman" w:eastAsia="Hiragino Mincho ProN W3" w:hAnsi="Times New Roman"/>
          <w:sz w:val="24"/>
          <w:szCs w:val="24"/>
          <w:lang w:val="en-GB"/>
        </w:rPr>
        <w:t xml:space="preserve"> accessed 20 June 2026.</w:t>
      </w:r>
    </w:p>
    <w:p w:rsidR="00EC7CD2" w:rsidRDefault="00453B03" w:rsidP="0071211C">
      <w:pPr>
        <w:spacing w:after="0" w:line="480" w:lineRule="auto"/>
        <w:jc w:val="both"/>
        <w:rPr>
          <w:rFonts w:ascii="Times New Roman" w:eastAsia="Hiragino Mincho ProN W3" w:hAnsi="Times New Roman"/>
          <w:sz w:val="24"/>
          <w:szCs w:val="24"/>
          <w:lang w:val="en-GB"/>
        </w:rPr>
      </w:pPr>
      <w:r>
        <w:rPr>
          <w:rFonts w:ascii="Times New Roman" w:eastAsia="Hiragino Mincho ProN W3" w:hAnsi="Times New Roman"/>
          <w:sz w:val="24"/>
          <w:szCs w:val="24"/>
          <w:lang w:val="en-GB"/>
        </w:rPr>
        <w:t xml:space="preserve">‘LSP109: Public Officers Protection Act’. Available at: </w:t>
      </w:r>
      <w:hyperlink r:id="rId25" w:history="1">
        <w:r>
          <w:rPr>
            <w:rStyle w:val="Hyperlink"/>
            <w:rFonts w:ascii="Times New Roman" w:eastAsia="Hiragino Mincho ProN W3" w:hAnsi="Times New Roman"/>
            <w:color w:val="auto"/>
            <w:sz w:val="24"/>
            <w:szCs w:val="24"/>
            <w:lang w:val="en-GB"/>
          </w:rPr>
          <w:t>https://thelegalstandpoint.law.blog/2023/04/</w:t>
        </w:r>
      </w:hyperlink>
      <w:r>
        <w:rPr>
          <w:rFonts w:ascii="Times New Roman" w:eastAsia="Hiragino Mincho ProN W3" w:hAnsi="Times New Roman"/>
          <w:sz w:val="24"/>
          <w:szCs w:val="24"/>
          <w:lang w:val="en-GB"/>
        </w:rPr>
        <w:t xml:space="preserve"> accessed 20 June 2026</w:t>
      </w:r>
      <w:r w:rsidR="0071211C">
        <w:rPr>
          <w:rFonts w:ascii="Times New Roman" w:eastAsia="Hiragino Mincho ProN W3" w:hAnsi="Times New Roman"/>
          <w:sz w:val="24"/>
          <w:szCs w:val="24"/>
          <w:lang w:val="en-GB"/>
        </w:rPr>
        <w:t>.</w:t>
      </w:r>
    </w:p>
    <w:sectPr w:rsidR="00EC7CD2" w:rsidSect="0071211C">
      <w:headerReference w:type="default" r:id="rId26"/>
      <w:footerReference w:type="default" r:id="rId2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6008" w:rsidRDefault="00716008">
      <w:pPr>
        <w:spacing w:after="0" w:line="240" w:lineRule="auto"/>
      </w:pPr>
      <w:r>
        <w:separator/>
      </w:r>
    </w:p>
  </w:endnote>
  <w:endnote w:type="continuationSeparator" w:id="0">
    <w:p w:rsidR="00716008" w:rsidRDefault="00716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 w:name="Aptos">
    <w:altName w:val="Times New Roman"/>
    <w:charset w:val="00"/>
    <w:family w:val="roman"/>
    <w:pitch w:val="variable"/>
    <w:sig w:usb0="20007A87" w:usb1="80000000" w:usb2="00000008" w:usb3="00000000" w:csb0="000001FF" w:csb1="00000000"/>
  </w:font>
  <w:font w:name="Hiragino Mincho ProN W3">
    <w:altName w:val="Hiragino Mincho ProN W3"/>
    <w:charset w:val="80"/>
    <w:family w:val="roman"/>
    <w:pitch w:val="variable"/>
    <w:sig w:usb0="E00002FF" w:usb1="7AC7FFFF" w:usb2="00000012" w:usb3="00000000" w:csb0="0002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0101320"/>
      <w:docPartObj>
        <w:docPartGallery w:val="Page Numbers (Bottom of Page)"/>
        <w:docPartUnique/>
      </w:docPartObj>
    </w:sdtPr>
    <w:sdtEndPr>
      <w:rPr>
        <w:noProof/>
      </w:rPr>
    </w:sdtEndPr>
    <w:sdtContent>
      <w:p w:rsidR="00453B03" w:rsidRDefault="00453B03">
        <w:pPr>
          <w:pStyle w:val="Footer"/>
          <w:jc w:val="center"/>
        </w:pPr>
        <w:r>
          <w:fldChar w:fldCharType="begin"/>
        </w:r>
        <w:r>
          <w:instrText xml:space="preserve"> PAGE   \* MERGEFORMAT </w:instrText>
        </w:r>
        <w:r>
          <w:fldChar w:fldCharType="separate"/>
        </w:r>
        <w:r w:rsidR="0071211C">
          <w:rPr>
            <w:noProof/>
          </w:rPr>
          <w:t>xviii</w:t>
        </w:r>
        <w:r>
          <w:rPr>
            <w:noProof/>
          </w:rPr>
          <w:fldChar w:fldCharType="end"/>
        </w:r>
      </w:p>
    </w:sdtContent>
  </w:sdt>
  <w:p w:rsidR="00453B03" w:rsidRDefault="00453B03">
    <w:pPr>
      <w:jc w:val="center"/>
      <w:rPr>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3796892"/>
      <w:docPartObj>
        <w:docPartGallery w:val="Page Numbers (Bottom of Page)"/>
        <w:docPartUnique/>
      </w:docPartObj>
    </w:sdtPr>
    <w:sdtEndPr>
      <w:rPr>
        <w:noProof/>
      </w:rPr>
    </w:sdtEndPr>
    <w:sdtContent>
      <w:p w:rsidR="00453B03" w:rsidRDefault="00453B03">
        <w:pPr>
          <w:pStyle w:val="Footer"/>
          <w:jc w:val="center"/>
        </w:pPr>
        <w:r>
          <w:fldChar w:fldCharType="begin"/>
        </w:r>
        <w:r>
          <w:instrText xml:space="preserve"> PAGE   \* MERGEFORMAT </w:instrText>
        </w:r>
        <w:r>
          <w:fldChar w:fldCharType="separate"/>
        </w:r>
        <w:r w:rsidR="0071211C">
          <w:rPr>
            <w:noProof/>
          </w:rPr>
          <w:t>69</w:t>
        </w:r>
        <w:r>
          <w:rPr>
            <w:noProof/>
          </w:rPr>
          <w:fldChar w:fldCharType="end"/>
        </w:r>
      </w:p>
    </w:sdtContent>
  </w:sdt>
  <w:p w:rsidR="00453B03" w:rsidRDefault="00453B03">
    <w:pPr>
      <w:jc w:val="center"/>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6008" w:rsidRDefault="00716008">
      <w:pPr>
        <w:spacing w:after="0" w:line="240" w:lineRule="auto"/>
      </w:pPr>
      <w:r>
        <w:separator/>
      </w:r>
    </w:p>
  </w:footnote>
  <w:footnote w:type="continuationSeparator" w:id="0">
    <w:p w:rsidR="00716008" w:rsidRDefault="00716008">
      <w:pPr>
        <w:spacing w:after="0" w:line="240" w:lineRule="auto"/>
      </w:pPr>
      <w:r>
        <w:continuationSeparator/>
      </w:r>
    </w:p>
  </w:footnote>
  <w:footnote w:id="1">
    <w:p w:rsidR="00453B03" w:rsidRDefault="00453B03">
      <w:pPr>
        <w:pStyle w:val="FootnoteText"/>
        <w:spacing w:after="0" w:line="240" w:lineRule="auto"/>
        <w:ind w:left="180" w:hanging="180"/>
        <w:rPr>
          <w:rStyle w:val="FootnoteReference"/>
          <w:rFonts w:ascii="Times New Roman" w:hAnsi="Times New Roman"/>
        </w:rPr>
      </w:pPr>
      <w:r>
        <w:rPr>
          <w:rStyle w:val="FootnoteReference"/>
          <w:rFonts w:ascii="Times New Roman" w:hAnsi="Times New Roman"/>
        </w:rPr>
        <w:footnoteRef/>
      </w:r>
      <w:r>
        <w:rPr>
          <w:rFonts w:ascii="Times New Roman" w:hAnsi="Times New Roman"/>
        </w:rPr>
        <w:t xml:space="preserve"> Cap. P41, Laws of Federation of Nigeria (LFN) 2004.</w:t>
      </w:r>
    </w:p>
  </w:footnote>
  <w:footnote w:id="2">
    <w:p w:rsidR="00453B03" w:rsidRDefault="00453B03">
      <w:pPr>
        <w:pStyle w:val="FootnoteText"/>
        <w:spacing w:after="0" w:line="240" w:lineRule="auto"/>
        <w:ind w:left="180" w:hanging="180"/>
        <w:rPr>
          <w:rStyle w:val="FootnoteReference"/>
          <w:rFonts w:ascii="Times New Roman" w:hAnsi="Times New Roman"/>
        </w:rPr>
      </w:pPr>
      <w:r>
        <w:rPr>
          <w:rStyle w:val="FootnoteReference"/>
          <w:rFonts w:ascii="Times New Roman" w:hAnsi="Times New Roman"/>
        </w:rPr>
        <w:footnoteRef/>
      </w:r>
      <w:r>
        <w:rPr>
          <w:rFonts w:ascii="Times New Roman" w:hAnsi="Times New Roman"/>
        </w:rPr>
        <w:t xml:space="preserve"> 1948, Laws of Malaysia, 1978 (Act 198 w.e.f) revised.</w:t>
      </w:r>
    </w:p>
  </w:footnote>
  <w:footnote w:id="3">
    <w:p w:rsidR="00453B03" w:rsidRDefault="00453B03">
      <w:pPr>
        <w:pStyle w:val="FootnoteText"/>
        <w:spacing w:after="0" w:line="240" w:lineRule="auto"/>
        <w:ind w:left="180" w:hanging="180"/>
        <w:rPr>
          <w:rStyle w:val="FootnoteReference"/>
          <w:rFonts w:ascii="Times New Roman" w:hAnsi="Times New Roman"/>
        </w:rPr>
      </w:pPr>
      <w:r>
        <w:rPr>
          <w:rStyle w:val="FootnoteReference"/>
          <w:rFonts w:ascii="Times New Roman" w:hAnsi="Times New Roman"/>
        </w:rPr>
        <w:footnoteRef/>
      </w:r>
      <w:r>
        <w:rPr>
          <w:rFonts w:ascii="Times New Roman" w:hAnsi="Times New Roman"/>
        </w:rPr>
        <w:t xml:space="preserve"> (1916) No 39 Cap p41, Laws of the Federation of Nigeria (LFN) 2004.</w:t>
      </w:r>
    </w:p>
  </w:footnote>
  <w:footnote w:id="4">
    <w:p w:rsidR="00453B03" w:rsidRDefault="00453B03">
      <w:pPr>
        <w:pStyle w:val="FootnoteText"/>
        <w:spacing w:after="0" w:line="240" w:lineRule="auto"/>
        <w:ind w:left="180" w:hanging="180"/>
        <w:rPr>
          <w:rStyle w:val="FootnoteReference"/>
          <w:rFonts w:ascii="Times New Roman" w:hAnsi="Times New Roman"/>
        </w:rPr>
      </w:pPr>
      <w:r>
        <w:rPr>
          <w:rStyle w:val="FootnoteReference"/>
          <w:rFonts w:ascii="Times New Roman" w:hAnsi="Times New Roman"/>
        </w:rPr>
        <w:footnoteRef/>
      </w:r>
      <w:r>
        <w:rPr>
          <w:rFonts w:ascii="Times New Roman" w:hAnsi="Times New Roman"/>
        </w:rPr>
        <w:t xml:space="preserve"> Public Autorities Protection Act of 1893.</w:t>
      </w:r>
    </w:p>
  </w:footnote>
  <w:footnote w:id="5">
    <w:p w:rsidR="00453B03" w:rsidRDefault="00453B03">
      <w:pPr>
        <w:pStyle w:val="FootnoteText"/>
        <w:spacing w:after="0" w:line="240" w:lineRule="auto"/>
        <w:ind w:left="180" w:hanging="180"/>
        <w:rPr>
          <w:rStyle w:val="FootnoteReference"/>
          <w:rFonts w:ascii="Times New Roman" w:hAnsi="Times New Roman"/>
        </w:rPr>
      </w:pPr>
      <w:r>
        <w:rPr>
          <w:rStyle w:val="FootnoteReference"/>
          <w:rFonts w:ascii="Times New Roman" w:hAnsi="Times New Roman"/>
        </w:rPr>
        <w:footnoteRef/>
      </w:r>
      <w:r>
        <w:rPr>
          <w:rFonts w:ascii="Times New Roman" w:hAnsi="Times New Roman"/>
        </w:rPr>
        <w:t xml:space="preserve">  E O Oluyede and P A Oluyede, </w:t>
      </w:r>
      <w:r>
        <w:rPr>
          <w:rFonts w:ascii="Times New Roman" w:hAnsi="Times New Roman"/>
          <w:i/>
          <w:iCs/>
        </w:rPr>
        <w:t>Administrative Law in Nigeria</w:t>
      </w:r>
      <w:r>
        <w:rPr>
          <w:rFonts w:ascii="Times New Roman" w:hAnsi="Times New Roman"/>
        </w:rPr>
        <w:t xml:space="preserve"> (University Press Plc 2001) 145.</w:t>
      </w:r>
    </w:p>
  </w:footnote>
  <w:footnote w:id="6">
    <w:p w:rsidR="00453B03" w:rsidRDefault="00453B03">
      <w:pPr>
        <w:pStyle w:val="FootnoteText"/>
        <w:spacing w:after="0"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Constitution of the Federal Republic of Nigeria 1999 as amended (2023)</w:t>
      </w:r>
    </w:p>
  </w:footnote>
  <w:footnote w:id="7">
    <w:p w:rsidR="00453B03" w:rsidRDefault="00453B03">
      <w:pPr>
        <w:pStyle w:val="FootnoteText"/>
        <w:spacing w:after="0" w:line="240" w:lineRule="auto"/>
        <w:ind w:left="180" w:hanging="180"/>
        <w:rPr>
          <w:rStyle w:val="FootnoteReference"/>
          <w:rFonts w:ascii="Times New Roman" w:hAnsi="Times New Roman"/>
        </w:rPr>
      </w:pPr>
      <w:r>
        <w:rPr>
          <w:rStyle w:val="FootnoteReference"/>
          <w:rFonts w:ascii="Times New Roman" w:hAnsi="Times New Roman"/>
        </w:rPr>
        <w:footnoteRef/>
      </w:r>
      <w:r>
        <w:rPr>
          <w:rFonts w:ascii="Times New Roman" w:hAnsi="Times New Roman"/>
        </w:rPr>
        <w:t xml:space="preserve">  A V Dicey, </w:t>
      </w:r>
      <w:r>
        <w:rPr>
          <w:rFonts w:ascii="Times New Roman" w:hAnsi="Times New Roman"/>
          <w:i/>
          <w:iCs/>
        </w:rPr>
        <w:t>Introduction to the Study of the Law of the Constitution</w:t>
      </w:r>
      <w:r>
        <w:rPr>
          <w:rFonts w:ascii="Times New Roman" w:hAnsi="Times New Roman"/>
        </w:rPr>
        <w:t xml:space="preserve"> (10th edn, Macmillan 1959) 193.</w:t>
      </w:r>
    </w:p>
  </w:footnote>
  <w:footnote w:id="8">
    <w:p w:rsidR="00453B03" w:rsidRDefault="00453B03">
      <w:pPr>
        <w:pStyle w:val="FootnoteText"/>
        <w:spacing w:after="0" w:line="240" w:lineRule="auto"/>
        <w:ind w:left="180" w:hanging="180"/>
        <w:rPr>
          <w:rStyle w:val="FootnoteReference"/>
          <w:rFonts w:ascii="Times New Roman" w:hAnsi="Times New Roman"/>
        </w:rPr>
      </w:pPr>
      <w:r>
        <w:rPr>
          <w:rStyle w:val="FootnoteReference"/>
          <w:rFonts w:ascii="Times New Roman" w:hAnsi="Times New Roman"/>
        </w:rPr>
        <w:footnoteRef/>
      </w:r>
      <w:r>
        <w:rPr>
          <w:rFonts w:ascii="Times New Roman" w:hAnsi="Times New Roman"/>
        </w:rPr>
        <w:t xml:space="preserve"> Ibid.</w:t>
      </w:r>
    </w:p>
  </w:footnote>
  <w:footnote w:id="9">
    <w:p w:rsidR="00453B03" w:rsidRDefault="00453B03">
      <w:pPr>
        <w:pStyle w:val="FootnoteText"/>
        <w:spacing w:after="0" w:line="240" w:lineRule="auto"/>
        <w:ind w:left="180" w:hanging="180"/>
        <w:rPr>
          <w:rStyle w:val="FootnoteReference"/>
          <w:rFonts w:ascii="Times New Roman" w:hAnsi="Times New Roman"/>
        </w:rPr>
      </w:pPr>
      <w:r>
        <w:rPr>
          <w:rStyle w:val="FootnoteReference"/>
          <w:rFonts w:ascii="Times New Roman" w:hAnsi="Times New Roman"/>
        </w:rPr>
        <w:footnoteRef/>
      </w:r>
      <w:r>
        <w:rPr>
          <w:rFonts w:ascii="Times New Roman" w:hAnsi="Times New Roman"/>
        </w:rPr>
        <w:t xml:space="preserve">  H W R Wade and C F Forsyth, </w:t>
      </w:r>
      <w:r>
        <w:rPr>
          <w:rFonts w:ascii="Times New Roman" w:hAnsi="Times New Roman"/>
          <w:i/>
          <w:iCs/>
        </w:rPr>
        <w:t xml:space="preserve">Administrative Law </w:t>
      </w:r>
      <w:r>
        <w:rPr>
          <w:rFonts w:ascii="Times New Roman" w:hAnsi="Times New Roman"/>
        </w:rPr>
        <w:t>(11th edn, OUP 2014) 464.</w:t>
      </w:r>
    </w:p>
  </w:footnote>
  <w:footnote w:id="10">
    <w:p w:rsidR="00453B03" w:rsidRDefault="00453B03">
      <w:pPr>
        <w:pStyle w:val="FootnoteText"/>
        <w:spacing w:after="0" w:line="240" w:lineRule="auto"/>
        <w:ind w:left="180" w:hanging="180"/>
        <w:rPr>
          <w:rStyle w:val="FootnoteReference"/>
          <w:rFonts w:ascii="Times New Roman" w:hAnsi="Times New Roman"/>
        </w:rPr>
      </w:pPr>
      <w:r>
        <w:rPr>
          <w:rStyle w:val="FootnoteReference"/>
          <w:rFonts w:ascii="Times New Roman" w:hAnsi="Times New Roman"/>
        </w:rPr>
        <w:footnoteRef/>
      </w:r>
      <w:r>
        <w:rPr>
          <w:rFonts w:ascii="Times New Roman" w:hAnsi="Times New Roman"/>
        </w:rPr>
        <w:t xml:space="preserve"> Limitation Act 1623 (UK) otherwise known as Statute of Limitation 1623.</w:t>
      </w:r>
    </w:p>
  </w:footnote>
  <w:footnote w:id="11">
    <w:p w:rsidR="00453B03" w:rsidRDefault="00453B03">
      <w:pPr>
        <w:pStyle w:val="FootnoteText"/>
        <w:spacing w:after="0" w:line="240" w:lineRule="auto"/>
        <w:ind w:left="180" w:hanging="180"/>
        <w:rPr>
          <w:rStyle w:val="FootnoteReference"/>
          <w:rFonts w:ascii="Times New Roman" w:hAnsi="Times New Roman"/>
        </w:rPr>
      </w:pPr>
      <w:r>
        <w:rPr>
          <w:rStyle w:val="FootnoteReference"/>
          <w:rFonts w:ascii="Times New Roman" w:hAnsi="Times New Roman"/>
        </w:rPr>
        <w:footnoteRef/>
      </w:r>
      <w:r>
        <w:rPr>
          <w:rFonts w:ascii="Times New Roman" w:hAnsi="Times New Roman"/>
        </w:rPr>
        <w:t xml:space="preserve">  S A Fagbemi, </w:t>
      </w:r>
      <w:r>
        <w:rPr>
          <w:rFonts w:ascii="Times New Roman" w:hAnsi="Times New Roman"/>
          <w:i/>
          <w:iCs/>
        </w:rPr>
        <w:t>Nigerian Administrative Law</w:t>
      </w:r>
      <w:r>
        <w:rPr>
          <w:rFonts w:ascii="Times New Roman" w:hAnsi="Times New Roman"/>
        </w:rPr>
        <w:t xml:space="preserve"> (Malthouse Press 2012) 312.</w:t>
      </w:r>
    </w:p>
  </w:footnote>
  <w:footnote w:id="12">
    <w:p w:rsidR="00453B03" w:rsidRDefault="00453B03">
      <w:pPr>
        <w:pStyle w:val="FootnoteText"/>
        <w:spacing w:after="0" w:line="240" w:lineRule="auto"/>
        <w:ind w:left="180" w:hanging="180"/>
        <w:rPr>
          <w:rStyle w:val="FootnoteReference"/>
          <w:rFonts w:ascii="Times New Roman" w:hAnsi="Times New Roman"/>
        </w:rPr>
      </w:pPr>
      <w:r>
        <w:rPr>
          <w:rStyle w:val="FootnoteReference"/>
          <w:rFonts w:ascii="Times New Roman" w:hAnsi="Times New Roman"/>
        </w:rPr>
        <w:footnoteRef/>
      </w:r>
      <w:r>
        <w:rPr>
          <w:rFonts w:ascii="Times New Roman" w:hAnsi="Times New Roman"/>
        </w:rPr>
        <w:t xml:space="preserve"> 1948, Laws of Malaysia, 1978 (Act 198 w.e.f) revised.</w:t>
      </w:r>
    </w:p>
  </w:footnote>
  <w:footnote w:id="13">
    <w:p w:rsidR="00453B03" w:rsidRDefault="00453B03">
      <w:pPr>
        <w:pStyle w:val="FootnoteText"/>
        <w:spacing w:after="0" w:line="240" w:lineRule="auto"/>
        <w:ind w:left="180" w:hanging="180"/>
        <w:rPr>
          <w:rStyle w:val="FootnoteReference"/>
          <w:rFonts w:ascii="Times New Roman" w:hAnsi="Times New Roman"/>
        </w:rPr>
      </w:pPr>
      <w:r>
        <w:rPr>
          <w:rStyle w:val="FootnoteReference"/>
          <w:rFonts w:ascii="Times New Roman" w:hAnsi="Times New Roman"/>
        </w:rPr>
        <w:footnoteRef/>
      </w:r>
      <w:r>
        <w:rPr>
          <w:rFonts w:ascii="Times New Roman" w:hAnsi="Times New Roman"/>
        </w:rPr>
        <w:t xml:space="preserve">  Public Authorities Protection Act 1893 (UK).</w:t>
      </w:r>
    </w:p>
  </w:footnote>
  <w:footnote w:id="14">
    <w:p w:rsidR="00453B03" w:rsidRDefault="00453B03">
      <w:pPr>
        <w:pStyle w:val="FootnoteText"/>
        <w:spacing w:after="0" w:line="240" w:lineRule="auto"/>
        <w:ind w:left="180" w:hanging="180"/>
        <w:rPr>
          <w:rStyle w:val="FootnoteReference"/>
          <w:rFonts w:ascii="Times New Roman" w:hAnsi="Times New Roman"/>
        </w:rPr>
      </w:pPr>
      <w:r>
        <w:rPr>
          <w:rStyle w:val="FootnoteReference"/>
          <w:rFonts w:ascii="Times New Roman" w:hAnsi="Times New Roman"/>
        </w:rPr>
        <w:footnoteRef/>
      </w:r>
      <w:r>
        <w:rPr>
          <w:rFonts w:ascii="Times New Roman" w:hAnsi="Times New Roman"/>
        </w:rPr>
        <w:t xml:space="preserve">  E O Oluyede and P A Oluyede (n5) 146.</w:t>
      </w:r>
    </w:p>
  </w:footnote>
  <w:footnote w:id="15">
    <w:p w:rsidR="00453B03" w:rsidRDefault="00453B03">
      <w:pPr>
        <w:pStyle w:val="FootnoteText"/>
        <w:spacing w:after="0" w:line="240" w:lineRule="auto"/>
        <w:ind w:left="180" w:hanging="180"/>
        <w:rPr>
          <w:rStyle w:val="FootnoteReference"/>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i/>
          <w:iCs/>
        </w:rPr>
        <w:t xml:space="preserve"> </w:t>
      </w:r>
      <w:r>
        <w:rPr>
          <w:rFonts w:ascii="Times New Roman" w:hAnsi="Times New Roman"/>
        </w:rPr>
        <w:t>Ibrahim v Judicial Service Committee Kaduna State (1998) 14 NWLR (Pt 584) 1; Offoboche v Ogoja Local Government (2001) 16 NWLR (Pt 739) 458.</w:t>
      </w:r>
    </w:p>
  </w:footnote>
  <w:footnote w:id="16">
    <w:p w:rsidR="00453B03" w:rsidRDefault="00453B03">
      <w:pPr>
        <w:pStyle w:val="FootnoteText"/>
        <w:spacing w:after="0" w:line="240" w:lineRule="auto"/>
        <w:ind w:left="180" w:hanging="180"/>
        <w:rPr>
          <w:rStyle w:val="FootnoteReference"/>
          <w:rFonts w:ascii="Times New Roman" w:hAnsi="Times New Roman"/>
        </w:rPr>
      </w:pPr>
      <w:r>
        <w:rPr>
          <w:rStyle w:val="FootnoteReference"/>
          <w:rFonts w:ascii="Times New Roman" w:hAnsi="Times New Roman"/>
        </w:rPr>
        <w:footnoteRef/>
      </w:r>
      <w:r>
        <w:rPr>
          <w:rFonts w:ascii="Times New Roman" w:hAnsi="Times New Roman"/>
        </w:rPr>
        <w:t xml:space="preserve"> Gross, L. (1948). The Peace of Westphalia, 1648-1948. </w:t>
      </w:r>
      <w:r>
        <w:rPr>
          <w:rFonts w:ascii="Times New Roman" w:hAnsi="Times New Roman"/>
          <w:i/>
          <w:iCs/>
        </w:rPr>
        <w:t>The American Journal of International Law</w:t>
      </w:r>
      <w:r>
        <w:rPr>
          <w:rFonts w:ascii="Times New Roman" w:hAnsi="Times New Roman"/>
        </w:rPr>
        <w:t>, 42(1).   &lt;https://doi.org/10.2307/2193560.</w:t>
      </w:r>
    </w:p>
  </w:footnote>
  <w:footnote w:id="17">
    <w:p w:rsidR="00453B03" w:rsidRDefault="00453B03">
      <w:pPr>
        <w:pStyle w:val="FootnoteText"/>
        <w:spacing w:after="0" w:line="240" w:lineRule="auto"/>
        <w:ind w:left="180" w:hanging="180"/>
        <w:rPr>
          <w:rStyle w:val="FootnoteReference"/>
          <w:rFonts w:ascii="Times New Roman" w:hAnsi="Times New Roman"/>
        </w:rPr>
      </w:pPr>
      <w:r>
        <w:rPr>
          <w:rStyle w:val="FootnoteReference"/>
          <w:rFonts w:ascii="Times New Roman" w:hAnsi="Times New Roman"/>
        </w:rPr>
        <w:footnoteRef/>
      </w:r>
      <w:r>
        <w:rPr>
          <w:rFonts w:ascii="Times New Roman" w:hAnsi="Times New Roman"/>
        </w:rPr>
        <w:t xml:space="preserve"> Ukoh, F. N 2018 State Sovereign powers: The challenge of Terrorism. </w:t>
      </w:r>
      <w:r>
        <w:rPr>
          <w:rFonts w:ascii="Times New Roman" w:hAnsi="Times New Roman"/>
          <w:i/>
          <w:iCs/>
        </w:rPr>
        <w:t xml:space="preserve">Human rights and Jurisprudence Journal </w:t>
      </w:r>
      <w:r>
        <w:rPr>
          <w:rFonts w:ascii="Times New Roman" w:hAnsi="Times New Roman"/>
        </w:rPr>
        <w:t>4.</w:t>
      </w:r>
    </w:p>
  </w:footnote>
  <w:footnote w:id="18">
    <w:p w:rsidR="00453B03" w:rsidRDefault="00453B03">
      <w:pPr>
        <w:pStyle w:val="FootnoteText"/>
        <w:spacing w:after="0" w:line="240" w:lineRule="auto"/>
        <w:ind w:left="180" w:hanging="180"/>
        <w:rPr>
          <w:rStyle w:val="FootnoteReference"/>
          <w:rFonts w:ascii="Times New Roman" w:hAnsi="Times New Roman"/>
        </w:rPr>
      </w:pPr>
      <w:r>
        <w:rPr>
          <w:rStyle w:val="FootnoteReference"/>
          <w:rFonts w:ascii="Times New Roman" w:hAnsi="Times New Roman"/>
        </w:rPr>
        <w:footnoteRef/>
      </w:r>
      <w:r>
        <w:rPr>
          <w:rFonts w:ascii="Times New Roman" w:hAnsi="Times New Roman"/>
        </w:rPr>
        <w:t xml:space="preserve"> Tajudeen, I. O. (2013). Executive Immunity in Nigeria: Putting Off Old Garments. </w:t>
      </w:r>
      <w:r>
        <w:rPr>
          <w:rFonts w:ascii="Times New Roman" w:hAnsi="Times New Roman"/>
          <w:i/>
          <w:iCs/>
        </w:rPr>
        <w:t>Journal of Politics and Law</w:t>
      </w:r>
      <w:r>
        <w:rPr>
          <w:rFonts w:ascii="Times New Roman" w:hAnsi="Times New Roman"/>
        </w:rPr>
        <w:t>, 6(3). &lt;https://doi.org/10.5539/jpl.v6n3p189.</w:t>
      </w:r>
    </w:p>
  </w:footnote>
  <w:footnote w:id="19">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Austin, J. (1995). Austin: The Province of Jurisprudence Determined. In W. Rumble (Ed.), Cambridge Texts in the History of Political Thought. Cambridge: Cambridge University Press.</w:t>
      </w:r>
      <w:r>
        <w:rPr>
          <w:rStyle w:val="FootnoteReference"/>
          <w:rFonts w:ascii="Times New Roman" w:hAnsi="Times New Roman"/>
        </w:rPr>
        <w:cr/>
      </w:r>
      <w:r>
        <w:rPr>
          <w:rFonts w:ascii="Times New Roman" w:hAnsi="Times New Roman"/>
        </w:rPr>
        <w:t xml:space="preserve">https://doi.org/10.1017/CBO9780511521546. </w:t>
      </w:r>
    </w:p>
  </w:footnote>
  <w:footnote w:id="20">
    <w:p w:rsidR="00453B03" w:rsidRDefault="00453B03">
      <w:pPr>
        <w:pStyle w:val="FootnoteText"/>
        <w:spacing w:after="0" w:line="240" w:lineRule="auto"/>
        <w:ind w:left="180" w:hanging="180"/>
        <w:rPr>
          <w:rStyle w:val="FootnoteReference"/>
          <w:rFonts w:ascii="Times New Roman" w:hAnsi="Times New Roman"/>
        </w:rPr>
      </w:pPr>
      <w:r>
        <w:rPr>
          <w:rStyle w:val="FootnoteReference"/>
          <w:rFonts w:ascii="Times New Roman" w:hAnsi="Times New Roman"/>
        </w:rPr>
        <w:footnoteRef/>
      </w:r>
      <w:r>
        <w:rPr>
          <w:rFonts w:ascii="Times New Roman" w:hAnsi="Times New Roman"/>
        </w:rPr>
        <w:t xml:space="preserve"> Garner, B A. (2004). Black’s Law Dictionary (8th ed.). Thomas West U.S.A. </w:t>
      </w:r>
    </w:p>
  </w:footnote>
  <w:footnote w:id="21">
    <w:p w:rsidR="00453B03" w:rsidRDefault="00453B03">
      <w:pPr>
        <w:pStyle w:val="FootnoteText"/>
        <w:spacing w:after="0" w:line="240" w:lineRule="auto"/>
        <w:ind w:left="180" w:hanging="180"/>
        <w:rPr>
          <w:rStyle w:val="FootnoteReference"/>
          <w:rFonts w:ascii="Times New Roman" w:hAnsi="Times New Roman"/>
        </w:rPr>
      </w:pPr>
      <w:r>
        <w:rPr>
          <w:rStyle w:val="FootnoteReference"/>
          <w:rFonts w:ascii="Times New Roman" w:hAnsi="Times New Roman"/>
        </w:rPr>
        <w:footnoteRef/>
      </w:r>
      <w:r>
        <w:rPr>
          <w:rFonts w:ascii="Times New Roman" w:hAnsi="Times New Roman"/>
        </w:rPr>
        <w:t xml:space="preserve"> Appadorai, A (2004). The Substance of Politics. Oxford University Press, India. </w:t>
      </w:r>
    </w:p>
  </w:footnote>
  <w:footnote w:id="22">
    <w:p w:rsidR="00453B03" w:rsidRDefault="00453B03">
      <w:pPr>
        <w:pStyle w:val="FootnoteText"/>
        <w:spacing w:after="0" w:line="240" w:lineRule="auto"/>
        <w:ind w:left="180" w:hanging="180"/>
        <w:rPr>
          <w:rStyle w:val="FootnoteReference"/>
          <w:rFonts w:ascii="Times New Roman" w:hAnsi="Times New Roman"/>
        </w:rPr>
      </w:pPr>
      <w:r>
        <w:rPr>
          <w:rStyle w:val="FootnoteReference"/>
          <w:rFonts w:ascii="Times New Roman" w:hAnsi="Times New Roman"/>
        </w:rPr>
        <w:footnoteRef/>
      </w:r>
      <w:r>
        <w:rPr>
          <w:rFonts w:ascii="Times New Roman" w:hAnsi="Times New Roman"/>
        </w:rPr>
        <w:t xml:space="preserve"> Hornby, A S (2001). Oxford Advanced Learners Dictionary of Current English. New York: Oxford. </w:t>
      </w:r>
    </w:p>
  </w:footnote>
  <w:footnote w:id="23">
    <w:p w:rsidR="00453B03" w:rsidRDefault="00453B03">
      <w:pPr>
        <w:pStyle w:val="FootnoteText"/>
        <w:spacing w:after="0" w:line="240" w:lineRule="auto"/>
        <w:ind w:left="180" w:hanging="180"/>
        <w:rPr>
          <w:rStyle w:val="FootnoteReference"/>
          <w:rFonts w:ascii="Times New Roman" w:hAnsi="Times New Roman"/>
        </w:rPr>
      </w:pPr>
      <w:r>
        <w:rPr>
          <w:rStyle w:val="FootnoteReference"/>
          <w:rFonts w:ascii="Times New Roman" w:hAnsi="Times New Roman"/>
        </w:rPr>
        <w:footnoteRef/>
      </w:r>
      <w:r>
        <w:rPr>
          <w:rFonts w:ascii="Times New Roman" w:hAnsi="Times New Roman"/>
        </w:rPr>
        <w:t xml:space="preserve"> Hornby (2001) n7, Garner (2004) n5.</w:t>
      </w:r>
    </w:p>
  </w:footnote>
  <w:footnote w:id="24">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Constitution of the Federal Republic of Nigeria [CFRN], 1999 (as amended 2023).</w:t>
      </w:r>
    </w:p>
  </w:footnote>
  <w:footnote w:id="25">
    <w:p w:rsidR="00453B03" w:rsidRDefault="00453B03">
      <w:pPr>
        <w:pStyle w:val="FootnoteText"/>
        <w:spacing w:after="0" w:line="240" w:lineRule="auto"/>
        <w:ind w:left="180" w:hanging="180"/>
        <w:rPr>
          <w:rStyle w:val="FootnoteReference"/>
          <w:rFonts w:ascii="Times New Roman" w:hAnsi="Times New Roman"/>
        </w:rPr>
      </w:pPr>
      <w:r>
        <w:rPr>
          <w:rStyle w:val="FootnoteReference"/>
          <w:rFonts w:ascii="Times New Roman" w:hAnsi="Times New Roman"/>
        </w:rPr>
        <w:footnoteRef/>
      </w:r>
      <w:r>
        <w:rPr>
          <w:rFonts w:ascii="Times New Roman" w:hAnsi="Times New Roman"/>
        </w:rPr>
        <w:t xml:space="preserve"> A Odusote, The Nigerian Public Officers Protection Act: An Anachronistic legislation yearning for reforms. &lt;https://doi.org/10.5296/jpag.v9i1.14404&gt; last accessed 15th January 2026.</w:t>
      </w:r>
    </w:p>
  </w:footnote>
  <w:footnote w:id="26">
    <w:p w:rsidR="00453B03" w:rsidRDefault="00453B03">
      <w:pPr>
        <w:pStyle w:val="FootnoteText"/>
        <w:spacing w:after="0" w:line="240" w:lineRule="auto"/>
        <w:ind w:left="180" w:hanging="180"/>
        <w:rPr>
          <w:rStyle w:val="FootnoteReference"/>
          <w:rFonts w:ascii="Times New Roman" w:hAnsi="Times New Roman"/>
        </w:rPr>
      </w:pPr>
      <w:r>
        <w:rPr>
          <w:rStyle w:val="FootnoteReference"/>
          <w:rFonts w:ascii="Times New Roman" w:hAnsi="Times New Roman"/>
        </w:rPr>
        <w:footnoteRef/>
      </w:r>
      <w:r>
        <w:rPr>
          <w:rFonts w:ascii="Times New Roman" w:hAnsi="Times New Roman"/>
        </w:rPr>
        <w:t xml:space="preserve"> Application of law in relations to public officers and public authorities in Nigeria.(2025) &lt;https://dx.doi.org/10.47772/IJRISS.2025.908000507&gt; last accessed 15th January 2026.</w:t>
      </w:r>
    </w:p>
  </w:footnote>
  <w:footnote w:id="27">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Style w:val="FootnoteReference"/>
          <w:rFonts w:ascii="Times New Roman" w:hAnsi="Times New Roman"/>
        </w:rPr>
        <w:t xml:space="preserve">  </w:t>
      </w:r>
      <w:r>
        <w:rPr>
          <w:rFonts w:ascii="Times New Roman" w:hAnsi="Times New Roman"/>
        </w:rPr>
        <w:t xml:space="preserve">A Odusote, “The Nigerian Public Officers Protection Act: An Anachronistic Legislation Yearning for Reforms”, [2019] (9) (1), </w:t>
      </w:r>
      <w:r>
        <w:rPr>
          <w:rFonts w:ascii="Times New Roman" w:hAnsi="Times New Roman"/>
          <w:i/>
          <w:iCs/>
        </w:rPr>
        <w:t>Journal of Public Administration and Governance</w:t>
      </w:r>
      <w:r>
        <w:rPr>
          <w:rFonts w:ascii="Times New Roman" w:hAnsi="Times New Roman"/>
        </w:rPr>
        <w:t>, 220. Last accessed 15th January 2026.</w:t>
      </w:r>
    </w:p>
  </w:footnote>
  <w:footnote w:id="28">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Olanipekun, W. (2005). D.S.P. Alamieyeseigha's Trial Against International Law. The Guardian Newspaper, Tuesday, October 18, 2005,  Umoru, H. (2020). Call for Memoranda by the Senate Ad-Hoc Committee on the Review of the 1999 Constitution “Constitution Review: Senate commences process, calls for memoranda”. Vanguard Newspaper On August 25, 2020. Retrieved September 22, 2020, from &lt;https://www.vanguardngr.com/2020/08/constitution-reviewsenate-commences-process-calls-for-memoranda/&gt; Udeh, P. (2009). Immunity of Sovereign States – Historical and Contemporary Perspectives. </w:t>
      </w:r>
      <w:r>
        <w:rPr>
          <w:rFonts w:ascii="Times New Roman" w:hAnsi="Times New Roman"/>
          <w:i/>
          <w:iCs/>
        </w:rPr>
        <w:t>Nigerian Journal of Public Law</w:t>
      </w:r>
      <w:r>
        <w:rPr>
          <w:rFonts w:ascii="Times New Roman" w:hAnsi="Times New Roman"/>
        </w:rPr>
        <w:t>, 2(1).</w:t>
      </w:r>
    </w:p>
  </w:footnote>
  <w:footnote w:id="29">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Francis N. Ukoh and Rita A. Ngwoke: Immunity Clause Under the 1999 Constitution of Nigeria: A Dire need for reform. </w:t>
      </w:r>
      <w:r>
        <w:rPr>
          <w:rFonts w:ascii="Times New Roman" w:hAnsi="Times New Roman"/>
          <w:i/>
          <w:iCs/>
        </w:rPr>
        <w:t>Journal of Politics and Law</w:t>
      </w:r>
      <w:r>
        <w:rPr>
          <w:rFonts w:ascii="Times New Roman" w:hAnsi="Times New Roman"/>
        </w:rPr>
        <w:t>, December 27, 2020. &lt;https://doi.org/10.5539/jpl.v14n2p47&gt; last accessed 22nd March 2026.</w:t>
      </w:r>
    </w:p>
  </w:footnote>
  <w:footnote w:id="30">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Constitution of the Federal Republic of Nigeria 1999 as amended (2023).</w:t>
      </w:r>
    </w:p>
  </w:footnote>
  <w:footnote w:id="31">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Ukoh and Ngwoke (n29)</w:t>
      </w:r>
    </w:p>
  </w:footnote>
  <w:footnote w:id="32">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s 357.</w:t>
      </w:r>
    </w:p>
  </w:footnote>
  <w:footnote w:id="33">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Corrupt Practices and Other Related Offences Act, Cap C13 LFN 2004.</w:t>
      </w:r>
    </w:p>
  </w:footnote>
  <w:footnote w:id="34">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Merriam-webster.com accessed 19th May 2026.</w:t>
      </w:r>
    </w:p>
  </w:footnote>
  <w:footnote w:id="35">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Anya v Iyayi (1993) NWLR (pt 305) 290 at 312.</w:t>
      </w:r>
    </w:p>
  </w:footnote>
  <w:footnote w:id="36">
    <w:p w:rsidR="00453B03" w:rsidRDefault="00453B03">
      <w:pPr>
        <w:pStyle w:val="FootnoteText"/>
        <w:spacing w:after="0" w:line="240" w:lineRule="auto"/>
        <w:ind w:left="180" w:hanging="180"/>
        <w:rPr>
          <w:rStyle w:val="FootnoteReference"/>
          <w:rFonts w:ascii="Times New Roman" w:hAnsi="Times New Roman"/>
        </w:rPr>
      </w:pPr>
      <w:r>
        <w:rPr>
          <w:rStyle w:val="FootnoteReference"/>
          <w:rFonts w:ascii="Times New Roman" w:hAnsi="Times New Roman"/>
        </w:rPr>
        <w:footnoteRef/>
      </w:r>
      <w:r>
        <w:rPr>
          <w:rFonts w:ascii="Times New Roman" w:hAnsi="Times New Roman"/>
        </w:rPr>
        <w:t xml:space="preserve">  Nigerian Atomic Energy Commisssion Act cap N91, Laws of federation of Nigeria 2004.s 12</w:t>
      </w:r>
    </w:p>
  </w:footnote>
  <w:footnote w:id="37">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Cap C5 Laws of the Federation of Nigeria 2004.</w:t>
      </w:r>
    </w:p>
  </w:footnote>
  <w:footnote w:id="38">
    <w:p w:rsidR="00453B03" w:rsidRDefault="00453B03">
      <w:pPr>
        <w:pStyle w:val="FootnoteText"/>
        <w:spacing w:after="0" w:line="240" w:lineRule="auto"/>
        <w:ind w:left="180" w:hanging="180"/>
        <w:rPr>
          <w:rStyle w:val="FootnoteReference"/>
          <w:rFonts w:ascii="Times New Roman" w:hAnsi="Times New Roman"/>
        </w:rPr>
      </w:pPr>
      <w:r>
        <w:rPr>
          <w:rStyle w:val="FootnoteReference"/>
          <w:rFonts w:ascii="Times New Roman" w:hAnsi="Times New Roman"/>
        </w:rPr>
        <w:footnoteRef/>
      </w:r>
      <w:r>
        <w:rPr>
          <w:rFonts w:ascii="Times New Roman" w:hAnsi="Times New Roman"/>
        </w:rPr>
        <w:t xml:space="preserve"> Labour Act Cap LJ Laws of the Federation of Nigeria 2004.s 91(1)</w:t>
      </w:r>
    </w:p>
  </w:footnote>
  <w:footnote w:id="39">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Money Laundering (Prevention and Prohibition) Act 2022. s 30</w:t>
      </w:r>
    </w:p>
  </w:footnote>
  <w:footnote w:id="40">
    <w:p w:rsidR="00453B03" w:rsidRDefault="00453B03">
      <w:pPr>
        <w:pStyle w:val="FootnoteText"/>
        <w:spacing w:after="0" w:line="240" w:lineRule="auto"/>
        <w:ind w:left="180" w:hanging="180"/>
        <w:rPr>
          <w:rStyle w:val="FootnoteReference"/>
          <w:rFonts w:ascii="Times New Roman" w:hAnsi="Times New Roman"/>
        </w:rPr>
      </w:pPr>
      <w:r>
        <w:rPr>
          <w:rStyle w:val="FootnoteReference"/>
          <w:rFonts w:ascii="Times New Roman" w:hAnsi="Times New Roman"/>
        </w:rPr>
        <w:footnoteRef/>
      </w:r>
      <w:r>
        <w:rPr>
          <w:rFonts w:ascii="Times New Roman" w:hAnsi="Times New Roman"/>
        </w:rPr>
        <w:t xml:space="preserve"> CLISA-Compania Latinoamericana de infraestructura &amp; servicios S.A. Code of Ethics.</w:t>
      </w:r>
    </w:p>
  </w:footnote>
  <w:footnote w:id="41">
    <w:p w:rsidR="00453B03" w:rsidRDefault="00453B03">
      <w:pPr>
        <w:pStyle w:val="FootnoteText"/>
        <w:spacing w:after="0" w:line="240" w:lineRule="auto"/>
        <w:ind w:left="180" w:hanging="180"/>
        <w:rPr>
          <w:rStyle w:val="FootnoteReference"/>
          <w:rFonts w:ascii="Times New Roman" w:hAnsi="Times New Roman"/>
        </w:rPr>
      </w:pPr>
      <w:r>
        <w:rPr>
          <w:rStyle w:val="FootnoteReference"/>
          <w:rFonts w:ascii="Times New Roman" w:hAnsi="Times New Roman"/>
        </w:rPr>
        <w:footnoteRef/>
      </w:r>
      <w:r>
        <w:rPr>
          <w:rFonts w:ascii="Times New Roman" w:hAnsi="Times New Roman"/>
        </w:rPr>
        <w:t xml:space="preserve">  Black Law Dictionary 10th Edition, West Publishing Company 2014] 1425.</w:t>
      </w:r>
    </w:p>
  </w:footnote>
  <w:footnote w:id="42">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Interpretation Act, (cap 39, Laws of Federation of Nigeria and Lagos,1959).</w:t>
      </w:r>
    </w:p>
  </w:footnote>
  <w:footnote w:id="43">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(2004) 11 NWLR (pt 883).</w:t>
      </w:r>
    </w:p>
  </w:footnote>
  <w:footnote w:id="44">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4(1998) 5 NWLR (pt. 548) 43 at 73.</w:t>
      </w:r>
    </w:p>
  </w:footnote>
  <w:footnote w:id="45">
    <w:p w:rsidR="00453B03" w:rsidRDefault="00453B03">
      <w:pPr>
        <w:pStyle w:val="FootnoteText"/>
        <w:spacing w:after="0" w:line="240" w:lineRule="auto"/>
        <w:ind w:left="180" w:hanging="180"/>
        <w:rPr>
          <w:rStyle w:val="FootnoteReference"/>
          <w:rFonts w:ascii="Times New Roman" w:hAnsi="Times New Roman"/>
        </w:rPr>
      </w:pPr>
      <w:r>
        <w:rPr>
          <w:rStyle w:val="FootnoteReference"/>
          <w:rFonts w:ascii="Times New Roman" w:hAnsi="Times New Roman"/>
        </w:rPr>
        <w:footnoteRef/>
      </w:r>
      <w:r>
        <w:rPr>
          <w:rFonts w:ascii="Times New Roman" w:hAnsi="Times New Roman"/>
        </w:rPr>
        <w:t xml:space="preserve">  C Wigwe, “Statute of Limitation vis a vis Compulsory Acquisition in Nigeria”, (2018) </w:t>
      </w:r>
      <w:r>
        <w:rPr>
          <w:rFonts w:ascii="Times New Roman" w:hAnsi="Times New Roman"/>
          <w:i/>
          <w:iCs/>
        </w:rPr>
        <w:t>The Journal of Property Law and Contemporary issues.</w:t>
      </w:r>
      <w:r>
        <w:rPr>
          <w:rFonts w:ascii="Times New Roman" w:hAnsi="Times New Roman"/>
        </w:rPr>
        <w:t xml:space="preserve"> P. 407.</w:t>
      </w:r>
    </w:p>
  </w:footnote>
  <w:footnote w:id="46">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O Oyewo, “Sounding the Death Knell of the Public Officer Protection Act/Law in Nigeria.” (2016) </w:t>
      </w:r>
      <w:r>
        <w:rPr>
          <w:rFonts w:ascii="Times New Roman" w:hAnsi="Times New Roman"/>
          <w:i/>
          <w:iCs/>
        </w:rPr>
        <w:t xml:space="preserve">International Journal of Liberal Arts and Social Science </w:t>
      </w:r>
      <w:r>
        <w:rPr>
          <w:rFonts w:ascii="Times New Roman" w:hAnsi="Times New Roman"/>
        </w:rPr>
        <w:t>(4) (1)106.</w:t>
      </w:r>
    </w:p>
  </w:footnote>
  <w:footnote w:id="47">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(2020) 3 NWLR (pt 1712) 470, Eze v Okechukwu (1998) 5 NWLR (pt 548) 43.</w:t>
      </w:r>
    </w:p>
  </w:footnote>
  <w:footnote w:id="48">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(1998) 14 NWLR (Pt. 584) 1.</w:t>
      </w:r>
    </w:p>
  </w:footnote>
  <w:footnote w:id="49">
    <w:p w:rsidR="00453B03" w:rsidRDefault="00453B03">
      <w:pPr>
        <w:pStyle w:val="FootnoteText"/>
        <w:spacing w:after="0" w:line="240" w:lineRule="auto"/>
        <w:ind w:left="180" w:hanging="180"/>
        <w:rPr>
          <w:rStyle w:val="FootnoteReference"/>
          <w:rFonts w:ascii="Times New Roman" w:hAnsi="Times New Roman"/>
        </w:rPr>
      </w:pPr>
      <w:r>
        <w:rPr>
          <w:rStyle w:val="FootnoteReference"/>
          <w:rFonts w:ascii="Times New Roman" w:hAnsi="Times New Roman"/>
        </w:rPr>
        <w:footnoteRef/>
      </w:r>
      <w:r>
        <w:rPr>
          <w:rFonts w:ascii="Times New Roman" w:hAnsi="Times New Roman"/>
        </w:rPr>
        <w:t xml:space="preserve"> Public Officers Protection Act, Cap P41 Laws of the Federation of Nigeria 2004.</w:t>
      </w:r>
    </w:p>
  </w:footnote>
  <w:footnote w:id="50">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B.O Nwabueze,</w:t>
      </w:r>
      <w:r>
        <w:rPr>
          <w:rFonts w:ascii="Times New Roman" w:hAnsi="Times New Roman"/>
          <w:i/>
          <w:iCs/>
        </w:rPr>
        <w:t xml:space="preserve"> Constitutionalism in the Emergent States</w:t>
      </w:r>
      <w:r>
        <w:rPr>
          <w:rFonts w:ascii="Times New Roman" w:hAnsi="Times New Roman"/>
        </w:rPr>
        <w:t xml:space="preserve"> (C Hurst &amp; Co 1973) 210.</w:t>
      </w:r>
    </w:p>
  </w:footnote>
  <w:footnote w:id="51">
    <w:p w:rsidR="00453B03" w:rsidRDefault="00453B03">
      <w:pPr>
        <w:pStyle w:val="FootnoteText"/>
        <w:spacing w:after="0" w:line="240" w:lineRule="auto"/>
        <w:ind w:left="180" w:hanging="180"/>
        <w:rPr>
          <w:rStyle w:val="FootnoteReference"/>
          <w:rFonts w:ascii="Times New Roman" w:hAnsi="Times New Roman"/>
        </w:rPr>
      </w:pPr>
      <w:r>
        <w:rPr>
          <w:rStyle w:val="FootnoteReference"/>
          <w:rFonts w:ascii="Times New Roman" w:hAnsi="Times New Roman"/>
        </w:rPr>
        <w:footnoteRef/>
      </w:r>
      <w:r>
        <w:rPr>
          <w:rFonts w:ascii="Times New Roman" w:hAnsi="Times New Roman"/>
        </w:rPr>
        <w:t xml:space="preserve"> (1992) 4 NWLR pt. 234, p.152 SC.</w:t>
      </w:r>
    </w:p>
  </w:footnote>
  <w:footnote w:id="52">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(1987) 1 NWLR (Pt 47) 1.</w:t>
      </w:r>
    </w:p>
  </w:footnote>
  <w:footnote w:id="53">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ibid (n15).</w:t>
      </w:r>
    </w:p>
  </w:footnote>
  <w:footnote w:id="54">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A.V Dicey, </w:t>
      </w:r>
      <w:r>
        <w:rPr>
          <w:rFonts w:ascii="Times New Roman" w:hAnsi="Times New Roman"/>
          <w:i/>
          <w:iCs/>
        </w:rPr>
        <w:t>Introduction to the Study of the Law of the Constitution</w:t>
      </w:r>
      <w:r>
        <w:rPr>
          <w:rFonts w:ascii="Times New Roman" w:hAnsi="Times New Roman"/>
        </w:rPr>
        <w:t xml:space="preserve"> (10th edn, Macmillan 1959) 188.</w:t>
      </w:r>
    </w:p>
  </w:footnote>
  <w:footnote w:id="55">
    <w:p w:rsidR="00453B03" w:rsidRDefault="00453B03">
      <w:pPr>
        <w:pStyle w:val="FootnoteText"/>
        <w:rPr>
          <w:rStyle w:val="FootnoteReference"/>
          <w:rFonts w:ascii="Times New Roman" w:hAnsi="Times New Roman"/>
        </w:rPr>
      </w:pPr>
      <w:r>
        <w:rPr>
          <w:rStyle w:val="FootnoteReference"/>
        </w:rPr>
        <w:footnoteRef/>
      </w:r>
      <w:r>
        <w:t xml:space="preserve"> </w:t>
      </w:r>
      <w:r>
        <w:rPr>
          <w:rFonts w:ascii="Times New Roman" w:hAnsi="Times New Roman"/>
          <w:lang w:eastAsia="en-GB"/>
        </w:rPr>
        <w:t xml:space="preserve"> </w:t>
      </w:r>
      <w:r>
        <w:rPr>
          <w:rStyle w:val="s1"/>
          <w:rFonts w:ascii="Times New Roman" w:hAnsi="Times New Roman"/>
          <w:lang w:eastAsia="en-GB"/>
        </w:rPr>
        <w:t xml:space="preserve">H.W.R. Wade and C.F. Forsyth, </w:t>
      </w:r>
      <w:r>
        <w:rPr>
          <w:rStyle w:val="s1"/>
          <w:rFonts w:ascii="Times New Roman" w:hAnsi="Times New Roman"/>
          <w:i/>
          <w:iCs/>
          <w:lang w:eastAsia="en-GB"/>
        </w:rPr>
        <w:t xml:space="preserve">Administrative Law </w:t>
      </w:r>
      <w:r>
        <w:rPr>
          <w:rStyle w:val="s1"/>
          <w:rFonts w:ascii="Times New Roman" w:hAnsi="Times New Roman"/>
          <w:lang w:eastAsia="en-GB"/>
        </w:rPr>
        <w:t>(11th Edition, Oxford, Oxford University Press, 2014) p. 650.</w:t>
      </w:r>
    </w:p>
  </w:footnote>
  <w:footnote w:id="56">
    <w:p w:rsidR="00453B03" w:rsidRDefault="00453B03">
      <w:pPr>
        <w:pStyle w:val="FootnoteText"/>
        <w:rPr>
          <w:rStyle w:val="FootnoteReference"/>
          <w:rFonts w:ascii="Times New Roman" w:hAnsi="Times New Roman"/>
        </w:rPr>
      </w:pPr>
      <w:r>
        <w:rPr>
          <w:rStyle w:val="FootnoteReference"/>
        </w:rPr>
        <w:footnoteRef/>
      </w:r>
      <w:r>
        <w:t xml:space="preserve"> P Leyland and T Woods, </w:t>
      </w:r>
      <w:r>
        <w:rPr>
          <w:i/>
          <w:iCs/>
        </w:rPr>
        <w:t xml:space="preserve">Administrative Law </w:t>
      </w:r>
      <w:r>
        <w:t>(4th edition, Oxford University press, 2004)</w:t>
      </w:r>
    </w:p>
  </w:footnote>
  <w:footnote w:id="57">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Public Officers Protection Act, Cap P41 Laws of the Federation of Nigeria 2004.</w:t>
      </w:r>
    </w:p>
  </w:footnote>
  <w:footnote w:id="58">
    <w:p w:rsidR="00453B03" w:rsidRDefault="00453B03">
      <w:pPr>
        <w:pStyle w:val="p1"/>
        <w:spacing w:before="0" w:beforeAutospacing="0" w:after="0" w:afterAutospacing="0"/>
        <w:ind w:left="180" w:hanging="180"/>
        <w:rPr>
          <w:sz w:val="20"/>
          <w:szCs w:val="20"/>
        </w:rPr>
      </w:pPr>
      <w:r>
        <w:rPr>
          <w:rStyle w:val="FootnoteReference"/>
          <w:sz w:val="20"/>
          <w:szCs w:val="20"/>
        </w:rPr>
        <w:footnoteRef/>
      </w:r>
      <w:r>
        <w:rPr>
          <w:sz w:val="20"/>
          <w:szCs w:val="20"/>
        </w:rPr>
        <w:t xml:space="preserve"> </w:t>
      </w:r>
      <w:r>
        <w:rPr>
          <w:rStyle w:val="s1"/>
          <w:sz w:val="20"/>
          <w:szCs w:val="20"/>
        </w:rPr>
        <w:t xml:space="preserve">Abiodun Odusote, “The Nigerian Public Officers Protection Act: An Anachronistic Legislation Yearning for Reforms”, </w:t>
      </w:r>
      <w:r>
        <w:rPr>
          <w:rStyle w:val="s1"/>
          <w:i/>
          <w:iCs/>
          <w:sz w:val="20"/>
          <w:szCs w:val="20"/>
        </w:rPr>
        <w:t xml:space="preserve">Journal of Public Administration and Governance, </w:t>
      </w:r>
      <w:r>
        <w:rPr>
          <w:rStyle w:val="s1"/>
          <w:sz w:val="20"/>
          <w:szCs w:val="20"/>
        </w:rPr>
        <w:t>9 (1) 2019. &lt;https://www.macrothink.org/journal/index.php/jpag/article/view/14404?utm_source=chatgpt.com&gt; accessed 19 June 2026.</w:t>
      </w:r>
    </w:p>
  </w:footnote>
  <w:footnote w:id="59">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Constitution of the Federal Republic of Nigeria 1999 (as amended).</w:t>
      </w:r>
    </w:p>
  </w:footnote>
  <w:footnote w:id="60">
    <w:p w:rsidR="00453B03" w:rsidRDefault="00453B03">
      <w:pPr>
        <w:pStyle w:val="p1"/>
        <w:spacing w:before="0" w:beforeAutospacing="0" w:after="0" w:afterAutospacing="0"/>
        <w:ind w:left="180" w:hanging="180"/>
        <w:rPr>
          <w:sz w:val="20"/>
          <w:szCs w:val="20"/>
        </w:rPr>
      </w:pPr>
      <w:r>
        <w:rPr>
          <w:rStyle w:val="FootnoteReference"/>
          <w:sz w:val="20"/>
          <w:szCs w:val="20"/>
        </w:rPr>
        <w:footnoteRef/>
      </w:r>
      <w:r>
        <w:rPr>
          <w:sz w:val="20"/>
          <w:szCs w:val="20"/>
        </w:rPr>
        <w:t xml:space="preserve"> </w:t>
      </w:r>
      <w:r>
        <w:rPr>
          <w:rStyle w:val="s1"/>
          <w:sz w:val="20"/>
          <w:szCs w:val="20"/>
        </w:rPr>
        <w:t xml:space="preserve">Enobong Mbang Akpambang, “Immunities and Tenures of Office in the Three Arms of Government in Nigeria: Legal Perspective”, </w:t>
      </w:r>
      <w:r>
        <w:rPr>
          <w:rStyle w:val="s1"/>
          <w:i/>
          <w:iCs/>
          <w:sz w:val="20"/>
          <w:szCs w:val="20"/>
        </w:rPr>
        <w:t>Global Journal of Politics and Law Research</w:t>
      </w:r>
      <w:r>
        <w:rPr>
          <w:rStyle w:val="s1"/>
          <w:sz w:val="20"/>
          <w:szCs w:val="20"/>
        </w:rPr>
        <w:t>, 4 (4) 2016.</w:t>
      </w:r>
      <w:r>
        <w:rPr>
          <w:rStyle w:val="apple-converted-space"/>
          <w:sz w:val="20"/>
          <w:szCs w:val="20"/>
        </w:rPr>
        <w:t> &lt;https://eajournals.org/gjplr/vol-4-issue-4-july-2016/immunities-tenures-office-three-arms-government-nigeria-legal-perspective/?utm_source=chatgpt.com&gt; accessed 19 June 2026.</w:t>
      </w:r>
    </w:p>
  </w:footnote>
  <w:footnote w:id="61">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(2007) 2 NWLR (Pt. 1017) 74.</w:t>
      </w:r>
    </w:p>
  </w:footnote>
  <w:footnote w:id="62">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(1998) 14 NWLR (Pt. 584) 1.</w:t>
      </w:r>
    </w:p>
  </w:footnote>
  <w:footnote w:id="63">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Augustus Adebayo, </w:t>
      </w:r>
      <w:r>
        <w:rPr>
          <w:rFonts w:ascii="Times New Roman" w:hAnsi="Times New Roman"/>
          <w:i/>
          <w:iCs/>
        </w:rPr>
        <w:t xml:space="preserve">Principles and Practice of Public Administration in Nigeria </w:t>
      </w:r>
      <w:r>
        <w:rPr>
          <w:rFonts w:ascii="Times New Roman" w:hAnsi="Times New Roman"/>
        </w:rPr>
        <w:t>(Ibadan, Spectrum Books Limited, 2001) p. 45.</w:t>
      </w:r>
    </w:p>
  </w:footnote>
  <w:footnote w:id="64">
    <w:p w:rsidR="00453B03" w:rsidRDefault="00453B03">
      <w:pPr>
        <w:pStyle w:val="p1"/>
        <w:spacing w:before="0" w:beforeAutospacing="0" w:after="0" w:afterAutospacing="0"/>
        <w:ind w:left="180" w:hanging="180"/>
        <w:rPr>
          <w:sz w:val="20"/>
          <w:szCs w:val="20"/>
        </w:rPr>
      </w:pPr>
      <w:r>
        <w:rPr>
          <w:rStyle w:val="FootnoteReference"/>
          <w:sz w:val="20"/>
          <w:szCs w:val="20"/>
        </w:rPr>
        <w:footnoteRef/>
      </w:r>
      <w:r>
        <w:rPr>
          <w:sz w:val="20"/>
          <w:szCs w:val="20"/>
        </w:rPr>
        <w:t xml:space="preserve"> </w:t>
      </w:r>
      <w:r>
        <w:rPr>
          <w:rStyle w:val="s1"/>
          <w:sz w:val="20"/>
          <w:szCs w:val="20"/>
        </w:rPr>
        <w:t xml:space="preserve">B.O. Nwabueze, </w:t>
      </w:r>
      <w:r>
        <w:rPr>
          <w:rStyle w:val="s1"/>
          <w:i/>
          <w:iCs/>
          <w:sz w:val="20"/>
          <w:szCs w:val="20"/>
        </w:rPr>
        <w:t>Presidentialism in Commonwealth Africa</w:t>
      </w:r>
      <w:r>
        <w:rPr>
          <w:rStyle w:val="s1"/>
          <w:sz w:val="20"/>
          <w:szCs w:val="20"/>
        </w:rPr>
        <w:t xml:space="preserve">, </w:t>
      </w:r>
      <w:r>
        <w:rPr>
          <w:rStyle w:val="s1"/>
          <w:i/>
          <w:iCs/>
          <w:sz w:val="20"/>
          <w:szCs w:val="20"/>
        </w:rPr>
        <w:t>London</w:t>
      </w:r>
      <w:r>
        <w:rPr>
          <w:rStyle w:val="s1"/>
          <w:sz w:val="20"/>
          <w:szCs w:val="20"/>
        </w:rPr>
        <w:t xml:space="preserve"> (C. Hurst &amp; Company, 1974) p. 136.</w:t>
      </w:r>
    </w:p>
  </w:footnote>
  <w:footnote w:id="65">
    <w:p w:rsidR="00453B03" w:rsidRDefault="00453B03">
      <w:pPr>
        <w:pStyle w:val="p1"/>
        <w:spacing w:before="0" w:beforeAutospacing="0" w:after="0" w:afterAutospacing="0"/>
        <w:ind w:left="180" w:hanging="180"/>
      </w:pPr>
      <w:r>
        <w:rPr>
          <w:rStyle w:val="FootnoteReference"/>
          <w:sz w:val="20"/>
          <w:szCs w:val="20"/>
        </w:rPr>
        <w:footnoteRef/>
      </w:r>
      <w:r>
        <w:rPr>
          <w:sz w:val="20"/>
          <w:szCs w:val="20"/>
        </w:rPr>
        <w:t xml:space="preserve"> </w:t>
      </w:r>
      <w:r>
        <w:rPr>
          <w:rStyle w:val="s1"/>
          <w:sz w:val="20"/>
          <w:szCs w:val="20"/>
        </w:rPr>
        <w:t>F.N. Ukoh and Rita Abhavan Ngwoke, “Immunity Clause under the 1999 Constitution of Nigeria: A Dire Need for Reform”, Journal of Politics and Law, Vol. 14, No. 2, 2020. &lt;https://www.researchgate.net/publication/348013456_Immunity_Clause_under_the_1999_Constitution_of_Nigeria_A_Dire_Need_for_Reform?utm_source=chatgpt.com&gt; accessed 19 June 2026.</w:t>
      </w:r>
    </w:p>
  </w:footnote>
  <w:footnote w:id="66">
    <w:p w:rsidR="00453B03" w:rsidRDefault="00453B03">
      <w:pPr>
        <w:pStyle w:val="p1"/>
        <w:spacing w:before="0" w:beforeAutospacing="0" w:after="0" w:afterAutospacing="0"/>
        <w:ind w:left="180" w:hanging="180"/>
        <w:rPr>
          <w:sz w:val="20"/>
          <w:szCs w:val="20"/>
        </w:rPr>
      </w:pPr>
      <w:r>
        <w:rPr>
          <w:rStyle w:val="FootnoteReference"/>
          <w:sz w:val="20"/>
          <w:szCs w:val="20"/>
        </w:rPr>
        <w:footnoteRef/>
      </w:r>
      <w:r>
        <w:rPr>
          <w:sz w:val="20"/>
          <w:szCs w:val="20"/>
        </w:rPr>
        <w:t xml:space="preserve"> </w:t>
      </w:r>
      <w:r>
        <w:rPr>
          <w:rStyle w:val="s1"/>
          <w:sz w:val="20"/>
          <w:szCs w:val="20"/>
        </w:rPr>
        <w:t>M Heise, “Statutes of Limitations”, International Encyclopedia of the Social &amp; Behavioral Sciences, Elsevier, 2001. &lt;https://www.sciencedirect.com/topics/social-sciences/statute-of-limitations&gt; accessed 19 June 2026.</w:t>
      </w:r>
    </w:p>
  </w:footnote>
  <w:footnote w:id="67">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Public Officers Protection Act, Cap P41 Laws of the Federation of Nigeria 2004.</w:t>
      </w:r>
    </w:p>
  </w:footnote>
  <w:footnote w:id="68">
    <w:p w:rsidR="00453B03" w:rsidRDefault="00453B03">
      <w:pPr>
        <w:pStyle w:val="p1"/>
        <w:spacing w:before="0" w:beforeAutospacing="0" w:after="0" w:afterAutospacing="0"/>
        <w:ind w:left="180" w:hanging="180"/>
        <w:rPr>
          <w:sz w:val="20"/>
          <w:szCs w:val="20"/>
        </w:rPr>
      </w:pPr>
      <w:r>
        <w:rPr>
          <w:rStyle w:val="FootnoteReference"/>
          <w:sz w:val="20"/>
          <w:szCs w:val="20"/>
        </w:rPr>
        <w:footnoteRef/>
      </w:r>
      <w:r>
        <w:rPr>
          <w:sz w:val="20"/>
          <w:szCs w:val="20"/>
        </w:rPr>
        <w:t xml:space="preserve"> </w:t>
      </w:r>
      <w:r>
        <w:rPr>
          <w:rStyle w:val="s1"/>
          <w:sz w:val="20"/>
          <w:szCs w:val="20"/>
        </w:rPr>
        <w:t xml:space="preserve">Abiodun Odusote, “The Nigerian Public Officers Protection Act: An Anachronistic Legislation Yearning for Reforms”, </w:t>
      </w:r>
      <w:r>
        <w:rPr>
          <w:rStyle w:val="s1"/>
          <w:i/>
          <w:iCs/>
          <w:sz w:val="20"/>
          <w:szCs w:val="20"/>
        </w:rPr>
        <w:t>Journal of Public Administration and Governance,</w:t>
      </w:r>
      <w:r>
        <w:rPr>
          <w:rStyle w:val="s1"/>
          <w:sz w:val="20"/>
          <w:szCs w:val="20"/>
        </w:rPr>
        <w:t xml:space="preserve"> 9(1) 2019. &lt; https://www.macrothink.org/journal/index.php/jpag/article/view/14404&gt;  accessed 19 June 2026.</w:t>
      </w:r>
    </w:p>
  </w:footnote>
  <w:footnote w:id="69">
    <w:p w:rsidR="00453B03" w:rsidRDefault="00453B03">
      <w:pPr>
        <w:pStyle w:val="p1"/>
        <w:spacing w:before="0" w:beforeAutospacing="0" w:after="0" w:afterAutospacing="0"/>
        <w:ind w:left="180" w:hanging="180"/>
        <w:rPr>
          <w:sz w:val="20"/>
          <w:szCs w:val="20"/>
        </w:rPr>
      </w:pPr>
      <w:r>
        <w:rPr>
          <w:rStyle w:val="FootnoteReference"/>
          <w:sz w:val="20"/>
          <w:szCs w:val="20"/>
        </w:rPr>
        <w:footnoteRef/>
      </w:r>
      <w:r>
        <w:rPr>
          <w:sz w:val="20"/>
          <w:szCs w:val="20"/>
        </w:rPr>
        <w:t xml:space="preserve"> </w:t>
      </w:r>
      <w:r>
        <w:rPr>
          <w:rStyle w:val="s1"/>
          <w:sz w:val="20"/>
          <w:szCs w:val="20"/>
        </w:rPr>
        <w:t xml:space="preserve">Folarin Abiodun Philip and Ajala Taiwo, “Limiting the Statute of Limitation: An Agenda for Reform”, </w:t>
      </w:r>
      <w:r>
        <w:rPr>
          <w:rStyle w:val="s1"/>
          <w:i/>
          <w:iCs/>
          <w:sz w:val="20"/>
          <w:szCs w:val="20"/>
        </w:rPr>
        <w:t>The Journal of Private and Property Law</w:t>
      </w:r>
      <w:r>
        <w:rPr>
          <w:rStyle w:val="s1"/>
          <w:sz w:val="20"/>
          <w:szCs w:val="20"/>
        </w:rPr>
        <w:t>, University of Lagos, 2017. Available at: https://ssrn.com/abstract=3057933, accessed 19 June 2026.</w:t>
      </w:r>
    </w:p>
  </w:footnote>
  <w:footnote w:id="70">
    <w:p w:rsidR="00453B03" w:rsidRDefault="00453B03">
      <w:pPr>
        <w:pStyle w:val="p1"/>
        <w:spacing w:before="0" w:beforeAutospacing="0" w:after="0" w:afterAutospacing="0"/>
        <w:ind w:left="180" w:hanging="180"/>
        <w:rPr>
          <w:sz w:val="20"/>
          <w:szCs w:val="20"/>
        </w:rPr>
      </w:pPr>
      <w:r>
        <w:rPr>
          <w:rStyle w:val="FootnoteReference"/>
          <w:sz w:val="20"/>
          <w:szCs w:val="20"/>
        </w:rPr>
        <w:footnoteRef/>
      </w:r>
      <w:r>
        <w:rPr>
          <w:sz w:val="20"/>
          <w:szCs w:val="20"/>
        </w:rPr>
        <w:t xml:space="preserve"> </w:t>
      </w:r>
      <w:r>
        <w:rPr>
          <w:rStyle w:val="s1"/>
          <w:sz w:val="20"/>
          <w:szCs w:val="20"/>
        </w:rPr>
        <w:t xml:space="preserve">Josephine Aladi Achor Agbonika, “The Statute of Limitation and its Applicability to Tax Matters”, </w:t>
      </w:r>
      <w:r>
        <w:rPr>
          <w:rStyle w:val="s1"/>
          <w:i/>
          <w:iCs/>
          <w:sz w:val="20"/>
          <w:szCs w:val="20"/>
        </w:rPr>
        <w:t xml:space="preserve">KIU Journal of Humanities, </w:t>
      </w:r>
      <w:r>
        <w:rPr>
          <w:rStyle w:val="s1"/>
          <w:sz w:val="20"/>
          <w:szCs w:val="20"/>
        </w:rPr>
        <w:t xml:space="preserve"> 3 (1) 2018. Available at: https://www.niujournals.ac.ug/ojs/index.php/niuhums/article/view/260, accessed 19 June</w:t>
      </w:r>
      <w:r>
        <w:rPr>
          <w:rStyle w:val="apple-converted-space"/>
          <w:sz w:val="20"/>
          <w:szCs w:val="20"/>
        </w:rPr>
        <w:t> 2026.</w:t>
      </w:r>
    </w:p>
  </w:footnote>
  <w:footnote w:id="71">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(1998) 14 NWLR (Pt. 584) 1.</w:t>
      </w:r>
    </w:p>
  </w:footnote>
  <w:footnote w:id="72">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(1987) 1 NWLR (Pt. 47) 1.</w:t>
      </w:r>
    </w:p>
  </w:footnote>
  <w:footnote w:id="73">
    <w:p w:rsidR="00453B03" w:rsidRDefault="00453B03">
      <w:pPr>
        <w:pStyle w:val="p1"/>
        <w:spacing w:before="0" w:beforeAutospacing="0" w:after="0" w:afterAutospacing="0"/>
        <w:ind w:left="180" w:hanging="180"/>
        <w:rPr>
          <w:sz w:val="20"/>
          <w:szCs w:val="20"/>
        </w:rPr>
      </w:pPr>
      <w:r>
        <w:rPr>
          <w:rStyle w:val="FootnoteReference"/>
          <w:sz w:val="20"/>
          <w:szCs w:val="20"/>
        </w:rPr>
        <w:footnoteRef/>
      </w:r>
      <w:r>
        <w:rPr>
          <w:sz w:val="20"/>
          <w:szCs w:val="20"/>
        </w:rPr>
        <w:t xml:space="preserve"> </w:t>
      </w:r>
      <w:r>
        <w:rPr>
          <w:rStyle w:val="s1"/>
          <w:sz w:val="20"/>
          <w:szCs w:val="20"/>
        </w:rPr>
        <w:t xml:space="preserve">Chukwuebuka S. Okeke, “Constitutionality of the Public Officers Protection Act: A Fresh Look at the Principles of Reasonableness and Proportionality”, </w:t>
      </w:r>
      <w:r>
        <w:rPr>
          <w:rStyle w:val="s1"/>
          <w:i/>
          <w:iCs/>
          <w:sz w:val="20"/>
          <w:szCs w:val="20"/>
        </w:rPr>
        <w:t>NILDS Journal of Law Review</w:t>
      </w:r>
      <w:r>
        <w:rPr>
          <w:rStyle w:val="s1"/>
          <w:sz w:val="20"/>
          <w:szCs w:val="20"/>
        </w:rPr>
        <w:t>, 2019. Available at: https://ir.nilds.gov.ng/handle/123456789/398, accessed 19 June 2026.</w:t>
      </w:r>
    </w:p>
    <w:p w:rsidR="00453B03" w:rsidRDefault="00453B03">
      <w:pPr>
        <w:pStyle w:val="FootnoteText"/>
        <w:spacing w:after="0" w:line="240" w:lineRule="auto"/>
        <w:ind w:left="180" w:hanging="180"/>
        <w:rPr>
          <w:rFonts w:ascii="Times New Roman" w:hAnsi="Times New Roman"/>
        </w:rPr>
      </w:pPr>
    </w:p>
  </w:footnote>
  <w:footnote w:id="74">
    <w:p w:rsidR="00453B03" w:rsidRDefault="00453B03">
      <w:pPr>
        <w:pStyle w:val="p1"/>
        <w:spacing w:before="0" w:beforeAutospacing="0" w:after="0" w:afterAutospacing="0"/>
        <w:ind w:left="180" w:hanging="180"/>
        <w:rPr>
          <w:sz w:val="20"/>
          <w:szCs w:val="20"/>
        </w:rPr>
      </w:pPr>
      <w:r>
        <w:rPr>
          <w:rStyle w:val="FootnoteReference"/>
          <w:sz w:val="20"/>
          <w:szCs w:val="20"/>
        </w:rPr>
        <w:footnoteRef/>
      </w:r>
      <w:r>
        <w:rPr>
          <w:sz w:val="20"/>
          <w:szCs w:val="20"/>
        </w:rPr>
        <w:t xml:space="preserve"> </w:t>
      </w:r>
      <w:r>
        <w:rPr>
          <w:rStyle w:val="s1"/>
          <w:sz w:val="20"/>
          <w:szCs w:val="20"/>
        </w:rPr>
        <w:t xml:space="preserve">H.W.R. Wade and C.F. Forsyth, </w:t>
      </w:r>
      <w:r>
        <w:rPr>
          <w:rStyle w:val="s1"/>
          <w:i/>
          <w:iCs/>
          <w:sz w:val="20"/>
          <w:szCs w:val="20"/>
        </w:rPr>
        <w:t xml:space="preserve">Administrative Law </w:t>
      </w:r>
      <w:r>
        <w:rPr>
          <w:rStyle w:val="s1"/>
          <w:sz w:val="20"/>
          <w:szCs w:val="20"/>
        </w:rPr>
        <w:t>(11th Edition, Oxford, Oxford University Press, 2014) p. 650.</w:t>
      </w:r>
    </w:p>
  </w:footnote>
  <w:footnote w:id="75">
    <w:p w:rsidR="00453B03" w:rsidRDefault="00453B03">
      <w:pPr>
        <w:pStyle w:val="p1"/>
        <w:spacing w:before="0" w:beforeAutospacing="0" w:after="0" w:afterAutospacing="0"/>
        <w:ind w:left="180" w:hanging="180"/>
        <w:rPr>
          <w:sz w:val="20"/>
          <w:szCs w:val="20"/>
        </w:rPr>
      </w:pPr>
      <w:r>
        <w:rPr>
          <w:rStyle w:val="FootnoteReference"/>
          <w:sz w:val="20"/>
          <w:szCs w:val="20"/>
        </w:rPr>
        <w:footnoteRef/>
      </w:r>
      <w:r>
        <w:rPr>
          <w:sz w:val="20"/>
          <w:szCs w:val="20"/>
        </w:rPr>
        <w:t xml:space="preserve"> </w:t>
      </w:r>
      <w:r>
        <w:rPr>
          <w:rStyle w:val="s1"/>
          <w:sz w:val="20"/>
          <w:szCs w:val="20"/>
        </w:rPr>
        <w:t xml:space="preserve">Harry Woolf, Jeffrey Jowell and Andrew Le Sueur, </w:t>
      </w:r>
      <w:r>
        <w:rPr>
          <w:rStyle w:val="s1"/>
          <w:i/>
          <w:iCs/>
          <w:sz w:val="20"/>
          <w:szCs w:val="20"/>
        </w:rPr>
        <w:t>De Smith’s Judicial Review</w:t>
      </w:r>
      <w:r>
        <w:rPr>
          <w:rStyle w:val="s1"/>
          <w:sz w:val="20"/>
          <w:szCs w:val="20"/>
        </w:rPr>
        <w:t xml:space="preserve"> (8th Edition, London, Sweet &amp; Maxwell, 2018) p. 557.</w:t>
      </w:r>
    </w:p>
  </w:footnote>
  <w:footnote w:id="76">
    <w:p w:rsidR="00453B03" w:rsidRDefault="00453B03">
      <w:pPr>
        <w:pStyle w:val="p1"/>
        <w:spacing w:before="0" w:beforeAutospacing="0" w:after="0" w:afterAutospacing="0"/>
        <w:ind w:left="180" w:hanging="180"/>
        <w:rPr>
          <w:sz w:val="20"/>
          <w:szCs w:val="20"/>
        </w:rPr>
      </w:pPr>
      <w:r>
        <w:rPr>
          <w:rStyle w:val="FootnoteReference"/>
          <w:sz w:val="20"/>
          <w:szCs w:val="20"/>
        </w:rPr>
        <w:footnoteRef/>
      </w:r>
      <w:r>
        <w:rPr>
          <w:sz w:val="20"/>
          <w:szCs w:val="20"/>
        </w:rPr>
        <w:t xml:space="preserve"> </w:t>
      </w:r>
      <w:r>
        <w:rPr>
          <w:rStyle w:val="s1"/>
          <w:sz w:val="20"/>
          <w:szCs w:val="20"/>
        </w:rPr>
        <w:t xml:space="preserve">Enobong Mbang Akpambang, “Immunities and Tenures of Office in the Three Arms of Government in Nigeria: Legal Perspective”, </w:t>
      </w:r>
      <w:r>
        <w:rPr>
          <w:rStyle w:val="s1"/>
          <w:i/>
          <w:iCs/>
          <w:sz w:val="20"/>
          <w:szCs w:val="20"/>
        </w:rPr>
        <w:t xml:space="preserve">Global Journal of Politics and Law Research </w:t>
      </w:r>
      <w:r>
        <w:rPr>
          <w:rStyle w:val="s1"/>
          <w:sz w:val="20"/>
          <w:szCs w:val="20"/>
        </w:rPr>
        <w:t>4 (4) 2016. Available at: https://eajournals.org/gjplr/vol-4-issue-4-july-2016/immunities-tenures-office-three-arms-government-nigeria-legal-perspective/, accessed 19 June 2026.</w:t>
      </w:r>
    </w:p>
  </w:footnote>
  <w:footnote w:id="77">
    <w:p w:rsidR="00453B03" w:rsidRDefault="00453B03">
      <w:pPr>
        <w:pStyle w:val="p1"/>
        <w:spacing w:before="0" w:beforeAutospacing="0" w:after="0" w:afterAutospacing="0"/>
        <w:ind w:left="180" w:hanging="180"/>
        <w:rPr>
          <w:sz w:val="20"/>
          <w:szCs w:val="20"/>
        </w:rPr>
      </w:pPr>
      <w:r>
        <w:rPr>
          <w:rStyle w:val="FootnoteReference"/>
          <w:sz w:val="20"/>
          <w:szCs w:val="20"/>
        </w:rPr>
        <w:footnoteRef/>
      </w:r>
      <w:r>
        <w:rPr>
          <w:sz w:val="20"/>
          <w:szCs w:val="20"/>
        </w:rPr>
        <w:t xml:space="preserve"> </w:t>
      </w:r>
      <w:r>
        <w:rPr>
          <w:rStyle w:val="s1"/>
          <w:sz w:val="20"/>
          <w:szCs w:val="20"/>
        </w:rPr>
        <w:t xml:space="preserve">B.O. Nwabueze, </w:t>
      </w:r>
      <w:r>
        <w:rPr>
          <w:rStyle w:val="s1"/>
          <w:i/>
          <w:iCs/>
          <w:sz w:val="20"/>
          <w:szCs w:val="20"/>
        </w:rPr>
        <w:t xml:space="preserve">Constitutionalism in the Emergent States </w:t>
      </w:r>
      <w:r>
        <w:rPr>
          <w:rStyle w:val="s1"/>
          <w:sz w:val="20"/>
          <w:szCs w:val="20"/>
        </w:rPr>
        <w:t>(London, C. Hurst &amp; Company, 1973) p. 276.</w:t>
      </w:r>
    </w:p>
  </w:footnote>
  <w:footnote w:id="78">
    <w:p w:rsidR="00453B03" w:rsidRDefault="00453B03">
      <w:pPr>
        <w:pStyle w:val="FootnoteText"/>
        <w:spacing w:after="0" w:line="240" w:lineRule="auto"/>
        <w:ind w:left="180" w:hanging="180"/>
        <w:rPr>
          <w:rStyle w:val="s1"/>
          <w:rFonts w:ascii="Times New Roman" w:hAnsi="Times New Roman"/>
          <w:lang w:eastAsia="en-GB"/>
        </w:rPr>
      </w:pPr>
      <w:r>
        <w:rPr>
          <w:rStyle w:val="FootnoteReference"/>
          <w:rFonts w:ascii="Times New Roman" w:hAnsi="Times New Roman"/>
        </w:rPr>
        <w:footnoteRef/>
      </w:r>
      <w:r>
        <w:rPr>
          <w:rFonts w:ascii="Times New Roman" w:hAnsi="Times New Roman"/>
        </w:rPr>
        <w:t xml:space="preserve"> </w:t>
      </w:r>
      <w:r>
        <w:rPr>
          <w:rStyle w:val="s1"/>
          <w:rFonts w:ascii="Times New Roman" w:hAnsi="Times New Roman"/>
          <w:lang w:eastAsia="en-GB"/>
        </w:rPr>
        <w:t>(2001) 16 NWLR (Pt. 740) 670.</w:t>
      </w:r>
    </w:p>
  </w:footnote>
  <w:footnote w:id="79">
    <w:p w:rsidR="00453B03" w:rsidRDefault="00453B03">
      <w:pPr>
        <w:pStyle w:val="FootnoteText"/>
        <w:spacing w:after="0" w:line="240" w:lineRule="auto"/>
        <w:ind w:left="180" w:hanging="180"/>
        <w:rPr>
          <w:rStyle w:val="s1"/>
          <w:rFonts w:ascii="Times New Roman" w:hAnsi="Times New Roman"/>
          <w:lang w:eastAsia="en-GB"/>
        </w:rPr>
      </w:pPr>
      <w:r>
        <w:rPr>
          <w:rStyle w:val="FootnoteReference"/>
          <w:rFonts w:ascii="Times New Roman" w:hAnsi="Times New Roman"/>
        </w:rPr>
        <w:footnoteRef/>
      </w:r>
      <w:r>
        <w:rPr>
          <w:rFonts w:ascii="Times New Roman" w:hAnsi="Times New Roman"/>
        </w:rPr>
        <w:t xml:space="preserve"> </w:t>
      </w:r>
      <w:r>
        <w:rPr>
          <w:rStyle w:val="s1"/>
          <w:rFonts w:ascii="Times New Roman" w:hAnsi="Times New Roman"/>
          <w:lang w:eastAsia="en-GB"/>
        </w:rPr>
        <w:t>(2002) 7 NWLR (Pt. 767) 606.</w:t>
      </w:r>
    </w:p>
  </w:footnote>
  <w:footnote w:id="80">
    <w:p w:rsidR="00453B03" w:rsidRDefault="00453B03">
      <w:pPr>
        <w:pStyle w:val="p1"/>
        <w:spacing w:before="0" w:beforeAutospacing="0" w:after="0" w:afterAutospacing="0"/>
        <w:ind w:left="180" w:hanging="180"/>
        <w:rPr>
          <w:sz w:val="20"/>
          <w:szCs w:val="20"/>
        </w:rPr>
      </w:pPr>
      <w:r>
        <w:rPr>
          <w:rStyle w:val="FootnoteReference"/>
          <w:sz w:val="20"/>
          <w:szCs w:val="20"/>
        </w:rPr>
        <w:footnoteRef/>
      </w:r>
      <w:r>
        <w:rPr>
          <w:sz w:val="20"/>
          <w:szCs w:val="20"/>
        </w:rPr>
        <w:t xml:space="preserve"> </w:t>
      </w:r>
      <w:r>
        <w:rPr>
          <w:rStyle w:val="s1"/>
          <w:sz w:val="20"/>
          <w:szCs w:val="20"/>
        </w:rPr>
        <w:t xml:space="preserve">F.N. Ukoh and Rita Abhavan Ngwoke, “Immunity Clause under the 1999 Constitution of Nigeria: A Dire Need for Reform”, </w:t>
      </w:r>
      <w:r>
        <w:rPr>
          <w:rStyle w:val="s1"/>
          <w:i/>
          <w:iCs/>
          <w:sz w:val="20"/>
          <w:szCs w:val="20"/>
        </w:rPr>
        <w:t>Journal of Politics and Law</w:t>
      </w:r>
      <w:r>
        <w:rPr>
          <w:rStyle w:val="s1"/>
          <w:sz w:val="20"/>
          <w:szCs w:val="20"/>
        </w:rPr>
        <w:t>14 (2) 2020. Available at: https://www.researchgate.net/publication/348013456_Immunity_Clause_under_the_1999_Constitution_of_Nigeria_A_Dire_Need_for_Reform, accessed 19 June 2026.</w:t>
      </w:r>
    </w:p>
  </w:footnote>
  <w:footnote w:id="81">
    <w:p w:rsidR="00453B03" w:rsidRDefault="00453B03">
      <w:pPr>
        <w:pStyle w:val="p1"/>
        <w:spacing w:before="0" w:beforeAutospacing="0" w:after="0" w:afterAutospacing="0"/>
        <w:ind w:left="180" w:hanging="180"/>
        <w:rPr>
          <w:sz w:val="20"/>
          <w:szCs w:val="20"/>
        </w:rPr>
      </w:pPr>
      <w:r>
        <w:rPr>
          <w:rStyle w:val="FootnoteReference"/>
          <w:sz w:val="20"/>
          <w:szCs w:val="20"/>
        </w:rPr>
        <w:footnoteRef/>
      </w:r>
      <w:r>
        <w:rPr>
          <w:sz w:val="20"/>
          <w:szCs w:val="20"/>
        </w:rPr>
        <w:t xml:space="preserve"> </w:t>
      </w:r>
      <w:r>
        <w:rPr>
          <w:rStyle w:val="s1"/>
          <w:sz w:val="20"/>
          <w:szCs w:val="20"/>
        </w:rPr>
        <w:t xml:space="preserve">Giorgio Agamben, </w:t>
      </w:r>
      <w:r>
        <w:rPr>
          <w:rStyle w:val="s1"/>
          <w:i/>
          <w:iCs/>
          <w:sz w:val="20"/>
          <w:szCs w:val="20"/>
        </w:rPr>
        <w:t>State of Exception</w:t>
      </w:r>
      <w:r>
        <w:rPr>
          <w:rStyle w:val="s1"/>
          <w:sz w:val="20"/>
          <w:szCs w:val="20"/>
        </w:rPr>
        <w:t xml:space="preserve"> (Chicago, University of Chicago Press, 2005) p. 2.</w:t>
      </w:r>
    </w:p>
  </w:footnote>
  <w:footnote w:id="82">
    <w:p w:rsidR="00453B03" w:rsidRDefault="00453B03">
      <w:pPr>
        <w:pStyle w:val="p1"/>
        <w:spacing w:before="0" w:beforeAutospacing="0" w:after="0" w:afterAutospacing="0"/>
        <w:ind w:left="180" w:hanging="180"/>
      </w:pPr>
      <w:r>
        <w:rPr>
          <w:rStyle w:val="FootnoteReference"/>
          <w:sz w:val="20"/>
          <w:szCs w:val="20"/>
        </w:rPr>
        <w:footnoteRef/>
      </w:r>
      <w:r>
        <w:rPr>
          <w:sz w:val="20"/>
          <w:szCs w:val="20"/>
        </w:rPr>
        <w:t xml:space="preserve"> Carl Schmitt, </w:t>
      </w:r>
      <w:r>
        <w:rPr>
          <w:i/>
          <w:iCs/>
          <w:sz w:val="20"/>
          <w:szCs w:val="20"/>
        </w:rPr>
        <w:t>Political Theology: Four Chapters on the Concept of Sovereignty</w:t>
      </w:r>
      <w:r>
        <w:rPr>
          <w:sz w:val="20"/>
          <w:szCs w:val="20"/>
        </w:rPr>
        <w:t xml:space="preserve"> (University of Chicago Press 2005) 5.</w:t>
      </w:r>
    </w:p>
  </w:footnote>
  <w:footnote w:id="83">
    <w:p w:rsidR="00453B03" w:rsidRDefault="00453B03">
      <w:pPr>
        <w:pStyle w:val="FootnoteText"/>
        <w:spacing w:after="0" w:line="240" w:lineRule="auto"/>
        <w:ind w:left="180" w:hanging="180"/>
        <w:rPr>
          <w:rStyle w:val="s1"/>
          <w:rFonts w:ascii="Times New Roman" w:hAnsi="Times New Roman"/>
          <w:lang w:eastAsia="en-GB"/>
        </w:rPr>
      </w:pPr>
      <w:r>
        <w:rPr>
          <w:rStyle w:val="FootnoteReference"/>
          <w:rFonts w:ascii="Times New Roman" w:hAnsi="Times New Roman"/>
        </w:rPr>
        <w:footnoteRef/>
      </w:r>
      <w:r>
        <w:rPr>
          <w:rFonts w:ascii="Times New Roman" w:hAnsi="Times New Roman"/>
        </w:rPr>
        <w:t xml:space="preserve"> </w:t>
      </w:r>
      <w:r>
        <w:rPr>
          <w:rStyle w:val="s1"/>
          <w:rFonts w:ascii="Times New Roman" w:hAnsi="Times New Roman"/>
          <w:lang w:eastAsia="en-GB"/>
        </w:rPr>
        <w:t>Public Officers Protection Act, Cap P41, Laws of the Federation of Nigeria 2004.</w:t>
      </w:r>
    </w:p>
  </w:footnote>
  <w:footnote w:id="84">
    <w:p w:rsidR="00453B03" w:rsidRDefault="00453B03">
      <w:pPr>
        <w:pStyle w:val="FootnoteText"/>
        <w:spacing w:after="0" w:line="240" w:lineRule="auto"/>
        <w:ind w:left="180" w:hanging="180"/>
        <w:rPr>
          <w:rStyle w:val="s1"/>
          <w:rFonts w:ascii="Times New Roman" w:hAnsi="Times New Roman"/>
          <w:lang w:eastAsia="en-GB"/>
        </w:rPr>
      </w:pPr>
      <w:r>
        <w:rPr>
          <w:rStyle w:val="FootnoteReference"/>
          <w:rFonts w:ascii="Times New Roman" w:hAnsi="Times New Roman"/>
        </w:rPr>
        <w:footnoteRef/>
      </w:r>
      <w:r>
        <w:rPr>
          <w:rFonts w:ascii="Times New Roman" w:hAnsi="Times New Roman"/>
        </w:rPr>
        <w:t xml:space="preserve"> </w:t>
      </w:r>
      <w:r>
        <w:rPr>
          <w:rStyle w:val="s1"/>
          <w:rFonts w:ascii="Times New Roman" w:hAnsi="Times New Roman"/>
          <w:lang w:eastAsia="en-GB"/>
        </w:rPr>
        <w:t>Constitution of the Federal Republic of Nigeria 1999 (as amended).</w:t>
      </w:r>
    </w:p>
  </w:footnote>
  <w:footnote w:id="85">
    <w:p w:rsidR="00453B03" w:rsidRDefault="00453B03">
      <w:pPr>
        <w:pStyle w:val="FootnoteText"/>
        <w:spacing w:after="0" w:line="240" w:lineRule="auto"/>
        <w:ind w:left="180" w:hanging="180"/>
        <w:rPr>
          <w:rStyle w:val="s1"/>
          <w:rFonts w:ascii="Times New Roman" w:hAnsi="Times New Roman"/>
          <w:lang w:eastAsia="en-GB"/>
        </w:rPr>
      </w:pPr>
      <w:r>
        <w:rPr>
          <w:rStyle w:val="FootnoteReference"/>
          <w:rFonts w:ascii="Times New Roman" w:hAnsi="Times New Roman"/>
        </w:rPr>
        <w:footnoteRef/>
      </w:r>
      <w:r>
        <w:rPr>
          <w:rFonts w:ascii="Times New Roman" w:hAnsi="Times New Roman"/>
        </w:rPr>
        <w:t xml:space="preserve"> </w:t>
      </w:r>
      <w:r>
        <w:rPr>
          <w:rStyle w:val="s1"/>
          <w:rFonts w:ascii="Times New Roman" w:hAnsi="Times New Roman"/>
          <w:lang w:eastAsia="en-GB"/>
        </w:rPr>
        <w:t>(2002) 7 NWLR (Pt. 767) 606.</w:t>
      </w:r>
    </w:p>
  </w:footnote>
  <w:footnote w:id="86">
    <w:p w:rsidR="00453B03" w:rsidRDefault="00453B03">
      <w:pPr>
        <w:pStyle w:val="FootnoteText"/>
        <w:spacing w:after="0" w:line="240" w:lineRule="auto"/>
        <w:ind w:left="180" w:hanging="180"/>
        <w:rPr>
          <w:rStyle w:val="s1"/>
          <w:rFonts w:ascii="Times New Roman" w:hAnsi="Times New Roman"/>
          <w:lang w:eastAsia="en-GB"/>
        </w:rPr>
      </w:pPr>
      <w:r>
        <w:rPr>
          <w:rStyle w:val="FootnoteReference"/>
          <w:rFonts w:ascii="Times New Roman" w:hAnsi="Times New Roman"/>
        </w:rPr>
        <w:footnoteRef/>
      </w:r>
      <w:r>
        <w:rPr>
          <w:rFonts w:ascii="Times New Roman" w:hAnsi="Times New Roman"/>
        </w:rPr>
        <w:t xml:space="preserve"> </w:t>
      </w:r>
      <w:r>
        <w:rPr>
          <w:rStyle w:val="s1"/>
          <w:rFonts w:ascii="Times New Roman" w:hAnsi="Times New Roman"/>
          <w:lang w:eastAsia="en-GB"/>
        </w:rPr>
        <w:t>(2019) 2 NWLR (Pt. 1656) 247.</w:t>
      </w:r>
    </w:p>
  </w:footnote>
  <w:footnote w:id="87">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Constitution of the Federal Republic of Nigeria 1999 (as amended).</w:t>
      </w:r>
    </w:p>
  </w:footnote>
  <w:footnote w:id="88">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Constitution of the Federal Republic of Nigeria 1999 as amended (2023).</w:t>
      </w:r>
    </w:p>
  </w:footnote>
  <w:footnote w:id="89">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(2007) 16 NWLR (Pt 1059) 22.</w:t>
      </w:r>
    </w:p>
  </w:footnote>
  <w:footnote w:id="90">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Constitution of the Federal Republic of Nigeria 1999 as Amended (2023).</w:t>
      </w:r>
    </w:p>
  </w:footnote>
  <w:footnote w:id="91">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Global Excellence Comm. Ltd v Duke (2007) 16 NWLR (Pt 1059) 22, cited in Samuel Adedayo, 'Can a Person with Immunity Under Section 308 of the Constitution of the Federal Republic of Nigeria, As Amended Waive His Right?' (LinkedIn 2019) &lt;https://www.linkedin.com/pulse/can-person-immunity-under-section-308-constitution-adedayo-samuel&gt;.</w:t>
      </w:r>
    </w:p>
  </w:footnote>
  <w:footnote w:id="92">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Constitution Of the Federal Republic of Nigeria 1999, As Amended(2023).</w:t>
      </w:r>
    </w:p>
  </w:footnote>
  <w:footnote w:id="93">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ibid.</w:t>
      </w:r>
    </w:p>
  </w:footnote>
  <w:footnote w:id="94">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Cap P26, Laws of Lagos State (LLSN) 2003</w:t>
      </w:r>
    </w:p>
  </w:footnote>
  <w:footnote w:id="95">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Limitation Act 1623(UK) otherwise known as Statute of Limitation 1623.</w:t>
      </w:r>
    </w:p>
  </w:footnote>
  <w:footnote w:id="96">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Cap P41, Laws of the Federation 2004.</w:t>
      </w:r>
    </w:p>
  </w:footnote>
  <w:footnote w:id="97">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Action against a Public Officer and Section 2(A) Of The Public Officers Protection Act: The case of Cil Risk &amp; Asset Management Ltd. V Ekiti State https://www.linkedin.com/pulse/action-against-public-officer-section-2a-officers-act-toye-latilo?utm_source=share&amp;utm_medium=member_android&amp;utm_campaign=share_via last accessed 20th June 2026.</w:t>
      </w:r>
    </w:p>
  </w:footnote>
  <w:footnote w:id="98">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CIL Risk v Assets Management ltd v Ekiti State Government &amp; 3 Ors (2020) 12 NWLR (Pt. 1738) 203.</w:t>
      </w:r>
    </w:p>
  </w:footnote>
  <w:footnote w:id="99">
    <w:p w:rsidR="00453B03" w:rsidRDefault="00453B03">
      <w:pPr>
        <w:pStyle w:val="FootnoteText"/>
        <w:rPr>
          <w:rStyle w:val="FootnoteReference"/>
          <w:rFonts w:ascii="Times New Roman" w:hAnsi="Times New Roman"/>
        </w:rPr>
      </w:pPr>
      <w:r>
        <w:rPr>
          <w:rStyle w:val="FootnoteReference"/>
        </w:rPr>
        <w:footnoteRef/>
      </w:r>
      <w:r>
        <w:t xml:space="preserve"> ibid</w:t>
      </w:r>
    </w:p>
  </w:footnote>
  <w:footnote w:id="100">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(1953) 20 NLR 169.</w:t>
      </w:r>
    </w:p>
  </w:footnote>
  <w:footnote w:id="101">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(2014) 16 NWLR (Pt. 1432) 160 at 212.</w:t>
      </w:r>
    </w:p>
  </w:footnote>
  <w:footnote w:id="102">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(2013) 3 NWLR (Pt. 1340) 123 at 150.</w:t>
      </w:r>
    </w:p>
  </w:footnote>
  <w:footnote w:id="103">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(2007) 9 NWLR (Pt. 1038) 66.</w:t>
      </w:r>
    </w:p>
  </w:footnote>
  <w:footnote w:id="104">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(1969) NCLR 385 at 390.</w:t>
      </w:r>
    </w:p>
  </w:footnote>
  <w:footnote w:id="105">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(2014) 7 NWLR (Pt. 1407) 500 at 534.</w:t>
      </w:r>
    </w:p>
  </w:footnote>
  <w:footnote w:id="106">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(2001) 16 NWLR (Pt. 739) 458 at 485.</w:t>
      </w:r>
    </w:p>
  </w:footnote>
  <w:footnote w:id="107">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(2010) 17 NWLR (Pt 1223) 547 at 622.</w:t>
      </w:r>
    </w:p>
  </w:footnote>
  <w:footnote w:id="108">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(1981) NGSC 3 (SC).</w:t>
      </w:r>
    </w:p>
  </w:footnote>
  <w:footnote w:id="109">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[2018] 16 NWLR (pt 1646) 405.</w:t>
      </w:r>
    </w:p>
  </w:footnote>
  <w:footnote w:id="110">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Cap C13 LFN 2004.</w:t>
      </w:r>
    </w:p>
  </w:footnote>
  <w:footnote w:id="111">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Corrupt Practices and other Related Offences Act, s13.</w:t>
      </w:r>
    </w:p>
  </w:footnote>
  <w:footnote w:id="112">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Ibid s14.</w:t>
      </w:r>
    </w:p>
  </w:footnote>
  <w:footnote w:id="113">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Ibid s15.</w:t>
      </w:r>
    </w:p>
  </w:footnote>
  <w:footnote w:id="114">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Ibid s16.</w:t>
      </w:r>
    </w:p>
  </w:footnote>
  <w:footnote w:id="115">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Ibid s17.</w:t>
      </w:r>
    </w:p>
  </w:footnote>
  <w:footnote w:id="116">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Ibid s20.</w:t>
      </w:r>
    </w:p>
  </w:footnote>
  <w:footnote w:id="117">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Ibid s21.</w:t>
      </w:r>
    </w:p>
  </w:footnote>
  <w:footnote w:id="118">
    <w:p w:rsidR="00453B03" w:rsidRDefault="00453B03">
      <w:pPr>
        <w:pStyle w:val="FootnoteText"/>
        <w:spacing w:after="0" w:line="240" w:lineRule="auto"/>
        <w:ind w:left="180" w:hanging="180"/>
        <w:rPr>
          <w:rFonts w:ascii="Times New Roman" w:hAnsi="Times New Roman"/>
          <w:i/>
          <w:iCs/>
        </w:rPr>
      </w:pPr>
      <w:r>
        <w:rPr>
          <w:rStyle w:val="FootnoteReference"/>
          <w:rFonts w:ascii="Times New Roman" w:hAnsi="Times New Roman"/>
        </w:rPr>
        <w:footnoteRef/>
      </w:r>
      <w:r>
        <w:rPr>
          <w:rFonts w:ascii="Times New Roman" w:hAnsi="Times New Roman"/>
        </w:rPr>
        <w:t xml:space="preserve"> C Nwigwe Esq, Impediments to the Enforcement of Anti-corruption laws in Nigeria: A legal perspective.</w:t>
      </w:r>
    </w:p>
  </w:footnote>
  <w:footnote w:id="119">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Cap 39, Laws of the Federation and Lagos 1959.</w:t>
      </w:r>
    </w:p>
  </w:footnote>
  <w:footnote w:id="120">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K M Mowoe, </w:t>
      </w:r>
      <w:r>
        <w:rPr>
          <w:rFonts w:ascii="Times New Roman" w:hAnsi="Times New Roman"/>
          <w:i/>
          <w:iCs/>
        </w:rPr>
        <w:t>Constitutional Law in Nigeria (</w:t>
      </w:r>
      <w:r>
        <w:rPr>
          <w:rFonts w:ascii="Times New Roman" w:hAnsi="Times New Roman"/>
        </w:rPr>
        <w:t>Malthouse press limited, Lagos 2008) p. 235.</w:t>
      </w:r>
    </w:p>
  </w:footnote>
  <w:footnote w:id="121">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A E Chukwu, Immunity of Public officers under the 1999 Constitution of the Federal Republic of Nigeria, </w:t>
      </w:r>
      <w:r>
        <w:rPr>
          <w:rFonts w:ascii="Times New Roman" w:hAnsi="Times New Roman"/>
          <w:i/>
          <w:iCs/>
        </w:rPr>
        <w:t>Journal of Private and Commercial Law</w:t>
      </w:r>
      <w:r>
        <w:rPr>
          <w:rFonts w:ascii="Times New Roman" w:hAnsi="Times New Roman"/>
        </w:rPr>
        <w:t>, Faculty of Law UNAD (2008) (1) 81.</w:t>
      </w:r>
    </w:p>
  </w:footnote>
  <w:footnote w:id="122">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Interpretation Act (cap 39, Laws of Federation of Nigeria and Lagos,1959). s 45</w:t>
      </w:r>
    </w:p>
  </w:footnote>
  <w:footnote w:id="123">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(2003) 4 NWLR (pt. 811) 540 at 551 per Aboki JCA (CA).</w:t>
      </w:r>
    </w:p>
  </w:footnote>
  <w:footnote w:id="124">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(2013) 9 NWLR (Pt. 1360) 478.</w:t>
      </w:r>
    </w:p>
  </w:footnote>
  <w:footnote w:id="125">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O C Agu &amp; C F Ude, Application and Scope of the Public Officers Protection Act in Nigeria: A Critique AJCAL 3 (2019).</w:t>
      </w:r>
    </w:p>
  </w:footnote>
  <w:footnote w:id="126">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[1998] 14 NWLR (Pt. 584).</w:t>
      </w:r>
    </w:p>
  </w:footnote>
  <w:footnote w:id="127">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O C Agu &amp; C F Ude, Application and Scope of the Public Officers Protection Act in Nigeria: A Critique AJCAL 3 (2019).</w:t>
      </w:r>
    </w:p>
  </w:footnote>
  <w:footnote w:id="128">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(1991) 3 NWLR (Pt.179) 258. But it does not afford protection for conduct that is criminal or acts done outside the scope of employment. See, Yabugbe v C.O.P (1992) 4 NWLR(Pt.234) 152.</w:t>
      </w:r>
    </w:p>
  </w:footnote>
  <w:footnote w:id="129">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(ibid) at page 149, paras F - G.</w:t>
      </w:r>
    </w:p>
  </w:footnote>
  <w:footnote w:id="130">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Cap P26, Laws of Lagos State (LLSN) 2003.</w:t>
      </w:r>
    </w:p>
  </w:footnote>
  <w:footnote w:id="131">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(2013) 3 NWLR (Pt.1340) 123 at 148, para. G.</w:t>
      </w:r>
    </w:p>
  </w:footnote>
  <w:footnote w:id="132">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(1961) 1 ALL NLR 135. Alfa v Atanda (1993) 5 pt. 269, p. 729 CA.</w:t>
      </w:r>
    </w:p>
  </w:footnote>
  <w:footnote w:id="133">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(1998) 14 NWLR Pt.584 p 1 SC.</w:t>
      </w:r>
    </w:p>
  </w:footnote>
  <w:footnote w:id="134">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Ese Malemi, </w:t>
      </w:r>
      <w:r>
        <w:rPr>
          <w:rFonts w:ascii="Times New Roman" w:hAnsi="Times New Roman"/>
          <w:i/>
          <w:iCs/>
        </w:rPr>
        <w:t xml:space="preserve">Administration Law, </w:t>
      </w:r>
      <w:r>
        <w:rPr>
          <w:rFonts w:ascii="Times New Roman" w:hAnsi="Times New Roman"/>
        </w:rPr>
        <w:t>(5</w:t>
      </w:r>
      <w:r>
        <w:rPr>
          <w:rFonts w:ascii="Times New Roman" w:hAnsi="Times New Roman"/>
          <w:vertAlign w:val="superscript"/>
        </w:rPr>
        <w:t>th</w:t>
      </w:r>
      <w:r>
        <w:rPr>
          <w:rFonts w:ascii="Times New Roman" w:hAnsi="Times New Roman"/>
        </w:rPr>
        <w:t xml:space="preserve"> edition 2022 Princeton p. 634-635)</w:t>
      </w:r>
    </w:p>
  </w:footnote>
  <w:footnote w:id="135">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(1977) 11 NSCC 365.</w:t>
      </w:r>
    </w:p>
  </w:footnote>
  <w:footnote w:id="136">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[1998] 14 NWLR (Pt. 584).</w:t>
      </w:r>
    </w:p>
  </w:footnote>
  <w:footnote w:id="137">
    <w:p w:rsidR="00453B03" w:rsidRDefault="00453B03">
      <w:pPr>
        <w:pStyle w:val="FootnoteText"/>
        <w:spacing w:after="0" w:line="240" w:lineRule="auto"/>
        <w:ind w:left="180" w:hanging="180"/>
        <w:rPr>
          <w:rStyle w:val="FootnoteReference"/>
          <w:rFonts w:ascii="Times New Roman" w:hAnsi="Times New Roman"/>
        </w:rPr>
      </w:pPr>
      <w:r>
        <w:rPr>
          <w:rStyle w:val="FootnoteReference"/>
          <w:rFonts w:ascii="Times New Roman" w:hAnsi="Times New Roman"/>
        </w:rPr>
        <w:footnoteRef/>
      </w:r>
      <w:r>
        <w:rPr>
          <w:rFonts w:ascii="Times New Roman" w:hAnsi="Times New Roman"/>
        </w:rPr>
        <w:t xml:space="preserve"> (1977) 11 NSCC 365.</w:t>
      </w:r>
    </w:p>
  </w:footnote>
  <w:footnote w:id="138">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(2023) 1 NWLR 549.</w:t>
      </w:r>
    </w:p>
  </w:footnote>
  <w:footnote w:id="139">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Public Officers Protection Act, Cap P26, Laws of,Lagos State (LLSN) 2003.</w:t>
      </w:r>
    </w:p>
  </w:footnote>
  <w:footnote w:id="140">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LSP109: Public Officers Protection Act, &lt;https://thelegalstandpoint.law.blog/2023/04/&gt; last accessed 20th June 2026.</w:t>
      </w:r>
    </w:p>
  </w:footnote>
  <w:footnote w:id="141">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(2001) 16 NWLR (PT. 739) 458.</w:t>
      </w:r>
    </w:p>
  </w:footnote>
  <w:footnote w:id="142">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(2018) LPELR-46346 SC.</w:t>
      </w:r>
    </w:p>
  </w:footnote>
  <w:footnote w:id="143">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LSP109: Public Officers Protection Act, &lt;https://thelegalstandpoint.law.blog/2023/04/&gt; last accessed 19</w:t>
      </w:r>
      <w:r>
        <w:rPr>
          <w:rFonts w:ascii="Times New Roman" w:hAnsi="Times New Roman"/>
          <w:vertAlign w:val="superscript"/>
        </w:rPr>
        <w:t>th</w:t>
      </w:r>
      <w:r>
        <w:rPr>
          <w:rFonts w:ascii="Times New Roman" w:hAnsi="Times New Roman"/>
        </w:rPr>
        <w:t xml:space="preserve"> June 2026.</w:t>
      </w:r>
    </w:p>
  </w:footnote>
  <w:footnote w:id="144">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(2013) 3 NWLR (Pt.1340) 123 at pages 148-149, paras. H-A.</w:t>
      </w:r>
    </w:p>
  </w:footnote>
  <w:footnote w:id="145">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(2015) LPELR-24839 (SC).</w:t>
      </w:r>
    </w:p>
  </w:footnote>
  <w:footnote w:id="146">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(2002) 18 NWLR (PT.798) 162.</w:t>
      </w:r>
    </w:p>
  </w:footnote>
  <w:footnote w:id="147">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(ibid) at page 149, paras F - G.</w:t>
      </w:r>
    </w:p>
  </w:footnote>
  <w:footnote w:id="148">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(1967) NWLR 45 at 49.</w:t>
      </w:r>
    </w:p>
  </w:footnote>
  <w:footnote w:id="149">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(2008) 10 NWLR (Pt. 1095) 278m at 290 - 291.</w:t>
      </w:r>
    </w:p>
  </w:footnote>
  <w:footnote w:id="150">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(2018) LPELR-43912(SC).   </w:t>
      </w:r>
    </w:p>
  </w:footnote>
  <w:footnote w:id="151">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(ibid) p. 150, paras. A-C. </w:t>
      </w:r>
    </w:p>
  </w:footnote>
  <w:footnote w:id="152">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(2008) LPELR-CA/A/195/M/05, Mary U. Peter-Odili, J.C.A. (as she then was).</w:t>
      </w:r>
    </w:p>
  </w:footnote>
  <w:footnote w:id="153">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(2002) 18 NWLR (pt.798) 162 at 196.</w:t>
      </w:r>
    </w:p>
  </w:footnote>
  <w:footnote w:id="154">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See Okeke v Baba (2000) 3 Soule v L.E.D.B. (1965) LIR 118; Salako v L.E.D.B. (1953) 20 NLR 169.</w:t>
      </w:r>
    </w:p>
  </w:footnote>
  <w:footnote w:id="155">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(1974) 1 All NLR, 463.</w:t>
      </w:r>
    </w:p>
  </w:footnote>
  <w:footnote w:id="156">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Ibid.</w:t>
      </w:r>
    </w:p>
  </w:footnote>
  <w:footnote w:id="157">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Ibid.</w:t>
      </w:r>
    </w:p>
  </w:footnote>
  <w:footnote w:id="158">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See also Osun State Government v Dalami Nigeria Limited (Suit No: SC. 277/2002) 28 21 NLR 52.</w:t>
      </w:r>
    </w:p>
  </w:footnote>
  <w:footnote w:id="159">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21 NLR 52.</w:t>
      </w:r>
    </w:p>
  </w:footnote>
  <w:footnote w:id="160">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Public Officers Protection Act, Cap P26, Laws of Lagos State (LLSN) 2003.</w:t>
      </w:r>
    </w:p>
  </w:footnote>
  <w:footnote w:id="161">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Ibid</w:t>
      </w:r>
    </w:p>
  </w:footnote>
  <w:footnote w:id="162">
    <w:p w:rsidR="00453B03" w:rsidRDefault="00453B03">
      <w:pPr>
        <w:pStyle w:val="p1"/>
        <w:spacing w:before="0" w:beforeAutospacing="0" w:after="0" w:afterAutospacing="0"/>
        <w:ind w:left="180" w:hanging="180"/>
        <w:rPr>
          <w:sz w:val="20"/>
          <w:szCs w:val="20"/>
        </w:rPr>
      </w:pPr>
      <w:r>
        <w:rPr>
          <w:rStyle w:val="FootnoteReference"/>
          <w:sz w:val="20"/>
          <w:szCs w:val="20"/>
        </w:rPr>
        <w:footnoteRef/>
      </w:r>
      <w:r>
        <w:rPr>
          <w:sz w:val="20"/>
          <w:szCs w:val="20"/>
        </w:rPr>
        <w:t xml:space="preserve"> </w:t>
      </w:r>
      <w:r>
        <w:rPr>
          <w:rStyle w:val="s1"/>
          <w:sz w:val="20"/>
          <w:szCs w:val="20"/>
        </w:rPr>
        <w:t xml:space="preserve">Abiodun Odusote, “The Nigerian Public Officers Protection Act: An Anachronistic Legislation Yearning for Reforms”, </w:t>
      </w:r>
      <w:r>
        <w:rPr>
          <w:rStyle w:val="s1"/>
          <w:i/>
          <w:iCs/>
          <w:sz w:val="20"/>
          <w:szCs w:val="20"/>
        </w:rPr>
        <w:t>Journal of Public Administration and Governance</w:t>
      </w:r>
      <w:r>
        <w:rPr>
          <w:rStyle w:val="s1"/>
          <w:sz w:val="20"/>
          <w:szCs w:val="20"/>
        </w:rPr>
        <w:t>, 9 (1) 2019, p. 120).</w:t>
      </w:r>
    </w:p>
  </w:footnote>
  <w:footnote w:id="163">
    <w:p w:rsidR="00453B03" w:rsidRDefault="00453B03">
      <w:pPr>
        <w:pStyle w:val="p1"/>
        <w:spacing w:before="0" w:beforeAutospacing="0" w:after="0" w:afterAutospacing="0"/>
        <w:ind w:left="180" w:hanging="180"/>
      </w:pPr>
      <w:r>
        <w:rPr>
          <w:rStyle w:val="FootnoteReference"/>
          <w:sz w:val="20"/>
          <w:szCs w:val="20"/>
        </w:rPr>
        <w:footnoteRef/>
      </w:r>
      <w:r>
        <w:rPr>
          <w:sz w:val="20"/>
          <w:szCs w:val="20"/>
        </w:rPr>
        <w:t xml:space="preserve"> Ibid p. 124</w:t>
      </w:r>
    </w:p>
  </w:footnote>
  <w:footnote w:id="164">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Constitution of the Federal Republic of Nigeria [CFRN], 1999 (as amended 2023).</w:t>
      </w:r>
    </w:p>
  </w:footnote>
  <w:footnote w:id="165">
    <w:p w:rsidR="00453B03" w:rsidRDefault="00453B03">
      <w:pPr>
        <w:pStyle w:val="p1"/>
        <w:spacing w:before="0" w:beforeAutospacing="0" w:after="0" w:afterAutospacing="0"/>
        <w:ind w:left="180" w:hanging="180"/>
        <w:rPr>
          <w:sz w:val="20"/>
          <w:szCs w:val="20"/>
        </w:rPr>
      </w:pPr>
      <w:r>
        <w:rPr>
          <w:rStyle w:val="FootnoteReference"/>
          <w:sz w:val="20"/>
          <w:szCs w:val="20"/>
        </w:rPr>
        <w:footnoteRef/>
      </w:r>
      <w:r>
        <w:rPr>
          <w:sz w:val="20"/>
          <w:szCs w:val="20"/>
        </w:rPr>
        <w:t xml:space="preserve"> </w:t>
      </w:r>
      <w:r>
        <w:rPr>
          <w:rStyle w:val="s1"/>
          <w:sz w:val="20"/>
          <w:szCs w:val="20"/>
        </w:rPr>
        <w:t>Chukwuebuka S. Okeke, “Constitutionality of the Public Officers Protection Act: A Fresh Look at the Principles of Reasonableness and Proportionality”, National Institute for Legislative and Democratic Studies, 2019, p. 14. &lt;https://ir.nilds.gov.ng/handle/123456789/398&gt; accessed 19 June 2026).</w:t>
      </w:r>
    </w:p>
    <w:p w:rsidR="00453B03" w:rsidRDefault="00453B03">
      <w:pPr>
        <w:pStyle w:val="FootnoteText"/>
        <w:spacing w:after="0" w:line="240" w:lineRule="auto"/>
        <w:ind w:left="180" w:hanging="180"/>
        <w:rPr>
          <w:rFonts w:ascii="Times New Roman" w:hAnsi="Times New Roman"/>
        </w:rPr>
      </w:pPr>
    </w:p>
  </w:footnote>
  <w:footnote w:id="166">
    <w:p w:rsidR="00453B03" w:rsidRDefault="00453B03">
      <w:pPr>
        <w:pStyle w:val="p1"/>
        <w:spacing w:before="0" w:beforeAutospacing="0" w:after="0" w:afterAutospacing="0"/>
        <w:ind w:left="180" w:hanging="180"/>
        <w:rPr>
          <w:sz w:val="20"/>
          <w:szCs w:val="20"/>
        </w:rPr>
      </w:pPr>
      <w:r>
        <w:rPr>
          <w:rStyle w:val="FootnoteReference"/>
          <w:sz w:val="20"/>
          <w:szCs w:val="20"/>
        </w:rPr>
        <w:footnoteRef/>
      </w:r>
      <w:r>
        <w:rPr>
          <w:sz w:val="20"/>
          <w:szCs w:val="20"/>
        </w:rPr>
        <w:t xml:space="preserve"> Abiodun Odusote n(160)</w:t>
      </w:r>
    </w:p>
    <w:p w:rsidR="00453B03" w:rsidRDefault="00453B03">
      <w:pPr>
        <w:pStyle w:val="FootnoteText"/>
        <w:spacing w:after="0" w:line="240" w:lineRule="auto"/>
        <w:ind w:left="180" w:hanging="180"/>
        <w:rPr>
          <w:rFonts w:ascii="Times New Roman" w:hAnsi="Times New Roman"/>
        </w:rPr>
      </w:pPr>
    </w:p>
  </w:footnote>
  <w:footnote w:id="167">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(2019) 2 NWLR (Pt. 1656) 247.</w:t>
      </w:r>
    </w:p>
  </w:footnote>
  <w:footnote w:id="168">
    <w:p w:rsidR="00453B03" w:rsidRDefault="00453B03">
      <w:pPr>
        <w:pStyle w:val="p1"/>
        <w:spacing w:before="0" w:beforeAutospacing="0" w:after="0" w:afterAutospacing="0"/>
        <w:ind w:left="180" w:hanging="180"/>
        <w:rPr>
          <w:sz w:val="20"/>
          <w:szCs w:val="20"/>
        </w:rPr>
      </w:pPr>
      <w:r>
        <w:rPr>
          <w:rStyle w:val="FootnoteReference"/>
          <w:sz w:val="20"/>
          <w:szCs w:val="20"/>
        </w:rPr>
        <w:footnoteRef/>
      </w:r>
      <w:r>
        <w:rPr>
          <w:sz w:val="20"/>
          <w:szCs w:val="20"/>
        </w:rPr>
        <w:t xml:space="preserve"> </w:t>
      </w:r>
      <w:r>
        <w:rPr>
          <w:rStyle w:val="s1"/>
          <w:sz w:val="20"/>
          <w:szCs w:val="20"/>
        </w:rPr>
        <w:t xml:space="preserve">Abdulkabir Badmos, “Has the Supreme Court Created a New Exception to the Application of Section 2(a) of the Public Officers’ Protection Act?”, </w:t>
      </w:r>
      <w:r>
        <w:rPr>
          <w:rStyle w:val="s1"/>
          <w:i/>
          <w:iCs/>
          <w:sz w:val="20"/>
          <w:szCs w:val="20"/>
        </w:rPr>
        <w:t>SSRN Electronic Journal</w:t>
      </w:r>
      <w:r>
        <w:rPr>
          <w:rStyle w:val="s1"/>
          <w:sz w:val="20"/>
          <w:szCs w:val="20"/>
        </w:rPr>
        <w:t>, 2020. Available at: &lt;https://ssrn.com/abstract=3632759&gt; accessed 19 June 2026.</w:t>
      </w:r>
    </w:p>
  </w:footnote>
  <w:footnote w:id="169">
    <w:p w:rsidR="00453B03" w:rsidRDefault="00453B03">
      <w:pPr>
        <w:pStyle w:val="p1"/>
        <w:spacing w:before="0" w:beforeAutospacing="0" w:after="0" w:afterAutospacing="0"/>
        <w:ind w:left="180" w:hanging="180"/>
        <w:rPr>
          <w:sz w:val="20"/>
          <w:szCs w:val="20"/>
        </w:rPr>
      </w:pPr>
      <w:r>
        <w:rPr>
          <w:rStyle w:val="FootnoteReference"/>
          <w:sz w:val="20"/>
          <w:szCs w:val="20"/>
        </w:rPr>
        <w:footnoteRef/>
      </w:r>
      <w:r>
        <w:rPr>
          <w:sz w:val="20"/>
          <w:szCs w:val="20"/>
        </w:rPr>
        <w:t xml:space="preserve"> </w:t>
      </w:r>
      <w:r>
        <w:rPr>
          <w:rStyle w:val="s1"/>
          <w:sz w:val="20"/>
          <w:szCs w:val="20"/>
        </w:rPr>
        <w:t>Chukwuebuka S. Okeke, “Constitutionality of the Public Officers Protection Act: A Fresh Look at the Principles of Reasonableness and Proportionality” (National Institute for Legislative and Democratic Studies 2019) 18.</w:t>
      </w:r>
    </w:p>
    <w:p w:rsidR="00453B03" w:rsidRDefault="00453B03">
      <w:pPr>
        <w:pStyle w:val="FootnoteText"/>
        <w:spacing w:after="0" w:line="240" w:lineRule="auto"/>
        <w:ind w:left="180" w:hanging="180"/>
        <w:rPr>
          <w:rFonts w:ascii="Times New Roman" w:hAnsi="Times New Roman"/>
        </w:rPr>
      </w:pPr>
    </w:p>
  </w:footnote>
  <w:footnote w:id="170">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Constitution of the Federal Republic of Nigeria [CFRN], 1999 (as amended 2023).</w:t>
      </w:r>
    </w:p>
  </w:footnote>
  <w:footnote w:id="171">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Ibid.</w:t>
      </w:r>
    </w:p>
  </w:footnote>
  <w:footnote w:id="172">
    <w:p w:rsidR="00453B03" w:rsidRDefault="00453B03">
      <w:pPr>
        <w:pStyle w:val="p1"/>
        <w:spacing w:before="0" w:beforeAutospacing="0" w:after="0" w:afterAutospacing="0"/>
        <w:ind w:left="180" w:hanging="180"/>
        <w:rPr>
          <w:sz w:val="20"/>
          <w:szCs w:val="20"/>
        </w:rPr>
      </w:pPr>
      <w:r>
        <w:rPr>
          <w:rStyle w:val="FootnoteReference"/>
          <w:sz w:val="20"/>
          <w:szCs w:val="20"/>
        </w:rPr>
        <w:footnoteRef/>
      </w:r>
      <w:r>
        <w:rPr>
          <w:sz w:val="20"/>
          <w:szCs w:val="20"/>
        </w:rPr>
        <w:t xml:space="preserve"> </w:t>
      </w:r>
      <w:r>
        <w:rPr>
          <w:rStyle w:val="s1"/>
          <w:sz w:val="20"/>
          <w:szCs w:val="20"/>
        </w:rPr>
        <w:t xml:space="preserve">Benjamin Igwenyi, Chinedu Akam Igwe and Kevin Onwuka Udude, “Immunity Clause in the Nigerian Constitution: A Call for a Paradigm Shift”, </w:t>
      </w:r>
      <w:r>
        <w:rPr>
          <w:rStyle w:val="s1"/>
          <w:i/>
          <w:iCs/>
          <w:sz w:val="20"/>
          <w:szCs w:val="20"/>
        </w:rPr>
        <w:t>International Journal of Comparative Law and Legal Philosophy</w:t>
      </w:r>
      <w:r>
        <w:rPr>
          <w:rStyle w:val="s1"/>
          <w:sz w:val="20"/>
          <w:szCs w:val="20"/>
        </w:rPr>
        <w:t>, 4 (3) 2022. &lt;https://www.nigerianjournalsonline.com/index.php/IJOCLLEP/article/view/973&gt; accessed 19 June 2026.</w:t>
      </w:r>
    </w:p>
  </w:footnote>
  <w:footnote w:id="173">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Constitution of the Federal Republic of Nigeria [CFRN], 1999 (as amended 2023).</w:t>
      </w:r>
    </w:p>
  </w:footnote>
  <w:footnote w:id="174">
    <w:p w:rsidR="00453B03" w:rsidRDefault="00453B03">
      <w:pPr>
        <w:pStyle w:val="p1"/>
        <w:spacing w:before="0" w:beforeAutospacing="0" w:after="0" w:afterAutospacing="0"/>
        <w:ind w:left="180" w:hanging="180"/>
        <w:rPr>
          <w:sz w:val="20"/>
          <w:szCs w:val="20"/>
        </w:rPr>
      </w:pPr>
      <w:r>
        <w:rPr>
          <w:rStyle w:val="FootnoteReference"/>
          <w:sz w:val="20"/>
          <w:szCs w:val="20"/>
        </w:rPr>
        <w:footnoteRef/>
      </w:r>
      <w:r>
        <w:rPr>
          <w:sz w:val="20"/>
          <w:szCs w:val="20"/>
        </w:rPr>
        <w:t xml:space="preserve"> </w:t>
      </w:r>
      <w:r>
        <w:rPr>
          <w:rStyle w:val="s1"/>
          <w:sz w:val="20"/>
          <w:szCs w:val="20"/>
        </w:rPr>
        <w:t>F. N. Ukoh and Rita Abhavan Ngwoke, “Immunity Clause under the 1999 Constitution of Nigeria: A Dire Need for Reform”,</w:t>
      </w:r>
      <w:r>
        <w:rPr>
          <w:rStyle w:val="s1"/>
          <w:i/>
          <w:iCs/>
          <w:sz w:val="20"/>
          <w:szCs w:val="20"/>
        </w:rPr>
        <w:t xml:space="preserve"> Journal of Politics and Law</w:t>
      </w:r>
      <w:r>
        <w:rPr>
          <w:rStyle w:val="s1"/>
          <w:sz w:val="20"/>
          <w:szCs w:val="20"/>
        </w:rPr>
        <w:t>, 14 (2) 2020, p. 47. Available at: https://www.researchgate.net/publication/348013456_Immunity_Clause_under_the_1999_Constitution_of_Nigeria_A_Dire_Need_for_Reform, accessed 19 June 2026.</w:t>
      </w:r>
    </w:p>
  </w:footnote>
  <w:footnote w:id="175">
    <w:p w:rsidR="00453B03" w:rsidRDefault="00453B03">
      <w:pPr>
        <w:pStyle w:val="p1"/>
        <w:spacing w:before="0" w:beforeAutospacing="0" w:after="0" w:afterAutospacing="0"/>
        <w:ind w:left="180" w:hanging="180"/>
        <w:rPr>
          <w:sz w:val="20"/>
          <w:szCs w:val="20"/>
        </w:rPr>
      </w:pPr>
      <w:r>
        <w:rPr>
          <w:rStyle w:val="FootnoteReference"/>
          <w:sz w:val="20"/>
          <w:szCs w:val="20"/>
        </w:rPr>
        <w:footnoteRef/>
      </w:r>
      <w:r>
        <w:t xml:space="preserve"> </w:t>
      </w:r>
      <w:r>
        <w:rPr>
          <w:sz w:val="20"/>
          <w:szCs w:val="20"/>
        </w:rPr>
        <w:t>Abiodun Odusote n (160)</w:t>
      </w:r>
    </w:p>
  </w:footnote>
  <w:footnote w:id="176">
    <w:p w:rsidR="00453B03" w:rsidRDefault="00453B03">
      <w:pPr>
        <w:pStyle w:val="p1"/>
        <w:spacing w:before="0" w:beforeAutospacing="0" w:after="0" w:afterAutospacing="0"/>
        <w:ind w:left="180" w:hanging="180"/>
        <w:rPr>
          <w:sz w:val="20"/>
          <w:szCs w:val="20"/>
        </w:rPr>
      </w:pPr>
      <w:r>
        <w:rPr>
          <w:rStyle w:val="FootnoteReference"/>
          <w:sz w:val="20"/>
          <w:szCs w:val="20"/>
        </w:rPr>
        <w:footnoteRef/>
      </w:r>
      <w:r>
        <w:rPr>
          <w:sz w:val="20"/>
          <w:szCs w:val="20"/>
        </w:rPr>
        <w:t xml:space="preserve"> </w:t>
      </w:r>
      <w:r>
        <w:rPr>
          <w:rStyle w:val="s1"/>
          <w:sz w:val="20"/>
          <w:szCs w:val="20"/>
        </w:rPr>
        <w:t>Oluyinka Olutola, “A Critical Examination of the Role of Immunity Clause under the Nigerian Constitution”, Redeemer’s University Institutional Repository. &lt;https://repository.run.edu.ng/items/d8496596-cafb-43e8-9247-f0a7f2aa96ff&gt; accessed 19 June 2026.</w:t>
      </w:r>
    </w:p>
  </w:footnote>
  <w:footnote w:id="177">
    <w:p w:rsidR="00453B03" w:rsidRDefault="00453B03">
      <w:pPr>
        <w:pStyle w:val="p1"/>
        <w:spacing w:before="0" w:beforeAutospacing="0" w:after="0" w:afterAutospacing="0"/>
        <w:ind w:left="180" w:hanging="180"/>
        <w:rPr>
          <w:sz w:val="20"/>
          <w:szCs w:val="20"/>
        </w:rPr>
      </w:pPr>
      <w:r>
        <w:rPr>
          <w:rStyle w:val="FootnoteReference"/>
          <w:sz w:val="20"/>
          <w:szCs w:val="20"/>
        </w:rPr>
        <w:footnoteRef/>
      </w:r>
      <w:r>
        <w:rPr>
          <w:sz w:val="20"/>
          <w:szCs w:val="20"/>
        </w:rPr>
        <w:t xml:space="preserve"> </w:t>
      </w:r>
      <w:r>
        <w:rPr>
          <w:rStyle w:val="s1"/>
          <w:sz w:val="20"/>
          <w:szCs w:val="20"/>
        </w:rPr>
        <w:t xml:space="preserve">D. Odeleye, “Review of Section 308 of the Constitution of the Federal Republic of Nigeria 1999”, Kogi State University </w:t>
      </w:r>
      <w:r>
        <w:rPr>
          <w:rStyle w:val="s1"/>
          <w:i/>
          <w:iCs/>
          <w:sz w:val="20"/>
          <w:szCs w:val="20"/>
        </w:rPr>
        <w:t>Bi-Annual Journal of Public Law.</w:t>
      </w:r>
      <w:r>
        <w:rPr>
          <w:rStyle w:val="s1"/>
          <w:sz w:val="20"/>
          <w:szCs w:val="20"/>
        </w:rPr>
        <w:t xml:space="preserve"> &lt;https://papers.ssrn.com/sol3/papers.cfm?abstract_id=5018572&gt; accessed 19 June 2026.</w:t>
      </w:r>
    </w:p>
  </w:footnote>
  <w:footnote w:id="178">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Constitution of the Federal Republic of Nigeria [CFRN], 1999 (as amended 2023).</w:t>
      </w:r>
    </w:p>
  </w:footnote>
  <w:footnote w:id="179">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Odeleye (n 154). </w:t>
      </w:r>
    </w:p>
  </w:footnote>
  <w:footnote w:id="180">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eastAsia="Times New Roman" w:hAnsi="Times New Roman"/>
        </w:rPr>
        <w:t>(2007) 9 NWLR (Pt. 1038) 66.</w:t>
      </w:r>
    </w:p>
  </w:footnote>
  <w:footnote w:id="181">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(2019) 2 NWLR (Pt. 1656) 247.</w:t>
      </w:r>
    </w:p>
  </w:footnote>
  <w:footnote w:id="182">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(2020) LPELR-49565(SC).</w:t>
      </w:r>
    </w:p>
  </w:footnote>
  <w:footnote w:id="183">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ibid.</w:t>
      </w:r>
    </w:p>
  </w:footnote>
  <w:footnote w:id="184">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(2025) 8 NWLR (Pt 1991) 131.</w:t>
      </w:r>
    </w:p>
  </w:footnote>
  <w:footnote w:id="185">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Unreported suit No. NICN/EN/13/2025 (ruling published January 2026).</w:t>
      </w:r>
    </w:p>
  </w:footnote>
  <w:footnote w:id="186">
    <w:p w:rsidR="00453B03" w:rsidRDefault="00453B03">
      <w:pPr>
        <w:pStyle w:val="FootnoteText"/>
        <w:spacing w:after="0" w:line="240" w:lineRule="auto"/>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Constitutional of the Federal Republic of Nigeria, 1999 as Amended (2023).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B03" w:rsidRDefault="00453B03">
    <w:pP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11C" w:rsidRDefault="0071211C">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tmpl w:val="000000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
    <w:nsid w:val="00000001"/>
    <w:multiLevelType w:val="multilevel"/>
    <w:tmpl w:val="FFFFFFFF"/>
    <w:lvl w:ilvl="0">
      <w:start w:val="2"/>
      <w:numFmt w:val="decimal"/>
      <w:lvlText w:val="%1"/>
      <w:lvlJc w:val="left"/>
      <w:pPr>
        <w:ind w:left="580" w:hanging="580"/>
      </w:pPr>
      <w:rPr>
        <w:rFonts w:hint="default"/>
      </w:rPr>
    </w:lvl>
    <w:lvl w:ilvl="1">
      <w:start w:val="1"/>
      <w:numFmt w:val="decimal"/>
      <w:lvlText w:val="%1.%2"/>
      <w:lvlJc w:val="left"/>
      <w:pPr>
        <w:ind w:left="580" w:hanging="5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0000002"/>
    <w:multiLevelType w:val="hybridMultilevel"/>
    <w:tmpl w:val="4CDE325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F8602B8A"/>
    <w:lvl w:ilvl="0" w:tplc="D1F08314">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
    <w:nsid w:val="00000004"/>
    <w:multiLevelType w:val="hybridMultilevel"/>
    <w:tmpl w:val="598836DA"/>
    <w:lvl w:ilvl="0" w:tplc="0C000019">
      <w:start w:val="1"/>
      <w:numFmt w:val="lowerLetter"/>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
    <w:nsid w:val="00000005"/>
    <w:multiLevelType w:val="hybridMultilevel"/>
    <w:tmpl w:val="DEB2DD86"/>
    <w:lvl w:ilvl="0" w:tplc="0C000019">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
    <w:nsid w:val="00000006"/>
    <w:multiLevelType w:val="hybridMultilevel"/>
    <w:tmpl w:val="B1128DB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0000007"/>
    <w:multiLevelType w:val="multilevel"/>
    <w:tmpl w:val="FFFFFFFF"/>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0000008"/>
    <w:multiLevelType w:val="multilevel"/>
    <w:tmpl w:val="1F9AC9A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0000009"/>
    <w:multiLevelType w:val="hybridMultilevel"/>
    <w:tmpl w:val="F28210E8"/>
    <w:lvl w:ilvl="0" w:tplc="D1F08314">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0">
    <w:nsid w:val="0000000A"/>
    <w:multiLevelType w:val="hybridMultilevel"/>
    <w:tmpl w:val="583C633A"/>
    <w:lvl w:ilvl="0" w:tplc="0C000019">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1">
    <w:nsid w:val="0000000B"/>
    <w:multiLevelType w:val="hybridMultilevel"/>
    <w:tmpl w:val="000000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2">
    <w:nsid w:val="0000000C"/>
    <w:multiLevelType w:val="hybridMultilevel"/>
    <w:tmpl w:val="19786F9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0000000D"/>
    <w:multiLevelType w:val="multilevel"/>
    <w:tmpl w:val="06F65BB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4">
    <w:nsid w:val="0000000E"/>
    <w:multiLevelType w:val="hybridMultilevel"/>
    <w:tmpl w:val="7026E5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0000000F"/>
    <w:multiLevelType w:val="hybridMultilevel"/>
    <w:tmpl w:val="B57626C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00000010"/>
    <w:multiLevelType w:val="hybridMultilevel"/>
    <w:tmpl w:val="868C131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00000011"/>
    <w:multiLevelType w:val="hybridMultilevel"/>
    <w:tmpl w:val="DDB653DE"/>
    <w:lvl w:ilvl="0" w:tplc="0409001B">
      <w:start w:val="1"/>
      <w:numFmt w:val="lowerRoman"/>
      <w:lvlText w:val="%1."/>
      <w:lvlJc w:val="right"/>
      <w:pPr>
        <w:ind w:left="3305" w:hanging="360"/>
      </w:pPr>
    </w:lvl>
    <w:lvl w:ilvl="1" w:tplc="04090019" w:tentative="1">
      <w:start w:val="1"/>
      <w:numFmt w:val="lowerLetter"/>
      <w:lvlText w:val="%2."/>
      <w:lvlJc w:val="left"/>
      <w:pPr>
        <w:ind w:left="4025" w:hanging="360"/>
      </w:pPr>
    </w:lvl>
    <w:lvl w:ilvl="2" w:tplc="0409001B" w:tentative="1">
      <w:start w:val="1"/>
      <w:numFmt w:val="lowerRoman"/>
      <w:lvlText w:val="%3."/>
      <w:lvlJc w:val="right"/>
      <w:pPr>
        <w:ind w:left="4745" w:hanging="180"/>
      </w:pPr>
    </w:lvl>
    <w:lvl w:ilvl="3" w:tplc="0409000F" w:tentative="1">
      <w:start w:val="1"/>
      <w:numFmt w:val="decimal"/>
      <w:lvlText w:val="%4."/>
      <w:lvlJc w:val="left"/>
      <w:pPr>
        <w:ind w:left="5465" w:hanging="360"/>
      </w:pPr>
    </w:lvl>
    <w:lvl w:ilvl="4" w:tplc="04090019" w:tentative="1">
      <w:start w:val="1"/>
      <w:numFmt w:val="lowerLetter"/>
      <w:lvlText w:val="%5."/>
      <w:lvlJc w:val="left"/>
      <w:pPr>
        <w:ind w:left="6185" w:hanging="360"/>
      </w:pPr>
    </w:lvl>
    <w:lvl w:ilvl="5" w:tplc="0409001B" w:tentative="1">
      <w:start w:val="1"/>
      <w:numFmt w:val="lowerRoman"/>
      <w:lvlText w:val="%6."/>
      <w:lvlJc w:val="right"/>
      <w:pPr>
        <w:ind w:left="6905" w:hanging="180"/>
      </w:pPr>
    </w:lvl>
    <w:lvl w:ilvl="6" w:tplc="0409000F" w:tentative="1">
      <w:start w:val="1"/>
      <w:numFmt w:val="decimal"/>
      <w:lvlText w:val="%7."/>
      <w:lvlJc w:val="left"/>
      <w:pPr>
        <w:ind w:left="7625" w:hanging="360"/>
      </w:pPr>
    </w:lvl>
    <w:lvl w:ilvl="7" w:tplc="04090019" w:tentative="1">
      <w:start w:val="1"/>
      <w:numFmt w:val="lowerLetter"/>
      <w:lvlText w:val="%8."/>
      <w:lvlJc w:val="left"/>
      <w:pPr>
        <w:ind w:left="8345" w:hanging="360"/>
      </w:pPr>
    </w:lvl>
    <w:lvl w:ilvl="8" w:tplc="0409001B" w:tentative="1">
      <w:start w:val="1"/>
      <w:numFmt w:val="lowerRoman"/>
      <w:lvlText w:val="%9."/>
      <w:lvlJc w:val="right"/>
      <w:pPr>
        <w:ind w:left="9065" w:hanging="180"/>
      </w:pPr>
    </w:lvl>
  </w:abstractNum>
  <w:abstractNum w:abstractNumId="18">
    <w:nsid w:val="00000012"/>
    <w:multiLevelType w:val="multilevel"/>
    <w:tmpl w:val="665EA544"/>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00000013"/>
    <w:multiLevelType w:val="multilevel"/>
    <w:tmpl w:val="C0502DE8"/>
    <w:lvl w:ilvl="0">
      <w:start w:val="1"/>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00000014"/>
    <w:multiLevelType w:val="multilevel"/>
    <w:tmpl w:val="3ABA3FA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00000015"/>
    <w:multiLevelType w:val="multilevel"/>
    <w:tmpl w:val="C382CE8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00000016"/>
    <w:multiLevelType w:val="multilevel"/>
    <w:tmpl w:val="151E856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00000017"/>
    <w:multiLevelType w:val="multilevel"/>
    <w:tmpl w:val="353A568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upperLetter"/>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00000018"/>
    <w:multiLevelType w:val="hybridMultilevel"/>
    <w:tmpl w:val="D2083872"/>
    <w:lvl w:ilvl="0" w:tplc="8046913A">
      <w:start w:val="1"/>
      <w:numFmt w:val="decimal"/>
      <w:lvlText w:val="%1.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8"/>
  </w:num>
  <w:num w:numId="2">
    <w:abstractNumId w:val="3"/>
  </w:num>
  <w:num w:numId="3">
    <w:abstractNumId w:val="9"/>
  </w:num>
  <w:num w:numId="4">
    <w:abstractNumId w:val="10"/>
  </w:num>
  <w:num w:numId="5">
    <w:abstractNumId w:val="4"/>
  </w:num>
  <w:num w:numId="6">
    <w:abstractNumId w:val="5"/>
  </w:num>
  <w:num w:numId="7">
    <w:abstractNumId w:val="22"/>
  </w:num>
  <w:num w:numId="8">
    <w:abstractNumId w:val="0"/>
  </w:num>
  <w:num w:numId="9">
    <w:abstractNumId w:val="1"/>
  </w:num>
  <w:num w:numId="10">
    <w:abstractNumId w:val="17"/>
  </w:num>
  <w:num w:numId="11">
    <w:abstractNumId w:val="7"/>
  </w:num>
  <w:num w:numId="12">
    <w:abstractNumId w:val="6"/>
  </w:num>
  <w:num w:numId="13">
    <w:abstractNumId w:val="2"/>
  </w:num>
  <w:num w:numId="14">
    <w:abstractNumId w:val="11"/>
  </w:num>
  <w:num w:numId="15">
    <w:abstractNumId w:val="13"/>
  </w:num>
  <w:num w:numId="16">
    <w:abstractNumId w:val="14"/>
  </w:num>
  <w:num w:numId="17">
    <w:abstractNumId w:val="12"/>
  </w:num>
  <w:num w:numId="18">
    <w:abstractNumId w:val="15"/>
  </w:num>
  <w:num w:numId="19">
    <w:abstractNumId w:val="16"/>
  </w:num>
  <w:num w:numId="20">
    <w:abstractNumId w:val="21"/>
  </w:num>
  <w:num w:numId="21">
    <w:abstractNumId w:val="19"/>
  </w:num>
  <w:num w:numId="22">
    <w:abstractNumId w:val="20"/>
  </w:num>
  <w:num w:numId="23">
    <w:abstractNumId w:val="18"/>
  </w:num>
  <w:num w:numId="24">
    <w:abstractNumId w:val="23"/>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CD2"/>
    <w:rsid w:val="00453B03"/>
    <w:rsid w:val="0071211C"/>
    <w:rsid w:val="00716008"/>
    <w:rsid w:val="00EC7C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AA6CE31E-DC0A-4DDA-9142-ED0EAEBDC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zh-CN"/>
    </w:rPr>
  </w:style>
  <w:style w:type="paragraph" w:styleId="Heading1">
    <w:name w:val="heading 1"/>
    <w:basedOn w:val="Normal"/>
    <w:next w:val="Normal"/>
    <w:link w:val="Heading1Char"/>
    <w:uiPriority w:val="9"/>
    <w:qFormat/>
    <w:pPr>
      <w:keepNext/>
      <w:keepLines/>
      <w:spacing w:before="240" w:after="0"/>
      <w:outlineLvl w:val="0"/>
    </w:pPr>
    <w:rPr>
      <w:rFonts w:ascii="Cambria" w:hAnsi="Cambria" w:cs="SimSun"/>
      <w:color w:val="365F91"/>
      <w:sz w:val="32"/>
      <w:szCs w:val="32"/>
    </w:rPr>
  </w:style>
  <w:style w:type="paragraph" w:styleId="Heading2">
    <w:name w:val="heading 2"/>
    <w:basedOn w:val="Normal"/>
    <w:next w:val="Normal"/>
    <w:link w:val="Heading2Char"/>
    <w:uiPriority w:val="9"/>
    <w:qFormat/>
    <w:pPr>
      <w:keepNext/>
      <w:keepLines/>
      <w:spacing w:before="40" w:after="0"/>
      <w:outlineLvl w:val="1"/>
    </w:pPr>
    <w:rPr>
      <w:rFonts w:ascii="Cambria" w:hAnsi="Cambria" w:cs="SimSun"/>
      <w:color w:val="365F91"/>
      <w:sz w:val="26"/>
      <w:szCs w:val="26"/>
    </w:rPr>
  </w:style>
  <w:style w:type="paragraph" w:styleId="Heading3">
    <w:name w:val="heading 3"/>
    <w:basedOn w:val="Normal"/>
    <w:next w:val="Normal"/>
    <w:link w:val="Heading3Char"/>
    <w:uiPriority w:val="9"/>
    <w:qFormat/>
    <w:pPr>
      <w:keepNext/>
      <w:keepLines/>
      <w:spacing w:before="160" w:after="80" w:line="278" w:lineRule="auto"/>
      <w:outlineLvl w:val="2"/>
    </w:pPr>
    <w:rPr>
      <w:rFonts w:cs="SimSun"/>
      <w:color w:val="365F91"/>
      <w:kern w:val="2"/>
      <w:sz w:val="28"/>
      <w:szCs w:val="28"/>
      <w:lang w:eastAsia="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Pr>
      <w:sz w:val="20"/>
      <w:szCs w:val="20"/>
    </w:rPr>
  </w:style>
  <w:style w:type="character" w:customStyle="1" w:styleId="FootnoteTextChar">
    <w:name w:val="Footnote Text Char"/>
    <w:basedOn w:val="DefaultParagraphFont"/>
    <w:link w:val="FootnoteText"/>
    <w:uiPriority w:val="99"/>
  </w:style>
  <w:style w:type="character" w:styleId="FootnoteReference">
    <w:name w:val="footnote reference"/>
    <w:uiPriority w:val="99"/>
    <w:rPr>
      <w:vertAlign w:val="superscript"/>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sz w:val="22"/>
      <w:szCs w:val="22"/>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rPr>
      <w:sz w:val="22"/>
      <w:szCs w:val="22"/>
    </w:rPr>
  </w:style>
  <w:style w:type="paragraph" w:styleId="ListParagraph">
    <w:name w:val="List Paragraph"/>
    <w:basedOn w:val="Normal"/>
    <w:uiPriority w:val="34"/>
    <w:qFormat/>
    <w:pPr>
      <w:spacing w:after="0" w:line="240" w:lineRule="auto"/>
      <w:ind w:left="720"/>
      <w:contextualSpacing/>
      <w:jc w:val="both"/>
    </w:pPr>
    <w:rPr>
      <w:rFonts w:ascii="Times New Roman" w:eastAsia="Times New Roman" w:hAnsi="Times New Roman"/>
      <w:sz w:val="21"/>
      <w:szCs w:val="20"/>
      <w:lang w:eastAsia="en-US"/>
    </w:rPr>
  </w:style>
  <w:style w:type="character" w:customStyle="1" w:styleId="Heading3Char">
    <w:name w:val="Heading 3 Char"/>
    <w:basedOn w:val="DefaultParagraphFont"/>
    <w:link w:val="Heading3"/>
    <w:uiPriority w:val="9"/>
    <w:rPr>
      <w:rFonts w:ascii="Calibri" w:eastAsia="SimSun" w:hAnsi="Calibri" w:cs="SimSun"/>
      <w:color w:val="365F91"/>
      <w:kern w:val="2"/>
      <w:sz w:val="28"/>
      <w:szCs w:val="28"/>
      <w:lang w:eastAsia="en-GB"/>
      <w14:ligatures w14:val="standardContextual"/>
    </w:rPr>
  </w:style>
  <w:style w:type="paragraph" w:customStyle="1" w:styleId="p1">
    <w:name w:val="p1"/>
    <w:basedOn w:val="Normal"/>
    <w:pPr>
      <w:spacing w:before="100" w:beforeAutospacing="1" w:after="100" w:afterAutospacing="1" w:line="240" w:lineRule="auto"/>
    </w:pPr>
    <w:rPr>
      <w:rFonts w:ascii="Times New Roman" w:hAnsi="Times New Roman"/>
      <w:sz w:val="24"/>
      <w:szCs w:val="24"/>
      <w:lang w:eastAsia="en-GB"/>
    </w:rPr>
  </w:style>
  <w:style w:type="character" w:customStyle="1" w:styleId="s1">
    <w:name w:val="s1"/>
    <w:basedOn w:val="DefaultParagraphFont"/>
  </w:style>
  <w:style w:type="character" w:customStyle="1" w:styleId="apple-converted-space">
    <w:name w:val="apple-converted-space"/>
    <w:basedOn w:val="DefaultParagraphFont"/>
  </w:style>
  <w:style w:type="character" w:customStyle="1" w:styleId="Heading1Char">
    <w:name w:val="Heading 1 Char"/>
    <w:basedOn w:val="DefaultParagraphFont"/>
    <w:link w:val="Heading1"/>
    <w:uiPriority w:val="9"/>
    <w:rPr>
      <w:rFonts w:ascii="Cambria" w:eastAsia="SimSun" w:hAnsi="Cambria" w:cs="SimSun"/>
      <w:color w:val="365F91"/>
      <w:sz w:val="32"/>
      <w:szCs w:val="32"/>
      <w:lang w:eastAsia="zh-CN"/>
    </w:rPr>
  </w:style>
  <w:style w:type="character" w:customStyle="1" w:styleId="Heading2Char">
    <w:name w:val="Heading 2 Char"/>
    <w:basedOn w:val="DefaultParagraphFont"/>
    <w:link w:val="Heading2"/>
    <w:uiPriority w:val="9"/>
    <w:rPr>
      <w:rFonts w:ascii="Cambria" w:eastAsia="SimSun" w:hAnsi="Cambria" w:cs="SimSun"/>
      <w:color w:val="365F91"/>
      <w:sz w:val="26"/>
      <w:szCs w:val="26"/>
      <w:lang w:eastAsia="zh-CN"/>
    </w:rPr>
  </w:style>
  <w:style w:type="character" w:styleId="Hyperlink">
    <w:name w:val="Hyperlink"/>
    <w:basedOn w:val="DefaultParagraphFont"/>
    <w:uiPriority w:val="99"/>
    <w:rPr>
      <w:color w:val="0000FF"/>
      <w:u w:val="single"/>
    </w:rPr>
  </w:style>
  <w:style w:type="character" w:customStyle="1" w:styleId="UnresolvedMention1">
    <w:name w:val="Unresolved Mention1"/>
    <w:basedOn w:val="DefaultParagraphFont"/>
    <w:uiPriority w:val="99"/>
    <w:rPr>
      <w:color w:val="605E5C"/>
      <w:shd w:val="clear" w:color="auto" w:fill="E1DFDD"/>
    </w:rPr>
  </w:style>
  <w:style w:type="character" w:styleId="FollowedHyperlink">
    <w:name w:val="FollowedHyperlink"/>
    <w:basedOn w:val="DefaultParagraphFont"/>
    <w:uiPriority w:val="9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sciencedirect.com/topics/social-sciences/statute-of-limitations" TargetMode="External"/><Relationship Id="rId18" Type="http://schemas.openxmlformats.org/officeDocument/2006/relationships/hyperlink" Target="https://papers.ssrn.com/sol3/papers.cfm?abstract_id=5018572"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researchgate.net/publication/348013456_Immunity_Clause_under_the_1999_Constitution_of_Nigeria_A_Dire_Need_for_Reform" TargetMode="External"/><Relationship Id="rId7" Type="http://schemas.openxmlformats.org/officeDocument/2006/relationships/endnotes" Target="endnotes.xml"/><Relationship Id="rId12" Type="http://schemas.openxmlformats.org/officeDocument/2006/relationships/hyperlink" Target="https://doi.org/10.2307/2193560" TargetMode="External"/><Relationship Id="rId17" Type="http://schemas.openxmlformats.org/officeDocument/2006/relationships/hyperlink" Target="https://repository.run.edu.ng/items/d8496596-cafb-43e8-9247-f0a7f2aa96ff" TargetMode="External"/><Relationship Id="rId25" Type="http://schemas.openxmlformats.org/officeDocument/2006/relationships/hyperlink" Target="https://thelegalstandpoint.law.blog/2023/04/" TargetMode="External"/><Relationship Id="rId2" Type="http://schemas.openxmlformats.org/officeDocument/2006/relationships/numbering" Target="numbering.xml"/><Relationship Id="rId16" Type="http://schemas.openxmlformats.org/officeDocument/2006/relationships/hyperlink" Target="https://ir.nilds.gov.ng/handle/123456789/398" TargetMode="External"/><Relationship Id="rId20" Type="http://schemas.openxmlformats.org/officeDocument/2006/relationships/hyperlink" Target="https://doi.org/10.5539/jpl.v6n3p18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srn.com/abstract=3632759" TargetMode="External"/><Relationship Id="rId24" Type="http://schemas.openxmlformats.org/officeDocument/2006/relationships/hyperlink" Target="https://www.linkedin.com/pulse/action-against-public-officer-section-2a-officers-act-toye-latilo" TargetMode="External"/><Relationship Id="rId5" Type="http://schemas.openxmlformats.org/officeDocument/2006/relationships/webSettings" Target="webSettings.xml"/><Relationship Id="rId15" Type="http://schemas.openxmlformats.org/officeDocument/2006/relationships/hyperlink" Target="https://www.macrothink.org/journal/index.php/jpag/article/view/14404" TargetMode="External"/><Relationship Id="rId23" Type="http://schemas.openxmlformats.org/officeDocument/2006/relationships/hyperlink" Target="https://dx.doi.org/10.47772/IJRISS.2025.908000507" TargetMode="External"/><Relationship Id="rId28" Type="http://schemas.openxmlformats.org/officeDocument/2006/relationships/fontTable" Target="fontTable.xml"/><Relationship Id="rId10" Type="http://schemas.openxmlformats.org/officeDocument/2006/relationships/hyperlink" Target="https://eajournals.org/gjplr/vol-4-issue-4-july-2016/immunities-tenures-office-three-arms-government-nigeria-legal-perspective/" TargetMode="External"/><Relationship Id="rId19" Type="http://schemas.openxmlformats.org/officeDocument/2006/relationships/hyperlink" Target="https://ssrn.com/abstract=305793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nigerianjournalsonline.com/index.php/IJOCLLEP/article/view/973" TargetMode="External"/><Relationship Id="rId22" Type="http://schemas.openxmlformats.org/officeDocument/2006/relationships/hyperlink" Target="https://www.vanguardngr.com/2020/08/constitution-review-senate-commences-process-calls-for-memoranda/"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365A0-18BF-4121-BACF-38E5EF5BB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87</Pages>
  <Words>19055</Words>
  <Characters>108616</Characters>
  <Application>Microsoft Office Word</Application>
  <DocSecurity>0</DocSecurity>
  <Lines>905</Lines>
  <Paragraphs>254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127417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23028RNCAG</dc:creator>
  <cp:lastModifiedBy>USER</cp:lastModifiedBy>
  <cp:revision>34</cp:revision>
  <dcterms:created xsi:type="dcterms:W3CDTF">2026-06-25T14:03:00Z</dcterms:created>
  <dcterms:modified xsi:type="dcterms:W3CDTF">2026-07-24T11:59:00Z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35aec87773504661bb9170fc393d6984</vt:lpwstr>
  </property>
  <property fmtid="{D5CDD505-2E9C-101B-9397-08002B2CF9AE}" pid="3" name="GrammarlyDocumentId">
    <vt:lpwstr>7c40b36f-23dd-4102-ab9b-77d30aced3ef</vt:lpwstr>
  </property>
</Properties>
</file>