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A1D" w:rsidRPr="004F0794" w:rsidRDefault="00A41A1D" w:rsidP="00A41A1D">
      <w:pPr>
        <w:jc w:val="both"/>
        <w:rPr>
          <w:rFonts w:ascii="Times New Roman" w:hAnsi="Times New Roman" w:cs="Times New Roman"/>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bookmarkStart w:id="0" w:name="_Toc232552210"/>
      <w:r w:rsidRPr="004F0794">
        <w:rPr>
          <w:rFonts w:ascii="Times New Roman" w:hAnsi="Times New Roman" w:cs="Times New Roman"/>
          <w:kern w:val="36"/>
          <w:sz w:val="24"/>
          <w:szCs w:val="24"/>
        </w:rPr>
        <w:t> </w:t>
      </w:r>
      <w:bookmarkEnd w:id="0"/>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r w:rsidRPr="004F0794">
        <w:rPr>
          <w:rFonts w:ascii="Times New Roman" w:hAnsi="Times New Roman" w:cs="Times New Roman"/>
          <w:kern w:val="36"/>
          <w:sz w:val="24"/>
          <w:szCs w:val="24"/>
        </w:rPr>
        <w:br w:type="page"/>
      </w: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spacing w:line="480" w:lineRule="auto"/>
        <w:jc w:val="center"/>
        <w:rPr>
          <w:rFonts w:ascii="Times New Roman" w:hAnsi="Times New Roman" w:cs="Times New Roman"/>
          <w:b/>
          <w:color w:val="000000" w:themeColor="text1"/>
          <w:kern w:val="36"/>
          <w:sz w:val="24"/>
          <w:szCs w:val="24"/>
        </w:rPr>
      </w:pPr>
      <w:r w:rsidRPr="004F0794">
        <w:rPr>
          <w:rFonts w:ascii="Times New Roman" w:hAnsi="Times New Roman" w:cs="Times New Roman"/>
          <w:b/>
          <w:color w:val="000000" w:themeColor="text1"/>
          <w:kern w:val="36"/>
          <w:sz w:val="24"/>
          <w:szCs w:val="24"/>
        </w:rPr>
        <w:t>AN APPRAISAL OF THE FORMATION AND DISSOLUTION OF CUSTOMARY LAW MARRIAGE IN NIGERIA</w:t>
      </w: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6512D1" w:rsidRPr="004F0794" w:rsidRDefault="006512D1" w:rsidP="006512D1">
      <w:pPr>
        <w:jc w:val="center"/>
        <w:rPr>
          <w:rFonts w:ascii="Times New Roman" w:hAnsi="Times New Roman" w:cs="Times New Roman"/>
          <w:b/>
          <w:kern w:val="36"/>
          <w:sz w:val="24"/>
          <w:szCs w:val="24"/>
        </w:rPr>
      </w:pPr>
      <w:r w:rsidRPr="004F0794">
        <w:rPr>
          <w:rFonts w:ascii="Times New Roman" w:hAnsi="Times New Roman" w:cs="Times New Roman"/>
          <w:b/>
          <w:kern w:val="36"/>
          <w:sz w:val="24"/>
          <w:szCs w:val="24"/>
        </w:rPr>
        <w:t xml:space="preserve">OPARAH AMARACHI GENEVIVE </w:t>
      </w:r>
    </w:p>
    <w:p w:rsidR="006512D1" w:rsidRPr="004F0794" w:rsidRDefault="006512D1" w:rsidP="006512D1">
      <w:pPr>
        <w:jc w:val="center"/>
        <w:rPr>
          <w:rFonts w:ascii="Times New Roman" w:hAnsi="Times New Roman" w:cs="Times New Roman"/>
          <w:b/>
          <w:kern w:val="36"/>
          <w:sz w:val="24"/>
          <w:szCs w:val="24"/>
        </w:rPr>
      </w:pPr>
      <w:r w:rsidRPr="004F0794">
        <w:rPr>
          <w:rFonts w:ascii="Times New Roman" w:hAnsi="Times New Roman" w:cs="Times New Roman"/>
          <w:b/>
          <w:kern w:val="36"/>
          <w:sz w:val="24"/>
          <w:szCs w:val="24"/>
        </w:rPr>
        <w:t>GOU/U21/LAW/403</w:t>
      </w: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4F0794" w:rsidRDefault="00A41A1D" w:rsidP="00A41A1D">
      <w:pPr>
        <w:jc w:val="center"/>
        <w:rPr>
          <w:rFonts w:ascii="Times New Roman" w:hAnsi="Times New Roman" w:cs="Times New Roman"/>
          <w:kern w:val="36"/>
          <w:sz w:val="24"/>
          <w:szCs w:val="24"/>
        </w:rPr>
      </w:pPr>
    </w:p>
    <w:p w:rsidR="00A41A1D" w:rsidRPr="00B25413" w:rsidRDefault="00A41A1D" w:rsidP="00A41A1D">
      <w:pPr>
        <w:jc w:val="center"/>
        <w:rPr>
          <w:rFonts w:ascii="Times New Roman" w:hAnsi="Times New Roman" w:cs="Times New Roman"/>
          <w:b/>
          <w:kern w:val="36"/>
          <w:sz w:val="24"/>
          <w:szCs w:val="24"/>
        </w:rPr>
      </w:pPr>
      <w:bookmarkStart w:id="1" w:name="_Toc232552214"/>
      <w:r w:rsidRPr="00B25413">
        <w:rPr>
          <w:rFonts w:ascii="Times New Roman" w:hAnsi="Times New Roman" w:cs="Times New Roman"/>
          <w:b/>
          <w:kern w:val="36"/>
          <w:sz w:val="24"/>
          <w:szCs w:val="24"/>
        </w:rPr>
        <w:t>JULY 2026</w:t>
      </w:r>
      <w:bookmarkEnd w:id="1"/>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pPr>
    </w:p>
    <w:p w:rsidR="00A41A1D" w:rsidRPr="004F0794" w:rsidRDefault="00A41A1D" w:rsidP="00A41A1D">
      <w:pPr>
        <w:jc w:val="both"/>
        <w:rPr>
          <w:rFonts w:ascii="Times New Roman" w:hAnsi="Times New Roman" w:cs="Times New Roman"/>
          <w:kern w:val="36"/>
          <w:sz w:val="24"/>
          <w:szCs w:val="24"/>
        </w:rPr>
        <w:sectPr w:rsidR="00A41A1D" w:rsidRPr="004F0794" w:rsidSect="000356CC">
          <w:pgSz w:w="11907" w:h="16839" w:code="9"/>
          <w:pgMar w:top="1440" w:right="1440" w:bottom="1440" w:left="1440" w:header="720" w:footer="720" w:gutter="0"/>
          <w:pgNumType w:fmt="lowerRoman" w:start="1"/>
          <w:cols w:space="720"/>
          <w:docGrid w:linePitch="360"/>
        </w:sectPr>
      </w:pPr>
      <w:r w:rsidRPr="004F0794">
        <w:rPr>
          <w:rFonts w:ascii="Times New Roman" w:hAnsi="Times New Roman" w:cs="Times New Roman"/>
          <w:kern w:val="36"/>
          <w:sz w:val="24"/>
          <w:szCs w:val="24"/>
        </w:rPr>
        <w:br w:type="page"/>
      </w:r>
    </w:p>
    <w:p w:rsidR="00A41A1D" w:rsidRPr="004F0794" w:rsidRDefault="00A41A1D" w:rsidP="00A41A1D">
      <w:pPr>
        <w:pStyle w:val="Heading1"/>
      </w:pPr>
      <w:bookmarkStart w:id="2" w:name="_Toc232552215"/>
      <w:bookmarkStart w:id="3" w:name="_Toc232552903"/>
      <w:bookmarkStart w:id="4" w:name="_Toc232722483"/>
      <w:r w:rsidRPr="004F0794">
        <w:lastRenderedPageBreak/>
        <w:t>TITLE PAGE</w:t>
      </w:r>
      <w:bookmarkEnd w:id="2"/>
      <w:bookmarkEnd w:id="3"/>
      <w:bookmarkEnd w:id="4"/>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spacing w:line="480" w:lineRule="auto"/>
        <w:jc w:val="center"/>
        <w:rPr>
          <w:rFonts w:ascii="Times New Roman" w:hAnsi="Times New Roman" w:cs="Times New Roman"/>
          <w:b/>
          <w:color w:val="000000" w:themeColor="text1"/>
          <w:kern w:val="36"/>
          <w:sz w:val="24"/>
          <w:szCs w:val="24"/>
        </w:rPr>
      </w:pPr>
      <w:r w:rsidRPr="004F0794">
        <w:rPr>
          <w:rFonts w:ascii="Times New Roman" w:hAnsi="Times New Roman" w:cs="Times New Roman"/>
          <w:b/>
          <w:color w:val="000000" w:themeColor="text1"/>
          <w:kern w:val="36"/>
          <w:sz w:val="24"/>
          <w:szCs w:val="24"/>
        </w:rPr>
        <w:t>AN APPRAISAL OF THE FORMATION AND DISSOLUTION OF CUSTOMARY LAW MARRIAGE IN NIGERIA</w:t>
      </w: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6512D1" w:rsidRPr="004F0794" w:rsidRDefault="006512D1" w:rsidP="00A41A1D">
      <w:pPr>
        <w:jc w:val="center"/>
        <w:rPr>
          <w:rFonts w:ascii="Times New Roman" w:hAnsi="Times New Roman" w:cs="Times New Roman"/>
          <w:b/>
          <w:kern w:val="36"/>
          <w:sz w:val="24"/>
          <w:szCs w:val="24"/>
        </w:rPr>
      </w:pPr>
      <w:r w:rsidRPr="004F0794">
        <w:rPr>
          <w:rFonts w:ascii="Times New Roman" w:hAnsi="Times New Roman" w:cs="Times New Roman"/>
          <w:b/>
          <w:kern w:val="36"/>
          <w:sz w:val="24"/>
          <w:szCs w:val="24"/>
        </w:rPr>
        <w:t xml:space="preserve">OPARAH AMARACHI GENEVIVE </w:t>
      </w:r>
    </w:p>
    <w:p w:rsidR="00A41A1D" w:rsidRPr="004F0794" w:rsidRDefault="006512D1" w:rsidP="00A41A1D">
      <w:pPr>
        <w:jc w:val="center"/>
        <w:rPr>
          <w:rFonts w:ascii="Times New Roman" w:hAnsi="Times New Roman" w:cs="Times New Roman"/>
          <w:b/>
          <w:kern w:val="36"/>
          <w:sz w:val="24"/>
          <w:szCs w:val="24"/>
        </w:rPr>
      </w:pPr>
      <w:r w:rsidRPr="004F0794">
        <w:rPr>
          <w:rFonts w:ascii="Times New Roman" w:hAnsi="Times New Roman" w:cs="Times New Roman"/>
          <w:b/>
          <w:kern w:val="36"/>
          <w:sz w:val="24"/>
          <w:szCs w:val="24"/>
        </w:rPr>
        <w:t>GOU/U21/LAW/403</w:t>
      </w: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bookmarkStart w:id="5" w:name="_Toc232552219"/>
      <w:r w:rsidRPr="004F0794">
        <w:rPr>
          <w:rFonts w:ascii="Times New Roman" w:hAnsi="Times New Roman" w:cs="Times New Roman"/>
          <w:b/>
          <w:kern w:val="36"/>
          <w:sz w:val="24"/>
          <w:szCs w:val="24"/>
        </w:rPr>
        <w:t>BEING A LONG ESSAY PRESENTED TO THE FACULTY OF LAW, GODFREY OKOYE UNIVERSITY, ENUGU STATE, IN PARTIAL FULFILMENT OF THE REQUIREMENTS FOR THE AWARD FO THE BACHELOR OF LAW (LL.B) DEGREE</w:t>
      </w:r>
      <w:bookmarkEnd w:id="5"/>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bookmarkStart w:id="6" w:name="_Toc232552220"/>
      <w:r w:rsidRPr="004F0794">
        <w:rPr>
          <w:rFonts w:ascii="Times New Roman" w:hAnsi="Times New Roman" w:cs="Times New Roman"/>
          <w:b/>
          <w:kern w:val="36"/>
          <w:sz w:val="24"/>
          <w:szCs w:val="24"/>
        </w:rPr>
        <w:t xml:space="preserve">SUPERVISOR: </w:t>
      </w:r>
      <w:bookmarkEnd w:id="6"/>
      <w:r w:rsidR="006512D1" w:rsidRPr="004F0794">
        <w:rPr>
          <w:rFonts w:ascii="Times New Roman" w:hAnsi="Times New Roman" w:cs="Times New Roman"/>
          <w:b/>
          <w:kern w:val="36"/>
          <w:sz w:val="24"/>
          <w:szCs w:val="24"/>
        </w:rPr>
        <w:t>AKUBUILO FLORENCE.</w:t>
      </w:r>
    </w:p>
    <w:p w:rsidR="00A41A1D" w:rsidRPr="004F0794" w:rsidRDefault="00A41A1D" w:rsidP="00A41A1D">
      <w:pPr>
        <w:jc w:val="center"/>
        <w:rPr>
          <w:rFonts w:ascii="Times New Roman" w:hAnsi="Times New Roman" w:cs="Times New Roman"/>
          <w:b/>
          <w:kern w:val="36"/>
          <w:sz w:val="24"/>
          <w:szCs w:val="24"/>
        </w:rPr>
      </w:pPr>
    </w:p>
    <w:p w:rsidR="00A41A1D" w:rsidRPr="004F0794" w:rsidRDefault="00A41A1D" w:rsidP="00A41A1D">
      <w:pPr>
        <w:jc w:val="center"/>
        <w:rPr>
          <w:rFonts w:ascii="Times New Roman" w:hAnsi="Times New Roman" w:cs="Times New Roman"/>
          <w:b/>
          <w:kern w:val="36"/>
          <w:sz w:val="24"/>
          <w:szCs w:val="24"/>
        </w:rPr>
      </w:pPr>
      <w:bookmarkStart w:id="7" w:name="_Toc232552221"/>
      <w:r w:rsidRPr="004F0794">
        <w:rPr>
          <w:rFonts w:ascii="Times New Roman" w:hAnsi="Times New Roman" w:cs="Times New Roman"/>
          <w:b/>
          <w:kern w:val="36"/>
          <w:sz w:val="24"/>
          <w:szCs w:val="24"/>
        </w:rPr>
        <w:t>JULY 2026</w:t>
      </w:r>
      <w:bookmarkEnd w:id="7"/>
    </w:p>
    <w:p w:rsidR="00A41A1D" w:rsidRPr="004F0794" w:rsidRDefault="00A41A1D" w:rsidP="00A41A1D">
      <w:pPr>
        <w:jc w:val="center"/>
        <w:rPr>
          <w:rFonts w:ascii="Times New Roman" w:eastAsia="Times New Roman" w:hAnsi="Times New Roman" w:cs="Times New Roman"/>
          <w:b/>
          <w:bCs/>
          <w:kern w:val="36"/>
          <w:sz w:val="24"/>
          <w:szCs w:val="24"/>
        </w:rPr>
      </w:pPr>
      <w:r w:rsidRPr="004F0794">
        <w:rPr>
          <w:rFonts w:ascii="Times New Roman" w:eastAsia="Times New Roman" w:hAnsi="Times New Roman" w:cs="Times New Roman"/>
          <w:b/>
          <w:bCs/>
          <w:kern w:val="36"/>
          <w:sz w:val="24"/>
          <w:szCs w:val="24"/>
        </w:rPr>
        <w:br w:type="page"/>
      </w:r>
    </w:p>
    <w:p w:rsidR="00A41A1D" w:rsidRPr="004F0794" w:rsidRDefault="00A41A1D" w:rsidP="00A41A1D">
      <w:pPr>
        <w:pStyle w:val="Heading1"/>
      </w:pPr>
      <w:bookmarkStart w:id="8" w:name="_Toc232552222"/>
      <w:bookmarkStart w:id="9" w:name="_Toc232552904"/>
      <w:bookmarkStart w:id="10" w:name="_Toc232722484"/>
      <w:r w:rsidRPr="004F0794">
        <w:lastRenderedPageBreak/>
        <w:t>DECLARATION</w:t>
      </w:r>
      <w:bookmarkEnd w:id="8"/>
      <w:bookmarkEnd w:id="9"/>
      <w:bookmarkEnd w:id="10"/>
    </w:p>
    <w:p w:rsidR="00A41A1D" w:rsidRPr="004F0794" w:rsidRDefault="00A41A1D" w:rsidP="00A41A1D">
      <w:pPr>
        <w:jc w:val="both"/>
        <w:rPr>
          <w:rFonts w:ascii="Times New Roman" w:eastAsia="Times New Roman" w:hAnsi="Times New Roman" w:cs="Times New Roman"/>
          <w:bCs/>
          <w:kern w:val="36"/>
          <w:sz w:val="24"/>
          <w:szCs w:val="24"/>
        </w:rPr>
      </w:pPr>
      <w:bookmarkStart w:id="11" w:name="_Toc232552223"/>
      <w:r w:rsidRPr="004F0794">
        <w:rPr>
          <w:rFonts w:ascii="Times New Roman" w:eastAsia="Times New Roman" w:hAnsi="Times New Roman" w:cs="Times New Roman"/>
          <w:bCs/>
          <w:kern w:val="36"/>
          <w:sz w:val="24"/>
          <w:szCs w:val="24"/>
        </w:rPr>
        <w:t xml:space="preserve">I, </w:t>
      </w:r>
      <w:r w:rsidR="00932B8F" w:rsidRPr="004F0794">
        <w:rPr>
          <w:rFonts w:ascii="Times New Roman" w:eastAsia="Times New Roman" w:hAnsi="Times New Roman" w:cs="Times New Roman"/>
          <w:b/>
          <w:bCs/>
          <w:kern w:val="36"/>
          <w:sz w:val="24"/>
          <w:szCs w:val="24"/>
        </w:rPr>
        <w:t>Oparah Amarachi Genevive</w:t>
      </w:r>
      <w:r w:rsidRPr="004F0794">
        <w:rPr>
          <w:rFonts w:ascii="Times New Roman" w:eastAsia="Times New Roman" w:hAnsi="Times New Roman" w:cs="Times New Roman"/>
          <w:bCs/>
          <w:kern w:val="36"/>
          <w:sz w:val="24"/>
          <w:szCs w:val="24"/>
        </w:rPr>
        <w:t xml:space="preserve">, with the </w:t>
      </w:r>
      <w:r w:rsidR="00932B8F" w:rsidRPr="004F0794">
        <w:rPr>
          <w:rFonts w:ascii="Times New Roman" w:eastAsia="Times New Roman" w:hAnsi="Times New Roman" w:cs="Times New Roman"/>
          <w:b/>
          <w:bCs/>
          <w:kern w:val="36"/>
          <w:sz w:val="24"/>
          <w:szCs w:val="24"/>
        </w:rPr>
        <w:t>Registration Number GOU/U21/LAW/403</w:t>
      </w:r>
      <w:r w:rsidRPr="004F0794">
        <w:rPr>
          <w:rFonts w:ascii="Times New Roman" w:eastAsia="Times New Roman" w:hAnsi="Times New Roman" w:cs="Times New Roman"/>
          <w:bCs/>
          <w:kern w:val="36"/>
          <w:sz w:val="24"/>
          <w:szCs w:val="24"/>
        </w:rPr>
        <w:t>, hereby affirm that this work was duly and diligently carried out by me. The primary and secondary sources used to carry out this legal research, are acknowledged appropriately and referenced herein, within this project. This work is an original and has not been submitted in part or in full for the award of any degree in this or any other Faculty of Law within and outside Nigeria.</w:t>
      </w:r>
      <w:bookmarkEnd w:id="11"/>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bookmarkStart w:id="12" w:name="_Toc232552224"/>
      <w:r w:rsidRPr="004F0794">
        <w:rPr>
          <w:rFonts w:ascii="Times New Roman" w:eastAsia="Times New Roman" w:hAnsi="Times New Roman" w:cs="Times New Roman"/>
          <w:bCs/>
          <w:kern w:val="36"/>
          <w:sz w:val="24"/>
          <w:szCs w:val="24"/>
        </w:rPr>
        <w:t>__________________________</w:t>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t>___________________________</w:t>
      </w:r>
      <w:bookmarkEnd w:id="12"/>
    </w:p>
    <w:p w:rsidR="00A41A1D" w:rsidRPr="004F0794" w:rsidRDefault="004D24F6" w:rsidP="00A41A1D">
      <w:pPr>
        <w:jc w:val="both"/>
        <w:rPr>
          <w:rFonts w:ascii="Times New Roman" w:eastAsia="Times New Roman" w:hAnsi="Times New Roman" w:cs="Times New Roman"/>
          <w:bCs/>
          <w:kern w:val="36"/>
          <w:sz w:val="24"/>
          <w:szCs w:val="24"/>
        </w:rPr>
      </w:pPr>
      <w:bookmarkStart w:id="13" w:name="_Toc232552225"/>
      <w:r w:rsidRPr="004F0794">
        <w:rPr>
          <w:rFonts w:ascii="Times New Roman" w:eastAsia="Times New Roman" w:hAnsi="Times New Roman" w:cs="Times New Roman"/>
          <w:b/>
          <w:bCs/>
          <w:kern w:val="36"/>
          <w:sz w:val="24"/>
          <w:szCs w:val="24"/>
        </w:rPr>
        <w:t>Oparah Amarachi Genevive</w:t>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sidR="00A41A1D" w:rsidRPr="004F0794">
        <w:rPr>
          <w:rFonts w:ascii="Times New Roman" w:eastAsia="Times New Roman" w:hAnsi="Times New Roman" w:cs="Times New Roman"/>
          <w:bCs/>
          <w:kern w:val="36"/>
          <w:sz w:val="24"/>
          <w:szCs w:val="24"/>
        </w:rPr>
        <w:t>Date</w:t>
      </w:r>
      <w:bookmarkEnd w:id="13"/>
    </w:p>
    <w:p w:rsidR="00A41A1D" w:rsidRPr="004F0794" w:rsidRDefault="00932B8F" w:rsidP="00A41A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
          <w:bCs/>
          <w:kern w:val="36"/>
          <w:sz w:val="24"/>
          <w:szCs w:val="24"/>
        </w:rPr>
        <w:t>GOU/U21/LAW/403</w:t>
      </w:r>
      <w:r w:rsidR="00A41A1D" w:rsidRPr="004F0794">
        <w:rPr>
          <w:rFonts w:ascii="Times New Roman" w:eastAsia="Times New Roman" w:hAnsi="Times New Roman" w:cs="Times New Roman"/>
          <w:bCs/>
          <w:kern w:val="36"/>
          <w:sz w:val="24"/>
          <w:szCs w:val="24"/>
        </w:rPr>
        <w:tab/>
      </w: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Cs/>
          <w:kern w:val="36"/>
          <w:sz w:val="24"/>
          <w:szCs w:val="24"/>
        </w:rPr>
        <w:br w:type="page"/>
      </w:r>
    </w:p>
    <w:p w:rsidR="00A41A1D" w:rsidRPr="004F0794" w:rsidRDefault="00A41A1D" w:rsidP="00A41A1D">
      <w:pPr>
        <w:pStyle w:val="Heading1"/>
      </w:pPr>
      <w:bookmarkStart w:id="14" w:name="_Toc232552227"/>
      <w:bookmarkStart w:id="15" w:name="_Toc232552905"/>
      <w:bookmarkStart w:id="16" w:name="_Toc232722485"/>
      <w:r w:rsidRPr="004F0794">
        <w:lastRenderedPageBreak/>
        <w:t>APPROVAL PAGE</w:t>
      </w:r>
      <w:bookmarkEnd w:id="14"/>
      <w:bookmarkEnd w:id="15"/>
      <w:bookmarkEnd w:id="16"/>
    </w:p>
    <w:p w:rsidR="00A41A1D" w:rsidRPr="004F0794" w:rsidRDefault="00A41A1D" w:rsidP="00A41A1D">
      <w:pPr>
        <w:jc w:val="both"/>
        <w:rPr>
          <w:rFonts w:ascii="Times New Roman" w:eastAsia="Times New Roman" w:hAnsi="Times New Roman" w:cs="Times New Roman"/>
          <w:bCs/>
          <w:kern w:val="36"/>
          <w:sz w:val="24"/>
          <w:szCs w:val="24"/>
        </w:rPr>
      </w:pPr>
      <w:bookmarkStart w:id="17" w:name="_Toc232552228"/>
      <w:r w:rsidRPr="004F0794">
        <w:rPr>
          <w:rFonts w:ascii="Times New Roman" w:eastAsia="Times New Roman" w:hAnsi="Times New Roman" w:cs="Times New Roman"/>
          <w:bCs/>
          <w:kern w:val="36"/>
          <w:sz w:val="24"/>
          <w:szCs w:val="24"/>
        </w:rPr>
        <w:t xml:space="preserve">I, </w:t>
      </w:r>
      <w:r w:rsidR="00932B8F" w:rsidRPr="004F0794">
        <w:rPr>
          <w:rFonts w:ascii="Times New Roman" w:eastAsia="Times New Roman" w:hAnsi="Times New Roman" w:cs="Times New Roman"/>
          <w:b/>
          <w:bCs/>
          <w:kern w:val="36"/>
          <w:sz w:val="24"/>
          <w:szCs w:val="24"/>
        </w:rPr>
        <w:t>Oparah Amarachi Genevive</w:t>
      </w:r>
      <w:r w:rsidRPr="004F0794">
        <w:rPr>
          <w:rFonts w:ascii="Times New Roman" w:eastAsia="Times New Roman" w:hAnsi="Times New Roman" w:cs="Times New Roman"/>
          <w:bCs/>
          <w:kern w:val="36"/>
          <w:sz w:val="24"/>
          <w:szCs w:val="24"/>
        </w:rPr>
        <w:t xml:space="preserve">, with </w:t>
      </w:r>
      <w:r w:rsidRPr="004F0794">
        <w:rPr>
          <w:rFonts w:ascii="Times New Roman" w:eastAsia="Times New Roman" w:hAnsi="Times New Roman" w:cs="Times New Roman"/>
          <w:b/>
          <w:bCs/>
          <w:kern w:val="36"/>
          <w:sz w:val="24"/>
          <w:szCs w:val="24"/>
        </w:rPr>
        <w:t xml:space="preserve">Registration Number </w:t>
      </w:r>
      <w:r w:rsidR="00932B8F" w:rsidRPr="004F0794">
        <w:rPr>
          <w:rFonts w:ascii="Times New Roman" w:eastAsia="Times New Roman" w:hAnsi="Times New Roman" w:cs="Times New Roman"/>
          <w:b/>
          <w:bCs/>
          <w:kern w:val="36"/>
          <w:sz w:val="24"/>
          <w:szCs w:val="24"/>
        </w:rPr>
        <w:t>GOU/U21/LAW/403</w:t>
      </w:r>
      <w:r w:rsidRPr="004F0794">
        <w:rPr>
          <w:rFonts w:ascii="Times New Roman" w:eastAsia="Times New Roman" w:hAnsi="Times New Roman" w:cs="Times New Roman"/>
          <w:bCs/>
          <w:kern w:val="36"/>
          <w:sz w:val="24"/>
          <w:szCs w:val="24"/>
        </w:rPr>
        <w:t>, hereby certify that this project research was done by me, with the direct and diligent supervision of Dr. Onwa Ali Onwa, has been approved by the administrative and academic staff of the Faculty of Law, Godfrey Okoye University, Enugu. In partial fulfilment of the requirement for the award of Bachelor of Law (LL. B) Degree.</w:t>
      </w:r>
      <w:bookmarkEnd w:id="17"/>
    </w:p>
    <w:p w:rsidR="00A41A1D" w:rsidRPr="004F0794" w:rsidRDefault="00A41A1D" w:rsidP="00A41A1D">
      <w:pPr>
        <w:jc w:val="both"/>
        <w:rPr>
          <w:rFonts w:ascii="Times New Roman" w:eastAsia="Times New Roman" w:hAnsi="Times New Roman" w:cs="Times New Roman"/>
          <w:bCs/>
          <w:kern w:val="36"/>
          <w:sz w:val="24"/>
          <w:szCs w:val="24"/>
        </w:rPr>
      </w:pPr>
      <w:bookmarkStart w:id="18" w:name="_Toc232552229"/>
      <w:r w:rsidRPr="004F0794">
        <w:rPr>
          <w:rFonts w:ascii="Times New Roman" w:eastAsia="Times New Roman" w:hAnsi="Times New Roman" w:cs="Times New Roman"/>
          <w:bCs/>
          <w:kern w:val="36"/>
          <w:sz w:val="24"/>
          <w:szCs w:val="24"/>
        </w:rPr>
        <w:t>Apart from the references made and acknowledged herein within this research work, this research work is an original work and has not been presented in part or in full, for any degree of this University or any other University.</w:t>
      </w:r>
      <w:bookmarkEnd w:id="18"/>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bookmarkStart w:id="19" w:name="_Toc232552230"/>
      <w:r w:rsidRPr="004F0794">
        <w:rPr>
          <w:rFonts w:ascii="Times New Roman" w:eastAsia="Times New Roman" w:hAnsi="Times New Roman" w:cs="Times New Roman"/>
          <w:bCs/>
          <w:kern w:val="36"/>
          <w:sz w:val="24"/>
          <w:szCs w:val="24"/>
        </w:rPr>
        <w:t xml:space="preserve">_______________________   </w:t>
      </w:r>
      <w:r w:rsidRPr="004F0794">
        <w:rPr>
          <w:rFonts w:ascii="Times New Roman" w:eastAsia="Times New Roman" w:hAnsi="Times New Roman" w:cs="Times New Roman"/>
          <w:bCs/>
          <w:kern w:val="36"/>
          <w:sz w:val="24"/>
          <w:szCs w:val="24"/>
        </w:rPr>
        <w:tab/>
        <w:t xml:space="preserve">                          ______________________</w:t>
      </w:r>
      <w:bookmarkEnd w:id="19"/>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p>
    <w:p w:rsidR="00A41A1D" w:rsidRPr="004F0794" w:rsidRDefault="000A751D" w:rsidP="00A41A1D">
      <w:pPr>
        <w:spacing w:after="0"/>
        <w:jc w:val="both"/>
        <w:rPr>
          <w:rFonts w:ascii="Times New Roman" w:eastAsia="Times New Roman" w:hAnsi="Times New Roman" w:cs="Times New Roman"/>
          <w:bCs/>
          <w:kern w:val="36"/>
          <w:sz w:val="24"/>
          <w:szCs w:val="24"/>
        </w:rPr>
      </w:pPr>
      <w:bookmarkStart w:id="20" w:name="_Toc232552231"/>
      <w:r w:rsidRPr="004F0794">
        <w:rPr>
          <w:rFonts w:ascii="Times New Roman" w:eastAsia="Times New Roman" w:hAnsi="Times New Roman" w:cs="Times New Roman"/>
          <w:bCs/>
          <w:kern w:val="36"/>
          <w:sz w:val="24"/>
          <w:szCs w:val="24"/>
        </w:rPr>
        <w:t>Akubuilo Florence</w:t>
      </w:r>
      <w:r w:rsidR="00A41A1D" w:rsidRPr="004F0794">
        <w:rPr>
          <w:rFonts w:ascii="Times New Roman" w:eastAsia="Times New Roman" w:hAnsi="Times New Roman" w:cs="Times New Roman"/>
          <w:bCs/>
          <w:kern w:val="36"/>
          <w:sz w:val="24"/>
          <w:szCs w:val="24"/>
        </w:rPr>
        <w:tab/>
      </w:r>
      <w:r w:rsidR="00A41A1D" w:rsidRPr="004F0794">
        <w:rPr>
          <w:rFonts w:ascii="Times New Roman" w:eastAsia="Times New Roman" w:hAnsi="Times New Roman" w:cs="Times New Roman"/>
          <w:bCs/>
          <w:kern w:val="36"/>
          <w:sz w:val="24"/>
          <w:szCs w:val="24"/>
        </w:rPr>
        <w:tab/>
      </w:r>
      <w:r w:rsidR="00A41A1D"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00A41A1D" w:rsidRPr="004F0794">
        <w:rPr>
          <w:rFonts w:ascii="Times New Roman" w:eastAsia="Times New Roman" w:hAnsi="Times New Roman" w:cs="Times New Roman"/>
          <w:bCs/>
          <w:kern w:val="36"/>
          <w:sz w:val="24"/>
          <w:szCs w:val="24"/>
        </w:rPr>
        <w:t>Date</w:t>
      </w:r>
      <w:bookmarkEnd w:id="20"/>
      <w:r w:rsidR="00A41A1D" w:rsidRPr="004F0794">
        <w:rPr>
          <w:rFonts w:ascii="Times New Roman" w:eastAsia="Times New Roman" w:hAnsi="Times New Roman" w:cs="Times New Roman"/>
          <w:bCs/>
          <w:kern w:val="36"/>
          <w:sz w:val="24"/>
          <w:szCs w:val="24"/>
        </w:rPr>
        <w:tab/>
      </w:r>
      <w:r w:rsidR="00A41A1D" w:rsidRPr="004F0794">
        <w:rPr>
          <w:rFonts w:ascii="Times New Roman" w:eastAsia="Times New Roman" w:hAnsi="Times New Roman" w:cs="Times New Roman"/>
          <w:bCs/>
          <w:kern w:val="36"/>
          <w:sz w:val="24"/>
          <w:szCs w:val="24"/>
        </w:rPr>
        <w:tab/>
      </w:r>
    </w:p>
    <w:p w:rsidR="00A41A1D" w:rsidRPr="004F0794" w:rsidRDefault="00A41A1D" w:rsidP="00A41A1D">
      <w:pPr>
        <w:spacing w:after="0"/>
        <w:jc w:val="both"/>
        <w:rPr>
          <w:rFonts w:ascii="Times New Roman" w:eastAsia="Times New Roman" w:hAnsi="Times New Roman" w:cs="Times New Roman"/>
          <w:bCs/>
          <w:kern w:val="36"/>
          <w:sz w:val="24"/>
          <w:szCs w:val="24"/>
        </w:rPr>
      </w:pPr>
      <w:bookmarkStart w:id="21" w:name="_Toc232552232"/>
      <w:r w:rsidRPr="004F0794">
        <w:rPr>
          <w:rFonts w:ascii="Times New Roman" w:eastAsia="Times New Roman" w:hAnsi="Times New Roman" w:cs="Times New Roman"/>
          <w:bCs/>
          <w:kern w:val="36"/>
          <w:sz w:val="24"/>
          <w:szCs w:val="24"/>
        </w:rPr>
        <w:t>Project Supervisor</w:t>
      </w:r>
      <w:bookmarkEnd w:id="21"/>
      <w:r w:rsidRPr="004F0794">
        <w:rPr>
          <w:rFonts w:ascii="Times New Roman" w:eastAsia="Times New Roman" w:hAnsi="Times New Roman" w:cs="Times New Roman"/>
          <w:bCs/>
          <w:kern w:val="36"/>
          <w:sz w:val="24"/>
          <w:szCs w:val="24"/>
        </w:rPr>
        <w:t xml:space="preserve"> </w:t>
      </w:r>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bookmarkStart w:id="22" w:name="_Toc232552233"/>
      <w:r w:rsidRPr="004F0794">
        <w:rPr>
          <w:rFonts w:ascii="Times New Roman" w:eastAsia="Times New Roman" w:hAnsi="Times New Roman" w:cs="Times New Roman"/>
          <w:bCs/>
          <w:kern w:val="36"/>
          <w:sz w:val="24"/>
          <w:szCs w:val="24"/>
        </w:rPr>
        <w:t xml:space="preserve">________________________                   </w:t>
      </w:r>
      <w:r w:rsidRPr="004F0794">
        <w:rPr>
          <w:rFonts w:ascii="Times New Roman" w:eastAsia="Times New Roman" w:hAnsi="Times New Roman" w:cs="Times New Roman"/>
          <w:bCs/>
          <w:kern w:val="36"/>
          <w:sz w:val="24"/>
          <w:szCs w:val="24"/>
        </w:rPr>
        <w:tab/>
        <w:t xml:space="preserve"> </w:t>
      </w:r>
      <w:r w:rsidRPr="004F0794">
        <w:rPr>
          <w:rFonts w:ascii="Times New Roman" w:eastAsia="Times New Roman" w:hAnsi="Times New Roman" w:cs="Times New Roman"/>
          <w:bCs/>
          <w:kern w:val="36"/>
          <w:sz w:val="24"/>
          <w:szCs w:val="24"/>
        </w:rPr>
        <w:tab/>
        <w:t xml:space="preserve"> ________________________</w:t>
      </w:r>
      <w:bookmarkEnd w:id="22"/>
      <w:r w:rsidRPr="004F0794">
        <w:rPr>
          <w:rFonts w:ascii="Times New Roman" w:eastAsia="Times New Roman" w:hAnsi="Times New Roman" w:cs="Times New Roman"/>
          <w:bCs/>
          <w:kern w:val="36"/>
          <w:sz w:val="24"/>
          <w:szCs w:val="24"/>
        </w:rPr>
        <w:tab/>
      </w:r>
    </w:p>
    <w:p w:rsidR="00A41A1D" w:rsidRPr="004F0794" w:rsidRDefault="00A41A1D" w:rsidP="00A41A1D">
      <w:pPr>
        <w:spacing w:after="0"/>
        <w:jc w:val="both"/>
        <w:rPr>
          <w:rFonts w:ascii="Times New Roman" w:eastAsia="Times New Roman" w:hAnsi="Times New Roman" w:cs="Times New Roman"/>
          <w:bCs/>
          <w:kern w:val="36"/>
          <w:sz w:val="24"/>
          <w:szCs w:val="24"/>
        </w:rPr>
      </w:pPr>
      <w:bookmarkStart w:id="23" w:name="_Toc232552234"/>
      <w:r w:rsidRPr="004F0794">
        <w:rPr>
          <w:rFonts w:ascii="Times New Roman" w:eastAsia="Times New Roman" w:hAnsi="Times New Roman" w:cs="Times New Roman"/>
          <w:bCs/>
          <w:kern w:val="36"/>
          <w:sz w:val="24"/>
          <w:szCs w:val="24"/>
        </w:rPr>
        <w:t>Prof. Frank Asogwa</w:t>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t>Date</w:t>
      </w:r>
      <w:bookmarkEnd w:id="23"/>
    </w:p>
    <w:p w:rsidR="00A41A1D" w:rsidRPr="004F0794" w:rsidRDefault="00A41A1D" w:rsidP="00A41A1D">
      <w:pPr>
        <w:spacing w:after="0"/>
        <w:jc w:val="both"/>
        <w:rPr>
          <w:rFonts w:ascii="Times New Roman" w:eastAsia="Times New Roman" w:hAnsi="Times New Roman" w:cs="Times New Roman"/>
          <w:bCs/>
          <w:kern w:val="36"/>
          <w:sz w:val="24"/>
          <w:szCs w:val="24"/>
        </w:rPr>
      </w:pPr>
      <w:bookmarkStart w:id="24" w:name="_Toc232552235"/>
      <w:r w:rsidRPr="004F0794">
        <w:rPr>
          <w:rFonts w:ascii="Times New Roman" w:eastAsia="Times New Roman" w:hAnsi="Times New Roman" w:cs="Times New Roman"/>
          <w:bCs/>
          <w:kern w:val="36"/>
          <w:sz w:val="24"/>
          <w:szCs w:val="24"/>
        </w:rPr>
        <w:t>(Dean, Faculty of Law)</w:t>
      </w:r>
      <w:bookmarkEnd w:id="24"/>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p>
    <w:p w:rsidR="00A41A1D" w:rsidRPr="004F0794" w:rsidRDefault="00A41A1D" w:rsidP="00A41A1D">
      <w:pPr>
        <w:spacing w:after="0"/>
        <w:jc w:val="both"/>
        <w:rPr>
          <w:rFonts w:ascii="Times New Roman" w:eastAsia="Times New Roman" w:hAnsi="Times New Roman" w:cs="Times New Roman"/>
          <w:bCs/>
          <w:kern w:val="36"/>
          <w:sz w:val="24"/>
          <w:szCs w:val="24"/>
        </w:rPr>
      </w:pPr>
      <w:bookmarkStart w:id="25" w:name="_Toc232552236"/>
      <w:r w:rsidRPr="004F0794">
        <w:rPr>
          <w:rFonts w:ascii="Times New Roman" w:eastAsia="Times New Roman" w:hAnsi="Times New Roman" w:cs="Times New Roman"/>
          <w:bCs/>
          <w:kern w:val="36"/>
          <w:sz w:val="24"/>
          <w:szCs w:val="24"/>
        </w:rPr>
        <w:t xml:space="preserve">________________________                     </w:t>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t>________________________</w:t>
      </w:r>
      <w:bookmarkEnd w:id="25"/>
    </w:p>
    <w:p w:rsidR="00A41A1D" w:rsidRPr="004F0794" w:rsidRDefault="00A41A1D" w:rsidP="00A41A1D">
      <w:pPr>
        <w:spacing w:after="0"/>
        <w:jc w:val="both"/>
        <w:rPr>
          <w:rFonts w:ascii="Times New Roman" w:eastAsia="Times New Roman" w:hAnsi="Times New Roman" w:cs="Times New Roman"/>
          <w:bCs/>
          <w:kern w:val="36"/>
          <w:sz w:val="24"/>
          <w:szCs w:val="24"/>
        </w:rPr>
      </w:pPr>
      <w:bookmarkStart w:id="26" w:name="_Toc232552237"/>
      <w:r w:rsidRPr="004F0794">
        <w:rPr>
          <w:rFonts w:ascii="Times New Roman" w:eastAsia="Times New Roman" w:hAnsi="Times New Roman" w:cs="Times New Roman"/>
          <w:bCs/>
          <w:kern w:val="36"/>
          <w:sz w:val="24"/>
          <w:szCs w:val="24"/>
        </w:rPr>
        <w:t>External Examiner</w:t>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r>
      <w:r w:rsidRPr="004F0794">
        <w:rPr>
          <w:rFonts w:ascii="Times New Roman" w:eastAsia="Times New Roman" w:hAnsi="Times New Roman" w:cs="Times New Roman"/>
          <w:bCs/>
          <w:kern w:val="36"/>
          <w:sz w:val="24"/>
          <w:szCs w:val="24"/>
        </w:rPr>
        <w:tab/>
        <w:t>Date</w:t>
      </w:r>
      <w:bookmarkEnd w:id="26"/>
    </w:p>
    <w:p w:rsidR="00A41A1D" w:rsidRPr="004F0794" w:rsidRDefault="00A41A1D" w:rsidP="00A41A1D">
      <w:pPr>
        <w:jc w:val="both"/>
        <w:rPr>
          <w:rFonts w:ascii="Times New Roman" w:eastAsia="Times New Roman" w:hAnsi="Times New Roman" w:cs="Times New Roman"/>
          <w:bCs/>
          <w:kern w:val="36"/>
          <w:sz w:val="24"/>
          <w:szCs w:val="24"/>
        </w:rPr>
      </w:pPr>
      <w:bookmarkStart w:id="27" w:name="_Toc232552238"/>
      <w:r w:rsidRPr="004F0794">
        <w:rPr>
          <w:rFonts w:ascii="Times New Roman" w:eastAsia="Times New Roman" w:hAnsi="Times New Roman" w:cs="Times New Roman"/>
          <w:bCs/>
          <w:kern w:val="36"/>
          <w:sz w:val="24"/>
          <w:szCs w:val="24"/>
        </w:rPr>
        <w:t> </w:t>
      </w:r>
      <w:bookmarkEnd w:id="27"/>
    </w:p>
    <w:p w:rsidR="00A41A1D" w:rsidRPr="004F0794" w:rsidRDefault="00A41A1D" w:rsidP="00A41A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Cs/>
          <w:kern w:val="36"/>
          <w:sz w:val="24"/>
          <w:szCs w:val="24"/>
        </w:rPr>
        <w:br w:type="page"/>
      </w:r>
    </w:p>
    <w:p w:rsidR="00A41A1D" w:rsidRPr="004F0794" w:rsidRDefault="00A41A1D" w:rsidP="00A41A1D">
      <w:pPr>
        <w:pStyle w:val="Heading1"/>
      </w:pPr>
      <w:bookmarkStart w:id="28" w:name="_Toc232552239"/>
      <w:bookmarkStart w:id="29" w:name="_Toc232552906"/>
      <w:bookmarkStart w:id="30" w:name="_Toc232722486"/>
      <w:r w:rsidRPr="004F0794">
        <w:lastRenderedPageBreak/>
        <w:t>DEDICATION</w:t>
      </w:r>
      <w:bookmarkEnd w:id="28"/>
      <w:bookmarkEnd w:id="29"/>
      <w:bookmarkEnd w:id="30"/>
    </w:p>
    <w:p w:rsidR="00A41A1D" w:rsidRPr="004F0794" w:rsidRDefault="000A751D" w:rsidP="00A41A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Cs/>
          <w:kern w:val="36"/>
          <w:sz w:val="24"/>
          <w:szCs w:val="24"/>
        </w:rPr>
        <w:t xml:space="preserve">I dedicate this project to almighty God, to my lovely parents </w:t>
      </w:r>
      <w:r w:rsidR="00932B8F" w:rsidRPr="004F0794">
        <w:rPr>
          <w:rFonts w:ascii="Times New Roman" w:eastAsia="Times New Roman" w:hAnsi="Times New Roman" w:cs="Times New Roman"/>
          <w:b/>
          <w:bCs/>
          <w:kern w:val="36"/>
          <w:sz w:val="24"/>
          <w:szCs w:val="24"/>
        </w:rPr>
        <w:t>Lambert and Ifeoma Oparah</w:t>
      </w:r>
      <w:r w:rsidRPr="004F0794">
        <w:rPr>
          <w:rFonts w:ascii="Times New Roman" w:eastAsia="Times New Roman" w:hAnsi="Times New Roman" w:cs="Times New Roman"/>
          <w:bCs/>
          <w:kern w:val="36"/>
          <w:sz w:val="24"/>
          <w:szCs w:val="24"/>
        </w:rPr>
        <w:t>, and to all women who are currently in customary marriages, currently going through domestic violence, being mistreated or just fed up with the marriage, and do not they can and how to divorce their husbands, to young ladies in customary marriages unaware of their rights in the household</w:t>
      </w:r>
      <w:r w:rsidR="00A41A1D" w:rsidRPr="004F0794">
        <w:rPr>
          <w:rFonts w:ascii="Times New Roman" w:eastAsia="Times New Roman" w:hAnsi="Times New Roman" w:cs="Times New Roman"/>
          <w:bCs/>
          <w:kern w:val="36"/>
          <w:sz w:val="24"/>
          <w:szCs w:val="24"/>
        </w:rPr>
        <w:t>.</w:t>
      </w: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bookmarkStart w:id="31" w:name="_Toc232552240"/>
      <w:r w:rsidRPr="004F0794">
        <w:rPr>
          <w:rFonts w:ascii="Times New Roman" w:eastAsia="Times New Roman" w:hAnsi="Times New Roman" w:cs="Times New Roman"/>
          <w:bCs/>
          <w:kern w:val="36"/>
          <w:sz w:val="24"/>
          <w:szCs w:val="24"/>
        </w:rPr>
        <w:t> </w:t>
      </w:r>
      <w:bookmarkEnd w:id="31"/>
    </w:p>
    <w:p w:rsidR="00A41A1D" w:rsidRPr="004F0794" w:rsidRDefault="00A41A1D" w:rsidP="00A41A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Cs/>
          <w:kern w:val="36"/>
          <w:sz w:val="24"/>
          <w:szCs w:val="24"/>
        </w:rPr>
        <w:br w:type="page"/>
      </w:r>
    </w:p>
    <w:p w:rsidR="00A41A1D" w:rsidRPr="004F0794" w:rsidRDefault="00A41A1D" w:rsidP="00A41A1D">
      <w:pPr>
        <w:pStyle w:val="Heading1"/>
      </w:pPr>
      <w:bookmarkStart w:id="32" w:name="_Toc232552241"/>
      <w:bookmarkStart w:id="33" w:name="_Toc232552907"/>
      <w:bookmarkStart w:id="34" w:name="_Toc232722487"/>
      <w:r w:rsidRPr="004F0794">
        <w:lastRenderedPageBreak/>
        <w:t>ACKNOWLEDGEMENTS</w:t>
      </w:r>
      <w:bookmarkEnd w:id="32"/>
      <w:bookmarkEnd w:id="33"/>
      <w:bookmarkEnd w:id="34"/>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To Almighty God, I have come this far by your grace and know that it has been your kindness and prote</w:t>
      </w:r>
      <w:r w:rsidR="004D24F6">
        <w:rPr>
          <w:rFonts w:ascii="Times New Roman" w:eastAsia="Times New Roman" w:hAnsi="Times New Roman" w:cs="Times New Roman"/>
          <w:bCs/>
          <w:kern w:val="36"/>
          <w:sz w:val="24"/>
          <w:szCs w:val="24"/>
          <w:lang w:val="en-US"/>
        </w:rPr>
        <w:t>ction that been with me through</w:t>
      </w:r>
      <w:r w:rsidRPr="004F0794">
        <w:rPr>
          <w:rFonts w:ascii="Times New Roman" w:eastAsia="Times New Roman" w:hAnsi="Times New Roman" w:cs="Times New Roman"/>
          <w:bCs/>
          <w:kern w:val="36"/>
          <w:sz w:val="24"/>
          <w:szCs w:val="24"/>
          <w:lang w:val="en-US"/>
        </w:rPr>
        <w:t xml:space="preserve">out this journey </w:t>
      </w:r>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To my supervisor, who made this learning process seamless and interesting, I had doubts before starting this project but looking it from the end, I can say you are God</w:t>
      </w:r>
      <w:r w:rsidR="004D24F6">
        <w:rPr>
          <w:rFonts w:ascii="Times New Roman" w:eastAsia="Times New Roman" w:hAnsi="Times New Roman" w:cs="Times New Roman"/>
          <w:bCs/>
          <w:kern w:val="36"/>
          <w:sz w:val="24"/>
          <w:szCs w:val="24"/>
          <w:lang w:val="en-US"/>
        </w:rPr>
        <w:t>’</w:t>
      </w:r>
      <w:r w:rsidRPr="004F0794">
        <w:rPr>
          <w:rFonts w:ascii="Times New Roman" w:eastAsia="Times New Roman" w:hAnsi="Times New Roman" w:cs="Times New Roman"/>
          <w:bCs/>
          <w:kern w:val="36"/>
          <w:sz w:val="24"/>
          <w:szCs w:val="24"/>
          <w:lang w:val="en-US"/>
        </w:rPr>
        <w:t xml:space="preserve">s gift to me in my final year </w:t>
      </w:r>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To my Dean and other lecturers I want to thank you for the knowledge and experience you have impacted on me throughout this journey. My journey here has been an eye opening one</w:t>
      </w:r>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 xml:space="preserve">To my friends Ola, Chiamaka, Chisom, My seat mates in my final year and my roomates, Helen and Ifeyinwa and Nwagbo chineye, Johnpaul Divine and Chiamaka Offu your constant support and love has brought me this far </w:t>
      </w:r>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 xml:space="preserve">To my lovely parents, I am where I am today because of you, started this journey with your constant reassurance and patience, and ending it with a thankful heart, My parents are my biggest motivation </w:t>
      </w:r>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My mother, my emergency contact, always ready to listen to my cries and worries, a shoulder to cry on, I firmly believe I went through this 5years with her by my side, and if it would be possible she would be called a lawyer by proxy.</w:t>
      </w:r>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My father, my biggest support, knowing fully well he did not understand some things he paid for, he always did with extra, never complaining, he always tried his best to explain concepts that were very strange to him, my space place he knows each and every one around me despite never seeing them in person</w:t>
      </w:r>
    </w:p>
    <w:p w:rsidR="000A751D" w:rsidRPr="004F0794" w:rsidRDefault="000A751D" w:rsidP="000A751D">
      <w:pPr>
        <w:jc w:val="both"/>
        <w:rPr>
          <w:rFonts w:ascii="Times New Roman" w:eastAsia="Times New Roman" w:hAnsi="Times New Roman" w:cs="Times New Roman"/>
          <w:bCs/>
          <w:kern w:val="36"/>
          <w:sz w:val="24"/>
          <w:szCs w:val="24"/>
          <w:lang w:val="en-US"/>
        </w:rPr>
      </w:pPr>
      <w:r w:rsidRPr="004F0794">
        <w:rPr>
          <w:rFonts w:ascii="Times New Roman" w:eastAsia="Times New Roman" w:hAnsi="Times New Roman" w:cs="Times New Roman"/>
          <w:bCs/>
          <w:kern w:val="36"/>
          <w:sz w:val="24"/>
          <w:szCs w:val="24"/>
          <w:lang w:val="en-US"/>
        </w:rPr>
        <w:t>My brothers, always ready to celebrate every little or big win,</w:t>
      </w:r>
      <w:r w:rsidR="004D24F6">
        <w:rPr>
          <w:rFonts w:ascii="Times New Roman" w:eastAsia="Times New Roman" w:hAnsi="Times New Roman" w:cs="Times New Roman"/>
          <w:bCs/>
          <w:kern w:val="36"/>
          <w:sz w:val="24"/>
          <w:szCs w:val="24"/>
          <w:lang w:val="en-US"/>
        </w:rPr>
        <w:t xml:space="preserve"> </w:t>
      </w:r>
      <w:r w:rsidRPr="004F0794">
        <w:rPr>
          <w:rFonts w:ascii="Times New Roman" w:eastAsia="Times New Roman" w:hAnsi="Times New Roman" w:cs="Times New Roman"/>
          <w:bCs/>
          <w:kern w:val="36"/>
          <w:sz w:val="24"/>
          <w:szCs w:val="24"/>
          <w:lang w:val="en-US"/>
        </w:rPr>
        <w:t>things I treated as minimal, they always made it a big deal, and I am so grateful for that, My uncle Ken and My aunty Nkeiru who were a big support to my stay in school</w:t>
      </w:r>
    </w:p>
    <w:p w:rsidR="00A41A1D" w:rsidRPr="004F0794" w:rsidRDefault="000A751D" w:rsidP="000A75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Cs/>
          <w:kern w:val="36"/>
          <w:sz w:val="24"/>
          <w:szCs w:val="24"/>
          <w:lang w:val="en-US"/>
        </w:rPr>
        <w:t>I have very grateful for you all</w:t>
      </w:r>
      <w:r w:rsidR="00A41A1D" w:rsidRPr="004F0794">
        <w:rPr>
          <w:rFonts w:ascii="Times New Roman" w:eastAsia="Times New Roman" w:hAnsi="Times New Roman" w:cs="Times New Roman"/>
          <w:bCs/>
          <w:kern w:val="36"/>
          <w:sz w:val="24"/>
          <w:szCs w:val="24"/>
        </w:rPr>
        <w:t>.</w:t>
      </w: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p>
    <w:p w:rsidR="00A41A1D" w:rsidRPr="004F0794" w:rsidRDefault="00A41A1D" w:rsidP="00A41A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Cs/>
          <w:kern w:val="36"/>
          <w:sz w:val="24"/>
          <w:szCs w:val="24"/>
        </w:rPr>
        <w:br w:type="page"/>
      </w:r>
    </w:p>
    <w:p w:rsidR="00A41A1D" w:rsidRPr="004F0794" w:rsidRDefault="00A41A1D" w:rsidP="007912B6">
      <w:pPr>
        <w:pStyle w:val="Heading1"/>
      </w:pPr>
      <w:bookmarkStart w:id="35" w:name="_Toc232552242"/>
      <w:bookmarkStart w:id="36" w:name="_Toc232552908"/>
      <w:bookmarkStart w:id="37" w:name="_Toc232722488"/>
      <w:r w:rsidRPr="004F0794">
        <w:lastRenderedPageBreak/>
        <w:t>TABLE OF CONTENT</w:t>
      </w:r>
      <w:bookmarkEnd w:id="35"/>
      <w:bookmarkEnd w:id="36"/>
      <w:bookmarkEnd w:id="37"/>
    </w:p>
    <w:p w:rsidR="00A41A1D" w:rsidRPr="004F0794" w:rsidRDefault="00A41A1D" w:rsidP="00A41A1D">
      <w:pPr>
        <w:jc w:val="both"/>
        <w:rPr>
          <w:rFonts w:ascii="Times New Roman" w:hAnsi="Times New Roman" w:cs="Times New Roman"/>
          <w:sz w:val="24"/>
          <w:szCs w:val="24"/>
        </w:rPr>
      </w:pPr>
    </w:p>
    <w:sdt>
      <w:sdtPr>
        <w:rPr>
          <w:rFonts w:ascii="Times New Roman" w:eastAsiaTheme="minorHAnsi" w:hAnsi="Times New Roman" w:cs="Times New Roman"/>
          <w:b w:val="0"/>
          <w:color w:val="auto"/>
          <w:sz w:val="22"/>
          <w:szCs w:val="22"/>
        </w:rPr>
        <w:id w:val="-838471545"/>
        <w:docPartObj>
          <w:docPartGallery w:val="Table of Contents"/>
          <w:docPartUnique/>
        </w:docPartObj>
      </w:sdtPr>
      <w:sdtContent>
        <w:p w:rsidR="00A41A1D" w:rsidRPr="004F0794" w:rsidRDefault="00A41A1D" w:rsidP="00A41A1D">
          <w:pPr>
            <w:pStyle w:val="TOCHeading"/>
            <w:rPr>
              <w:rFonts w:ascii="Times New Roman" w:hAnsi="Times New Roman" w:cs="Times New Roman"/>
            </w:rPr>
          </w:pPr>
        </w:p>
        <w:p w:rsidR="00B05A6B" w:rsidRPr="004F0794" w:rsidRDefault="000B0655">
          <w:pPr>
            <w:pStyle w:val="TOC1"/>
            <w:tabs>
              <w:tab w:val="right" w:leader="dot" w:pos="9017"/>
            </w:tabs>
            <w:rPr>
              <w:rFonts w:ascii="Times New Roman" w:eastAsiaTheme="minorEastAsia" w:hAnsi="Times New Roman" w:cs="Times New Roman"/>
              <w:noProof/>
              <w:lang w:val="en-US"/>
            </w:rPr>
          </w:pPr>
          <w:r w:rsidRPr="004F0794">
            <w:rPr>
              <w:rFonts w:ascii="Times New Roman" w:hAnsi="Times New Roman" w:cs="Times New Roman"/>
            </w:rPr>
            <w:fldChar w:fldCharType="begin"/>
          </w:r>
          <w:r w:rsidR="00A41A1D" w:rsidRPr="004F0794">
            <w:rPr>
              <w:rFonts w:ascii="Times New Roman" w:hAnsi="Times New Roman" w:cs="Times New Roman"/>
            </w:rPr>
            <w:instrText xml:space="preserve"> TOC \o "1-3" \h \z \u </w:instrText>
          </w:r>
          <w:r w:rsidRPr="004F0794">
            <w:rPr>
              <w:rFonts w:ascii="Times New Roman" w:hAnsi="Times New Roman" w:cs="Times New Roman"/>
            </w:rPr>
            <w:fldChar w:fldCharType="separate"/>
          </w:r>
          <w:hyperlink w:anchor="_Toc232722483" w:history="1">
            <w:r w:rsidR="00B05A6B" w:rsidRPr="004F0794">
              <w:rPr>
                <w:rStyle w:val="Hyperlink"/>
                <w:rFonts w:ascii="Times New Roman" w:hAnsi="Times New Roman" w:cs="Times New Roman"/>
                <w:noProof/>
              </w:rPr>
              <w:t>TITLE PAGE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_Toc232722483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i</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84" w:history="1">
            <w:r w:rsidR="00B05A6B" w:rsidRPr="004F0794">
              <w:rPr>
                <w:rStyle w:val="Hyperlink"/>
                <w:rFonts w:ascii="Times New Roman" w:hAnsi="Times New Roman" w:cs="Times New Roman"/>
                <w:noProof/>
              </w:rPr>
              <w:t>DECLARATION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_Toc232722484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ii</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85" w:history="1">
            <w:r w:rsidR="00B05A6B" w:rsidRPr="004F0794">
              <w:rPr>
                <w:rStyle w:val="Hyperlink"/>
                <w:rFonts w:ascii="Times New Roman" w:hAnsi="Times New Roman" w:cs="Times New Roman"/>
                <w:noProof/>
              </w:rPr>
              <w:t>APPROVAL PAGE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_Toc232722485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iii</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86" w:history="1">
            <w:r w:rsidR="00B05A6B" w:rsidRPr="004F0794">
              <w:rPr>
                <w:rStyle w:val="Hyperlink"/>
                <w:rFonts w:ascii="Times New Roman" w:hAnsi="Times New Roman" w:cs="Times New Roman"/>
                <w:noProof/>
              </w:rPr>
              <w:t>DEDICATION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_Toc232722486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iv</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87" w:history="1">
            <w:r w:rsidR="00B05A6B" w:rsidRPr="004F0794">
              <w:rPr>
                <w:rStyle w:val="Hyperlink"/>
                <w:rFonts w:ascii="Times New Roman" w:hAnsi="Times New Roman" w:cs="Times New Roman"/>
                <w:noProof/>
              </w:rPr>
              <w:t>ACKNOWLEDGEMENTS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_Toc232722487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v</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88" w:history="1">
            <w:r w:rsidR="00B05A6B" w:rsidRPr="004F0794">
              <w:rPr>
                <w:rStyle w:val="Hyperlink"/>
                <w:rFonts w:ascii="Times New Roman" w:hAnsi="Times New Roman" w:cs="Times New Roman"/>
                <w:noProof/>
              </w:rPr>
              <w:t>TABLE OF CONTENT</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_Toc232722488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vi</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89" w:history="1">
            <w:r w:rsidR="00B05A6B" w:rsidRPr="004F0794">
              <w:rPr>
                <w:rStyle w:val="Hyperlink"/>
                <w:rFonts w:ascii="Times New Roman" w:hAnsi="Times New Roman" w:cs="Times New Roman"/>
                <w:noProof/>
              </w:rPr>
              <w:t>LIST OF CASES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_Toc232722489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ix</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90" w:history="1">
            <w:r w:rsidR="00B05A6B" w:rsidRPr="004F0794">
              <w:rPr>
                <w:rStyle w:val="Hyperlink"/>
                <w:rFonts w:ascii="Times New Roman" w:hAnsi="Times New Roman" w:cs="Times New Roman"/>
                <w:noProof/>
              </w:rPr>
              <w:t>LIST OF STATUTES, TREATIES AND OTHER INTERNATIONAL INSTRUMENTS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_Toc232722490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x</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91" w:history="1">
            <w:r w:rsidR="00B05A6B" w:rsidRPr="004F0794">
              <w:rPr>
                <w:rStyle w:val="Hyperlink"/>
                <w:rFonts w:ascii="Times New Roman" w:hAnsi="Times New Roman" w:cs="Times New Roman"/>
                <w:noProof/>
              </w:rPr>
              <w:t>LIST OF ABBREVIATIONS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_Toc232722491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xi</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92" w:history="1">
            <w:r w:rsidR="00B05A6B" w:rsidRPr="004F0794">
              <w:rPr>
                <w:rStyle w:val="Hyperlink"/>
                <w:rFonts w:ascii="Times New Roman" w:hAnsi="Times New Roman" w:cs="Times New Roman"/>
                <w:noProof/>
              </w:rPr>
              <w:t>ABSTRACT</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_Toc232722492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xii</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93" w:history="1">
            <w:r w:rsidR="00B05A6B" w:rsidRPr="004F0794">
              <w:rPr>
                <w:rStyle w:val="Hyperlink"/>
                <w:rFonts w:ascii="Times New Roman" w:hAnsi="Times New Roman" w:cs="Times New Roman"/>
                <w:noProof/>
              </w:rPr>
              <w:t>CHAPTER ONE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_Toc232722493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494" w:history="1">
            <w:r w:rsidR="00B05A6B" w:rsidRPr="004F0794">
              <w:rPr>
                <w:rStyle w:val="Hyperlink"/>
                <w:rFonts w:ascii="Times New Roman" w:hAnsi="Times New Roman" w:cs="Times New Roman"/>
                <w:noProof/>
              </w:rPr>
              <w:t>INTRODUCTION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_Toc232722494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495" w:history="1">
            <w:r w:rsidR="00B05A6B" w:rsidRPr="004F0794">
              <w:rPr>
                <w:rStyle w:val="Hyperlink"/>
                <w:rFonts w:ascii="Times New Roman" w:hAnsi="Times New Roman" w:cs="Times New Roman"/>
                <w:noProof/>
              </w:rPr>
              <w:t xml:space="preserve">1.1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Background to the Study</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_Toc232722495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496" w:history="1">
            <w:r w:rsidR="00B05A6B" w:rsidRPr="004F0794">
              <w:rPr>
                <w:rStyle w:val="Hyperlink"/>
                <w:rFonts w:ascii="Times New Roman" w:hAnsi="Times New Roman" w:cs="Times New Roman"/>
                <w:noProof/>
              </w:rPr>
              <w:t xml:space="preserve">1.2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Statement of the Problem</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_Toc232722496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2</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497" w:history="1">
            <w:r w:rsidR="00B05A6B" w:rsidRPr="004F0794">
              <w:rPr>
                <w:rStyle w:val="Hyperlink"/>
                <w:rFonts w:ascii="Times New Roman" w:hAnsi="Times New Roman" w:cs="Times New Roman"/>
                <w:noProof/>
              </w:rPr>
              <w:t xml:space="preserve">1.3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Research Questions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_Toc232722497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498" w:history="1">
            <w:r w:rsidR="00B05A6B" w:rsidRPr="004F0794">
              <w:rPr>
                <w:rStyle w:val="Hyperlink"/>
                <w:rFonts w:ascii="Times New Roman" w:hAnsi="Times New Roman" w:cs="Times New Roman"/>
                <w:noProof/>
              </w:rPr>
              <w:t xml:space="preserve">1.4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Aim and Objectives of the Research</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_Toc232722498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499" w:history="1">
            <w:r w:rsidR="00B05A6B" w:rsidRPr="004F0794">
              <w:rPr>
                <w:rStyle w:val="Hyperlink"/>
                <w:rFonts w:ascii="Times New Roman" w:hAnsi="Times New Roman" w:cs="Times New Roman"/>
                <w:noProof/>
              </w:rPr>
              <w:t xml:space="preserve">1.5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Research Methodology</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_Toc232722499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00" w:history="1">
            <w:r w:rsidR="00B05A6B" w:rsidRPr="004F0794">
              <w:rPr>
                <w:rStyle w:val="Hyperlink"/>
                <w:rFonts w:ascii="Times New Roman" w:hAnsi="Times New Roman" w:cs="Times New Roman"/>
                <w:noProof/>
              </w:rPr>
              <w:t xml:space="preserve">1.6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Scope and Limitation of the Study</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_Toc232722500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01" w:history="1">
            <w:r w:rsidR="00B05A6B" w:rsidRPr="004F0794">
              <w:rPr>
                <w:rStyle w:val="Hyperlink"/>
                <w:rFonts w:ascii="Times New Roman" w:hAnsi="Times New Roman" w:cs="Times New Roman"/>
                <w:noProof/>
              </w:rPr>
              <w:t xml:space="preserve">1.7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Significance of the Study</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_Toc232722501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7</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02" w:history="1">
            <w:r w:rsidR="00B05A6B" w:rsidRPr="004F0794">
              <w:rPr>
                <w:rStyle w:val="Hyperlink"/>
                <w:rFonts w:ascii="Times New Roman" w:hAnsi="Times New Roman" w:cs="Times New Roman"/>
                <w:noProof/>
              </w:rPr>
              <w:t xml:space="preserve">1.8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Literature Review</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_Toc232722502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7</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03" w:history="1">
            <w:r w:rsidR="00B05A6B" w:rsidRPr="004F0794">
              <w:rPr>
                <w:rStyle w:val="Hyperlink"/>
                <w:rFonts w:ascii="Times New Roman" w:hAnsi="Times New Roman" w:cs="Times New Roman"/>
                <w:noProof/>
              </w:rPr>
              <w:t>CHAPTER TWO</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_Toc232722503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16</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04" w:history="1">
            <w:r w:rsidR="00B05A6B" w:rsidRPr="004F0794">
              <w:rPr>
                <w:rStyle w:val="Hyperlink"/>
                <w:rFonts w:ascii="Times New Roman" w:hAnsi="Times New Roman" w:cs="Times New Roman"/>
                <w:noProof/>
              </w:rPr>
              <w:t>CONCEPTUAL AND THEORETICAL FRAMEWORK</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_Toc232722504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16</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05" w:history="1">
            <w:r w:rsidR="00B05A6B" w:rsidRPr="004F0794">
              <w:rPr>
                <w:rStyle w:val="Hyperlink"/>
                <w:rFonts w:ascii="Times New Roman" w:hAnsi="Times New Roman" w:cs="Times New Roman"/>
                <w:noProof/>
              </w:rPr>
              <w:t xml:space="preserve">2.1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Conceptual Framework</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_Toc232722505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16</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06" w:history="1">
            <w:r w:rsidR="00B05A6B" w:rsidRPr="004F0794">
              <w:rPr>
                <w:rStyle w:val="Hyperlink"/>
                <w:rFonts w:ascii="Times New Roman" w:hAnsi="Times New Roman" w:cs="Times New Roman"/>
                <w:noProof/>
              </w:rPr>
              <w:t xml:space="preserve">2.1.1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Definition of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_Toc232722506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16</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07" w:history="1">
            <w:r w:rsidR="00B05A6B" w:rsidRPr="004F0794">
              <w:rPr>
                <w:rStyle w:val="Hyperlink"/>
                <w:rFonts w:ascii="Times New Roman" w:hAnsi="Times New Roman" w:cs="Times New Roman"/>
                <w:noProof/>
              </w:rPr>
              <w:t xml:space="preserve">2.1.2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Customary Law</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_Toc232722507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17</w:t>
            </w:r>
            <w:r w:rsidRPr="004F0794">
              <w:rPr>
                <w:rFonts w:ascii="Times New Roman" w:hAnsi="Times New Roman" w:cs="Times New Roman"/>
                <w:noProof/>
                <w:webHidden/>
              </w:rPr>
              <w:fldChar w:fldCharType="end"/>
            </w:r>
          </w:hyperlink>
        </w:p>
        <w:p w:rsidR="00B05A6B" w:rsidRPr="004F0794" w:rsidRDefault="000B0655">
          <w:pPr>
            <w:pStyle w:val="TOC3"/>
            <w:tabs>
              <w:tab w:val="right" w:leader="dot" w:pos="9017"/>
            </w:tabs>
            <w:rPr>
              <w:rFonts w:ascii="Times New Roman" w:eastAsiaTheme="minorEastAsia" w:hAnsi="Times New Roman" w:cs="Times New Roman"/>
              <w:noProof/>
              <w:lang w:val="en-US"/>
            </w:rPr>
          </w:pPr>
          <w:hyperlink w:anchor="_Toc232722508" w:history="1">
            <w:r w:rsidR="00B05A6B" w:rsidRPr="004F0794">
              <w:rPr>
                <w:rStyle w:val="Hyperlink"/>
                <w:rFonts w:ascii="Times New Roman" w:hAnsi="Times New Roman" w:cs="Times New Roman"/>
                <w:noProof/>
              </w:rPr>
              <w:t>2.1.3  Customary Law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_Toc232722508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18</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09" w:history="1">
            <w:r w:rsidR="00B05A6B" w:rsidRPr="004F0794">
              <w:rPr>
                <w:rStyle w:val="Hyperlink"/>
                <w:rFonts w:ascii="Times New Roman" w:hAnsi="Times New Roman" w:cs="Times New Roman"/>
                <w:noProof/>
              </w:rPr>
              <w:t xml:space="preserve">2.1.4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Legal Status of Customary Marriages: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_Toc232722509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20</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10" w:history="1">
            <w:r w:rsidR="00B05A6B" w:rsidRPr="004F0794">
              <w:rPr>
                <w:rStyle w:val="Hyperlink"/>
                <w:rFonts w:ascii="Times New Roman" w:hAnsi="Times New Roman" w:cs="Times New Roman"/>
                <w:noProof/>
              </w:rPr>
              <w:t xml:space="preserve">2.1.5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Essential Incidents of Customary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_Toc232722510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21</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11" w:history="1">
            <w:r w:rsidR="00B05A6B" w:rsidRPr="004F0794">
              <w:rPr>
                <w:rStyle w:val="Hyperlink"/>
                <w:rFonts w:ascii="Times New Roman" w:hAnsi="Times New Roman" w:cs="Times New Roman"/>
                <w:noProof/>
              </w:rPr>
              <w:t xml:space="preserve">2.1.6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Distinction between Customary Law Marriage and Statutory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_Toc232722511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23</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12" w:history="1">
            <w:r w:rsidR="00B05A6B" w:rsidRPr="004F0794">
              <w:rPr>
                <w:rStyle w:val="Hyperlink"/>
                <w:rFonts w:ascii="Times New Roman" w:hAnsi="Times New Roman" w:cs="Times New Roman"/>
                <w:noProof/>
                <w:lang w:val="en-US"/>
              </w:rPr>
              <w:t xml:space="preserve">2.2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Theoretical Framework</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_Toc232722512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26</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13" w:history="1">
            <w:r w:rsidR="00B05A6B" w:rsidRPr="004F0794">
              <w:rPr>
                <w:rStyle w:val="Hyperlink"/>
                <w:rFonts w:ascii="Times New Roman" w:hAnsi="Times New Roman" w:cs="Times New Roman"/>
                <w:noProof/>
                <w:lang w:val="en-US"/>
              </w:rPr>
              <w:t xml:space="preserve">2.2.1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Legal Pluralism Theory</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_Toc232722513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26</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14" w:history="1">
            <w:r w:rsidR="00B05A6B" w:rsidRPr="004F0794">
              <w:rPr>
                <w:rStyle w:val="Hyperlink"/>
                <w:rFonts w:ascii="Times New Roman" w:hAnsi="Times New Roman" w:cs="Times New Roman"/>
                <w:noProof/>
              </w:rPr>
              <w:t xml:space="preserve">2.2.2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Sociological Jurisprudence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_Toc232722514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28</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15" w:history="1">
            <w:r w:rsidR="00B05A6B" w:rsidRPr="004F0794">
              <w:rPr>
                <w:rStyle w:val="Hyperlink"/>
                <w:rFonts w:ascii="Times New Roman" w:hAnsi="Times New Roman" w:cs="Times New Roman"/>
                <w:noProof/>
              </w:rPr>
              <w:t xml:space="preserve">2.2.3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Natural Law School of thought</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_Toc232722515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30</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16" w:history="1">
            <w:r w:rsidR="00B05A6B" w:rsidRPr="004F0794">
              <w:rPr>
                <w:rStyle w:val="Hyperlink"/>
                <w:rFonts w:ascii="Times New Roman" w:hAnsi="Times New Roman" w:cs="Times New Roman"/>
                <w:noProof/>
              </w:rPr>
              <w:t xml:space="preserve">2.2.4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Legal Realism</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_Toc232722516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31</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17" w:history="1">
            <w:r w:rsidR="00B05A6B" w:rsidRPr="004F0794">
              <w:rPr>
                <w:rStyle w:val="Hyperlink"/>
                <w:rFonts w:ascii="Times New Roman" w:hAnsi="Times New Roman" w:cs="Times New Roman"/>
                <w:noProof/>
                <w:kern w:val="36"/>
              </w:rPr>
              <w:t>CHAPTER THREE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_Toc232722517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34</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18" w:history="1">
            <w:r w:rsidR="00B05A6B" w:rsidRPr="004F0794">
              <w:rPr>
                <w:rStyle w:val="Hyperlink"/>
                <w:rFonts w:ascii="Times New Roman" w:hAnsi="Times New Roman" w:cs="Times New Roman"/>
                <w:noProof/>
                <w:kern w:val="36"/>
              </w:rPr>
              <w:t>LEGISLATIVE AND INSTITUTIONAL FRAMEWORKS GOVERNING CUSTOMARY MARRIAGE IN NIGERIA</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_Toc232722518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34</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19" w:history="1">
            <w:r w:rsidR="00B05A6B" w:rsidRPr="004F0794">
              <w:rPr>
                <w:rStyle w:val="Hyperlink"/>
                <w:rFonts w:ascii="Times New Roman" w:hAnsi="Times New Roman" w:cs="Times New Roman"/>
                <w:noProof/>
              </w:rPr>
              <w:t xml:space="preserve">3.1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Legislative Frameworks for Customary Marriage in Nigeria</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_Toc232722519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34</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0" w:history="1">
            <w:r w:rsidR="00B05A6B" w:rsidRPr="004F0794">
              <w:rPr>
                <w:rStyle w:val="Hyperlink"/>
                <w:rFonts w:ascii="Times New Roman" w:hAnsi="Times New Roman" w:cs="Times New Roman"/>
                <w:noProof/>
              </w:rPr>
              <w:t xml:space="preserve">3.1.1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The Constitution of the Federal Republic of Nigeria, 1999</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_Toc232722520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34</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1" w:history="1">
            <w:r w:rsidR="00B05A6B" w:rsidRPr="004F0794">
              <w:rPr>
                <w:rStyle w:val="Hyperlink"/>
                <w:rFonts w:ascii="Times New Roman" w:hAnsi="Times New Roman" w:cs="Times New Roman"/>
                <w:noProof/>
              </w:rPr>
              <w:t xml:space="preserve">3.1.2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Marriage Act Cap M6 LFN 2004</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_Toc232722521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35</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2" w:history="1">
            <w:r w:rsidR="00B05A6B" w:rsidRPr="004F0794">
              <w:rPr>
                <w:rStyle w:val="Hyperlink"/>
                <w:rFonts w:ascii="Times New Roman" w:hAnsi="Times New Roman" w:cs="Times New Roman"/>
                <w:noProof/>
              </w:rPr>
              <w:t xml:space="preserve">3.1.3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Matrimonial Causes Act CAP M7 LFN 2004</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_Toc232722522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36</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3" w:history="1">
            <w:r w:rsidR="00B05A6B" w:rsidRPr="004F0794">
              <w:rPr>
                <w:rStyle w:val="Hyperlink"/>
                <w:rFonts w:ascii="Times New Roman" w:hAnsi="Times New Roman" w:cs="Times New Roman"/>
                <w:noProof/>
              </w:rPr>
              <w:t xml:space="preserve">3.1.4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Evidence Act 2011</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_Toc232722523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37</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4" w:history="1">
            <w:r w:rsidR="00B05A6B" w:rsidRPr="004F0794">
              <w:rPr>
                <w:rStyle w:val="Hyperlink"/>
                <w:rFonts w:ascii="Times New Roman" w:hAnsi="Times New Roman" w:cs="Times New Roman"/>
                <w:noProof/>
              </w:rPr>
              <w:t xml:space="preserve">3.1.5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State Customary Marriage Legislations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_Toc232722524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38</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5" w:history="1">
            <w:r w:rsidR="00B05A6B" w:rsidRPr="004F0794">
              <w:rPr>
                <w:rStyle w:val="Hyperlink"/>
                <w:rFonts w:ascii="Times New Roman" w:hAnsi="Times New Roman" w:cs="Times New Roman"/>
                <w:noProof/>
              </w:rPr>
              <w:t>3.1.6</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State Customary Courts Laws &amp; Rules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_Toc232722525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38</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26" w:history="1">
            <w:r w:rsidR="00B05A6B" w:rsidRPr="004F0794">
              <w:rPr>
                <w:rStyle w:val="Hyperlink"/>
                <w:rFonts w:ascii="Times New Roman" w:hAnsi="Times New Roman" w:cs="Times New Roman"/>
                <w:noProof/>
              </w:rPr>
              <w:t xml:space="preserve">3.2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Institutional Framework for Customary Law Marriage in Nigeria</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_Toc232722526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39</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7" w:history="1">
            <w:r w:rsidR="00B05A6B" w:rsidRPr="004F0794">
              <w:rPr>
                <w:rStyle w:val="Hyperlink"/>
                <w:rFonts w:ascii="Times New Roman" w:hAnsi="Times New Roman" w:cs="Times New Roman"/>
                <w:noProof/>
              </w:rPr>
              <w:t xml:space="preserve">3.2.1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Non-judicial for a (Family and Traditional Authorities)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_Toc232722527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39</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28" w:history="1">
            <w:r w:rsidR="00B05A6B" w:rsidRPr="004F0794">
              <w:rPr>
                <w:rStyle w:val="Hyperlink"/>
                <w:rFonts w:ascii="Times New Roman" w:hAnsi="Times New Roman" w:cs="Times New Roman"/>
                <w:noProof/>
              </w:rPr>
              <w:t xml:space="preserve">3.2.2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Judicial Fora</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_Toc232722528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40</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29" w:history="1">
            <w:r w:rsidR="00B05A6B" w:rsidRPr="004F0794">
              <w:rPr>
                <w:rStyle w:val="Hyperlink"/>
                <w:rFonts w:ascii="Times New Roman" w:hAnsi="Times New Roman" w:cs="Times New Roman"/>
                <w:noProof/>
                <w:kern w:val="36"/>
                <w:lang w:val="en-US"/>
              </w:rPr>
              <w:t>CHAPTER FOUR</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_Toc232722529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47</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30" w:history="1">
            <w:r w:rsidR="00B05A6B" w:rsidRPr="004F0794">
              <w:rPr>
                <w:rStyle w:val="Hyperlink"/>
                <w:rFonts w:ascii="Times New Roman" w:hAnsi="Times New Roman" w:cs="Times New Roman"/>
                <w:noProof/>
                <w:kern w:val="36"/>
                <w:lang w:val="en-US"/>
              </w:rPr>
              <w:t>FORMATION AND DISSOLUTION OF CUSTOMARY LAW MARRIAGE IN NIGERIA</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_Toc232722530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47</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31" w:history="1">
            <w:r w:rsidR="00B05A6B" w:rsidRPr="004F0794">
              <w:rPr>
                <w:rStyle w:val="Hyperlink"/>
                <w:rFonts w:ascii="Times New Roman" w:hAnsi="Times New Roman" w:cs="Times New Roman"/>
                <w:noProof/>
                <w:lang w:val="en-US"/>
              </w:rPr>
              <w:t xml:space="preserve">4.1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Formation of Customary Law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_Toc232722531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47</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32" w:history="1">
            <w:r w:rsidR="00B05A6B" w:rsidRPr="004F0794">
              <w:rPr>
                <w:rStyle w:val="Hyperlink"/>
                <w:rFonts w:ascii="Times New Roman" w:hAnsi="Times New Roman" w:cs="Times New Roman"/>
                <w:noProof/>
                <w:lang w:val="en-US"/>
              </w:rPr>
              <w:t>4.1.1</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Essential Requirements for a Valid Customary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_Toc232722532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47</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33" w:history="1">
            <w:r w:rsidR="00B05A6B" w:rsidRPr="004F0794">
              <w:rPr>
                <w:rStyle w:val="Hyperlink"/>
                <w:rFonts w:ascii="Times New Roman" w:hAnsi="Times New Roman" w:cs="Times New Roman"/>
                <w:noProof/>
                <w:lang w:val="en-US"/>
              </w:rPr>
              <w:t xml:space="preserve">4.1.2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Proof of Customary Marriage in Court</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_Toc232722533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49</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34" w:history="1">
            <w:r w:rsidR="00B05A6B" w:rsidRPr="004F0794">
              <w:rPr>
                <w:rStyle w:val="Hyperlink"/>
                <w:rFonts w:ascii="Times New Roman" w:hAnsi="Times New Roman" w:cs="Times New Roman"/>
                <w:noProof/>
              </w:rPr>
              <w:t>4.1.3</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Legal Effects of Customary Law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_Toc232722534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50</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35" w:history="1">
            <w:r w:rsidR="00B05A6B" w:rsidRPr="004F0794">
              <w:rPr>
                <w:rStyle w:val="Hyperlink"/>
                <w:rFonts w:ascii="Times New Roman" w:hAnsi="Times New Roman" w:cs="Times New Roman"/>
                <w:noProof/>
              </w:rPr>
              <w:t xml:space="preserve">4.1.4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Challenges in the Formation of Customary Law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_Toc232722535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51</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36" w:history="1">
            <w:r w:rsidR="00B05A6B" w:rsidRPr="004F0794">
              <w:rPr>
                <w:rStyle w:val="Hyperlink"/>
                <w:rFonts w:ascii="Times New Roman" w:hAnsi="Times New Roman" w:cs="Times New Roman"/>
                <w:noProof/>
                <w:lang w:val="en-US"/>
              </w:rPr>
              <w:t xml:space="preserve">4.2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Dissolution of Customary Law Marriage: Grounds, Procedure, and Effects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_Toc232722536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53</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37" w:history="1">
            <w:r w:rsidR="00B05A6B" w:rsidRPr="004F0794">
              <w:rPr>
                <w:rStyle w:val="Hyperlink"/>
                <w:rFonts w:ascii="Times New Roman" w:hAnsi="Times New Roman" w:cs="Times New Roman"/>
                <w:noProof/>
                <w:lang w:val="en-US"/>
              </w:rPr>
              <w:t xml:space="preserve">4.2.1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Grounds for Dissolution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_Toc232722537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53</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38" w:history="1">
            <w:r w:rsidR="00B05A6B" w:rsidRPr="004F0794">
              <w:rPr>
                <w:rStyle w:val="Hyperlink"/>
                <w:rFonts w:ascii="Times New Roman" w:hAnsi="Times New Roman" w:cs="Times New Roman"/>
                <w:noProof/>
                <w:lang w:val="en-US"/>
              </w:rPr>
              <w:t xml:space="preserve">4.2.2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Procedure for Dissolution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_Toc232722538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54</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39" w:history="1">
            <w:r w:rsidR="00B05A6B" w:rsidRPr="004F0794">
              <w:rPr>
                <w:rStyle w:val="Hyperlink"/>
                <w:rFonts w:ascii="Times New Roman" w:hAnsi="Times New Roman" w:cs="Times New Roman"/>
                <w:noProof/>
              </w:rPr>
              <w:t>4.2.3</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Legal Effects of Dissolution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_Toc232722539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56</w:t>
            </w:r>
            <w:r w:rsidRPr="004F0794">
              <w:rPr>
                <w:rFonts w:ascii="Times New Roman" w:hAnsi="Times New Roman" w:cs="Times New Roman"/>
                <w:noProof/>
                <w:webHidden/>
              </w:rPr>
              <w:fldChar w:fldCharType="end"/>
            </w:r>
          </w:hyperlink>
        </w:p>
        <w:p w:rsidR="00B05A6B" w:rsidRPr="004F0794" w:rsidRDefault="000B0655">
          <w:pPr>
            <w:pStyle w:val="TOC3"/>
            <w:tabs>
              <w:tab w:val="left" w:pos="1320"/>
              <w:tab w:val="right" w:leader="dot" w:pos="9017"/>
            </w:tabs>
            <w:rPr>
              <w:rFonts w:ascii="Times New Roman" w:eastAsiaTheme="minorEastAsia" w:hAnsi="Times New Roman" w:cs="Times New Roman"/>
              <w:noProof/>
              <w:lang w:val="en-US"/>
            </w:rPr>
          </w:pPr>
          <w:hyperlink w:anchor="_Toc232722540" w:history="1">
            <w:r w:rsidR="00B05A6B" w:rsidRPr="004F0794">
              <w:rPr>
                <w:rStyle w:val="Hyperlink"/>
                <w:rFonts w:ascii="Times New Roman" w:hAnsi="Times New Roman" w:cs="Times New Roman"/>
                <w:noProof/>
              </w:rPr>
              <w:t xml:space="preserve">4.2.4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Challenges in the dissolution of Customary Law Marriage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_Toc232722540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58</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41" w:history="1">
            <w:r w:rsidR="00B05A6B" w:rsidRPr="004F0794">
              <w:rPr>
                <w:rStyle w:val="Hyperlink"/>
                <w:rFonts w:ascii="Times New Roman" w:hAnsi="Times New Roman" w:cs="Times New Roman"/>
                <w:noProof/>
              </w:rPr>
              <w:t>CHAPTER FIVE</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_Toc232722541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62</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42" w:history="1">
            <w:r w:rsidR="00B05A6B" w:rsidRPr="004F0794">
              <w:rPr>
                <w:rStyle w:val="Hyperlink"/>
                <w:rFonts w:ascii="Times New Roman" w:hAnsi="Times New Roman" w:cs="Times New Roman"/>
                <w:noProof/>
              </w:rPr>
              <w:t>SUMMARY OF FINDINGS, RECOMMENDATIONS AND CONCLUSION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_Toc232722542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62</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43" w:history="1">
            <w:r w:rsidR="00B05A6B" w:rsidRPr="004F0794">
              <w:rPr>
                <w:rStyle w:val="Hyperlink"/>
                <w:rFonts w:ascii="Times New Roman" w:hAnsi="Times New Roman" w:cs="Times New Roman"/>
                <w:noProof/>
              </w:rPr>
              <w:t xml:space="preserve">5.1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rPr>
              <w:t>Summary of Findings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_Toc232722543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62</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44" w:history="1">
            <w:r w:rsidR="00B05A6B" w:rsidRPr="004F0794">
              <w:rPr>
                <w:rStyle w:val="Hyperlink"/>
                <w:rFonts w:ascii="Times New Roman" w:hAnsi="Times New Roman" w:cs="Times New Roman"/>
                <w:noProof/>
                <w:lang w:val="en-US"/>
              </w:rPr>
              <w:t xml:space="preserve">5.2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Recommendations</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_Toc232722544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67</w:t>
            </w:r>
            <w:r w:rsidRPr="004F0794">
              <w:rPr>
                <w:rFonts w:ascii="Times New Roman" w:hAnsi="Times New Roman" w:cs="Times New Roman"/>
                <w:noProof/>
                <w:webHidden/>
              </w:rPr>
              <w:fldChar w:fldCharType="end"/>
            </w:r>
          </w:hyperlink>
        </w:p>
        <w:p w:rsidR="00B05A6B" w:rsidRPr="004F0794" w:rsidRDefault="000B0655">
          <w:pPr>
            <w:pStyle w:val="TOC2"/>
            <w:tabs>
              <w:tab w:val="left" w:pos="880"/>
              <w:tab w:val="right" w:leader="dot" w:pos="9017"/>
            </w:tabs>
            <w:rPr>
              <w:rFonts w:ascii="Times New Roman" w:eastAsiaTheme="minorEastAsia" w:hAnsi="Times New Roman" w:cs="Times New Roman"/>
              <w:noProof/>
              <w:lang w:val="en-US"/>
            </w:rPr>
          </w:pPr>
          <w:hyperlink w:anchor="_Toc232722545" w:history="1">
            <w:r w:rsidR="00B05A6B" w:rsidRPr="004F0794">
              <w:rPr>
                <w:rStyle w:val="Hyperlink"/>
                <w:rFonts w:ascii="Times New Roman" w:hAnsi="Times New Roman" w:cs="Times New Roman"/>
                <w:noProof/>
                <w:lang w:val="en-US"/>
              </w:rPr>
              <w:t xml:space="preserve">5.3 </w:t>
            </w:r>
            <w:r w:rsidR="00B05A6B" w:rsidRPr="004F0794">
              <w:rPr>
                <w:rFonts w:ascii="Times New Roman" w:eastAsiaTheme="minorEastAsia" w:hAnsi="Times New Roman" w:cs="Times New Roman"/>
                <w:noProof/>
                <w:lang w:val="en-US"/>
              </w:rPr>
              <w:tab/>
            </w:r>
            <w:r w:rsidR="00B05A6B" w:rsidRPr="004F0794">
              <w:rPr>
                <w:rStyle w:val="Hyperlink"/>
                <w:rFonts w:ascii="Times New Roman" w:hAnsi="Times New Roman" w:cs="Times New Roman"/>
                <w:noProof/>
                <w:lang w:val="en-US"/>
              </w:rPr>
              <w:t>Conclusion</w:t>
            </w:r>
            <w:r w:rsidR="00B05A6B" w:rsidRPr="004F0794">
              <w:rPr>
                <w:rFonts w:ascii="Times New Roman" w:hAnsi="Times New Roman" w:cs="Times New Roman"/>
                <w:noProof/>
                <w:webHidden/>
              </w:rPr>
              <w:tab/>
            </w:r>
            <w:r w:rsidRPr="004F0794">
              <w:rPr>
                <w:rFonts w:ascii="Times New Roman" w:hAnsi="Times New Roman" w:cs="Times New Roman"/>
                <w:noProof/>
                <w:webHidden/>
              </w:rPr>
              <w:fldChar w:fldCharType="begin"/>
            </w:r>
            <w:r w:rsidR="00B05A6B" w:rsidRPr="004F0794">
              <w:rPr>
                <w:rFonts w:ascii="Times New Roman" w:hAnsi="Times New Roman" w:cs="Times New Roman"/>
                <w:noProof/>
                <w:webHidden/>
              </w:rPr>
              <w:instrText xml:space="preserve"> PAGEREF _Toc232722545 \h </w:instrText>
            </w:r>
            <w:r w:rsidRPr="004F0794">
              <w:rPr>
                <w:rFonts w:ascii="Times New Roman" w:hAnsi="Times New Roman" w:cs="Times New Roman"/>
                <w:noProof/>
                <w:webHidden/>
              </w:rPr>
            </w:r>
            <w:r w:rsidRPr="004F0794">
              <w:rPr>
                <w:rFonts w:ascii="Times New Roman" w:hAnsi="Times New Roman" w:cs="Times New Roman"/>
                <w:noProof/>
                <w:webHidden/>
              </w:rPr>
              <w:fldChar w:fldCharType="separate"/>
            </w:r>
            <w:r w:rsidR="00704DF7">
              <w:rPr>
                <w:rFonts w:ascii="Times New Roman" w:hAnsi="Times New Roman" w:cs="Times New Roman"/>
                <w:noProof/>
                <w:webHidden/>
              </w:rPr>
              <w:t>70</w:t>
            </w:r>
            <w:r w:rsidRPr="004F0794">
              <w:rPr>
                <w:rFonts w:ascii="Times New Roman" w:hAnsi="Times New Roman" w:cs="Times New Roman"/>
                <w:noProof/>
                <w:webHidden/>
              </w:rPr>
              <w:fldChar w:fldCharType="end"/>
            </w:r>
          </w:hyperlink>
        </w:p>
        <w:p w:rsidR="00B05A6B" w:rsidRPr="004F0794" w:rsidRDefault="000B0655">
          <w:pPr>
            <w:pStyle w:val="TOC1"/>
            <w:tabs>
              <w:tab w:val="right" w:leader="dot" w:pos="9017"/>
            </w:tabs>
            <w:rPr>
              <w:rFonts w:ascii="Times New Roman" w:eastAsiaTheme="minorEastAsia" w:hAnsi="Times New Roman" w:cs="Times New Roman"/>
              <w:noProof/>
              <w:lang w:val="en-US"/>
            </w:rPr>
          </w:pPr>
          <w:hyperlink w:anchor="_Toc232722546" w:history="1">
            <w:r w:rsidR="00B05A6B" w:rsidRPr="004F0794">
              <w:rPr>
                <w:rStyle w:val="Hyperlink"/>
                <w:rFonts w:ascii="Times New Roman" w:hAnsi="Times New Roman" w:cs="Times New Roman"/>
                <w:noProof/>
              </w:rPr>
              <w:t>BIBLIOGRAPHY</w:t>
            </w:r>
          </w:hyperlink>
        </w:p>
        <w:p w:rsidR="00A41A1D" w:rsidRPr="004F0794" w:rsidRDefault="000B0655" w:rsidP="00A41A1D">
          <w:pPr>
            <w:rPr>
              <w:rFonts w:ascii="Times New Roman" w:hAnsi="Times New Roman" w:cs="Times New Roman"/>
            </w:rPr>
          </w:pPr>
          <w:r w:rsidRPr="004F0794">
            <w:rPr>
              <w:rFonts w:ascii="Times New Roman" w:hAnsi="Times New Roman" w:cs="Times New Roman"/>
            </w:rPr>
            <w:fldChar w:fldCharType="end"/>
          </w:r>
        </w:p>
      </w:sdtContent>
    </w:sdt>
    <w:p w:rsidR="00A41A1D" w:rsidRPr="004F0794" w:rsidRDefault="00A41A1D" w:rsidP="00A41A1D">
      <w:pPr>
        <w:jc w:val="both"/>
        <w:rPr>
          <w:rFonts w:ascii="Times New Roman" w:eastAsia="Times New Roman" w:hAnsi="Times New Roman" w:cs="Times New Roman"/>
          <w:bCs/>
          <w:kern w:val="36"/>
          <w:sz w:val="24"/>
          <w:szCs w:val="24"/>
        </w:rPr>
      </w:pPr>
      <w:r w:rsidRPr="004F0794">
        <w:rPr>
          <w:rFonts w:ascii="Times New Roman" w:eastAsia="Times New Roman" w:hAnsi="Times New Roman" w:cs="Times New Roman"/>
          <w:bCs/>
          <w:kern w:val="36"/>
          <w:sz w:val="24"/>
          <w:szCs w:val="24"/>
        </w:rPr>
        <w:br w:type="page"/>
      </w:r>
    </w:p>
    <w:p w:rsidR="00A41A1D" w:rsidRPr="004F0794" w:rsidRDefault="00A41A1D" w:rsidP="007912B6">
      <w:pPr>
        <w:pStyle w:val="Heading1"/>
      </w:pPr>
      <w:bookmarkStart w:id="38" w:name="_Toc232552243"/>
      <w:bookmarkStart w:id="39" w:name="_Toc232552909"/>
      <w:bookmarkStart w:id="40" w:name="_Toc232722489"/>
      <w:r w:rsidRPr="004F0794">
        <w:lastRenderedPageBreak/>
        <w:t>LIST OF CASES</w:t>
      </w:r>
      <w:bookmarkEnd w:id="38"/>
      <w:bookmarkEnd w:id="39"/>
      <w:bookmarkEnd w:id="40"/>
    </w:p>
    <w:p w:rsidR="00BD5982" w:rsidRDefault="00BD5982" w:rsidP="00BD5982">
      <w:pPr>
        <w:pStyle w:val="NormalWeb"/>
        <w:spacing w:before="0" w:beforeAutospacing="0" w:after="0" w:afterAutospacing="0"/>
      </w:pPr>
      <w:r>
        <w:t>B A Lawal &amp; Ors v Messrs A Younan Sons &amp; Ors [1961] All NLR 245 ..................... 49, 52</w:t>
      </w:r>
    </w:p>
    <w:p w:rsidR="00BD5982" w:rsidRDefault="00BD5982" w:rsidP="00BD5982">
      <w:pPr>
        <w:pStyle w:val="NormalWeb"/>
        <w:spacing w:before="0" w:beforeAutospacing="0" w:after="0" w:afterAutospacing="0"/>
      </w:pPr>
      <w:r>
        <w:t>Edet v Essien [1932] 11 NLR 47 .......................................................................................... 58</w:t>
      </w:r>
    </w:p>
    <w:p w:rsidR="00BD5982" w:rsidRDefault="00BD5982" w:rsidP="00BD5982">
      <w:pPr>
        <w:pStyle w:val="NormalWeb"/>
        <w:spacing w:before="0" w:beforeAutospacing="0" w:after="0" w:afterAutospacing="0"/>
      </w:pPr>
      <w:r>
        <w:t>Ezeaku v Okonkwo [2012] All FWLR (Pt 654) 128 (CA) ..................................................... 3</w:t>
      </w:r>
    </w:p>
    <w:p w:rsidR="00BD5982" w:rsidRDefault="00BD5982" w:rsidP="00BD5982">
      <w:pPr>
        <w:pStyle w:val="NormalWeb"/>
        <w:spacing w:before="0" w:beforeAutospacing="0" w:after="0" w:afterAutospacing="0"/>
      </w:pPr>
      <w:r>
        <w:t>Hyde v Hyde and Woodmansee [1866] LR 1 P &amp; D 130 .................................................... 16</w:t>
      </w:r>
    </w:p>
    <w:p w:rsidR="00BD5982" w:rsidRDefault="00BD5982" w:rsidP="00BD5982">
      <w:pPr>
        <w:pStyle w:val="NormalWeb"/>
        <w:spacing w:before="0" w:beforeAutospacing="0" w:after="0" w:afterAutospacing="0"/>
      </w:pPr>
      <w:r>
        <w:t>Irabor v Mrs Faith Irabor Appeal No CCA/16A/2007 ......................................................... 42</w:t>
      </w:r>
    </w:p>
    <w:p w:rsidR="00BD5982" w:rsidRDefault="00BD5982" w:rsidP="00BD5982">
      <w:pPr>
        <w:pStyle w:val="NormalWeb"/>
        <w:spacing w:before="0" w:beforeAutospacing="0" w:after="0" w:afterAutospacing="0"/>
      </w:pPr>
      <w:r>
        <w:t>Meribe v Egwu [1976] 1 All NLR 266 (SC) ........................................................................ 37</w:t>
      </w:r>
    </w:p>
    <w:p w:rsidR="00BD5982" w:rsidRDefault="00BD5982" w:rsidP="00BD5982">
      <w:pPr>
        <w:pStyle w:val="NormalWeb"/>
        <w:spacing w:before="0" w:beforeAutospacing="0" w:after="0" w:afterAutospacing="0"/>
      </w:pPr>
      <w:r>
        <w:t>Mesike v Mesike, Suit No 82/67 (decided 2 February 1968, unreported) ............................ 60</w:t>
      </w:r>
    </w:p>
    <w:p w:rsidR="00BD5982" w:rsidRDefault="00BD5982" w:rsidP="00BD5982">
      <w:pPr>
        <w:pStyle w:val="NormalWeb"/>
        <w:spacing w:before="0" w:beforeAutospacing="0" w:after="0" w:afterAutospacing="0"/>
      </w:pPr>
      <w:r>
        <w:t>Mojekwu v Mojekwu [1997] 7 NWLR (Pt 512) 283 (CA) .................................................. 29</w:t>
      </w:r>
    </w:p>
    <w:p w:rsidR="00BD5982" w:rsidRDefault="00BD5982" w:rsidP="00BD5982">
      <w:pPr>
        <w:pStyle w:val="NormalWeb"/>
        <w:spacing w:before="0" w:beforeAutospacing="0" w:after="0" w:afterAutospacing="0"/>
      </w:pPr>
      <w:r>
        <w:t>Nsirim v Nsirim (1995) 9 NWLR (Pt 418) 144 (CA) ........................................................... 56</w:t>
      </w:r>
    </w:p>
    <w:p w:rsidR="00BD5982" w:rsidRDefault="00BD5982" w:rsidP="00BD5982">
      <w:pPr>
        <w:pStyle w:val="NormalWeb"/>
        <w:spacing w:before="0" w:beforeAutospacing="0" w:after="0" w:afterAutospacing="0"/>
      </w:pPr>
      <w:r>
        <w:t>Nwaigwe v Okere [2008] 13 NWLR (Pt 1105) 445 (SC) ..................................................... 18</w:t>
      </w:r>
    </w:p>
    <w:p w:rsidR="00BD5982" w:rsidRDefault="00BD5982" w:rsidP="00BD5982">
      <w:pPr>
        <w:pStyle w:val="NormalWeb"/>
        <w:spacing w:before="0" w:beforeAutospacing="0" w:after="0" w:afterAutospacing="0"/>
      </w:pPr>
      <w:r>
        <w:t>Nwigwe v Okolo &amp; Ors [2020] LCN/14565 (CA) ................................................................. 43</w:t>
      </w:r>
    </w:p>
    <w:p w:rsidR="00BD5982" w:rsidRDefault="00BD5982" w:rsidP="00BD5982">
      <w:pPr>
        <w:pStyle w:val="NormalWeb"/>
        <w:spacing w:before="0" w:beforeAutospacing="0" w:after="0" w:afterAutospacing="0"/>
      </w:pPr>
      <w:r>
        <w:t>Obi &amp; Ors v Bosah &amp; Ors [2019] LPELR-47243 (CA) ............................................. 48, 52, 64</w:t>
      </w:r>
    </w:p>
    <w:p w:rsidR="00BD5982" w:rsidRDefault="00BD5982" w:rsidP="00BD5982">
      <w:pPr>
        <w:pStyle w:val="NormalWeb"/>
        <w:spacing w:before="0" w:beforeAutospacing="0" w:after="0" w:afterAutospacing="0"/>
      </w:pPr>
      <w:r>
        <w:t>Okonkwo v Ezeaku [2020] 5 NWLR (Pt 1718) 477 (SC) ............................................... 50, 56</w:t>
      </w:r>
    </w:p>
    <w:p w:rsidR="00BD5982" w:rsidRDefault="00BD5982" w:rsidP="00BD5982">
      <w:pPr>
        <w:pStyle w:val="NormalWeb"/>
        <w:spacing w:before="0" w:beforeAutospacing="0" w:after="0" w:afterAutospacing="0"/>
      </w:pPr>
      <w:r>
        <w:t>Okpanum v Okpanum [1972] 2 ECSLR 561 ......................................................................... 19</w:t>
      </w:r>
    </w:p>
    <w:p w:rsidR="00BD5982" w:rsidRDefault="00BD5982" w:rsidP="00BD5982">
      <w:pPr>
        <w:pStyle w:val="NormalWeb"/>
        <w:spacing w:before="0" w:beforeAutospacing="0" w:after="0" w:afterAutospacing="0"/>
      </w:pPr>
      <w:r>
        <w:t>Olubodun v Lawal [2008] 17 NWLR (Pt 1115) 1 (SC) ......................................................... 18</w:t>
      </w:r>
    </w:p>
    <w:p w:rsidR="00BD5982" w:rsidRDefault="00BD5982" w:rsidP="00BD5982">
      <w:pPr>
        <w:pStyle w:val="NormalWeb"/>
        <w:spacing w:before="0" w:beforeAutospacing="0" w:after="0" w:afterAutospacing="0"/>
      </w:pPr>
      <w:r>
        <w:t>Osamwonyi v Osamwonyi [1972] LPELR-2789 (SC) ............................................... 19, 47, 64</w:t>
      </w:r>
    </w:p>
    <w:p w:rsidR="00BD5982" w:rsidRDefault="00BD5982" w:rsidP="00BD5982">
      <w:pPr>
        <w:pStyle w:val="NormalWeb"/>
        <w:spacing w:before="0" w:beforeAutospacing="0" w:after="0" w:afterAutospacing="0"/>
      </w:pPr>
      <w:r>
        <w:t>Reuben v Reuben Suit No UCCG/CV/24/2023 (unreported) ................................................ 34</w:t>
      </w:r>
    </w:p>
    <w:p w:rsidR="00BD5982" w:rsidRDefault="00BD5982" w:rsidP="00BD5982">
      <w:pPr>
        <w:pStyle w:val="NormalWeb"/>
        <w:spacing w:before="0" w:beforeAutospacing="0" w:after="0" w:afterAutospacing="0"/>
      </w:pPr>
      <w:r>
        <w:t>Ruth Reuben v Reuben Ibrahim, Suit No UCCG/CV/24/2023 (unreported)................... 56, 58</w:t>
      </w:r>
    </w:p>
    <w:p w:rsidR="00BD5982" w:rsidRDefault="00BD5982" w:rsidP="00BD5982">
      <w:pPr>
        <w:pStyle w:val="NormalWeb"/>
        <w:spacing w:before="0" w:beforeAutospacing="0" w:after="0" w:afterAutospacing="0"/>
      </w:pPr>
      <w:r>
        <w:t>Uzowulu v Uzowulu [2020] LCN/15783 (CA), CA/E/295/2017 .......................................... 44</w:t>
      </w:r>
    </w:p>
    <w:p w:rsidR="00A41A1D" w:rsidRPr="004F0794" w:rsidRDefault="00A41A1D" w:rsidP="00BD5982">
      <w:pPr>
        <w:pStyle w:val="NormalWeb"/>
        <w:spacing w:before="0" w:beforeAutospacing="0" w:after="0" w:afterAutospacing="0"/>
      </w:pPr>
    </w:p>
    <w:p w:rsidR="00A41A1D" w:rsidRPr="004F0794" w:rsidRDefault="00A41A1D" w:rsidP="00A41A1D">
      <w:pPr>
        <w:spacing w:after="0"/>
        <w:jc w:val="both"/>
        <w:rPr>
          <w:rFonts w:ascii="Times New Roman" w:eastAsia="Times New Roman" w:hAnsi="Times New Roman" w:cs="Times New Roman"/>
          <w:iCs/>
          <w:sz w:val="24"/>
          <w:szCs w:val="24"/>
          <w:lang w:val="en-US"/>
        </w:rPr>
      </w:pPr>
    </w:p>
    <w:p w:rsidR="00A41A1D" w:rsidRPr="004F0794" w:rsidRDefault="00A41A1D" w:rsidP="00A41A1D">
      <w:pPr>
        <w:jc w:val="both"/>
        <w:rPr>
          <w:rFonts w:ascii="Times New Roman" w:eastAsia="Times New Roman" w:hAnsi="Times New Roman" w:cs="Times New Roman"/>
          <w:kern w:val="36"/>
          <w:sz w:val="24"/>
          <w:szCs w:val="24"/>
        </w:rPr>
      </w:pPr>
      <w:r w:rsidRPr="004F0794">
        <w:rPr>
          <w:rFonts w:ascii="Times New Roman" w:eastAsia="Times New Roman" w:hAnsi="Times New Roman" w:cs="Times New Roman"/>
          <w:kern w:val="36"/>
          <w:sz w:val="24"/>
          <w:szCs w:val="24"/>
        </w:rPr>
        <w:br w:type="page"/>
      </w:r>
    </w:p>
    <w:p w:rsidR="00A41A1D" w:rsidRPr="004F0794" w:rsidRDefault="00A41A1D" w:rsidP="00A41A1D">
      <w:pPr>
        <w:pStyle w:val="Heading1"/>
      </w:pPr>
      <w:bookmarkStart w:id="41" w:name="_Toc232552244"/>
      <w:bookmarkStart w:id="42" w:name="_Toc232552910"/>
      <w:bookmarkStart w:id="43" w:name="_Toc232722490"/>
      <w:r w:rsidRPr="004F0794">
        <w:lastRenderedPageBreak/>
        <w:t>LIST OF STATUTES, TREATIES AND OTHER INTERNATIONAL INSTRUMENTS</w:t>
      </w:r>
      <w:bookmarkEnd w:id="41"/>
      <w:bookmarkEnd w:id="42"/>
      <w:bookmarkEnd w:id="43"/>
    </w:p>
    <w:p w:rsidR="000066E8" w:rsidRDefault="000066E8" w:rsidP="000066E8">
      <w:pPr>
        <w:pStyle w:val="NormalWeb"/>
        <w:spacing w:before="0" w:beforeAutospacing="0" w:after="0" w:afterAutospacing="0"/>
      </w:pPr>
      <w:r>
        <w:t>Child Rights Act 2003, Cap C50, Laws of the Federation of Nigeria 2004 ............................................................................................................. 10, 22, 48, 57, 59, 64, 68</w:t>
      </w:r>
    </w:p>
    <w:p w:rsidR="000066E8" w:rsidRDefault="000066E8" w:rsidP="000066E8">
      <w:pPr>
        <w:pStyle w:val="NormalWeb"/>
        <w:spacing w:before="0" w:beforeAutospacing="0" w:after="0" w:afterAutospacing="0"/>
      </w:pPr>
      <w:r>
        <w:t>Constitution of the Federal Republic of Nigeria 1999 (as amended) ................................................... 2, 11, 17, 27, 31, 34, 42, 43, 44, 45, 49, 50, 62, 63, 67, 69, 73</w:t>
      </w:r>
    </w:p>
    <w:p w:rsidR="000066E8" w:rsidRDefault="000066E8" w:rsidP="000066E8">
      <w:pPr>
        <w:pStyle w:val="NormalWeb"/>
        <w:spacing w:before="0" w:beforeAutospacing="0" w:after="0" w:afterAutospacing="0"/>
      </w:pPr>
      <w:r>
        <w:t>Criminal Code Act, Cap C38, Laws of the Federation of Nigeria 2004 ................................ 24</w:t>
      </w:r>
    </w:p>
    <w:p w:rsidR="000066E8" w:rsidRDefault="000066E8" w:rsidP="000066E8">
      <w:pPr>
        <w:pStyle w:val="NormalWeb"/>
        <w:spacing w:before="0" w:beforeAutospacing="0" w:after="0" w:afterAutospacing="0"/>
      </w:pPr>
      <w:r>
        <w:t>Customary Court Law of Lagos State 2011 ..................................................................... 39, 41</w:t>
      </w:r>
    </w:p>
    <w:p w:rsidR="000066E8" w:rsidRDefault="000066E8" w:rsidP="000066E8">
      <w:pPr>
        <w:pStyle w:val="NormalWeb"/>
        <w:spacing w:before="0" w:beforeAutospacing="0" w:after="0" w:afterAutospacing="0"/>
      </w:pPr>
      <w:r>
        <w:t>Customary Court Law of Lagos State 2011, as amended by the Customary Court (Amendment) Law 2018, Lagos State ....................................</w:t>
      </w:r>
      <w:r w:rsidR="00DC4033">
        <w:t>.............................</w:t>
      </w:r>
      <w:r>
        <w:t>............ 39, 41</w:t>
      </w:r>
    </w:p>
    <w:p w:rsidR="000066E8" w:rsidRDefault="000066E8" w:rsidP="000066E8">
      <w:pPr>
        <w:pStyle w:val="NormalWeb"/>
        <w:spacing w:before="0" w:beforeAutospacing="0" w:after="0" w:afterAutospacing="0"/>
      </w:pPr>
      <w:r>
        <w:t>Customary Court of Appeal Law No 7 of 2005, Enugu State ................................................ 43</w:t>
      </w:r>
    </w:p>
    <w:p w:rsidR="000066E8" w:rsidRDefault="000066E8" w:rsidP="000066E8">
      <w:pPr>
        <w:pStyle w:val="NormalWeb"/>
        <w:spacing w:before="0" w:beforeAutospacing="0" w:after="0" w:afterAutospacing="0"/>
      </w:pPr>
      <w:r>
        <w:t>Customary Court of Appeal Rules 2010, Enugu State ............</w:t>
      </w:r>
      <w:r w:rsidR="00DC4033">
        <w:t>...........</w:t>
      </w:r>
      <w:r>
        <w:t>.................................... 43</w:t>
      </w:r>
    </w:p>
    <w:p w:rsidR="000066E8" w:rsidRDefault="000066E8" w:rsidP="000066E8">
      <w:pPr>
        <w:pStyle w:val="NormalWeb"/>
        <w:spacing w:before="0" w:beforeAutospacing="0" w:after="0" w:afterAutospacing="0"/>
      </w:pPr>
      <w:r>
        <w:t>Ebonyi State Customary Court Law ............................................</w:t>
      </w:r>
      <w:r w:rsidR="00DC4033">
        <w:t>......................................</w:t>
      </w:r>
      <w:r>
        <w:t>.... 57</w:t>
      </w:r>
    </w:p>
    <w:p w:rsidR="000066E8" w:rsidRDefault="000066E8" w:rsidP="000066E8">
      <w:pPr>
        <w:pStyle w:val="NormalWeb"/>
        <w:spacing w:before="0" w:beforeAutospacing="0" w:after="0" w:afterAutospacing="0"/>
      </w:pPr>
      <w:r>
        <w:t>Evidence Act 2011 .......................................</w:t>
      </w:r>
      <w:r w:rsidR="00DC4033">
        <w:t>.........................................</w:t>
      </w:r>
      <w:r>
        <w:t>......... 27, 37, 50, 62, 67</w:t>
      </w:r>
    </w:p>
    <w:p w:rsidR="000066E8" w:rsidRDefault="000066E8" w:rsidP="000066E8">
      <w:pPr>
        <w:pStyle w:val="NormalWeb"/>
        <w:spacing w:before="0" w:beforeAutospacing="0" w:after="0" w:afterAutospacing="0"/>
      </w:pPr>
      <w:r>
        <w:t>Harmful Widowhood (Prohibition of Obnoxious Practices) Law 2013, Akwa Ibom State ...........................</w:t>
      </w:r>
      <w:r w:rsidR="00DC4033">
        <w:t>................................................................................................</w:t>
      </w:r>
      <w:r>
        <w:t>..................... 38</w:t>
      </w:r>
    </w:p>
    <w:p w:rsidR="000066E8" w:rsidRDefault="000066E8" w:rsidP="000066E8">
      <w:pPr>
        <w:pStyle w:val="NormalWeb"/>
        <w:spacing w:before="0" w:beforeAutospacing="0" w:after="0" w:afterAutospacing="0"/>
      </w:pPr>
      <w:r>
        <w:t>Lagos State Marriage (Customary Marriage Registrat</w:t>
      </w:r>
      <w:r w:rsidR="00DC4033">
        <w:t>ion) Law ..................</w:t>
      </w:r>
      <w:r>
        <w:t>......................... 38</w:t>
      </w:r>
    </w:p>
    <w:p w:rsidR="000066E8" w:rsidRDefault="000066E8" w:rsidP="000066E8">
      <w:pPr>
        <w:pStyle w:val="NormalWeb"/>
        <w:spacing w:before="0" w:beforeAutospacing="0" w:after="0" w:afterAutospacing="0"/>
      </w:pPr>
      <w:r>
        <w:t>Laws of Eastern Nigeria 1963 .......................................</w:t>
      </w:r>
      <w:r w:rsidR="00DC4033">
        <w:t>................................................</w:t>
      </w:r>
      <w:r>
        <w:t>......... 38</w:t>
      </w:r>
    </w:p>
    <w:p w:rsidR="000066E8" w:rsidRDefault="000066E8" w:rsidP="000066E8">
      <w:pPr>
        <w:pStyle w:val="NormalWeb"/>
        <w:spacing w:before="0" w:beforeAutospacing="0" w:after="0" w:afterAutospacing="0"/>
      </w:pPr>
      <w:r>
        <w:t>Marriage Act, Cap M6, Laws of the Federation of Nigeria 200</w:t>
      </w:r>
      <w:r w:rsidR="00DC4033">
        <w:t>4…………………………………………</w:t>
      </w:r>
      <w:r>
        <w:t>............ 1, 6, 12, 16, 23, 24, 33, 35, 36, 62, 67</w:t>
      </w:r>
    </w:p>
    <w:p w:rsidR="000066E8" w:rsidRDefault="000066E8" w:rsidP="000066E8">
      <w:pPr>
        <w:pStyle w:val="NormalWeb"/>
        <w:spacing w:before="0" w:beforeAutospacing="0" w:after="0" w:afterAutospacing="0"/>
      </w:pPr>
      <w:r>
        <w:t>Matrimonial Causes Act, Cap M7, Laws of the Federation of Nigeria 2004 .............................................</w:t>
      </w:r>
      <w:r w:rsidR="00DC4033">
        <w:t>............................................</w:t>
      </w:r>
      <w:r>
        <w:t>... 3, 12, 16, 24, 36, 37, 50, 57, 59, 62</w:t>
      </w:r>
    </w:p>
    <w:p w:rsidR="000066E8" w:rsidRDefault="000066E8" w:rsidP="000066E8">
      <w:pPr>
        <w:pStyle w:val="NormalWeb"/>
        <w:spacing w:before="0" w:beforeAutospacing="0" w:after="0" w:afterAutospacing="0"/>
      </w:pPr>
      <w:r>
        <w:t>Recognition of Customary Marriages Act 1998, South Africa ................................................ 9</w:t>
      </w:r>
    </w:p>
    <w:p w:rsidR="00A41A1D" w:rsidRPr="004F0794" w:rsidRDefault="00A41A1D" w:rsidP="000066E8">
      <w:pPr>
        <w:pStyle w:val="NormalWeb"/>
        <w:spacing w:before="0" w:beforeAutospacing="0" w:after="0" w:afterAutospacing="0"/>
      </w:pPr>
    </w:p>
    <w:p w:rsidR="00A41A1D" w:rsidRPr="004F0794" w:rsidRDefault="00A41A1D" w:rsidP="00A41A1D">
      <w:pPr>
        <w:spacing w:after="0"/>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bookmarkStart w:id="44" w:name="_Toc232552245"/>
      <w:r w:rsidRPr="004F0794">
        <w:rPr>
          <w:rFonts w:ascii="Times New Roman" w:eastAsia="Times New Roman" w:hAnsi="Times New Roman" w:cs="Times New Roman"/>
          <w:kern w:val="36"/>
          <w:sz w:val="24"/>
          <w:szCs w:val="24"/>
        </w:rPr>
        <w:t> </w:t>
      </w:r>
      <w:bookmarkEnd w:id="44"/>
    </w:p>
    <w:p w:rsidR="00A41A1D" w:rsidRPr="004F0794" w:rsidRDefault="00A41A1D" w:rsidP="00A41A1D">
      <w:pPr>
        <w:jc w:val="both"/>
        <w:rPr>
          <w:rFonts w:ascii="Times New Roman" w:eastAsia="Times New Roman" w:hAnsi="Times New Roman" w:cs="Times New Roman"/>
          <w:kern w:val="36"/>
          <w:sz w:val="24"/>
          <w:szCs w:val="24"/>
        </w:rPr>
      </w:pPr>
      <w:r w:rsidRPr="004F0794">
        <w:rPr>
          <w:rFonts w:ascii="Times New Roman" w:eastAsia="Times New Roman" w:hAnsi="Times New Roman" w:cs="Times New Roman"/>
          <w:kern w:val="36"/>
          <w:sz w:val="24"/>
          <w:szCs w:val="24"/>
        </w:rPr>
        <w:br w:type="page"/>
      </w:r>
    </w:p>
    <w:p w:rsidR="00A41A1D" w:rsidRPr="004F0794" w:rsidRDefault="00A41A1D" w:rsidP="00A41A1D">
      <w:pPr>
        <w:pStyle w:val="Heading1"/>
      </w:pPr>
      <w:bookmarkStart w:id="45" w:name="_Toc232552246"/>
      <w:bookmarkStart w:id="46" w:name="_Toc232552911"/>
      <w:bookmarkStart w:id="47" w:name="_Toc232722491"/>
      <w:r w:rsidRPr="004F0794">
        <w:lastRenderedPageBreak/>
        <w:t>LIST OF ABBREVIATIONS</w:t>
      </w:r>
      <w:bookmarkEnd w:id="45"/>
      <w:bookmarkEnd w:id="46"/>
      <w:bookmarkEnd w:id="47"/>
    </w:p>
    <w:p w:rsidR="00F84856" w:rsidRDefault="00F84856" w:rsidP="00F84856">
      <w:pPr>
        <w:pStyle w:val="NormalWeb"/>
        <w:spacing w:before="0" w:beforeAutospacing="0" w:after="0" w:afterAutospacing="0"/>
      </w:pPr>
      <w:r>
        <w:t xml:space="preserve">ADR </w:t>
      </w:r>
      <w:r>
        <w:tab/>
      </w:r>
      <w:r>
        <w:tab/>
      </w:r>
      <w:r>
        <w:tab/>
        <w:t>Alternative Dispute Resolution</w:t>
      </w:r>
    </w:p>
    <w:p w:rsidR="00F84856" w:rsidRDefault="00F84856" w:rsidP="00F84856">
      <w:pPr>
        <w:pStyle w:val="NormalWeb"/>
        <w:spacing w:before="0" w:beforeAutospacing="0" w:after="0" w:afterAutospacing="0"/>
      </w:pPr>
      <w:r>
        <w:t xml:space="preserve">AJLPRA </w:t>
      </w:r>
      <w:r>
        <w:tab/>
      </w:r>
      <w:r>
        <w:tab/>
        <w:t>African Journal of Law, Political Research and Administration</w:t>
      </w:r>
    </w:p>
    <w:p w:rsidR="00F84856" w:rsidRDefault="00F84856" w:rsidP="00F84856">
      <w:pPr>
        <w:pStyle w:val="NormalWeb"/>
        <w:spacing w:before="0" w:beforeAutospacing="0" w:after="0" w:afterAutospacing="0"/>
      </w:pPr>
      <w:r>
        <w:t xml:space="preserve">ALJ </w:t>
      </w:r>
      <w:r>
        <w:tab/>
      </w:r>
      <w:r>
        <w:tab/>
      </w:r>
      <w:r>
        <w:tab/>
        <w:t>ABUAD Law Journal</w:t>
      </w:r>
    </w:p>
    <w:p w:rsidR="00F84856" w:rsidRDefault="00F84856" w:rsidP="00F84856">
      <w:pPr>
        <w:pStyle w:val="NormalWeb"/>
        <w:spacing w:before="0" w:beforeAutospacing="0" w:after="0" w:afterAutospacing="0"/>
      </w:pPr>
      <w:r>
        <w:t xml:space="preserve">All FWLR </w:t>
      </w:r>
      <w:r>
        <w:tab/>
      </w:r>
      <w:r>
        <w:tab/>
        <w:t>All Federation Weekly Law Reports</w:t>
      </w:r>
    </w:p>
    <w:p w:rsidR="00F84856" w:rsidRDefault="00F84856" w:rsidP="00F84856">
      <w:pPr>
        <w:pStyle w:val="NormalWeb"/>
        <w:spacing w:before="0" w:beforeAutospacing="0" w:after="0" w:afterAutospacing="0"/>
      </w:pPr>
      <w:r>
        <w:t xml:space="preserve">All NLR </w:t>
      </w:r>
      <w:r>
        <w:tab/>
      </w:r>
      <w:r>
        <w:tab/>
        <w:t>All Nigeria Law Reports</w:t>
      </w:r>
    </w:p>
    <w:p w:rsidR="00F84856" w:rsidRDefault="00F84856" w:rsidP="00F84856">
      <w:pPr>
        <w:pStyle w:val="NormalWeb"/>
        <w:spacing w:before="0" w:beforeAutospacing="0" w:after="0" w:afterAutospacing="0"/>
      </w:pPr>
      <w:r>
        <w:t xml:space="preserve">CA </w:t>
      </w:r>
      <w:r>
        <w:tab/>
      </w:r>
      <w:r>
        <w:tab/>
      </w:r>
      <w:r>
        <w:tab/>
        <w:t>Court of Appeal</w:t>
      </w:r>
    </w:p>
    <w:p w:rsidR="00F84856" w:rsidRDefault="00F84856" w:rsidP="00F84856">
      <w:pPr>
        <w:pStyle w:val="NormalWeb"/>
        <w:spacing w:before="0" w:beforeAutospacing="0" w:after="0" w:afterAutospacing="0"/>
      </w:pPr>
      <w:r>
        <w:t xml:space="preserve">Cap </w:t>
      </w:r>
      <w:r>
        <w:tab/>
      </w:r>
      <w:r>
        <w:tab/>
      </w:r>
      <w:r>
        <w:tab/>
        <w:t>Chapter</w:t>
      </w:r>
    </w:p>
    <w:p w:rsidR="00F84856" w:rsidRDefault="00F84856" w:rsidP="00F84856">
      <w:pPr>
        <w:pStyle w:val="NormalWeb"/>
        <w:spacing w:before="0" w:beforeAutospacing="0" w:after="0" w:afterAutospacing="0"/>
      </w:pPr>
      <w:r>
        <w:t xml:space="preserve">CCA </w:t>
      </w:r>
      <w:r>
        <w:tab/>
      </w:r>
      <w:r>
        <w:tab/>
      </w:r>
      <w:r>
        <w:tab/>
        <w:t>Customary Court of Appeal</w:t>
      </w:r>
    </w:p>
    <w:p w:rsidR="00F84856" w:rsidRDefault="00F84856" w:rsidP="00F84856">
      <w:pPr>
        <w:pStyle w:val="NormalWeb"/>
        <w:spacing w:before="0" w:beforeAutospacing="0" w:after="0" w:afterAutospacing="0"/>
      </w:pPr>
      <w:r>
        <w:t xml:space="preserve">CFRN </w:t>
      </w:r>
      <w:r>
        <w:tab/>
      </w:r>
      <w:r>
        <w:tab/>
      </w:r>
      <w:r>
        <w:tab/>
        <w:t>Constitution of the Federal Republic of Nigeria</w:t>
      </w:r>
    </w:p>
    <w:p w:rsidR="00F84856" w:rsidRDefault="00F84856" w:rsidP="00F84856">
      <w:pPr>
        <w:pStyle w:val="NormalWeb"/>
        <w:spacing w:before="0" w:beforeAutospacing="0" w:after="0" w:afterAutospacing="0"/>
      </w:pPr>
      <w:r>
        <w:t xml:space="preserve">CRA </w:t>
      </w:r>
      <w:r>
        <w:tab/>
      </w:r>
      <w:r>
        <w:tab/>
      </w:r>
      <w:r>
        <w:tab/>
        <w:t>Child Rights Act</w:t>
      </w:r>
    </w:p>
    <w:p w:rsidR="00F84856" w:rsidRDefault="00F84856" w:rsidP="00F84856">
      <w:pPr>
        <w:pStyle w:val="NormalWeb"/>
        <w:spacing w:before="0" w:beforeAutospacing="0" w:after="0" w:afterAutospacing="0"/>
      </w:pPr>
      <w:r>
        <w:t xml:space="preserve">DC </w:t>
      </w:r>
      <w:r>
        <w:tab/>
      </w:r>
      <w:r>
        <w:tab/>
      </w:r>
      <w:r>
        <w:tab/>
        <w:t>District of Columbia</w:t>
      </w:r>
    </w:p>
    <w:p w:rsidR="00F84856" w:rsidRDefault="00F84856" w:rsidP="00F84856">
      <w:pPr>
        <w:pStyle w:val="NormalWeb"/>
        <w:spacing w:before="0" w:beforeAutospacing="0" w:after="0" w:afterAutospacing="0"/>
      </w:pPr>
      <w:r>
        <w:t xml:space="preserve">DOI </w:t>
      </w:r>
      <w:r>
        <w:tab/>
      </w:r>
      <w:r>
        <w:tab/>
      </w:r>
      <w:r>
        <w:tab/>
        <w:t>Digital Object Identifier</w:t>
      </w:r>
    </w:p>
    <w:p w:rsidR="00F84856" w:rsidRDefault="00F84856" w:rsidP="00F84856">
      <w:pPr>
        <w:pStyle w:val="NormalWeb"/>
        <w:spacing w:before="0" w:beforeAutospacing="0" w:after="0" w:afterAutospacing="0"/>
      </w:pPr>
      <w:r>
        <w:t xml:space="preserve">ECSLR </w:t>
      </w:r>
      <w:r>
        <w:tab/>
      </w:r>
      <w:r>
        <w:tab/>
        <w:t>East Central State Law Reports</w:t>
      </w:r>
    </w:p>
    <w:p w:rsidR="00F84856" w:rsidRDefault="00F84856" w:rsidP="00F84856">
      <w:pPr>
        <w:pStyle w:val="NormalWeb"/>
        <w:spacing w:before="0" w:beforeAutospacing="0" w:after="0" w:afterAutospacing="0"/>
      </w:pPr>
      <w:r>
        <w:t xml:space="preserve">edn </w:t>
      </w:r>
      <w:r>
        <w:tab/>
      </w:r>
      <w:r>
        <w:tab/>
      </w:r>
      <w:r>
        <w:tab/>
        <w:t>Edition</w:t>
      </w:r>
    </w:p>
    <w:p w:rsidR="00F84856" w:rsidRDefault="00F84856" w:rsidP="00F84856">
      <w:pPr>
        <w:pStyle w:val="NormalWeb"/>
        <w:spacing w:before="0" w:beforeAutospacing="0" w:after="0" w:afterAutospacing="0"/>
      </w:pPr>
      <w:r>
        <w:t xml:space="preserve">eds </w:t>
      </w:r>
      <w:r>
        <w:tab/>
      </w:r>
      <w:r>
        <w:tab/>
      </w:r>
      <w:r>
        <w:tab/>
        <w:t>Editors</w:t>
      </w:r>
    </w:p>
    <w:p w:rsidR="00F84856" w:rsidRDefault="00F84856" w:rsidP="00F84856">
      <w:pPr>
        <w:pStyle w:val="NormalWeb"/>
        <w:spacing w:before="0" w:beforeAutospacing="0" w:after="0" w:afterAutospacing="0"/>
      </w:pPr>
      <w:r>
        <w:t xml:space="preserve">FULJ </w:t>
      </w:r>
      <w:r>
        <w:tab/>
      </w:r>
      <w:r>
        <w:tab/>
      </w:r>
      <w:r>
        <w:tab/>
        <w:t>Fountain University Law Journal</w:t>
      </w:r>
    </w:p>
    <w:p w:rsidR="00F84856" w:rsidRDefault="00F84856" w:rsidP="00F84856">
      <w:pPr>
        <w:pStyle w:val="NormalWeb"/>
        <w:spacing w:before="0" w:beforeAutospacing="0" w:after="0" w:afterAutospacing="0"/>
      </w:pPr>
      <w:r>
        <w:t xml:space="preserve">HEBN </w:t>
      </w:r>
      <w:r>
        <w:tab/>
      </w:r>
      <w:r>
        <w:tab/>
      </w:r>
      <w:r>
        <w:tab/>
        <w:t>Heinemann Educational Books Nigeria</w:t>
      </w:r>
    </w:p>
    <w:p w:rsidR="00F84856" w:rsidRDefault="00F84856" w:rsidP="00F84856">
      <w:pPr>
        <w:pStyle w:val="NormalWeb"/>
        <w:spacing w:before="0" w:beforeAutospacing="0" w:after="0" w:afterAutospacing="0"/>
      </w:pPr>
      <w:r>
        <w:t xml:space="preserve">ibid </w:t>
      </w:r>
      <w:r>
        <w:tab/>
      </w:r>
      <w:r>
        <w:tab/>
      </w:r>
      <w:r>
        <w:tab/>
        <w:t>In the same place</w:t>
      </w:r>
    </w:p>
    <w:p w:rsidR="00F84856" w:rsidRDefault="00F84856" w:rsidP="00F84856">
      <w:pPr>
        <w:pStyle w:val="NormalWeb"/>
        <w:spacing w:before="0" w:beforeAutospacing="0" w:after="0" w:afterAutospacing="0"/>
      </w:pPr>
      <w:r>
        <w:t xml:space="preserve">IJOCLLEP </w:t>
      </w:r>
      <w:r>
        <w:tab/>
      </w:r>
      <w:r>
        <w:tab/>
        <w:t>International Journal of Comparative Law and Legal Philosophy</w:t>
      </w:r>
    </w:p>
    <w:p w:rsidR="00F84856" w:rsidRDefault="00F84856" w:rsidP="00F84856">
      <w:pPr>
        <w:pStyle w:val="NormalWeb"/>
        <w:spacing w:before="0" w:beforeAutospacing="0" w:after="0" w:afterAutospacing="0"/>
      </w:pPr>
      <w:r>
        <w:t xml:space="preserve">JCA </w:t>
      </w:r>
      <w:r>
        <w:tab/>
      </w:r>
      <w:r>
        <w:tab/>
      </w:r>
      <w:r>
        <w:tab/>
        <w:t>Justice of the Court of Appeal</w:t>
      </w:r>
    </w:p>
    <w:p w:rsidR="00F84856" w:rsidRDefault="00F84856" w:rsidP="00F84856">
      <w:pPr>
        <w:pStyle w:val="NormalWeb"/>
        <w:spacing w:before="0" w:beforeAutospacing="0" w:after="0" w:afterAutospacing="0"/>
      </w:pPr>
      <w:r>
        <w:t xml:space="preserve">LCN </w:t>
      </w:r>
      <w:r>
        <w:tab/>
      </w:r>
      <w:r>
        <w:tab/>
      </w:r>
      <w:r>
        <w:tab/>
        <w:t>LawCareNigeria</w:t>
      </w:r>
    </w:p>
    <w:p w:rsidR="00F84856" w:rsidRDefault="00F84856" w:rsidP="00F84856">
      <w:pPr>
        <w:pStyle w:val="NormalWeb"/>
        <w:spacing w:before="0" w:beforeAutospacing="0" w:after="0" w:afterAutospacing="0"/>
      </w:pPr>
      <w:r>
        <w:t xml:space="preserve">LFN </w:t>
      </w:r>
      <w:r>
        <w:tab/>
      </w:r>
      <w:r>
        <w:tab/>
      </w:r>
      <w:r>
        <w:tab/>
        <w:t>Laws of the Federation of Nigeria</w:t>
      </w:r>
    </w:p>
    <w:p w:rsidR="00F84856" w:rsidRDefault="00F84856" w:rsidP="00F84856">
      <w:pPr>
        <w:pStyle w:val="NormalWeb"/>
        <w:spacing w:before="0" w:beforeAutospacing="0" w:after="0" w:afterAutospacing="0"/>
      </w:pPr>
      <w:r>
        <w:t xml:space="preserve">LPELR </w:t>
      </w:r>
      <w:r>
        <w:tab/>
      </w:r>
      <w:r>
        <w:tab/>
        <w:t>Law Pavilion Electronic Law Reports</w:t>
      </w:r>
    </w:p>
    <w:p w:rsidR="00F84856" w:rsidRDefault="00F84856" w:rsidP="00F84856">
      <w:pPr>
        <w:pStyle w:val="NormalWeb"/>
        <w:spacing w:before="0" w:beforeAutospacing="0" w:after="0" w:afterAutospacing="0"/>
      </w:pPr>
      <w:r>
        <w:t xml:space="preserve">MCA </w:t>
      </w:r>
      <w:r>
        <w:tab/>
      </w:r>
      <w:r>
        <w:tab/>
      </w:r>
      <w:r>
        <w:tab/>
        <w:t>Matrimonial Causes Act</w:t>
      </w:r>
    </w:p>
    <w:p w:rsidR="00F84856" w:rsidRDefault="00F84856" w:rsidP="00F84856">
      <w:pPr>
        <w:pStyle w:val="NormalWeb"/>
        <w:spacing w:before="0" w:beforeAutospacing="0" w:after="0" w:afterAutospacing="0"/>
      </w:pPr>
      <w:r>
        <w:t xml:space="preserve">NCLR </w:t>
      </w:r>
      <w:r>
        <w:tab/>
      </w:r>
      <w:r>
        <w:tab/>
      </w:r>
      <w:r>
        <w:tab/>
        <w:t>Nigerian Current Law Review</w:t>
      </w:r>
    </w:p>
    <w:p w:rsidR="00F84856" w:rsidRDefault="00F84856" w:rsidP="00F84856">
      <w:pPr>
        <w:pStyle w:val="NormalWeb"/>
        <w:spacing w:before="0" w:beforeAutospacing="0" w:after="0" w:afterAutospacing="0"/>
      </w:pPr>
      <w:r>
        <w:t xml:space="preserve">NWLR </w:t>
      </w:r>
      <w:r>
        <w:tab/>
      </w:r>
      <w:r>
        <w:tab/>
        <w:t>Nigerian Weekly Law Reports</w:t>
      </w:r>
    </w:p>
    <w:p w:rsidR="00F84856" w:rsidRDefault="00F84856" w:rsidP="00F84856">
      <w:pPr>
        <w:pStyle w:val="NormalWeb"/>
        <w:spacing w:before="0" w:beforeAutospacing="0" w:after="0" w:afterAutospacing="0"/>
      </w:pPr>
      <w:r>
        <w:t xml:space="preserve">Pt </w:t>
      </w:r>
      <w:r>
        <w:tab/>
      </w:r>
      <w:r>
        <w:tab/>
      </w:r>
      <w:r>
        <w:tab/>
        <w:t>Part</w:t>
      </w:r>
    </w:p>
    <w:p w:rsidR="00F84856" w:rsidRDefault="00F84856" w:rsidP="00F84856">
      <w:pPr>
        <w:pStyle w:val="NormalWeb"/>
        <w:spacing w:before="0" w:beforeAutospacing="0" w:after="0" w:afterAutospacing="0"/>
      </w:pPr>
      <w:r>
        <w:t xml:space="preserve">r </w:t>
      </w:r>
      <w:r>
        <w:tab/>
      </w:r>
      <w:r>
        <w:tab/>
      </w:r>
      <w:r>
        <w:tab/>
        <w:t>Rule</w:t>
      </w:r>
    </w:p>
    <w:p w:rsidR="00F84856" w:rsidRDefault="00F84856" w:rsidP="00F84856">
      <w:pPr>
        <w:pStyle w:val="NormalWeb"/>
        <w:spacing w:before="0" w:beforeAutospacing="0" w:after="0" w:afterAutospacing="0"/>
      </w:pPr>
      <w:r>
        <w:t xml:space="preserve">rr </w:t>
      </w:r>
      <w:r>
        <w:tab/>
      </w:r>
      <w:r>
        <w:tab/>
      </w:r>
      <w:r>
        <w:tab/>
        <w:t>Rules</w:t>
      </w:r>
    </w:p>
    <w:p w:rsidR="00F84856" w:rsidRDefault="00F84856" w:rsidP="00F84856">
      <w:pPr>
        <w:pStyle w:val="NormalWeb"/>
        <w:spacing w:before="0" w:beforeAutospacing="0" w:after="0" w:afterAutospacing="0"/>
      </w:pPr>
      <w:r>
        <w:t xml:space="preserve">s </w:t>
      </w:r>
      <w:r>
        <w:tab/>
      </w:r>
      <w:r>
        <w:tab/>
      </w:r>
      <w:r>
        <w:tab/>
        <w:t>Section</w:t>
      </w:r>
    </w:p>
    <w:p w:rsidR="00F84856" w:rsidRDefault="00F84856" w:rsidP="00F84856">
      <w:pPr>
        <w:pStyle w:val="NormalWeb"/>
        <w:spacing w:before="0" w:beforeAutospacing="0" w:after="0" w:afterAutospacing="0"/>
      </w:pPr>
      <w:r>
        <w:t xml:space="preserve">SC </w:t>
      </w:r>
      <w:r>
        <w:tab/>
      </w:r>
      <w:r>
        <w:tab/>
      </w:r>
      <w:r>
        <w:tab/>
        <w:t>Supreme Court</w:t>
      </w:r>
    </w:p>
    <w:p w:rsidR="00F84856" w:rsidRDefault="00F84856" w:rsidP="00F84856">
      <w:pPr>
        <w:pStyle w:val="NormalWeb"/>
        <w:spacing w:before="0" w:beforeAutospacing="0" w:after="0" w:afterAutospacing="0"/>
      </w:pPr>
      <w:r>
        <w:t xml:space="preserve">SCA </w:t>
      </w:r>
      <w:r>
        <w:tab/>
      </w:r>
      <w:r>
        <w:tab/>
      </w:r>
      <w:r>
        <w:tab/>
        <w:t>Sharia Court of Appeal</w:t>
      </w:r>
    </w:p>
    <w:p w:rsidR="00F84856" w:rsidRDefault="00F84856" w:rsidP="00F84856">
      <w:pPr>
        <w:pStyle w:val="NormalWeb"/>
        <w:spacing w:before="0" w:beforeAutospacing="0" w:after="0" w:afterAutospacing="0"/>
      </w:pPr>
      <w:r>
        <w:t xml:space="preserve">ss </w:t>
      </w:r>
      <w:r>
        <w:tab/>
      </w:r>
      <w:r>
        <w:tab/>
      </w:r>
      <w:r>
        <w:tab/>
        <w:t>Sections</w:t>
      </w:r>
    </w:p>
    <w:p w:rsidR="00F84856" w:rsidRDefault="00F84856" w:rsidP="00F84856">
      <w:pPr>
        <w:pStyle w:val="NormalWeb"/>
        <w:spacing w:before="0" w:beforeAutospacing="0" w:after="0" w:afterAutospacing="0"/>
      </w:pPr>
      <w:r>
        <w:t xml:space="preserve">SSRN </w:t>
      </w:r>
      <w:r>
        <w:tab/>
      </w:r>
      <w:r>
        <w:tab/>
      </w:r>
      <w:r>
        <w:tab/>
        <w:t>Social Science Research Network</w:t>
      </w:r>
    </w:p>
    <w:p w:rsidR="00F84856" w:rsidRDefault="00F84856" w:rsidP="00F84856">
      <w:pPr>
        <w:pStyle w:val="NormalWeb"/>
        <w:spacing w:before="0" w:beforeAutospacing="0" w:after="0" w:afterAutospacing="0"/>
      </w:pPr>
      <w:r>
        <w:t xml:space="preserve">UNIZIK-JHRL </w:t>
      </w:r>
      <w:r>
        <w:tab/>
        <w:t>Nnamdi Azikiwe University Journal of Human Rights Law</w:t>
      </w:r>
    </w:p>
    <w:p w:rsidR="00F84856" w:rsidRDefault="00F84856" w:rsidP="00F84856">
      <w:pPr>
        <w:pStyle w:val="NormalWeb"/>
        <w:spacing w:before="0" w:beforeAutospacing="0" w:after="0" w:afterAutospacing="0"/>
      </w:pPr>
      <w:r>
        <w:t xml:space="preserve">Vol </w:t>
      </w:r>
      <w:r>
        <w:tab/>
      </w:r>
      <w:r>
        <w:tab/>
      </w:r>
      <w:r>
        <w:tab/>
        <w:t>Volume</w:t>
      </w:r>
    </w:p>
    <w:p w:rsidR="00A41A1D" w:rsidRPr="004F0794" w:rsidRDefault="00A41A1D" w:rsidP="00A41A1D">
      <w:pPr>
        <w:pStyle w:val="NormalWeb"/>
        <w:spacing w:before="0" w:beforeAutospacing="0" w:after="0" w:afterAutospacing="0"/>
      </w:pPr>
    </w:p>
    <w:p w:rsidR="00A41A1D" w:rsidRPr="004F0794" w:rsidRDefault="00A41A1D" w:rsidP="00A41A1D">
      <w:pPr>
        <w:spacing w:after="0"/>
        <w:jc w:val="both"/>
        <w:rPr>
          <w:rFonts w:ascii="Times New Roman" w:eastAsia="Times New Roman" w:hAnsi="Times New Roman" w:cs="Times New Roman"/>
          <w:kern w:val="36"/>
          <w:sz w:val="24"/>
          <w:szCs w:val="24"/>
        </w:rPr>
      </w:pPr>
    </w:p>
    <w:p w:rsidR="00A41A1D" w:rsidRPr="004F0794" w:rsidRDefault="00A41A1D" w:rsidP="00A41A1D">
      <w:pPr>
        <w:jc w:val="both"/>
        <w:rPr>
          <w:rFonts w:ascii="Times New Roman" w:eastAsia="Times New Roman" w:hAnsi="Times New Roman" w:cs="Times New Roman"/>
          <w:kern w:val="36"/>
          <w:sz w:val="24"/>
          <w:szCs w:val="24"/>
        </w:rPr>
      </w:pPr>
      <w:bookmarkStart w:id="48" w:name="_Toc232552247"/>
      <w:r w:rsidRPr="004F0794">
        <w:rPr>
          <w:rFonts w:ascii="Times New Roman" w:eastAsia="Times New Roman" w:hAnsi="Times New Roman" w:cs="Times New Roman"/>
          <w:kern w:val="36"/>
          <w:sz w:val="24"/>
          <w:szCs w:val="24"/>
        </w:rPr>
        <w:t> </w:t>
      </w:r>
      <w:bookmarkEnd w:id="48"/>
    </w:p>
    <w:p w:rsidR="00A41A1D" w:rsidRPr="004F0794" w:rsidRDefault="00A41A1D" w:rsidP="00A41A1D">
      <w:pPr>
        <w:jc w:val="both"/>
        <w:rPr>
          <w:rFonts w:ascii="Times New Roman" w:eastAsia="Times New Roman" w:hAnsi="Times New Roman" w:cs="Times New Roman"/>
          <w:kern w:val="36"/>
          <w:sz w:val="24"/>
          <w:szCs w:val="24"/>
        </w:rPr>
      </w:pPr>
      <w:r w:rsidRPr="004F0794">
        <w:rPr>
          <w:rFonts w:ascii="Times New Roman" w:eastAsia="Times New Roman" w:hAnsi="Times New Roman" w:cs="Times New Roman"/>
          <w:kern w:val="36"/>
          <w:sz w:val="24"/>
          <w:szCs w:val="24"/>
        </w:rPr>
        <w:br w:type="page"/>
      </w:r>
    </w:p>
    <w:p w:rsidR="00A41A1D" w:rsidRPr="004F0794" w:rsidRDefault="00A41A1D" w:rsidP="00A41A1D">
      <w:pPr>
        <w:pStyle w:val="Heading1"/>
      </w:pPr>
      <w:bookmarkStart w:id="49" w:name="_Toc232552248"/>
      <w:bookmarkStart w:id="50" w:name="_Toc232552912"/>
      <w:bookmarkStart w:id="51" w:name="_Toc232722492"/>
      <w:r w:rsidRPr="004F0794">
        <w:lastRenderedPageBreak/>
        <w:t>ABSTRACT</w:t>
      </w:r>
      <w:bookmarkEnd w:id="49"/>
      <w:bookmarkEnd w:id="50"/>
      <w:bookmarkEnd w:id="51"/>
    </w:p>
    <w:p w:rsidR="00D415A2" w:rsidRPr="004F0794" w:rsidRDefault="00876728" w:rsidP="00876728">
      <w:pPr>
        <w:pStyle w:val="NormalWeb"/>
        <w:jc w:val="both"/>
      </w:pPr>
      <w:r w:rsidRPr="004F0794">
        <w:t>Customary marriage remains one of the most culturally accept</w:t>
      </w:r>
      <w:r w:rsidR="004C706C" w:rsidRPr="004F0794">
        <w:t>ed forms of marriage in Nigeria.</w:t>
      </w:r>
      <w:r w:rsidRPr="004F0794">
        <w:t xml:space="preserve"> </w:t>
      </w:r>
      <w:r w:rsidR="004C706C" w:rsidRPr="004F0794">
        <w:t xml:space="preserve">This project appraises the formation and dissolution of customary law marriage in Nigeria. Specifically, it objectives include to examine; the core legislative and institutional framework governing customary marriage; the requirements for its formation; the procedures for its dissolution under Nigerian customary law. </w:t>
      </w:r>
      <w:r w:rsidR="00713DDF" w:rsidRPr="004F0794">
        <w:t>This</w:t>
      </w:r>
      <w:r w:rsidRPr="004F0794">
        <w:t xml:space="preserve"> research</w:t>
      </w:r>
      <w:r w:rsidR="00713DDF" w:rsidRPr="004F0794">
        <w:t xml:space="preserve"> adopts a doctrinal methodology. </w:t>
      </w:r>
      <w:r w:rsidRPr="004F0794">
        <w:t xml:space="preserve">It finds that customary marriage is recognised under </w:t>
      </w:r>
      <w:r w:rsidR="00713DDF" w:rsidRPr="004F0794">
        <w:t>the</w:t>
      </w:r>
      <w:r w:rsidRPr="004F0794">
        <w:t xml:space="preserve"> law </w:t>
      </w:r>
      <w:r w:rsidR="00713DDF" w:rsidRPr="004F0794">
        <w:t xml:space="preserve">in Nigeria </w:t>
      </w:r>
      <w:r w:rsidRPr="004F0794">
        <w:t xml:space="preserve">and operates alongside statutory and Islamic marriages. However, its formation is governed </w:t>
      </w:r>
      <w:r w:rsidR="00713DDF" w:rsidRPr="004F0794">
        <w:t xml:space="preserve">largely </w:t>
      </w:r>
      <w:r w:rsidRPr="004F0794">
        <w:t xml:space="preserve">by </w:t>
      </w:r>
      <w:r w:rsidR="00713DDF" w:rsidRPr="004F0794">
        <w:t>unwritten native law and custom. It also f</w:t>
      </w:r>
      <w:r w:rsidR="007202B7">
        <w:t>inds</w:t>
      </w:r>
      <w:r w:rsidR="00713DDF" w:rsidRPr="004F0794">
        <w:t xml:space="preserve"> that </w:t>
      </w:r>
      <w:r w:rsidRPr="004F0794">
        <w:t>requirements</w:t>
      </w:r>
      <w:r w:rsidR="00713DDF" w:rsidRPr="004F0794">
        <w:t xml:space="preserve"> for formation</w:t>
      </w:r>
      <w:r w:rsidRPr="004F0794">
        <w:t xml:space="preserve"> </w:t>
      </w:r>
      <w:r w:rsidR="00713DDF" w:rsidRPr="004F0794">
        <w:t>include</w:t>
      </w:r>
      <w:r w:rsidRPr="004F0794">
        <w:t xml:space="preserve"> capacity, consent of the parties, family approval, payment of bride price and ceremonial handing over of the bride. </w:t>
      </w:r>
      <w:r w:rsidR="00713DDF" w:rsidRPr="004F0794">
        <w:t>In addition, this research finds</w:t>
      </w:r>
      <w:r w:rsidRPr="004F0794">
        <w:t xml:space="preserve"> </w:t>
      </w:r>
      <w:r w:rsidR="00713DDF" w:rsidRPr="004F0794">
        <w:t>it is difficult to prove</w:t>
      </w:r>
      <w:r w:rsidRPr="004F0794">
        <w:t xml:space="preserve"> customary marriage where there is no registration or documentary evidence. On dissolution, the research reveals that customary marriage may be dissolved informally through family intervention and refund of bride price, or formally through customary and area courts. </w:t>
      </w:r>
      <w:r w:rsidR="004B5BD8" w:rsidRPr="004F0794">
        <w:t xml:space="preserve">Yet again, </w:t>
      </w:r>
      <w:r w:rsidRPr="004F0794">
        <w:t>uncertainty arises where dissolut</w:t>
      </w:r>
      <w:r w:rsidR="004B5BD8" w:rsidRPr="004F0794">
        <w:t>ion is not properly documented</w:t>
      </w:r>
      <w:r w:rsidRPr="004F0794">
        <w:t xml:space="preserve">. The study also identifies gender-related concerns, where bride price and patriarchal customs restrict </w:t>
      </w:r>
      <w:r w:rsidR="00D415A2" w:rsidRPr="004F0794">
        <w:t xml:space="preserve">women from </w:t>
      </w:r>
      <w:r w:rsidRPr="004F0794">
        <w:t>exit</w:t>
      </w:r>
      <w:r w:rsidR="00D415A2" w:rsidRPr="004F0794">
        <w:t>ing</w:t>
      </w:r>
      <w:r w:rsidRPr="004F0794">
        <w:t xml:space="preserve"> abusive or unhappy marriages.</w:t>
      </w:r>
      <w:r w:rsidR="00BA38E6" w:rsidRPr="004F0794">
        <w:t xml:space="preserve"> </w:t>
      </w:r>
      <w:r w:rsidR="00D415A2" w:rsidRPr="004F0794">
        <w:t>This project recommends that there should be a</w:t>
      </w:r>
      <w:r w:rsidRPr="004F0794">
        <w:t xml:space="preserve"> harmonised </w:t>
      </w:r>
      <w:r w:rsidR="00D415A2" w:rsidRPr="004F0794">
        <w:t xml:space="preserve">legislation for customary marriage; it should be mandatory to register </w:t>
      </w:r>
      <w:r w:rsidRPr="004F0794">
        <w:t>customary marriages and divorces</w:t>
      </w:r>
      <w:r w:rsidR="00D415A2" w:rsidRPr="004F0794">
        <w:t xml:space="preserve">; there should be a clearer procedure for dissolution; the practices relating to bride price should be reformed; there should be public enlightenment. </w:t>
      </w:r>
      <w:r w:rsidRPr="004F0794">
        <w:t xml:space="preserve">The </w:t>
      </w:r>
      <w:r w:rsidR="00D415A2" w:rsidRPr="004F0794">
        <w:t>research</w:t>
      </w:r>
      <w:r w:rsidRPr="004F0794">
        <w:t xml:space="preserve"> concludes that customary marriage should be preserved</w:t>
      </w:r>
      <w:r w:rsidR="00D415A2" w:rsidRPr="004F0794">
        <w:t>. However, it must be reformed.</w:t>
      </w:r>
    </w:p>
    <w:p w:rsidR="00A41A1D" w:rsidRPr="004F0794" w:rsidRDefault="00A41A1D" w:rsidP="00A41A1D">
      <w:pPr>
        <w:spacing w:line="240" w:lineRule="auto"/>
        <w:jc w:val="both"/>
        <w:rPr>
          <w:rFonts w:ascii="Times New Roman" w:hAnsi="Times New Roman" w:cs="Times New Roman"/>
          <w:sz w:val="24"/>
          <w:szCs w:val="24"/>
        </w:rPr>
      </w:pPr>
    </w:p>
    <w:p w:rsidR="00A41A1D" w:rsidRPr="004F0794" w:rsidRDefault="00A41A1D" w:rsidP="00A41A1D">
      <w:pPr>
        <w:rPr>
          <w:rFonts w:ascii="Times New Roman" w:hAnsi="Times New Roman" w:cs="Times New Roman"/>
          <w:b/>
          <w:sz w:val="24"/>
          <w:szCs w:val="24"/>
        </w:rPr>
      </w:pPr>
    </w:p>
    <w:p w:rsidR="00A41A1D" w:rsidRPr="004F0794" w:rsidRDefault="00A41A1D" w:rsidP="00A41A1D">
      <w:pPr>
        <w:rPr>
          <w:rFonts w:ascii="Times New Roman" w:hAnsi="Times New Roman" w:cs="Times New Roman"/>
          <w:b/>
          <w:sz w:val="24"/>
          <w:szCs w:val="24"/>
        </w:rPr>
      </w:pPr>
    </w:p>
    <w:p w:rsidR="00A41A1D" w:rsidRPr="004F0794" w:rsidRDefault="00A41A1D" w:rsidP="00A41A1D">
      <w:pPr>
        <w:rPr>
          <w:rFonts w:ascii="Times New Roman" w:hAnsi="Times New Roman" w:cs="Times New Roman"/>
          <w:b/>
          <w:sz w:val="24"/>
          <w:szCs w:val="24"/>
        </w:rPr>
      </w:pPr>
    </w:p>
    <w:p w:rsidR="00A41A1D" w:rsidRPr="004F0794" w:rsidRDefault="00A41A1D">
      <w:pPr>
        <w:rPr>
          <w:rFonts w:ascii="Times New Roman" w:hAnsi="Times New Roman" w:cs="Times New Roman"/>
          <w:color w:val="000000" w:themeColor="text1"/>
          <w:sz w:val="24"/>
          <w:szCs w:val="24"/>
        </w:rPr>
        <w:sectPr w:rsidR="00A41A1D" w:rsidRPr="004F0794" w:rsidSect="00A41A1D">
          <w:headerReference w:type="default" r:id="rId8"/>
          <w:footerReference w:type="default" r:id="rId9"/>
          <w:pgSz w:w="11907" w:h="16839" w:code="9"/>
          <w:pgMar w:top="1440" w:right="1440" w:bottom="1440" w:left="1440" w:header="720" w:footer="720" w:gutter="0"/>
          <w:pgNumType w:fmt="lowerRoman" w:start="1"/>
          <w:cols w:space="720"/>
          <w:docGrid w:linePitch="360"/>
        </w:sectPr>
      </w:pPr>
      <w:r w:rsidRPr="004F0794">
        <w:rPr>
          <w:rFonts w:ascii="Times New Roman" w:hAnsi="Times New Roman" w:cs="Times New Roman"/>
          <w:color w:val="000000" w:themeColor="text1"/>
          <w:sz w:val="24"/>
          <w:szCs w:val="24"/>
        </w:rPr>
        <w:br w:type="page"/>
      </w:r>
    </w:p>
    <w:p w:rsidR="00860B99" w:rsidRPr="004F0794" w:rsidRDefault="00860B99" w:rsidP="001C75F8">
      <w:pPr>
        <w:pStyle w:val="Heading1"/>
      </w:pPr>
      <w:bookmarkStart w:id="52" w:name="_Toc232722493"/>
      <w:r w:rsidRPr="004F0794">
        <w:lastRenderedPageBreak/>
        <w:t>CHAPTER ONE</w:t>
      </w:r>
      <w:bookmarkEnd w:id="52"/>
    </w:p>
    <w:p w:rsidR="001C75F8" w:rsidRPr="004F0794" w:rsidRDefault="001C75F8" w:rsidP="001C75F8">
      <w:pPr>
        <w:pStyle w:val="Heading1"/>
      </w:pPr>
      <w:bookmarkStart w:id="53" w:name="_Toc232722494"/>
      <w:r w:rsidRPr="004F0794">
        <w:t>INTRODUCTION</w:t>
      </w:r>
      <w:bookmarkEnd w:id="53"/>
    </w:p>
    <w:p w:rsidR="00860B99" w:rsidRPr="004F0794" w:rsidRDefault="00860B99" w:rsidP="001C75F8">
      <w:pPr>
        <w:pStyle w:val="Heading2"/>
      </w:pPr>
      <w:bookmarkStart w:id="54" w:name="_Toc232722495"/>
      <w:r w:rsidRPr="004F0794">
        <w:t xml:space="preserve">1.1 </w:t>
      </w:r>
      <w:r w:rsidRPr="004F0794">
        <w:tab/>
        <w:t>Background to the Study</w:t>
      </w:r>
      <w:bookmarkEnd w:id="54"/>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Customary law marriage is a time-honoured institution in Nigeria. It predates the statutory marriage system introduced during colonial rule.</w:t>
      </w:r>
      <w:r w:rsidRPr="004F0794">
        <w:rPr>
          <w:rStyle w:val="FootnoteReference"/>
          <w:rFonts w:ascii="Times New Roman" w:hAnsi="Times New Roman" w:cs="Times New Roman"/>
          <w:color w:val="000000" w:themeColor="text1"/>
          <w:sz w:val="24"/>
          <w:szCs w:val="24"/>
        </w:rPr>
        <w:footnoteReference w:id="2"/>
      </w:r>
      <w:r w:rsidRPr="004F0794">
        <w:rPr>
          <w:rFonts w:ascii="Times New Roman" w:hAnsi="Times New Roman" w:cs="Times New Roman"/>
          <w:color w:val="000000" w:themeColor="text1"/>
          <w:sz w:val="24"/>
          <w:szCs w:val="24"/>
        </w:rPr>
        <w:t xml:space="preserve"> Unlike statutory</w:t>
      </w:r>
      <w:r w:rsidR="00A3479D" w:rsidRPr="004F079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marriages under th</w:t>
      </w:r>
      <w:r w:rsidR="00A3479D" w:rsidRPr="004F0794">
        <w:rPr>
          <w:rFonts w:ascii="Times New Roman" w:hAnsi="Times New Roman" w:cs="Times New Roman"/>
          <w:color w:val="000000" w:themeColor="text1"/>
          <w:sz w:val="24"/>
          <w:szCs w:val="24"/>
        </w:rPr>
        <w:t xml:space="preserve">e Marriage Act, a customary law </w:t>
      </w:r>
      <w:r w:rsidRPr="004F0794">
        <w:rPr>
          <w:rFonts w:ascii="Times New Roman" w:hAnsi="Times New Roman" w:cs="Times New Roman"/>
          <w:color w:val="000000" w:themeColor="text1"/>
          <w:sz w:val="24"/>
          <w:szCs w:val="24"/>
        </w:rPr>
        <w:t>marriage is celebrated according to the native law and customs of the parties' families.</w:t>
      </w:r>
      <w:r w:rsidR="006E1BDC" w:rsidRPr="004F079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This creates an alliance between two extended families.</w:t>
      </w:r>
      <w:r w:rsidRPr="004F0794">
        <w:rPr>
          <w:rStyle w:val="FootnoteReference"/>
          <w:rFonts w:ascii="Times New Roman" w:hAnsi="Times New Roman" w:cs="Times New Roman"/>
          <w:color w:val="000000" w:themeColor="text1"/>
          <w:sz w:val="24"/>
          <w:szCs w:val="24"/>
        </w:rPr>
        <w:footnoteReference w:id="3"/>
      </w:r>
      <w:r w:rsidRPr="004F0794">
        <w:rPr>
          <w:rFonts w:ascii="Times New Roman" w:hAnsi="Times New Roman" w:cs="Times New Roman"/>
          <w:color w:val="000000" w:themeColor="text1"/>
          <w:sz w:val="24"/>
          <w:szCs w:val="24"/>
        </w:rPr>
        <w:t>This form of marriage is valid and legal in Nigeria. It operates alongside the statutory system in a pluralistic legal framework.</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Customary marriages remain prevalent due to strong cultural acceptance and the communal nature of Nigerian society.</w:t>
      </w:r>
      <w:r w:rsidRPr="004F0794">
        <w:rPr>
          <w:rStyle w:val="FootnoteReference"/>
          <w:rFonts w:ascii="Times New Roman" w:hAnsi="Times New Roman" w:cs="Times New Roman"/>
          <w:color w:val="000000" w:themeColor="text1"/>
          <w:sz w:val="24"/>
          <w:szCs w:val="24"/>
        </w:rPr>
        <w:footnoteReference w:id="4"/>
      </w:r>
      <w:r w:rsidRPr="004F0794">
        <w:rPr>
          <w:rFonts w:ascii="Times New Roman" w:hAnsi="Times New Roman" w:cs="Times New Roman"/>
          <w:color w:val="000000" w:themeColor="text1"/>
          <w:sz w:val="24"/>
          <w:szCs w:val="24"/>
        </w:rPr>
        <w:t>For many Nigerians, the customary ceremony is the “real” marriage and this is often followed (in urban and educated circles) by a statutory registry wedding for legal formality. This has given rise to so-called “double-decker” marriages where the same couple marries each other twice: first under customary law and later under the Act (or vice versa)</w:t>
      </w:r>
      <w:r w:rsidRPr="004F0794">
        <w:rPr>
          <w:rStyle w:val="FootnoteReference"/>
          <w:rFonts w:ascii="Times New Roman" w:hAnsi="Times New Roman" w:cs="Times New Roman"/>
          <w:color w:val="000000" w:themeColor="text1"/>
          <w:sz w:val="24"/>
          <w:szCs w:val="24"/>
        </w:rPr>
        <w:footnoteReference w:id="5"/>
      </w:r>
      <w:r w:rsidRPr="004F0794">
        <w:rPr>
          <w:rFonts w:ascii="Times New Roman" w:hAnsi="Times New Roman" w:cs="Times New Roman"/>
          <w:color w:val="000000" w:themeColor="text1"/>
          <w:sz w:val="24"/>
          <w:szCs w:val="24"/>
        </w:rPr>
        <w:t>. Thus, the couples honour tradition and they also obtain statutory legal security.</w:t>
      </w:r>
      <w:r w:rsidRPr="004F0794">
        <w:rPr>
          <w:rStyle w:val="FootnoteReference"/>
          <w:rFonts w:ascii="Times New Roman" w:hAnsi="Times New Roman" w:cs="Times New Roman"/>
          <w:color w:val="000000" w:themeColor="text1"/>
          <w:sz w:val="24"/>
          <w:szCs w:val="24"/>
        </w:rPr>
        <w:footnoteReference w:id="6"/>
      </w:r>
    </w:p>
    <w:p w:rsidR="00860B99" w:rsidRPr="004F0794" w:rsidRDefault="00860B99" w:rsidP="00860B99">
      <w:pPr>
        <w:pStyle w:val="NormalWeb"/>
        <w:spacing w:line="480" w:lineRule="auto"/>
        <w:jc w:val="both"/>
        <w:rPr>
          <w:color w:val="000000" w:themeColor="text1"/>
          <w:lang w:val="en-GB"/>
        </w:rPr>
      </w:pPr>
      <w:r w:rsidRPr="004F0794">
        <w:rPr>
          <w:color w:val="000000" w:themeColor="text1"/>
          <w:lang w:val="en-GB"/>
        </w:rPr>
        <w:t>Customary marriages remain the most dominant and culturally revered form of marriage in Nigeria.</w:t>
      </w:r>
      <w:r w:rsidRPr="004F0794">
        <w:rPr>
          <w:rStyle w:val="FootnoteReference"/>
          <w:color w:val="000000" w:themeColor="text1"/>
        </w:rPr>
        <w:footnoteReference w:id="7"/>
      </w:r>
      <w:r w:rsidR="002A7EFE">
        <w:rPr>
          <w:color w:val="000000" w:themeColor="text1"/>
          <w:lang w:val="en-GB"/>
        </w:rPr>
        <w:t xml:space="preserve"> </w:t>
      </w:r>
      <w:r w:rsidRPr="004F0794">
        <w:rPr>
          <w:color w:val="000000" w:themeColor="text1"/>
          <w:lang w:val="en-GB"/>
        </w:rPr>
        <w:t xml:space="preserve">For many communities, they are the primary social marker of a valid union and legitimate family life. By contrast, statutory marriages provide clearer legal protections in </w:t>
      </w:r>
      <w:r w:rsidRPr="004F0794">
        <w:rPr>
          <w:color w:val="000000" w:themeColor="text1"/>
          <w:lang w:val="en-GB"/>
        </w:rPr>
        <w:lastRenderedPageBreak/>
        <w:t>respect of status, property, maintenance and dissolution. However, there is considerable legal uncertainty regarding the status and dissolution of customary marriages.(especially where they run alongside or intersect with statutory unions). These</w:t>
      </w:r>
      <w:r w:rsidR="007915FA">
        <w:rPr>
          <w:color w:val="000000" w:themeColor="text1"/>
          <w:lang w:val="en-GB"/>
        </w:rPr>
        <w:t xml:space="preserve"> </w:t>
      </w:r>
      <w:r w:rsidRPr="004F0794">
        <w:rPr>
          <w:color w:val="000000" w:themeColor="text1"/>
          <w:lang w:val="en-GB"/>
        </w:rPr>
        <w:t>also</w:t>
      </w:r>
      <w:r w:rsidR="007915FA">
        <w:rPr>
          <w:color w:val="000000" w:themeColor="text1"/>
          <w:lang w:val="en-GB"/>
        </w:rPr>
        <w:t xml:space="preserve"> </w:t>
      </w:r>
      <w:r w:rsidRPr="004F0794">
        <w:rPr>
          <w:color w:val="000000" w:themeColor="text1"/>
          <w:lang w:val="en-GB"/>
        </w:rPr>
        <w:t>generates a number of challenges. First, there are conflicts between customary norms and statutory provisions and there also concerns about gender-rights. In addition, there is confusion over the procedures for dissolution (for example, whether dissolving one type of union is sufficient when a couple has both a customary and a statutory marriage).</w:t>
      </w:r>
      <w:r w:rsidRPr="004F0794">
        <w:rPr>
          <w:rStyle w:val="FootnoteReference"/>
          <w:color w:val="000000" w:themeColor="text1"/>
        </w:rPr>
        <w:footnoteReference w:id="8"/>
      </w:r>
    </w:p>
    <w:p w:rsidR="00860B99" w:rsidRPr="004F0794" w:rsidRDefault="00860B99" w:rsidP="00860B99">
      <w:pPr>
        <w:pStyle w:val="NormalWeb"/>
        <w:spacing w:line="480" w:lineRule="auto"/>
        <w:jc w:val="both"/>
        <w:rPr>
          <w:color w:val="000000" w:themeColor="text1"/>
          <w:lang w:val="en-GB"/>
        </w:rPr>
      </w:pPr>
      <w:r w:rsidRPr="004F0794">
        <w:rPr>
          <w:color w:val="000000" w:themeColor="text1"/>
          <w:lang w:val="en-GB"/>
        </w:rPr>
        <w:t xml:space="preserve">In practice, the formation and dissolution of customary marriage are still largely governed by unwritten traditional norms and community-based processes. These sometimes clash with the constitutional principles of equality and human dignity. This is evident in relation to women’s rights, and the access to fair and transparent procedure for divorce. </w:t>
      </w:r>
      <w:r w:rsidRPr="002A7EFE">
        <w:rPr>
          <w:color w:val="000000" w:themeColor="text1"/>
          <w:lang w:val="en-GB"/>
        </w:rPr>
        <w:t xml:space="preserve">Against this backdrop, there is a clear need to </w:t>
      </w:r>
      <w:r w:rsidRPr="002A7EFE">
        <w:rPr>
          <w:rStyle w:val="Strong"/>
          <w:b w:val="0"/>
          <w:color w:val="000000" w:themeColor="text1"/>
          <w:lang w:val="en-GB"/>
        </w:rPr>
        <w:t>critically appraise how customary marriages are formed and dissolved in contemporary Nigeria and to assess how the existing legal and institutional framework addresses (or fails to address) the attendant problems in a rapidly changing</w:t>
      </w:r>
      <w:r w:rsidRPr="002A7EFE">
        <w:rPr>
          <w:rStyle w:val="Strong"/>
          <w:color w:val="000000" w:themeColor="text1"/>
          <w:lang w:val="en-GB"/>
        </w:rPr>
        <w:t xml:space="preserve"> society.</w:t>
      </w:r>
      <w:r w:rsidRPr="002A7EFE">
        <w:rPr>
          <w:color w:val="000000" w:themeColor="text1"/>
          <w:lang w:val="en-GB"/>
        </w:rPr>
        <w:t xml:space="preserve"> This forms the basis and justification for the present research.</w:t>
      </w:r>
    </w:p>
    <w:p w:rsidR="00860B99" w:rsidRPr="004F0794" w:rsidRDefault="00860B99" w:rsidP="001C75F8">
      <w:pPr>
        <w:pStyle w:val="Heading2"/>
      </w:pPr>
      <w:bookmarkStart w:id="55" w:name="_Toc232722496"/>
      <w:r w:rsidRPr="004F0794">
        <w:t xml:space="preserve">1.2 </w:t>
      </w:r>
      <w:r w:rsidRPr="004F0794">
        <w:tab/>
        <w:t>Statement of the Problem</w:t>
      </w:r>
      <w:bookmarkEnd w:id="55"/>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In Nigeria, customary law marriage is recognised and practised across many ethnic communities. However, its regulation remains complex because it is governed by diverse local customs and this may vary from one community to another. As a result, the requirements and incidents of customary marriage are not uniform nationwide. In addition, it is not codified and this creates evidential difficulties when parties seek to prove the existence or validity of a customary marriage before a court.</w:t>
      </w:r>
      <w:r w:rsidRPr="004F0794">
        <w:rPr>
          <w:rStyle w:val="FootnoteReference"/>
          <w:rFonts w:ascii="Times New Roman" w:hAnsi="Times New Roman" w:cs="Times New Roman"/>
          <w:color w:val="000000" w:themeColor="text1"/>
          <w:sz w:val="24"/>
          <w:szCs w:val="24"/>
        </w:rPr>
        <w:footnoteReference w:id="9"/>
      </w:r>
      <w:r w:rsidR="002A7EFE">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Notably, many states have provisions for registration of customary marriages. However, registration is not compulsory and it is often </w:t>
      </w:r>
      <w:r w:rsidRPr="004F0794">
        <w:rPr>
          <w:rFonts w:ascii="Times New Roman" w:hAnsi="Times New Roman" w:cs="Times New Roman"/>
          <w:color w:val="000000" w:themeColor="text1"/>
          <w:sz w:val="24"/>
          <w:szCs w:val="24"/>
        </w:rPr>
        <w:lastRenderedPageBreak/>
        <w:t xml:space="preserve">ignored. Consequently, it becomes onerous to prove the existence of a valid customary marriage in court through oral evidence of the ceremony.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Secondly, the dissolution of Customary Marriages is ambiguous. Under native law, marriages can be ended by mutual consent of families and return of bride price without court proceedings.</w:t>
      </w:r>
      <w:r w:rsidRPr="004F0794">
        <w:rPr>
          <w:rStyle w:val="FootnoteReference"/>
          <w:rFonts w:ascii="Times New Roman" w:hAnsi="Times New Roman" w:cs="Times New Roman"/>
          <w:color w:val="000000" w:themeColor="text1"/>
          <w:sz w:val="24"/>
          <w:szCs w:val="24"/>
        </w:rPr>
        <w:footnoteReference w:id="10"/>
      </w:r>
      <w:r>
        <w:rPr>
          <w:rFonts w:ascii="Times New Roman" w:hAnsi="Times New Roman" w:cs="Times New Roman"/>
          <w:color w:val="000000" w:themeColor="text1"/>
          <w:sz w:val="24"/>
          <w:szCs w:val="24"/>
        </w:rPr>
        <w:t xml:space="preserve">However, difficulties arise where the dissolution of a customary marriage is done informally and later becomes a matter of legal contention. In </w:t>
      </w:r>
      <w:r>
        <w:rPr>
          <w:rFonts w:ascii="Times New Roman" w:hAnsi="Times New Roman" w:cs="Times New Roman"/>
          <w:i/>
          <w:color w:val="000000" w:themeColor="text1"/>
          <w:sz w:val="24"/>
          <w:szCs w:val="24"/>
        </w:rPr>
        <w:t>Ezeaku v Okonkwo</w:t>
      </w:r>
      <w:r>
        <w:rPr>
          <w:rFonts w:ascii="Times New Roman" w:hAnsi="Times New Roman" w:cs="Times New Roman"/>
          <w:color w:val="000000" w:themeColor="text1"/>
          <w:sz w:val="24"/>
          <w:szCs w:val="24"/>
        </w:rPr>
        <w:t>,</w:t>
      </w:r>
      <w:r w:rsidRPr="004F0794">
        <w:rPr>
          <w:rStyle w:val="FootnoteReference"/>
          <w:rFonts w:ascii="Times New Roman" w:hAnsi="Times New Roman" w:cs="Times New Roman"/>
          <w:color w:val="000000" w:themeColor="text1"/>
          <w:sz w:val="24"/>
          <w:szCs w:val="24"/>
        </w:rPr>
        <w:footnoteReference w:id="11"/>
      </w:r>
      <w:r w:rsidR="005B3A4E">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the court held that the mere separation of parties or a private understanding between families is not sufficient proof that a customary marriage has been dissolved</w:t>
      </w:r>
      <w:r w:rsidR="00E92598">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properly. This often becomes significant where disputes arise concerning the marital status of a party, such as in succession matters or where the validity of a subsequent marriage is challenged.</w:t>
      </w:r>
      <w:r w:rsidR="005C7FC6">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The situation is even more complex in “double-decker” unions. This involves the same couple contracting both a customary and a statutory marriage. It is unclear whether a statutory marriage between the same parties automatically supersedes the customary union</w:t>
      </w:r>
      <w:r w:rsidRPr="007915FA">
        <w:rPr>
          <w:rFonts w:ascii="Times New Roman" w:hAnsi="Times New Roman" w:cs="Times New Roman"/>
          <w:color w:val="000000" w:themeColor="text1"/>
          <w:sz w:val="24"/>
          <w:szCs w:val="24"/>
        </w:rPr>
        <w:t>. Does a decree of dissolution under the Matrimonial Causes Act is sufficient to terminate the customary marriage as well? Is separate customary dissolution is still required?</w:t>
      </w:r>
      <w:r w:rsidR="007915FA">
        <w:rPr>
          <w:rFonts w:ascii="Times New Roman" w:hAnsi="Times New Roman" w:cs="Times New Roman"/>
          <w:color w:val="000000" w:themeColor="text1"/>
          <w:sz w:val="24"/>
          <w:szCs w:val="24"/>
        </w:rPr>
        <w:t xml:space="preserve"> </w:t>
      </w:r>
      <w:r w:rsidRPr="007915FA">
        <w:rPr>
          <w:rFonts w:ascii="Times New Roman" w:hAnsi="Times New Roman" w:cs="Times New Roman"/>
          <w:color w:val="000000" w:themeColor="text1"/>
          <w:sz w:val="24"/>
          <w:szCs w:val="24"/>
        </w:rPr>
        <w:t>There are also concerns about gender and human rights. This is because customary norms often restrict women from exiting an unhappy or abusive marriages.</w:t>
      </w:r>
      <w:r w:rsidRPr="007915FA">
        <w:rPr>
          <w:rStyle w:val="FootnoteReference"/>
          <w:rFonts w:ascii="Times New Roman" w:hAnsi="Times New Roman" w:cs="Times New Roman"/>
          <w:color w:val="000000" w:themeColor="text1"/>
          <w:sz w:val="24"/>
          <w:szCs w:val="24"/>
        </w:rPr>
        <w:footnoteReference w:id="12"/>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Evidently, there exist</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doctrinal and procedural complexities</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in the formation and dissolution customary law marriages</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and these have serious human-rights and gender implications. In many communities, customary norms make it difficult for women to exit unhappy or abusive marriages or to assert their rights to custody or maintenance, claim to family property where </w:t>
      </w:r>
      <w:r w:rsidRPr="004F0794">
        <w:rPr>
          <w:rFonts w:ascii="Times New Roman" w:hAnsi="Times New Roman" w:cs="Times New Roman"/>
          <w:color w:val="000000" w:themeColor="text1"/>
          <w:sz w:val="24"/>
          <w:szCs w:val="24"/>
        </w:rPr>
        <w:lastRenderedPageBreak/>
        <w:t>her finances contributed significantly to the construction of same on breakdown of the union- for instance women cannot on their own return bride price without their parents or guardian and even when judicial proceedings are initiated woman cannot sue alone. The absence ofharmonised rules on formation, and dissolution of customary marriage contributes greatly to the challenge women face because in the face of legislative mandate permitting women with the right backed by law to return bride price alone, abhorrent customs remains the order of the day. Hence, this creates uncertainty for spouses and undermines legal protection (particularly for women). Critically, there are limited comprehensive appraisal of how customary marriages are presently formed and dissolved in Nigeria and to what extent the current framework protects or undermines the rights of parties. It is this gap that the present research seeks to address.</w:t>
      </w:r>
    </w:p>
    <w:p w:rsidR="00860B99" w:rsidRPr="004F0794" w:rsidRDefault="00860B99" w:rsidP="001C75F8">
      <w:pPr>
        <w:pStyle w:val="Heading2"/>
      </w:pPr>
      <w:bookmarkStart w:id="56" w:name="_Toc232722497"/>
      <w:r w:rsidRPr="004F0794">
        <w:t xml:space="preserve">1.3 </w:t>
      </w:r>
      <w:r w:rsidRPr="004F0794">
        <w:tab/>
        <w:t>Research Questions</w:t>
      </w:r>
      <w:bookmarkEnd w:id="56"/>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This research is guided by the following key questions:</w:t>
      </w:r>
    </w:p>
    <w:p w:rsidR="00860B99" w:rsidRPr="004F0794" w:rsidRDefault="00860B99" w:rsidP="00860B99">
      <w:pPr>
        <w:pStyle w:val="ListParagraph"/>
        <w:numPr>
          <w:ilvl w:val="0"/>
          <w:numId w:val="1"/>
        </w:num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What are the core legislative and institutional framework for the formation and dissolution of customary law marriage in Nigeria?</w:t>
      </w:r>
    </w:p>
    <w:p w:rsidR="00860B99" w:rsidRPr="004F0794" w:rsidRDefault="00860B99" w:rsidP="00860B99">
      <w:pPr>
        <w:pStyle w:val="ListParagraph"/>
        <w:numPr>
          <w:ilvl w:val="0"/>
          <w:numId w:val="1"/>
        </w:num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What are the requirements and procedures for the formation of customary law marriage in Nigeria?</w:t>
      </w:r>
    </w:p>
    <w:p w:rsidR="00860B99" w:rsidRPr="004F0794" w:rsidRDefault="00860B99" w:rsidP="00860B99">
      <w:pPr>
        <w:pStyle w:val="ListParagraph"/>
        <w:numPr>
          <w:ilvl w:val="0"/>
          <w:numId w:val="1"/>
        </w:num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What are the procedures for the dissolution of customary law marriage in Nigeria?</w:t>
      </w:r>
    </w:p>
    <w:p w:rsidR="00860B99" w:rsidRPr="004F0794" w:rsidRDefault="00860B99" w:rsidP="001C75F8">
      <w:pPr>
        <w:pStyle w:val="Heading2"/>
      </w:pPr>
      <w:bookmarkStart w:id="57" w:name="_Toc232722498"/>
      <w:r w:rsidRPr="004F0794">
        <w:t xml:space="preserve">1.4 </w:t>
      </w:r>
      <w:r w:rsidRPr="004F0794">
        <w:tab/>
        <w:t>Aim and Objectives of the Research</w:t>
      </w:r>
      <w:bookmarkEnd w:id="57"/>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The aim of this research is to critically appraise the formation and dissolution of customary law marriage in Nigeria.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To achieve the stated aim, the research sets out the following specific objectives:</w:t>
      </w:r>
    </w:p>
    <w:p w:rsidR="00860B99" w:rsidRPr="004F0794" w:rsidRDefault="00860B99" w:rsidP="00860B99">
      <w:pPr>
        <w:pStyle w:val="ListParagraph"/>
        <w:numPr>
          <w:ilvl w:val="0"/>
          <w:numId w:val="2"/>
        </w:num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lastRenderedPageBreak/>
        <w:t>To critically appraise the core legislative and institutional framework for customary law marriage in Nigeria.</w:t>
      </w:r>
    </w:p>
    <w:p w:rsidR="00860B99" w:rsidRPr="004F0794" w:rsidRDefault="00860B99" w:rsidP="00860B99">
      <w:pPr>
        <w:pStyle w:val="ListParagraph"/>
        <w:numPr>
          <w:ilvl w:val="0"/>
          <w:numId w:val="2"/>
        </w:num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To critically evaluate the requirement and procedures for the formation of customary law marriage in Nigeria. </w:t>
      </w:r>
    </w:p>
    <w:p w:rsidR="00860B99" w:rsidRPr="004F0794" w:rsidRDefault="00860B99" w:rsidP="00860B99">
      <w:pPr>
        <w:pStyle w:val="ListParagraph"/>
        <w:numPr>
          <w:ilvl w:val="0"/>
          <w:numId w:val="2"/>
        </w:num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To critically evaluate the procedures for the dissolution of customary law marriage in Nigeria. </w:t>
      </w:r>
    </w:p>
    <w:p w:rsidR="00860B99" w:rsidRPr="004F0794" w:rsidRDefault="00860B99" w:rsidP="001C75F8">
      <w:pPr>
        <w:pStyle w:val="Heading2"/>
      </w:pPr>
      <w:bookmarkStart w:id="58" w:name="_Toc232722499"/>
      <w:r w:rsidRPr="004F0794">
        <w:t xml:space="preserve">1.5 </w:t>
      </w:r>
      <w:r w:rsidRPr="004F0794">
        <w:tab/>
        <w:t>Research Methodology</w:t>
      </w:r>
      <w:bookmarkEnd w:id="58"/>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This research adopts a doctrinal methodology.</w:t>
      </w:r>
      <w:r w:rsidRPr="004F0794">
        <w:rPr>
          <w:rStyle w:val="FootnoteReference"/>
          <w:rFonts w:ascii="Times New Roman" w:hAnsi="Times New Roman" w:cs="Times New Roman"/>
          <w:color w:val="000000" w:themeColor="text1"/>
          <w:sz w:val="24"/>
          <w:szCs w:val="24"/>
        </w:rPr>
        <w:footnoteReference w:id="13"/>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It reviews secondary sources relevant to customary marriage in Nigeria. This includes statutes, case law, textbooks, and academic journals. The research focuses on literature up-till 2025 and it captures the most up-to-date scholarly perspectives and legal developments. Data was obtained using through search in the library and</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reputable electronic databases (including Law Pavilion and Judy Law Reports, Nigerian Weekly Law Report) Law reports were</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utilised to retrieve judgments of Nigerian courts. Electronic</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repositories were consulted (this includes SSRN, ResearchGate, Jstor, Google Scholar among others). Priority is given to peer-reviewed journals.</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The doctrinal methodology has several notable strengths. It rigorously interprets legal texts and precedents.</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However, it is complemented by a critical lens. This means the research does not merely describe the law. It evaluates it. In essence, the methodology is analytical and critical. It aims</w:t>
      </w:r>
      <w:r w:rsidR="007915FA">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at not only stating “what the law is” on customary marriage formation and dissolution. It will also question “how well the law works” and “what the law ought to be.”</w:t>
      </w:r>
    </w:p>
    <w:p w:rsidR="00860B99" w:rsidRPr="004F0794" w:rsidRDefault="00860B99" w:rsidP="001C75F8">
      <w:pPr>
        <w:pStyle w:val="Heading2"/>
      </w:pPr>
      <w:bookmarkStart w:id="59" w:name="_Toc232722500"/>
      <w:r w:rsidRPr="004F0794">
        <w:t xml:space="preserve">1.6 </w:t>
      </w:r>
      <w:r w:rsidRPr="004F0794">
        <w:tab/>
        <w:t>Scope and Limitation of the Study</w:t>
      </w:r>
      <w:bookmarkEnd w:id="59"/>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This study is focused on the legal aspects (formation and dissolution) of customary law marriage in Nigeria. The scope is therefore confined to marriages conducted according to </w:t>
      </w:r>
      <w:r w:rsidRPr="004F0794">
        <w:rPr>
          <w:rFonts w:ascii="Times New Roman" w:hAnsi="Times New Roman" w:cs="Times New Roman"/>
          <w:color w:val="000000" w:themeColor="text1"/>
          <w:sz w:val="24"/>
          <w:szCs w:val="24"/>
        </w:rPr>
        <w:lastRenderedPageBreak/>
        <w:t xml:space="preserve">Nigerian native laws and customs. This is distinct from statutory marriages under the Marriage Act or marriages under Islamic (Maliki) law. However, since Islamic marriages in Nigeria (especially among Hausa-Fulani in the North) are often considered a subset of customary law marriages (being potentially polygamous and recognised under customary law in courts). Occasional reference will be made to Islamic marriage practices for completeness. The primary emphasis, though, is on </w:t>
      </w:r>
      <w:r w:rsidRPr="004F0794">
        <w:rPr>
          <w:rFonts w:ascii="Times New Roman" w:hAnsi="Times New Roman" w:cs="Times New Roman"/>
          <w:i/>
          <w:iCs/>
          <w:color w:val="000000" w:themeColor="text1"/>
          <w:sz w:val="24"/>
          <w:szCs w:val="24"/>
        </w:rPr>
        <w:t>southern Nigeria customary marriages</w:t>
      </w:r>
      <w:r w:rsidRPr="004F0794">
        <w:rPr>
          <w:rFonts w:ascii="Times New Roman" w:hAnsi="Times New Roman" w:cs="Times New Roman"/>
          <w:color w:val="000000" w:themeColor="text1"/>
          <w:sz w:val="24"/>
          <w:szCs w:val="24"/>
        </w:rPr>
        <w:t xml:space="preserve"> (Igbo and Yoruba paradigms) and the general principles applicable nationwide.</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In terms of formation, the study covers essential validity requirements (consent, capacity, bride price, ceremony) and evidentiary issues (proof and registration). It does not delve into ancillary cultural nuances except as illustrations; for instance, while Igbo “wine-carrying” or Yoruba “prostration” rituals are mentioned to show cultural flavour. The analysis remains on their legal significance (consent and handing over of the bride) (it does not assess their anthropological detail). In terms of dissolution, the study focuses on both the informal customary processes and formal court processes. Issues of post-dissolution rights (maintenance, custody, property) are discussed insofar as they are consequences of the dissolution. However, child custody</w:t>
      </w:r>
      <w:r w:rsidR="0059578B">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under customary law is not exhaustively treated as it is beyond the scope of this study. The time frame of the study is primarily contemporary. This study focuses on the state of state of the law as of 2025. Historical evolution of customary marriage law is considered only briefly.</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This study has some notable limitations. First, customary law by nature is local and dynamic. Therefore, generalisations are made cautiously. In addition, examples are illustrative (cases or statutes from particular states) and they are utilised to ground the discussion. Second, there are limited cases on customary law marriage. Many customary law disputes are resolved in customary courts or family meetings with no written records. The study relies on reported appellate cases. This may not capture the realities at the grassroots. To mitigate this </w:t>
      </w:r>
      <w:r w:rsidRPr="004F0794">
        <w:rPr>
          <w:rFonts w:ascii="Times New Roman" w:hAnsi="Times New Roman" w:cs="Times New Roman"/>
          <w:color w:val="000000" w:themeColor="text1"/>
          <w:sz w:val="24"/>
          <w:szCs w:val="24"/>
        </w:rPr>
        <w:lastRenderedPageBreak/>
        <w:t>limitation, the study utilises case law from various regions and academic commentary. This eliminates</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the bias of any single locale. </w:t>
      </w:r>
    </w:p>
    <w:p w:rsidR="00860B99" w:rsidRPr="004F0794" w:rsidRDefault="00860B99" w:rsidP="001C75F8">
      <w:pPr>
        <w:pStyle w:val="Heading2"/>
      </w:pPr>
      <w:bookmarkStart w:id="60" w:name="_Toc232722501"/>
      <w:r w:rsidRPr="004F0794">
        <w:t xml:space="preserve">1.7 </w:t>
      </w:r>
      <w:r w:rsidRPr="004F0794">
        <w:tab/>
        <w:t>Significance of the Study</w:t>
      </w:r>
      <w:bookmarkEnd w:id="60"/>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This research is significant on multiple fronts. Academically, it contributes to the scholarship on family Law in Nigeria. It analyses the formation and dissolution of customary marriage in Nigeria. This work would be a consolidated resource for future researchers and students. Practically, this study benefits legal practitioners and judges in matrimonial causes. It collates judicial authorities. Hence, it aids litigation or adjudication. For policymakers, the research highlights the areas where interventions are needed. In addition, it informs reforms. Lastly, it benefits couples in customary union. It clarifies their rights and obligations.</w:t>
      </w:r>
    </w:p>
    <w:p w:rsidR="00860B99" w:rsidRPr="004F0794" w:rsidRDefault="00860B99" w:rsidP="001C75F8">
      <w:pPr>
        <w:pStyle w:val="Heading2"/>
      </w:pPr>
      <w:bookmarkStart w:id="61" w:name="_Toc232722502"/>
      <w:r w:rsidRPr="004F0794">
        <w:t xml:space="preserve">1.8 </w:t>
      </w:r>
      <w:r w:rsidRPr="004F0794">
        <w:tab/>
        <w:t>Literature Review</w:t>
      </w:r>
      <w:bookmarkEnd w:id="61"/>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In this review, literature</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are critically assessed in order to reveal the gap in existing knowledge about Customary Marriage in Nigeria.</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It is grouped under four themes. </w:t>
      </w:r>
    </w:p>
    <w:p w:rsidR="00860B99" w:rsidRPr="004F0794" w:rsidRDefault="00860B99" w:rsidP="00860B99">
      <w:pPr>
        <w:spacing w:line="480" w:lineRule="auto"/>
        <w:jc w:val="both"/>
        <w:rPr>
          <w:rFonts w:ascii="Times New Roman" w:hAnsi="Times New Roman" w:cs="Times New Roman"/>
          <w:b/>
          <w:color w:val="000000" w:themeColor="text1"/>
          <w:sz w:val="24"/>
          <w:szCs w:val="24"/>
        </w:rPr>
      </w:pPr>
      <w:r w:rsidRPr="004F0794">
        <w:rPr>
          <w:rFonts w:ascii="Times New Roman" w:hAnsi="Times New Roman" w:cs="Times New Roman"/>
          <w:b/>
          <w:color w:val="000000" w:themeColor="text1"/>
          <w:sz w:val="24"/>
          <w:szCs w:val="24"/>
        </w:rPr>
        <w:t xml:space="preserve">Theme 1: Legal Dualism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iCs/>
          <w:color w:val="000000" w:themeColor="text1"/>
          <w:sz w:val="24"/>
          <w:szCs w:val="24"/>
        </w:rPr>
        <w:t>Okeke-Ogugua</w:t>
      </w:r>
      <w:r w:rsidRPr="004F0794">
        <w:rPr>
          <w:rStyle w:val="FootnoteReference"/>
          <w:rFonts w:ascii="Times New Roman" w:hAnsi="Times New Roman" w:cs="Times New Roman"/>
          <w:iCs/>
          <w:color w:val="000000" w:themeColor="text1"/>
          <w:sz w:val="24"/>
          <w:szCs w:val="24"/>
        </w:rPr>
        <w:footnoteReference w:id="14"/>
      </w:r>
      <w:r w:rsidR="00D95571">
        <w:rPr>
          <w:rFonts w:ascii="Times New Roman" w:hAnsi="Times New Roman" w:cs="Times New Roman"/>
          <w:iCs/>
          <w:color w:val="000000" w:themeColor="text1"/>
          <w:sz w:val="24"/>
          <w:szCs w:val="24"/>
        </w:rPr>
        <w:t xml:space="preserve"> </w:t>
      </w:r>
      <w:r w:rsidRPr="004F0794">
        <w:rPr>
          <w:rFonts w:ascii="Times New Roman" w:hAnsi="Times New Roman" w:cs="Times New Roman"/>
          <w:iCs/>
          <w:color w:val="000000" w:themeColor="text1"/>
          <w:sz w:val="24"/>
          <w:szCs w:val="24"/>
        </w:rPr>
        <w:t>examined</w:t>
      </w:r>
      <w:r w:rsidR="00E61F6A">
        <w:rPr>
          <w:rFonts w:ascii="Times New Roman" w:hAnsi="Times New Roman" w:cs="Times New Roman"/>
          <w:iCs/>
          <w:color w:val="000000" w:themeColor="text1"/>
          <w:sz w:val="24"/>
          <w:szCs w:val="24"/>
        </w:rPr>
        <w:t xml:space="preserve"> </w:t>
      </w:r>
      <w:r w:rsidRPr="004F0794">
        <w:rPr>
          <w:rFonts w:ascii="Times New Roman" w:hAnsi="Times New Roman" w:cs="Times New Roman"/>
          <w:color w:val="000000" w:themeColor="text1"/>
          <w:sz w:val="24"/>
          <w:szCs w:val="24"/>
        </w:rPr>
        <w:t>“double-decker” marriage in Nigeria. He assessed whether one form of marriage supersedes the other. In addition, he assessed how</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“double-decker” marriage should be dissolved. He found that there are two competing theories in this regard. First, the </w:t>
      </w:r>
      <w:r w:rsidRPr="004F0794">
        <w:rPr>
          <w:rFonts w:ascii="Times New Roman" w:hAnsi="Times New Roman" w:cs="Times New Roman"/>
          <w:i/>
          <w:iCs/>
          <w:color w:val="000000" w:themeColor="text1"/>
          <w:sz w:val="24"/>
          <w:szCs w:val="24"/>
        </w:rPr>
        <w:t>conversion theory</w:t>
      </w:r>
      <w:r w:rsidR="006D2FE4">
        <w:rPr>
          <w:rFonts w:ascii="Times New Roman" w:hAnsi="Times New Roman" w:cs="Times New Roman"/>
          <w:i/>
          <w:iCs/>
          <w:color w:val="000000" w:themeColor="text1"/>
          <w:sz w:val="24"/>
          <w:szCs w:val="24"/>
        </w:rPr>
        <w:t xml:space="preserve"> </w:t>
      </w:r>
      <w:r w:rsidRPr="004F0794">
        <w:rPr>
          <w:rFonts w:ascii="Times New Roman" w:hAnsi="Times New Roman" w:cs="Times New Roman"/>
          <w:color w:val="000000" w:themeColor="text1"/>
          <w:sz w:val="24"/>
          <w:szCs w:val="24"/>
        </w:rPr>
        <w:t xml:space="preserve">asserts that a subsequent statutory marriage converts and absorbs the earlier </w:t>
      </w:r>
      <w:r w:rsidR="00612298">
        <w:rPr>
          <w:rFonts w:ascii="Times New Roman" w:hAnsi="Times New Roman" w:cs="Times New Roman"/>
          <w:color w:val="000000" w:themeColor="text1"/>
          <w:sz w:val="24"/>
          <w:szCs w:val="24"/>
        </w:rPr>
        <w:t xml:space="preserve">customary marriage. Hence, only </w:t>
      </w:r>
      <w:r w:rsidRPr="004F0794">
        <w:rPr>
          <w:rFonts w:ascii="Times New Roman" w:hAnsi="Times New Roman" w:cs="Times New Roman"/>
          <w:color w:val="000000" w:themeColor="text1"/>
          <w:sz w:val="24"/>
          <w:szCs w:val="24"/>
        </w:rPr>
        <w:t xml:space="preserve">one dissolution is required). Second, the </w:t>
      </w:r>
      <w:r w:rsidRPr="004F0794">
        <w:rPr>
          <w:rFonts w:ascii="Times New Roman" w:hAnsi="Times New Roman" w:cs="Times New Roman"/>
          <w:i/>
          <w:iCs/>
          <w:color w:val="000000" w:themeColor="text1"/>
          <w:sz w:val="24"/>
          <w:szCs w:val="24"/>
        </w:rPr>
        <w:t>coexistence theory</w:t>
      </w:r>
      <w:r w:rsidR="00FB2E91">
        <w:rPr>
          <w:rFonts w:ascii="Times New Roman" w:hAnsi="Times New Roman" w:cs="Times New Roman"/>
          <w:i/>
          <w:iCs/>
          <w:color w:val="000000" w:themeColor="text1"/>
          <w:sz w:val="24"/>
          <w:szCs w:val="24"/>
        </w:rPr>
        <w:t xml:space="preserve"> </w:t>
      </w:r>
      <w:r w:rsidRPr="004F0794">
        <w:rPr>
          <w:rFonts w:ascii="Times New Roman" w:hAnsi="Times New Roman" w:cs="Times New Roman"/>
          <w:iCs/>
          <w:color w:val="000000" w:themeColor="text1"/>
          <w:sz w:val="24"/>
          <w:szCs w:val="24"/>
        </w:rPr>
        <w:t xml:space="preserve">asserts </w:t>
      </w:r>
      <w:r w:rsidRPr="004F0794">
        <w:rPr>
          <w:rFonts w:ascii="Times New Roman" w:hAnsi="Times New Roman" w:cs="Times New Roman"/>
          <w:color w:val="000000" w:themeColor="text1"/>
          <w:sz w:val="24"/>
          <w:szCs w:val="24"/>
        </w:rPr>
        <w:t>that both marriages co-exist legally and each must be dissolved separately. He noted that Nigerian courts have leaned towards the coexistence approach.</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This work has some notable strength. It is thorough in doctrinal analysis. However, it is does not </w:t>
      </w:r>
      <w:r w:rsidRPr="004F0794">
        <w:rPr>
          <w:rFonts w:ascii="Times New Roman" w:hAnsi="Times New Roman" w:cs="Times New Roman"/>
          <w:color w:val="000000" w:themeColor="text1"/>
          <w:sz w:val="24"/>
          <w:szCs w:val="24"/>
        </w:rPr>
        <w:lastRenderedPageBreak/>
        <w:t xml:space="preserve">provide a clear resolution or legislative recommendation. It largely chronicles the confusion without decisively favouring a solution.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Similarly, </w:t>
      </w:r>
      <w:r w:rsidRPr="004F0794">
        <w:rPr>
          <w:rFonts w:ascii="Times New Roman" w:hAnsi="Times New Roman" w:cs="Times New Roman"/>
          <w:iCs/>
          <w:color w:val="000000" w:themeColor="text1"/>
          <w:sz w:val="24"/>
          <w:szCs w:val="24"/>
        </w:rPr>
        <w:t>Izuka</w:t>
      </w:r>
      <w:r w:rsidRPr="004F0794">
        <w:rPr>
          <w:rStyle w:val="FootnoteReference"/>
          <w:rFonts w:ascii="Times New Roman" w:hAnsi="Times New Roman" w:cs="Times New Roman"/>
          <w:iCs/>
          <w:color w:val="000000" w:themeColor="text1"/>
          <w:sz w:val="24"/>
          <w:szCs w:val="24"/>
        </w:rPr>
        <w:footnoteReference w:id="15"/>
      </w:r>
      <w:r w:rsidR="005F2498">
        <w:rPr>
          <w:rFonts w:ascii="Times New Roman" w:hAnsi="Times New Roman" w:cs="Times New Roman"/>
          <w:iCs/>
          <w:color w:val="000000" w:themeColor="text1"/>
          <w:sz w:val="24"/>
          <w:szCs w:val="24"/>
        </w:rPr>
        <w:t xml:space="preserve"> </w:t>
      </w:r>
      <w:r w:rsidRPr="004F0794">
        <w:rPr>
          <w:rFonts w:ascii="Times New Roman" w:hAnsi="Times New Roman" w:cs="Times New Roman"/>
          <w:color w:val="000000" w:themeColor="text1"/>
          <w:sz w:val="24"/>
          <w:szCs w:val="24"/>
        </w:rPr>
        <w:t xml:space="preserve">examined whether a single court action can terminate both marriage. He also assed the consequences of neglecting to separately dissolve the customary union. He found that the Nigerian law does not recognise a “single stroke” dissolution. Both layers of the marriage must be dealt with. He recommended that the law should be reformed to </w:t>
      </w:r>
      <w:r w:rsidRPr="004F0794">
        <w:rPr>
          <w:rFonts w:ascii="Times New Roman" w:hAnsi="Times New Roman" w:cs="Times New Roman"/>
          <w:i/>
          <w:iCs/>
          <w:color w:val="000000" w:themeColor="text1"/>
          <w:sz w:val="24"/>
          <w:szCs w:val="24"/>
        </w:rPr>
        <w:t>finally and properly resolve</w:t>
      </w:r>
      <w:r w:rsidRPr="004F0794">
        <w:rPr>
          <w:rFonts w:ascii="Times New Roman" w:hAnsi="Times New Roman" w:cs="Times New Roman"/>
          <w:color w:val="000000" w:themeColor="text1"/>
          <w:sz w:val="24"/>
          <w:szCs w:val="24"/>
        </w:rPr>
        <w:t xml:space="preserve"> the controversy. Perhaps a unified procedure should be created. This work makes a valuable contribution. It explicitly noted that there is a need for reform and public enlightenment. However, the study has some notable limitations.It does not deeply engage with the theoretical basis of why dissolving one marriage does not automatically dissolve the other. </w:t>
      </w:r>
    </w:p>
    <w:p w:rsidR="00860B99"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Conversely,</w:t>
      </w:r>
      <w:r w:rsidR="00005C27">
        <w:rPr>
          <w:rFonts w:ascii="Times New Roman" w:hAnsi="Times New Roman" w:cs="Times New Roman"/>
          <w:color w:val="000000" w:themeColor="text1"/>
          <w:sz w:val="24"/>
          <w:szCs w:val="24"/>
        </w:rPr>
        <w:t xml:space="preserve"> </w:t>
      </w:r>
      <w:r w:rsidRPr="004F0794">
        <w:rPr>
          <w:rFonts w:ascii="Times New Roman" w:hAnsi="Times New Roman" w:cs="Times New Roman"/>
          <w:iCs/>
          <w:color w:val="000000" w:themeColor="text1"/>
          <w:sz w:val="24"/>
          <w:szCs w:val="24"/>
        </w:rPr>
        <w:t>Jonah</w:t>
      </w:r>
      <w:r w:rsidRPr="004F0794">
        <w:rPr>
          <w:rStyle w:val="FootnoteReference"/>
          <w:rFonts w:ascii="Times New Roman" w:hAnsi="Times New Roman" w:cs="Times New Roman"/>
          <w:iCs/>
          <w:color w:val="000000" w:themeColor="text1"/>
          <w:sz w:val="24"/>
          <w:szCs w:val="24"/>
        </w:rPr>
        <w:footnoteReference w:id="16"/>
      </w:r>
      <w:r w:rsidRPr="004F0794">
        <w:rPr>
          <w:rFonts w:ascii="Times New Roman" w:hAnsi="Times New Roman" w:cs="Times New Roman"/>
          <w:color w:val="000000" w:themeColor="text1"/>
          <w:sz w:val="24"/>
          <w:szCs w:val="24"/>
        </w:rPr>
        <w:t xml:space="preserve"> examined</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the dual legal frameworks for marriage in Nigeria. Specifically, he investigated how legislative instruments interact with indigenous customs. He also</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evaluated gender equality and human rights in both systems. He found that statutory marriages provide greater legal certainty and protection. In contrast, customary marriages lack certainty. Indeed, statutory marriage is more predictable. However, Nigerians often choose customary marriages. This is</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because it is culturally accepted.</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iCs/>
          <w:color w:val="000000" w:themeColor="text1"/>
          <w:sz w:val="24"/>
          <w:szCs w:val="24"/>
        </w:rPr>
        <w:t>Jonah</w:t>
      </w:r>
      <w:r w:rsidRPr="004F0794">
        <w:rPr>
          <w:rFonts w:ascii="Times New Roman" w:hAnsi="Times New Roman" w:cs="Times New Roman"/>
          <w:color w:val="000000" w:themeColor="text1"/>
          <w:sz w:val="24"/>
          <w:szCs w:val="24"/>
        </w:rPr>
        <w:t xml:space="preserve"> recommended that the two systems should be harmonised. This work has some notable strength. It is comprehensive and current. It benefits from a doctrinal approach with comparative insights.</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In addition, the study calls for harmonisation of the two systems. However, it does not provide a clear roadmap for achieving it </w:t>
      </w:r>
    </w:p>
    <w:p w:rsidR="00F91321" w:rsidRDefault="00F91321" w:rsidP="00860B99">
      <w:pPr>
        <w:spacing w:line="480" w:lineRule="auto"/>
        <w:jc w:val="both"/>
        <w:rPr>
          <w:rFonts w:ascii="Times New Roman" w:hAnsi="Times New Roman" w:cs="Times New Roman"/>
          <w:color w:val="000000" w:themeColor="text1"/>
          <w:sz w:val="24"/>
          <w:szCs w:val="24"/>
        </w:rPr>
      </w:pPr>
    </w:p>
    <w:p w:rsidR="00F91321" w:rsidRPr="004F0794" w:rsidRDefault="00F91321" w:rsidP="00860B99">
      <w:pPr>
        <w:spacing w:line="480" w:lineRule="auto"/>
        <w:jc w:val="both"/>
        <w:rPr>
          <w:rFonts w:ascii="Times New Roman" w:hAnsi="Times New Roman" w:cs="Times New Roman"/>
          <w:color w:val="000000" w:themeColor="text1"/>
          <w:sz w:val="24"/>
          <w:szCs w:val="24"/>
        </w:rPr>
      </w:pPr>
    </w:p>
    <w:p w:rsidR="00860B99" w:rsidRPr="004F0794" w:rsidRDefault="00860B99" w:rsidP="00860B99">
      <w:pPr>
        <w:spacing w:line="480" w:lineRule="auto"/>
        <w:jc w:val="both"/>
        <w:rPr>
          <w:rFonts w:ascii="Times New Roman" w:hAnsi="Times New Roman" w:cs="Times New Roman"/>
          <w:b/>
          <w:color w:val="000000" w:themeColor="text1"/>
          <w:sz w:val="24"/>
          <w:szCs w:val="24"/>
        </w:rPr>
      </w:pPr>
      <w:r w:rsidRPr="004F0794">
        <w:rPr>
          <w:rFonts w:ascii="Times New Roman" w:hAnsi="Times New Roman" w:cs="Times New Roman"/>
          <w:b/>
          <w:color w:val="000000" w:themeColor="text1"/>
          <w:sz w:val="24"/>
          <w:szCs w:val="24"/>
        </w:rPr>
        <w:lastRenderedPageBreak/>
        <w:t>Theme 2: Bride Price and Women’s Rights in Customary Marriage</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iCs/>
          <w:color w:val="000000" w:themeColor="text1"/>
          <w:sz w:val="24"/>
          <w:szCs w:val="24"/>
        </w:rPr>
        <w:t>Eniola and Aremo</w:t>
      </w:r>
      <w:r w:rsidRPr="004F0794">
        <w:rPr>
          <w:rStyle w:val="FootnoteReference"/>
          <w:rFonts w:ascii="Times New Roman" w:hAnsi="Times New Roman" w:cs="Times New Roman"/>
          <w:iCs/>
          <w:color w:val="000000" w:themeColor="text1"/>
          <w:sz w:val="24"/>
          <w:szCs w:val="24"/>
        </w:rPr>
        <w:footnoteReference w:id="17"/>
      </w:r>
      <w:r w:rsidRPr="004F0794">
        <w:rPr>
          <w:rFonts w:ascii="Times New Roman" w:hAnsi="Times New Roman" w:cs="Times New Roman"/>
          <w:color w:val="000000" w:themeColor="text1"/>
          <w:sz w:val="24"/>
          <w:szCs w:val="24"/>
        </w:rPr>
        <w:t>explored</w:t>
      </w:r>
      <w:r w:rsidR="006D2FE4">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the impact of bride price on the autonomy and rights of women in marriage in both Nigeria and South Africa. Specifically, they assessed whetherthe obligation of bride price affects bargaining power and overall status of women within marriage. They found that in both countries (especially in more conservative Nigerian communities) the payment of bride price entrench the perception that the wife is her husband’s “property.” Hence, this undermines her personhood and rights. They also found that South Africa (through the Recognition of Customary Marriages Act 1998) has modernised aspects of customary marriage law. Conversely, there is no statutory limit on bride price or explicit protection for women’s marital rights under customary law in Nigeria. This study highlights that there is a critical </w:t>
      </w:r>
      <w:r w:rsidRPr="004F0794">
        <w:rPr>
          <w:rFonts w:ascii="Times New Roman" w:hAnsi="Times New Roman" w:cs="Times New Roman"/>
          <w:i/>
          <w:iCs/>
          <w:color w:val="000000" w:themeColor="text1"/>
          <w:sz w:val="24"/>
          <w:szCs w:val="24"/>
        </w:rPr>
        <w:t>gap in the protective framework</w:t>
      </w:r>
      <w:r w:rsidRPr="004F0794">
        <w:rPr>
          <w:rFonts w:ascii="Times New Roman" w:hAnsi="Times New Roman" w:cs="Times New Roman"/>
          <w:color w:val="000000" w:themeColor="text1"/>
          <w:sz w:val="24"/>
          <w:szCs w:val="24"/>
        </w:rPr>
        <w:t xml:space="preserve"> for women in Nigerian customary marriages. Hence, it justifies why our study must consider gender equity.However, this study has notable limitations. It paints the issues with a broad brush. Not all Nigerian customary marriages relegate women to powerless positions. There are variations and bride price is symbolic for some families.</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bCs/>
          <w:color w:val="000000" w:themeColor="text1"/>
          <w:sz w:val="24"/>
          <w:szCs w:val="24"/>
        </w:rPr>
        <w:t>In the same light, Princewill and others</w:t>
      </w:r>
      <w:r w:rsidRPr="004F0794">
        <w:rPr>
          <w:rStyle w:val="FootnoteReference"/>
          <w:rFonts w:ascii="Times New Roman" w:hAnsi="Times New Roman" w:cs="Times New Roman"/>
          <w:bCs/>
          <w:color w:val="000000" w:themeColor="text1"/>
          <w:sz w:val="24"/>
          <w:szCs w:val="24"/>
        </w:rPr>
        <w:footnoteReference w:id="18"/>
      </w:r>
      <w:r w:rsidR="00F91321">
        <w:rPr>
          <w:rFonts w:ascii="Times New Roman" w:hAnsi="Times New Roman" w:cs="Times New Roman"/>
          <w:bCs/>
          <w:color w:val="000000" w:themeColor="text1"/>
          <w:sz w:val="24"/>
          <w:szCs w:val="24"/>
        </w:rPr>
        <w:t xml:space="preserve"> </w:t>
      </w:r>
      <w:r w:rsidRPr="004F0794">
        <w:rPr>
          <w:rFonts w:ascii="Times New Roman" w:hAnsi="Times New Roman" w:cs="Times New Roman"/>
          <w:color w:val="000000" w:themeColor="text1"/>
          <w:sz w:val="24"/>
          <w:szCs w:val="24"/>
        </w:rPr>
        <w:t>explored</w:t>
      </w:r>
      <w:r w:rsidR="00F91321">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the perspectives of married Ikwerre women on bride price and how it affects their autonomy to make decisions in Rivers State, Nigeria. The findings indicated there is patriarchy and a culture of “absolute respect” for men in Rivers State, Nigeria. This dimishes the autonomy of women where marital legitimacy is tied to bride price. In many communities, failure to pay bride price may attract social disapproval, as the woman may be viewed as not being a “proper wife” but merely cohabiting. This affects her social standing and expose her to disrespect. It may even result in </w:t>
      </w:r>
      <w:r w:rsidRPr="004F0794">
        <w:rPr>
          <w:rFonts w:ascii="Times New Roman" w:hAnsi="Times New Roman" w:cs="Times New Roman"/>
          <w:color w:val="000000" w:themeColor="text1"/>
          <w:sz w:val="24"/>
          <w:szCs w:val="24"/>
        </w:rPr>
        <w:lastRenderedPageBreak/>
        <w:t>her children being questioned or treated as if they lack full legitimacy within the husband’s familyduring family disputes or succession matters. In addition, children may be denied the right to inheritance when bride price is not paid. This study has some notable limitations. It focuses on Ikwerre women in one locality. Hence, this limits generalisability across the diverse customary systems in Nigeria.</w:t>
      </w:r>
      <w:r w:rsidRPr="004F0794">
        <w:rPr>
          <w:rFonts w:ascii="Times New Roman" w:hAnsi="Times New Roman" w:cs="Times New Roman"/>
          <w:bCs/>
          <w:color w:val="000000" w:themeColor="text1"/>
          <w:sz w:val="24"/>
          <w:szCs w:val="24"/>
        </w:rPr>
        <w:t>On the other hand, Diala</w:t>
      </w:r>
      <w:r w:rsidRPr="004F0794">
        <w:rPr>
          <w:rStyle w:val="FootnoteReference"/>
          <w:rFonts w:ascii="Times New Roman" w:hAnsi="Times New Roman" w:cs="Times New Roman"/>
          <w:bCs/>
          <w:color w:val="000000" w:themeColor="text1"/>
          <w:sz w:val="24"/>
          <w:szCs w:val="24"/>
        </w:rPr>
        <w:footnoteReference w:id="19"/>
      </w:r>
      <w:r w:rsidRPr="004F0794">
        <w:rPr>
          <w:rFonts w:ascii="Times New Roman" w:hAnsi="Times New Roman" w:cs="Times New Roman"/>
          <w:color w:val="000000" w:themeColor="text1"/>
          <w:sz w:val="24"/>
          <w:szCs w:val="24"/>
        </w:rPr>
        <w:t xml:space="preserve">comparatively analyses the legal interventions in customary marriage law in South Africa and Nigeria. He probes the </w:t>
      </w:r>
      <w:r w:rsidRPr="004F0794">
        <w:rPr>
          <w:rFonts w:ascii="Times New Roman" w:hAnsi="Times New Roman" w:cs="Times New Roman"/>
          <w:i/>
          <w:iCs/>
          <w:color w:val="000000" w:themeColor="text1"/>
          <w:sz w:val="24"/>
          <w:szCs w:val="24"/>
        </w:rPr>
        <w:t>normative motivations</w:t>
      </w:r>
      <w:r w:rsidRPr="004F0794">
        <w:rPr>
          <w:rFonts w:ascii="Times New Roman" w:hAnsi="Times New Roman" w:cs="Times New Roman"/>
          <w:color w:val="000000" w:themeColor="text1"/>
          <w:sz w:val="24"/>
          <w:szCs w:val="24"/>
        </w:rPr>
        <w:t xml:space="preserve">why bridewealth persists. In addition, he examined how these shape responses to legislative and judicial reforms. </w:t>
      </w:r>
      <w:r w:rsidRPr="004F0794">
        <w:rPr>
          <w:rFonts w:ascii="Times New Roman" w:hAnsi="Times New Roman" w:cs="Times New Roman"/>
          <w:bCs/>
          <w:color w:val="000000" w:themeColor="text1"/>
          <w:sz w:val="24"/>
          <w:szCs w:val="24"/>
        </w:rPr>
        <w:t>He found</w:t>
      </w:r>
      <w:r w:rsidRPr="004F0794">
        <w:rPr>
          <w:rFonts w:ascii="Times New Roman" w:hAnsi="Times New Roman" w:cs="Times New Roman"/>
          <w:color w:val="000000" w:themeColor="text1"/>
          <w:sz w:val="24"/>
          <w:szCs w:val="24"/>
        </w:rPr>
        <w:t xml:space="preserve"> that bridewealth endures because communities attach multiple meanings to it. They include family bonding, cultural identity, inter-lineage solidarity, and economic security. This study has a notable limitation. It does not stipulate pathways for reformation.</w:t>
      </w:r>
    </w:p>
    <w:p w:rsidR="00860B99" w:rsidRPr="004F0794" w:rsidRDefault="00860B99" w:rsidP="00860B99">
      <w:pPr>
        <w:spacing w:line="480" w:lineRule="auto"/>
        <w:jc w:val="both"/>
        <w:rPr>
          <w:rFonts w:ascii="Times New Roman" w:hAnsi="Times New Roman" w:cs="Times New Roman"/>
          <w:b/>
          <w:color w:val="000000" w:themeColor="text1"/>
          <w:sz w:val="24"/>
          <w:szCs w:val="24"/>
        </w:rPr>
      </w:pPr>
      <w:r w:rsidRPr="004F0794">
        <w:rPr>
          <w:rFonts w:ascii="Times New Roman" w:hAnsi="Times New Roman" w:cs="Times New Roman"/>
          <w:b/>
          <w:color w:val="000000" w:themeColor="text1"/>
          <w:sz w:val="24"/>
          <w:szCs w:val="24"/>
        </w:rPr>
        <w:t>Theme 3: Validity and Proof of Customary Marriage</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iCs/>
          <w:color w:val="000000" w:themeColor="text1"/>
          <w:sz w:val="24"/>
          <w:szCs w:val="24"/>
        </w:rPr>
        <w:t>Nwogugu</w:t>
      </w:r>
      <w:r w:rsidRPr="004F0794">
        <w:rPr>
          <w:rStyle w:val="FootnoteReference"/>
          <w:rFonts w:ascii="Times New Roman" w:hAnsi="Times New Roman" w:cs="Times New Roman"/>
          <w:iCs/>
          <w:color w:val="000000" w:themeColor="text1"/>
          <w:sz w:val="24"/>
          <w:szCs w:val="24"/>
        </w:rPr>
        <w:footnoteReference w:id="20"/>
      </w:r>
      <w:r w:rsidRPr="004F0794">
        <w:rPr>
          <w:rFonts w:ascii="Times New Roman" w:hAnsi="Times New Roman" w:cs="Times New Roman"/>
          <w:color w:val="000000" w:themeColor="text1"/>
          <w:sz w:val="24"/>
          <w:szCs w:val="24"/>
        </w:rPr>
        <w:t xml:space="preserve">outlined the principles of family law in Nigeria. He explored the formation of customary marriage in Nigeria. Nwogugu reiterates that </w:t>
      </w:r>
      <w:r w:rsidRPr="004F0794">
        <w:rPr>
          <w:rFonts w:ascii="Times New Roman" w:hAnsi="Times New Roman" w:cs="Times New Roman"/>
          <w:i/>
          <w:iCs/>
          <w:color w:val="000000" w:themeColor="text1"/>
          <w:sz w:val="24"/>
          <w:szCs w:val="24"/>
        </w:rPr>
        <w:t>consent</w:t>
      </w:r>
      <w:r w:rsidRPr="004F0794">
        <w:rPr>
          <w:rFonts w:ascii="Times New Roman" w:hAnsi="Times New Roman" w:cs="Times New Roman"/>
          <w:color w:val="000000" w:themeColor="text1"/>
          <w:sz w:val="24"/>
          <w:szCs w:val="24"/>
        </w:rPr>
        <w:t xml:space="preserve">is a fundamental requirement of customary marriage. He also noted that there is no fixed minimum marriage age for customary marriage. This has led to child marriages. However, the </w:t>
      </w:r>
      <w:r w:rsidRPr="004F0794">
        <w:rPr>
          <w:rFonts w:ascii="Times New Roman" w:hAnsi="Times New Roman" w:cs="Times New Roman"/>
          <w:i/>
          <w:iCs/>
          <w:color w:val="000000" w:themeColor="text1"/>
          <w:sz w:val="24"/>
          <w:szCs w:val="24"/>
        </w:rPr>
        <w:t>Child Rights Act 2003</w:t>
      </w:r>
      <w:r w:rsidRPr="004F0794">
        <w:rPr>
          <w:rFonts w:ascii="Times New Roman" w:hAnsi="Times New Roman" w:cs="Times New Roman"/>
          <w:color w:val="000000" w:themeColor="text1"/>
          <w:sz w:val="24"/>
          <w:szCs w:val="24"/>
        </w:rPr>
        <w:t xml:space="preserve"> (for states that have domesticated it) now prohibits marriage of anyone under 18. Furthermore, customary law is largely unwritten. Hence, the proof of marriage in court relies on evidence of performance of the essential rites. Nwogugu’s work is authoritative. Nwogugu reinforced the legal requirements for valid customary marriage. However, the work has some notable limitations. It is descriptive; however, it includes critical commentary on outdated practices.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lastRenderedPageBreak/>
        <w:t>On the other hand, Omotuyi</w:t>
      </w:r>
      <w:r w:rsidRPr="004F0794">
        <w:rPr>
          <w:rStyle w:val="FootnoteReference"/>
          <w:rFonts w:ascii="Times New Roman" w:hAnsi="Times New Roman" w:cs="Times New Roman"/>
          <w:color w:val="000000" w:themeColor="text1"/>
          <w:sz w:val="24"/>
          <w:szCs w:val="24"/>
        </w:rPr>
        <w:footnoteReference w:id="21"/>
      </w:r>
      <w:r w:rsidRPr="004F0794">
        <w:rPr>
          <w:rFonts w:ascii="Times New Roman" w:hAnsi="Times New Roman" w:cs="Times New Roman"/>
          <w:color w:val="000000" w:themeColor="text1"/>
          <w:sz w:val="24"/>
          <w:szCs w:val="24"/>
        </w:rPr>
        <w:t xml:space="preserve">examined customary marriage practices across selected Nigerian communities.They identified where these practices conflict with statutory provisions and international human rights instruments.They found thatthe courts in Nigeria have recognised “essential and formal requirements” for a valid customary marriage. This includes capacity of the parties, parental and spousal consent, payment of bride price/dowry, and a ceremony culminating in handing over the bride to the husband’s family.They also found that some customary practices conflict with constitutional guarantees and international conventions and they continue to be applied (even when they appear inconsistent with the Constitution or with statutory reforms). This study has some notable strength. It clarifies the legal requirements for a valid customary law marriage. </w:t>
      </w:r>
      <w:r w:rsidRPr="004F0794">
        <w:rPr>
          <w:rFonts w:ascii="Times New Roman" w:hAnsi="Times New Roman" w:cs="Times New Roman"/>
          <w:bCs/>
          <w:color w:val="000000" w:themeColor="text1"/>
          <w:sz w:val="24"/>
          <w:szCs w:val="24"/>
        </w:rPr>
        <w:t xml:space="preserve">However, </w:t>
      </w:r>
      <w:r w:rsidRPr="004F0794">
        <w:rPr>
          <w:rFonts w:ascii="Times New Roman" w:hAnsi="Times New Roman" w:cs="Times New Roman"/>
          <w:color w:val="000000" w:themeColor="text1"/>
          <w:sz w:val="24"/>
          <w:szCs w:val="24"/>
        </w:rPr>
        <w:t xml:space="preserve">it does not investigate how customary courts and communities </w:t>
      </w:r>
      <w:r w:rsidRPr="00F91321">
        <w:rPr>
          <w:rFonts w:ascii="Times New Roman" w:hAnsi="Times New Roman" w:cs="Times New Roman"/>
          <w:iCs/>
          <w:color w:val="000000" w:themeColor="text1"/>
          <w:sz w:val="24"/>
          <w:szCs w:val="24"/>
        </w:rPr>
        <w:t>actually</w:t>
      </w:r>
      <w:r w:rsidRPr="00F91321">
        <w:rPr>
          <w:rFonts w:ascii="Times New Roman" w:hAnsi="Times New Roman" w:cs="Times New Roman"/>
          <w:color w:val="000000" w:themeColor="text1"/>
          <w:sz w:val="24"/>
          <w:szCs w:val="24"/>
        </w:rPr>
        <w:t xml:space="preserve"> apply</w:t>
      </w:r>
      <w:r w:rsidRPr="004F0794">
        <w:rPr>
          <w:rFonts w:ascii="Times New Roman" w:hAnsi="Times New Roman" w:cs="Times New Roman"/>
          <w:color w:val="000000" w:themeColor="text1"/>
          <w:sz w:val="24"/>
          <w:szCs w:val="24"/>
        </w:rPr>
        <w:t xml:space="preserve"> these rules at the grassroots. It also does not explore how courts receive evidence of validity and dissolution. Hence, there is a gap in procedure for proofing or dissolving customary marriage.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bCs/>
          <w:color w:val="000000" w:themeColor="text1"/>
          <w:sz w:val="24"/>
          <w:szCs w:val="24"/>
        </w:rPr>
        <w:t>Similarly, Olatunbosun and Jolaosho</w:t>
      </w:r>
      <w:r w:rsidRPr="004F0794">
        <w:rPr>
          <w:rStyle w:val="FootnoteReference"/>
          <w:rFonts w:ascii="Times New Roman" w:hAnsi="Times New Roman" w:cs="Times New Roman"/>
          <w:bCs/>
          <w:color w:val="000000" w:themeColor="text1"/>
          <w:sz w:val="24"/>
          <w:szCs w:val="24"/>
        </w:rPr>
        <w:footnoteReference w:id="22"/>
      </w:r>
      <w:r w:rsidR="00530070">
        <w:rPr>
          <w:rFonts w:ascii="Times New Roman" w:hAnsi="Times New Roman" w:cs="Times New Roman"/>
          <w:bCs/>
          <w:color w:val="000000" w:themeColor="text1"/>
          <w:sz w:val="24"/>
          <w:szCs w:val="24"/>
        </w:rPr>
        <w:t xml:space="preserve"> </w:t>
      </w:r>
      <w:r w:rsidRPr="004F0794">
        <w:rPr>
          <w:rFonts w:ascii="Times New Roman" w:hAnsi="Times New Roman" w:cs="Times New Roman"/>
          <w:bCs/>
          <w:color w:val="000000" w:themeColor="text1"/>
          <w:sz w:val="24"/>
          <w:szCs w:val="24"/>
        </w:rPr>
        <w:t>examined the evolution of</w:t>
      </w:r>
      <w:r w:rsidRPr="004F0794">
        <w:rPr>
          <w:rFonts w:ascii="Times New Roman" w:hAnsi="Times New Roman" w:cs="Times New Roman"/>
          <w:color w:val="000000" w:themeColor="text1"/>
          <w:sz w:val="24"/>
          <w:szCs w:val="24"/>
        </w:rPr>
        <w:t xml:space="preserve"> contemporary practice of customary marriage.</w:t>
      </w:r>
      <w:r w:rsidR="0025018B">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They focused on validity, proof, cohabitation and registration. </w:t>
      </w:r>
      <w:r w:rsidRPr="004F0794">
        <w:rPr>
          <w:rFonts w:ascii="Times New Roman" w:hAnsi="Times New Roman" w:cs="Times New Roman"/>
          <w:bCs/>
          <w:color w:val="000000" w:themeColor="text1"/>
          <w:sz w:val="24"/>
          <w:szCs w:val="24"/>
        </w:rPr>
        <w:t>They found</w:t>
      </w:r>
      <w:r w:rsidRPr="004F0794">
        <w:rPr>
          <w:rFonts w:ascii="Times New Roman" w:hAnsi="Times New Roman" w:cs="Times New Roman"/>
          <w:color w:val="000000" w:themeColor="text1"/>
          <w:sz w:val="24"/>
          <w:szCs w:val="24"/>
        </w:rPr>
        <w:t xml:space="preserve"> that customary marriage retains its classic features. However, customary marriage has been held to valid even where traditional indicia are incomplete in recent times. They also note local government by-laws requires registration of customary marriages. This is mainly an evidentiary tool. It is not a condition for validity.</w:t>
      </w:r>
      <w:r w:rsidR="002E76B6">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This work offers practical insight. However, it some notable limitations. It remains largely descriptive. In addition, it down plays the risk of informal proof (cohabitation and repute) which may disadvantage women.</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bCs/>
          <w:color w:val="000000" w:themeColor="text1"/>
          <w:sz w:val="24"/>
          <w:szCs w:val="24"/>
        </w:rPr>
        <w:lastRenderedPageBreak/>
        <w:t>Oniha</w:t>
      </w:r>
      <w:r w:rsidRPr="004F0794">
        <w:rPr>
          <w:rStyle w:val="FootnoteReference"/>
          <w:rFonts w:ascii="Times New Roman" w:hAnsi="Times New Roman" w:cs="Times New Roman"/>
          <w:bCs/>
          <w:color w:val="000000" w:themeColor="text1"/>
          <w:sz w:val="24"/>
          <w:szCs w:val="24"/>
        </w:rPr>
        <w:footnoteReference w:id="23"/>
      </w:r>
      <w:r w:rsidRPr="004F0794">
        <w:rPr>
          <w:rFonts w:ascii="Times New Roman" w:hAnsi="Times New Roman" w:cs="Times New Roman"/>
          <w:color w:val="000000" w:themeColor="text1"/>
          <w:sz w:val="24"/>
          <w:szCs w:val="24"/>
        </w:rPr>
        <w:t>critically examine the grounds on which customary marriages in Nigeria may be dissolved (both judicially and extra-judicially). He then compared them with statutory dissolution under the Matrimonial Causes Act. He argued that customary law does not require formal “grounds” in the statutory sense. Hence, marriage may be dissolved by mutual consent or a party may unambiguously declare they no longer wishes to remain in the relationship. Nevertheless, He catalogues a wide range of grounds commonly relied upon in. practice. This includes abandonment, persistent quarrels, adultery (especially by the wife), lack of maintenance, cruelty, impotence/sterility, insanity, and serious illness. Furthermore, Adultery by men is seldomly a ground for dissolution. Conversely, adultery by women automatically justifies disssolution. This work anchored in judicial decisions and by-laws and it presents the</w:t>
      </w:r>
      <w:r w:rsidRPr="004F0794">
        <w:rPr>
          <w:rFonts w:ascii="Times New Roman" w:hAnsi="Times New Roman" w:cs="Times New Roman"/>
          <w:i/>
          <w:iCs/>
          <w:color w:val="000000" w:themeColor="text1"/>
          <w:sz w:val="24"/>
          <w:szCs w:val="24"/>
        </w:rPr>
        <w:t>substantive</w:t>
      </w:r>
      <w:r w:rsidRPr="004F0794">
        <w:rPr>
          <w:rFonts w:ascii="Times New Roman" w:hAnsi="Times New Roman" w:cs="Times New Roman"/>
          <w:color w:val="000000" w:themeColor="text1"/>
          <w:sz w:val="24"/>
          <w:szCs w:val="24"/>
        </w:rPr>
        <w:t xml:space="preserve"> grounds of dissolution. However, it has some notable limitations. It does not explore the procedure on how those grounds are established in court. </w:t>
      </w:r>
    </w:p>
    <w:p w:rsidR="00860B99" w:rsidRPr="004F0794" w:rsidRDefault="00860B99" w:rsidP="00860B99">
      <w:pPr>
        <w:spacing w:line="480" w:lineRule="auto"/>
        <w:jc w:val="both"/>
        <w:rPr>
          <w:rFonts w:ascii="Times New Roman" w:hAnsi="Times New Roman" w:cs="Times New Roman"/>
          <w:b/>
          <w:color w:val="000000" w:themeColor="text1"/>
          <w:sz w:val="24"/>
          <w:szCs w:val="24"/>
        </w:rPr>
      </w:pPr>
      <w:r w:rsidRPr="004F0794">
        <w:rPr>
          <w:rFonts w:ascii="Times New Roman" w:hAnsi="Times New Roman" w:cs="Times New Roman"/>
          <w:b/>
          <w:color w:val="000000" w:themeColor="text1"/>
          <w:sz w:val="24"/>
          <w:szCs w:val="24"/>
        </w:rPr>
        <w:t>Theme 4: Institutional Perspectives</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bCs/>
          <w:color w:val="000000" w:themeColor="text1"/>
          <w:sz w:val="24"/>
          <w:szCs w:val="24"/>
        </w:rPr>
        <w:t>Obi</w:t>
      </w:r>
      <w:r w:rsidRPr="004F0794">
        <w:rPr>
          <w:rStyle w:val="FootnoteReference"/>
          <w:rFonts w:ascii="Times New Roman" w:hAnsi="Times New Roman" w:cs="Times New Roman"/>
          <w:bCs/>
          <w:color w:val="000000" w:themeColor="text1"/>
          <w:sz w:val="24"/>
          <w:szCs w:val="24"/>
        </w:rPr>
        <w:footnoteReference w:id="24"/>
      </w:r>
      <w:r w:rsidRPr="004F0794">
        <w:rPr>
          <w:rFonts w:ascii="Times New Roman" w:hAnsi="Times New Roman" w:cs="Times New Roman"/>
          <w:color w:val="000000" w:themeColor="text1"/>
          <w:sz w:val="24"/>
          <w:szCs w:val="24"/>
        </w:rPr>
        <w:t>analysed the legality and implications of “double-decker” marriages. She also assessed the legal and institutional framework which women’s rights and empowerment within such arrangements. Obi found that many Nigerian couples do not feel “properly married” until both customary and statutory ceremonies are completed. She also found that the Marriage Act and Matrimonial Causes Act simultaneously permit and constrain double-decker marriages.</w:t>
      </w:r>
      <w:r w:rsidR="00AB60F5">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They criminalise subsequent customary marriage after a subsisting statutory union. Furthermore, she found that women’s rights and empowerment in these mixed regimes are undermined by conflicting norms. Obi</w:t>
      </w:r>
      <w:r w:rsidRPr="004F0794">
        <w:rPr>
          <w:rStyle w:val="FootnoteReference"/>
          <w:rFonts w:ascii="Times New Roman" w:hAnsi="Times New Roman" w:cs="Times New Roman"/>
          <w:color w:val="000000" w:themeColor="text1"/>
          <w:sz w:val="24"/>
          <w:szCs w:val="24"/>
        </w:rPr>
        <w:footnoteReference w:id="25"/>
      </w:r>
      <w:r w:rsidRPr="004F0794">
        <w:rPr>
          <w:rFonts w:ascii="Times New Roman" w:hAnsi="Times New Roman" w:cs="Times New Roman"/>
          <w:color w:val="000000" w:themeColor="text1"/>
          <w:sz w:val="24"/>
          <w:szCs w:val="24"/>
        </w:rPr>
        <w:t xml:space="preserve"> concludes that fragmented regulation leads to legal </w:t>
      </w:r>
      <w:r w:rsidRPr="004F0794">
        <w:rPr>
          <w:rFonts w:ascii="Times New Roman" w:hAnsi="Times New Roman" w:cs="Times New Roman"/>
          <w:color w:val="000000" w:themeColor="text1"/>
          <w:sz w:val="24"/>
          <w:szCs w:val="24"/>
        </w:rPr>
        <w:lastRenderedPageBreak/>
        <w:t xml:space="preserve">uncertainty. She also recommended that there is need legal reform. The work gives a powerful institutional overview. However, it has some notable limitations. It is doctrinal. Hence, it does not empirically assess whether double-decker marriages </w:t>
      </w:r>
      <w:r w:rsidRPr="007B1792">
        <w:rPr>
          <w:rFonts w:ascii="Times New Roman" w:hAnsi="Times New Roman" w:cs="Times New Roman"/>
          <w:iCs/>
          <w:color w:val="000000" w:themeColor="text1"/>
          <w:sz w:val="24"/>
          <w:szCs w:val="24"/>
        </w:rPr>
        <w:t>actually</w:t>
      </w:r>
      <w:r w:rsidRPr="007B1792">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yield better protection or worse outcomes for women in practice.</w:t>
      </w:r>
      <w:r w:rsidR="00F418D6">
        <w:rPr>
          <w:rFonts w:ascii="Times New Roman" w:hAnsi="Times New Roman" w:cs="Times New Roman"/>
          <w:color w:val="000000" w:themeColor="text1"/>
          <w:sz w:val="24"/>
          <w:szCs w:val="24"/>
        </w:rPr>
        <w:t xml:space="preserve">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bCs/>
          <w:color w:val="000000" w:themeColor="text1"/>
          <w:sz w:val="24"/>
          <w:szCs w:val="24"/>
        </w:rPr>
        <w:t>On the other hand,</w:t>
      </w:r>
      <w:r w:rsidR="007B1792">
        <w:rPr>
          <w:rFonts w:ascii="Times New Roman" w:hAnsi="Times New Roman" w:cs="Times New Roman"/>
          <w:bCs/>
          <w:color w:val="000000" w:themeColor="text1"/>
          <w:sz w:val="24"/>
          <w:szCs w:val="24"/>
        </w:rPr>
        <w:t xml:space="preserve"> </w:t>
      </w:r>
      <w:r w:rsidRPr="004F0794">
        <w:rPr>
          <w:rFonts w:ascii="Times New Roman" w:hAnsi="Times New Roman" w:cs="Times New Roman"/>
          <w:bCs/>
          <w:color w:val="000000" w:themeColor="text1"/>
          <w:sz w:val="24"/>
          <w:szCs w:val="24"/>
        </w:rPr>
        <w:t>Abiola and Adisa</w:t>
      </w:r>
      <w:r w:rsidRPr="004F0794">
        <w:rPr>
          <w:rStyle w:val="FootnoteReference"/>
          <w:rFonts w:ascii="Times New Roman" w:hAnsi="Times New Roman" w:cs="Times New Roman"/>
          <w:bCs/>
          <w:color w:val="000000" w:themeColor="text1"/>
          <w:sz w:val="24"/>
          <w:szCs w:val="24"/>
        </w:rPr>
        <w:footnoteReference w:id="26"/>
      </w:r>
      <w:r w:rsidR="004B54F6">
        <w:rPr>
          <w:rFonts w:ascii="Times New Roman" w:hAnsi="Times New Roman" w:cs="Times New Roman"/>
          <w:bCs/>
          <w:color w:val="000000" w:themeColor="text1"/>
          <w:sz w:val="24"/>
          <w:szCs w:val="24"/>
        </w:rPr>
        <w:t xml:space="preserve"> </w:t>
      </w:r>
      <w:r w:rsidRPr="004F0794">
        <w:rPr>
          <w:rFonts w:ascii="Times New Roman" w:hAnsi="Times New Roman" w:cs="Times New Roman"/>
          <w:color w:val="000000" w:themeColor="text1"/>
          <w:sz w:val="24"/>
          <w:szCs w:val="24"/>
        </w:rPr>
        <w:t xml:space="preserve">examined how statutory and institutional frameworks in Nigeria support the use of Alternative Dispute Resolution (ADR) in resolving marital conflicts (including customary law marriage). They found that ADR mechanisms preserve relationships and give parties more tailored settlements (e.g. around children and property). However, it has some challenges. Mediators are not trained sufficiently. In addition, ADR has been resisted culturally. Furthermore, they noted that ADR could manage marital breakdown more humanely. However it must be strengthened institutionally. This work is a useful entry point into institutional responses to dissolution of customary marriage. However, it has some notable </w:t>
      </w:r>
      <w:r w:rsidRPr="004F0794">
        <w:rPr>
          <w:rFonts w:ascii="Times New Roman" w:hAnsi="Times New Roman" w:cs="Times New Roman"/>
          <w:bCs/>
          <w:color w:val="000000" w:themeColor="text1"/>
          <w:sz w:val="24"/>
          <w:szCs w:val="24"/>
        </w:rPr>
        <w:t xml:space="preserve">limitations. It gives </w:t>
      </w:r>
      <w:r w:rsidRPr="004F0794">
        <w:rPr>
          <w:rFonts w:ascii="Times New Roman" w:hAnsi="Times New Roman" w:cs="Times New Roman"/>
          <w:color w:val="000000" w:themeColor="text1"/>
          <w:sz w:val="24"/>
          <w:szCs w:val="24"/>
        </w:rPr>
        <w:t>little attention to how unrecorded customary unions interact with ADR processes.</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bCs/>
          <w:color w:val="000000" w:themeColor="text1"/>
          <w:sz w:val="24"/>
          <w:szCs w:val="24"/>
        </w:rPr>
        <w:t>Wiwoloku</w:t>
      </w:r>
      <w:r w:rsidRPr="004F0794">
        <w:rPr>
          <w:rStyle w:val="FootnoteReference"/>
          <w:rFonts w:ascii="Times New Roman" w:hAnsi="Times New Roman" w:cs="Times New Roman"/>
          <w:bCs/>
          <w:color w:val="000000" w:themeColor="text1"/>
          <w:sz w:val="24"/>
          <w:szCs w:val="24"/>
        </w:rPr>
        <w:footnoteReference w:id="27"/>
      </w:r>
      <w:r w:rsidR="009870A0">
        <w:rPr>
          <w:rFonts w:ascii="Times New Roman" w:hAnsi="Times New Roman" w:cs="Times New Roman"/>
          <w:bCs/>
          <w:color w:val="000000" w:themeColor="text1"/>
          <w:sz w:val="24"/>
          <w:szCs w:val="24"/>
        </w:rPr>
        <w:t xml:space="preserve"> </w:t>
      </w:r>
      <w:r w:rsidRPr="004F0794">
        <w:rPr>
          <w:rFonts w:ascii="Times New Roman" w:hAnsi="Times New Roman" w:cs="Times New Roman"/>
          <w:bCs/>
          <w:color w:val="000000" w:themeColor="text1"/>
          <w:sz w:val="24"/>
          <w:szCs w:val="24"/>
        </w:rPr>
        <w:t>examined the</w:t>
      </w:r>
      <w:r w:rsidR="009870A0">
        <w:rPr>
          <w:rFonts w:ascii="Times New Roman" w:hAnsi="Times New Roman" w:cs="Times New Roman"/>
          <w:bCs/>
          <w:color w:val="000000" w:themeColor="text1"/>
          <w:sz w:val="24"/>
          <w:szCs w:val="24"/>
        </w:rPr>
        <w:t xml:space="preserve"> </w:t>
      </w:r>
      <w:r w:rsidRPr="004F0794">
        <w:rPr>
          <w:rFonts w:ascii="Times New Roman" w:hAnsi="Times New Roman" w:cs="Times New Roman"/>
          <w:color w:val="000000" w:themeColor="text1"/>
          <w:sz w:val="24"/>
          <w:szCs w:val="24"/>
        </w:rPr>
        <w:t>place of customary law within the judicial system in Nigeria. She found that customary law remains central to dispute resolution in some areas (including marriage). Notably, she suggests that customary law is still treated as though it is a “foreign law” in Nigerian courts.</w:t>
      </w:r>
      <w:r w:rsidR="009870A0">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Furthermore,</w:t>
      </w:r>
      <w:r w:rsidR="009870A0">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she reviewed statutory and judicial tests (repugnancy, incompatibility, public policy) and she indicated that the court does not enforce customs deemed discriminatory or inconsistent with equity and good conscience. Crucially she noted that the courts keeps customary law in a subordinate position. This study has notable </w:t>
      </w:r>
      <w:r w:rsidRPr="004F0794">
        <w:rPr>
          <w:rFonts w:ascii="Times New Roman" w:hAnsi="Times New Roman" w:cs="Times New Roman"/>
          <w:color w:val="000000" w:themeColor="text1"/>
          <w:sz w:val="24"/>
          <w:szCs w:val="24"/>
        </w:rPr>
        <w:lastRenderedPageBreak/>
        <w:t xml:space="preserve">limitations.It speaks broadly about customary law. It does not isolate marriage. Hence, readers must infer the implications for formation and dissolution of customary marriages. </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In the same light, </w:t>
      </w:r>
      <w:r w:rsidRPr="004F0794">
        <w:rPr>
          <w:rFonts w:ascii="Times New Roman" w:hAnsi="Times New Roman" w:cs="Times New Roman"/>
          <w:iCs/>
          <w:color w:val="000000" w:themeColor="text1"/>
          <w:sz w:val="24"/>
          <w:szCs w:val="24"/>
        </w:rPr>
        <w:t>Oba</w:t>
      </w:r>
      <w:r w:rsidRPr="004F0794">
        <w:rPr>
          <w:rStyle w:val="FootnoteReference"/>
          <w:rFonts w:ascii="Times New Roman" w:hAnsi="Times New Roman" w:cs="Times New Roman"/>
          <w:iCs/>
          <w:color w:val="000000" w:themeColor="text1"/>
          <w:sz w:val="24"/>
          <w:szCs w:val="24"/>
        </w:rPr>
        <w:footnoteReference w:id="28"/>
      </w:r>
      <w:r w:rsidRPr="004F0794">
        <w:rPr>
          <w:rFonts w:ascii="Times New Roman" w:hAnsi="Times New Roman" w:cs="Times New Roman"/>
          <w:color w:val="000000" w:themeColor="text1"/>
          <w:sz w:val="24"/>
          <w:szCs w:val="24"/>
        </w:rPr>
        <w:t xml:space="preserve">discussed how the legal system in Nigeria accommodates multiple sources of law. Specifically, he identified the challenges which arise from this pluralism. In addition, he assessed how institutions (courts, legislatures) manage conflicts between customary law and state law. Oba found that legal pluralism is the </w:t>
      </w:r>
      <w:r w:rsidRPr="004F0794">
        <w:rPr>
          <w:rFonts w:ascii="Times New Roman" w:hAnsi="Times New Roman" w:cs="Times New Roman"/>
          <w:i/>
          <w:iCs/>
          <w:color w:val="000000" w:themeColor="text1"/>
          <w:sz w:val="24"/>
          <w:szCs w:val="24"/>
        </w:rPr>
        <w:t>prominent feature</w:t>
      </w:r>
      <w:r w:rsidRPr="004F0794">
        <w:rPr>
          <w:rFonts w:ascii="Times New Roman" w:hAnsi="Times New Roman" w:cs="Times New Roman"/>
          <w:color w:val="000000" w:themeColor="text1"/>
          <w:sz w:val="24"/>
          <w:szCs w:val="24"/>
        </w:rPr>
        <w:t xml:space="preserve"> of Nigerian law and it is more evident in marriage. He also found that there are notable challenges in this regard. First, jurisdiction</w:t>
      </w:r>
      <w:r w:rsidR="009870A0">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often overlaps. A marriage might start under custom (under customary court jurisdiction). However, issues (like maintenance or custody) could escalate to High Courts under statute.</w:t>
      </w:r>
      <w:r w:rsidR="009870A0">
        <w:rPr>
          <w:rFonts w:ascii="Times New Roman" w:hAnsi="Times New Roman" w:cs="Times New Roman"/>
          <w:color w:val="000000" w:themeColor="text1"/>
          <w:sz w:val="24"/>
          <w:szCs w:val="24"/>
        </w:rPr>
        <w:t xml:space="preserve"> </w:t>
      </w:r>
      <w:r w:rsidRPr="004F0794">
        <w:rPr>
          <w:rFonts w:ascii="Times New Roman" w:hAnsi="Times New Roman" w:cs="Times New Roman"/>
          <w:color w:val="000000" w:themeColor="text1"/>
          <w:sz w:val="24"/>
          <w:szCs w:val="24"/>
        </w:rPr>
        <w:t xml:space="preserve">This may lead to conflicting orders. Furthermore, he found that Customary Courts often apply “repugnancy test” and “public policy test” to customary law. However, these tests are vaguely defined and this gives magistrates/judges wide discretion. This work indicates that customary law is applied inconsistently in Nigeria.  A limitation of this study is that it is diagnostic. It catalogues issues; however, it does not necessarily provide solutions. </w:t>
      </w:r>
    </w:p>
    <w:p w:rsidR="00860B99" w:rsidRPr="004F0794" w:rsidRDefault="00860B99" w:rsidP="00860B99">
      <w:pPr>
        <w:spacing w:line="480" w:lineRule="auto"/>
        <w:jc w:val="both"/>
        <w:rPr>
          <w:rFonts w:ascii="Times New Roman" w:hAnsi="Times New Roman" w:cs="Times New Roman"/>
          <w:b/>
          <w:color w:val="000000" w:themeColor="text1"/>
          <w:sz w:val="24"/>
          <w:szCs w:val="24"/>
        </w:rPr>
      </w:pPr>
      <w:r w:rsidRPr="004F0794">
        <w:rPr>
          <w:rFonts w:ascii="Times New Roman" w:hAnsi="Times New Roman" w:cs="Times New Roman"/>
          <w:b/>
          <w:color w:val="000000" w:themeColor="text1"/>
          <w:sz w:val="24"/>
          <w:szCs w:val="24"/>
        </w:rPr>
        <w:t>Gap in Knowledge</w:t>
      </w:r>
    </w:p>
    <w:p w:rsidR="00860B99" w:rsidRPr="004F0794" w:rsidRDefault="00860B99" w:rsidP="00860B99">
      <w:pPr>
        <w:spacing w:line="480" w:lineRule="auto"/>
        <w:jc w:val="both"/>
        <w:rPr>
          <w:rFonts w:ascii="Times New Roman" w:hAnsi="Times New Roman" w:cs="Times New Roman"/>
          <w:color w:val="000000" w:themeColor="text1"/>
          <w:sz w:val="24"/>
          <w:szCs w:val="24"/>
        </w:rPr>
      </w:pPr>
      <w:r w:rsidRPr="004F0794">
        <w:rPr>
          <w:rFonts w:ascii="Times New Roman" w:hAnsi="Times New Roman" w:cs="Times New Roman"/>
          <w:color w:val="000000" w:themeColor="text1"/>
          <w:sz w:val="24"/>
          <w:szCs w:val="24"/>
        </w:rPr>
        <w:t xml:space="preserve">A gap emerges across these themes. No literature has comprehensively appraised the formation and dissolution of customary marriages. Prior literature often addresses one side. None squarely tackled the entire lifecycle of a customary marriage (from inception to termination). Moreover, older literature do not capture recent developments in customary marriage. This includes urbanisation-driven changes in the formation of marriage and </w:t>
      </w:r>
      <w:r w:rsidRPr="004F0794">
        <w:rPr>
          <w:rFonts w:ascii="Times New Roman" w:hAnsi="Times New Roman" w:cs="Times New Roman"/>
          <w:color w:val="000000" w:themeColor="text1"/>
          <w:sz w:val="24"/>
          <w:szCs w:val="24"/>
        </w:rPr>
        <w:lastRenderedPageBreak/>
        <w:t xml:space="preserve">growing reliance on modern forms of evidence (digital records).Therefore, this study fills the gap. It critically examines the formation and dissolution of customary marriage in Nigeria. </w:t>
      </w:r>
    </w:p>
    <w:p w:rsidR="00860B99" w:rsidRPr="004F0794" w:rsidRDefault="00860B99" w:rsidP="00860B99">
      <w:pPr>
        <w:rPr>
          <w:rFonts w:ascii="Times New Roman" w:hAnsi="Times New Roman" w:cs="Times New Roman"/>
          <w:color w:val="000000" w:themeColor="text1"/>
          <w:sz w:val="24"/>
          <w:szCs w:val="24"/>
        </w:rPr>
      </w:pPr>
    </w:p>
    <w:p w:rsidR="00860B99" w:rsidRPr="004F0794" w:rsidRDefault="00860B99">
      <w:pPr>
        <w:rPr>
          <w:rFonts w:ascii="Times New Roman" w:hAnsi="Times New Roman" w:cs="Times New Roman"/>
          <w:sz w:val="24"/>
          <w:szCs w:val="24"/>
        </w:rPr>
      </w:pPr>
      <w:r w:rsidRPr="004F0794">
        <w:rPr>
          <w:rFonts w:ascii="Times New Roman" w:hAnsi="Times New Roman" w:cs="Times New Roman"/>
          <w:sz w:val="24"/>
          <w:szCs w:val="24"/>
        </w:rPr>
        <w:br w:type="page"/>
      </w:r>
    </w:p>
    <w:p w:rsidR="00860B99" w:rsidRPr="004F0794" w:rsidRDefault="00860B99" w:rsidP="001C75F8">
      <w:pPr>
        <w:pStyle w:val="Heading1"/>
      </w:pPr>
      <w:bookmarkStart w:id="62" w:name="_Toc232722503"/>
      <w:r w:rsidRPr="004F0794">
        <w:lastRenderedPageBreak/>
        <w:t>CHAPTER TWO</w:t>
      </w:r>
      <w:bookmarkEnd w:id="62"/>
    </w:p>
    <w:p w:rsidR="00860B99" w:rsidRPr="004F0794" w:rsidRDefault="00860B99" w:rsidP="001C75F8">
      <w:pPr>
        <w:pStyle w:val="Heading1"/>
      </w:pPr>
      <w:bookmarkStart w:id="63" w:name="_Toc232722504"/>
      <w:r w:rsidRPr="004F0794">
        <w:t>CONCEPTUAL AND THEORETICAL FRAMEWORK</w:t>
      </w:r>
      <w:bookmarkEnd w:id="63"/>
    </w:p>
    <w:p w:rsidR="00860B99" w:rsidRPr="004F0794" w:rsidRDefault="00860B99" w:rsidP="001C75F8">
      <w:pPr>
        <w:pStyle w:val="Heading2"/>
      </w:pPr>
      <w:bookmarkStart w:id="64" w:name="_Toc232722505"/>
      <w:r w:rsidRPr="004F0794">
        <w:t xml:space="preserve">2.1 </w:t>
      </w:r>
      <w:r w:rsidRPr="004F0794">
        <w:tab/>
        <w:t>Conceptual Framework</w:t>
      </w:r>
      <w:bookmarkEnd w:id="64"/>
    </w:p>
    <w:p w:rsidR="00860B99" w:rsidRPr="004F0794" w:rsidRDefault="00860B99" w:rsidP="001C75F8">
      <w:pPr>
        <w:pStyle w:val="Heading3"/>
      </w:pPr>
      <w:bookmarkStart w:id="65" w:name="_Toc232722506"/>
      <w:r w:rsidRPr="004F0794">
        <w:t xml:space="preserve">2.1.1 </w:t>
      </w:r>
      <w:r w:rsidRPr="004F0794">
        <w:tab/>
        <w:t>Definition of Marriage</w:t>
      </w:r>
      <w:bookmarkEnd w:id="65"/>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bCs/>
          <w:color w:val="000000" w:themeColor="text1"/>
          <w:sz w:val="24"/>
          <w:szCs w:val="24"/>
        </w:rPr>
      </w:pPr>
      <w:r w:rsidRPr="004F0794">
        <w:rPr>
          <w:rFonts w:ascii="Times New Roman" w:eastAsia="Times New Roman" w:hAnsi="Times New Roman" w:cs="Times New Roman"/>
          <w:color w:val="000000" w:themeColor="text1"/>
          <w:sz w:val="24"/>
          <w:szCs w:val="24"/>
        </w:rPr>
        <w:t xml:space="preserve">Marriage is the union of two persons recognised by law or custom as husband and wife giving rise to certain rights and obligations. In </w:t>
      </w:r>
      <w:r w:rsidRPr="004F0794">
        <w:rPr>
          <w:rFonts w:ascii="Times New Roman" w:eastAsia="Times New Roman" w:hAnsi="Times New Roman" w:cs="Times New Roman"/>
          <w:i/>
          <w:iCs/>
          <w:color w:val="000000" w:themeColor="text1"/>
          <w:sz w:val="24"/>
          <w:szCs w:val="24"/>
        </w:rPr>
        <w:t>Hyde v Hyde,</w:t>
      </w:r>
      <w:r w:rsidRPr="004F0794">
        <w:rPr>
          <w:rStyle w:val="FootnoteReference"/>
          <w:rFonts w:ascii="Times New Roman" w:eastAsia="Times New Roman" w:hAnsi="Times New Roman" w:cs="Times New Roman"/>
          <w:iCs/>
          <w:color w:val="000000" w:themeColor="text1"/>
          <w:sz w:val="24"/>
          <w:szCs w:val="24"/>
        </w:rPr>
        <w:footnoteReference w:id="29"/>
      </w:r>
      <w:r w:rsidR="009870A0">
        <w:rPr>
          <w:rFonts w:ascii="Times New Roman" w:eastAsia="Times New Roman" w:hAnsi="Times New Roman" w:cs="Times New Roman"/>
          <w:i/>
          <w:iCs/>
          <w:color w:val="000000" w:themeColor="text1"/>
          <w:sz w:val="24"/>
          <w:szCs w:val="24"/>
        </w:rPr>
        <w:t xml:space="preserve"> </w:t>
      </w:r>
      <w:r w:rsidRPr="004F0794">
        <w:rPr>
          <w:rFonts w:ascii="Times New Roman" w:eastAsia="Times New Roman" w:hAnsi="Times New Roman" w:cs="Times New Roman"/>
          <w:color w:val="000000" w:themeColor="text1"/>
          <w:sz w:val="24"/>
          <w:szCs w:val="24"/>
        </w:rPr>
        <w:t xml:space="preserve">it was held that marriage is “the voluntary union for life of one man and one woman to the exclusion of all others.” This definition encapsulates the Western ideal that marriage is a monogamous and indissoluble union. However, such a definition is insufficient in a pluralistic context (like Nigeria) where marriages may be </w:t>
      </w:r>
      <w:r w:rsidRPr="004F0794">
        <w:rPr>
          <w:rFonts w:ascii="Times New Roman" w:eastAsia="Times New Roman" w:hAnsi="Times New Roman" w:cs="Times New Roman"/>
          <w:bCs/>
          <w:color w:val="000000" w:themeColor="text1"/>
          <w:sz w:val="24"/>
          <w:szCs w:val="24"/>
        </w:rPr>
        <w:t xml:space="preserve">monogamous or polygamous. </w:t>
      </w:r>
      <w:r w:rsidRPr="004F0794">
        <w:rPr>
          <w:rFonts w:ascii="Times New Roman" w:eastAsia="Times New Roman" w:hAnsi="Times New Roman" w:cs="Times New Roman"/>
          <w:color w:val="000000" w:themeColor="text1"/>
          <w:sz w:val="24"/>
          <w:szCs w:val="24"/>
        </w:rPr>
        <w:t>As Nwogugu</w:t>
      </w:r>
      <w:r w:rsidRPr="004F0794">
        <w:rPr>
          <w:rStyle w:val="FootnoteReference"/>
          <w:rFonts w:ascii="Times New Roman" w:eastAsia="Times New Roman" w:hAnsi="Times New Roman" w:cs="Times New Roman"/>
          <w:color w:val="000000" w:themeColor="text1"/>
          <w:sz w:val="24"/>
          <w:szCs w:val="24"/>
        </w:rPr>
        <w:footnoteReference w:id="30"/>
      </w:r>
      <w:r w:rsidRPr="004F0794">
        <w:rPr>
          <w:rFonts w:ascii="Times New Roman" w:eastAsia="Times New Roman" w:hAnsi="Times New Roman" w:cs="Times New Roman"/>
          <w:color w:val="000000" w:themeColor="text1"/>
          <w:sz w:val="24"/>
          <w:szCs w:val="24"/>
        </w:rPr>
        <w:t xml:space="preserve"> aptly put it, marriage is “a universal institution…governed by the social and religious norms of society” and marriage varies across societies. In Nigeria, there are three forms of marriage: </w:t>
      </w:r>
      <w:r w:rsidRPr="004F0794">
        <w:rPr>
          <w:rFonts w:ascii="Times New Roman" w:eastAsia="Times New Roman" w:hAnsi="Times New Roman" w:cs="Times New Roman"/>
          <w:bCs/>
          <w:color w:val="000000" w:themeColor="text1"/>
          <w:sz w:val="24"/>
          <w:szCs w:val="24"/>
        </w:rPr>
        <w:t>statutory marriage</w:t>
      </w:r>
      <w:r w:rsidRPr="004F0794">
        <w:rPr>
          <w:rFonts w:ascii="Times New Roman" w:eastAsia="Times New Roman" w:hAnsi="Times New Roman" w:cs="Times New Roman"/>
          <w:color w:val="000000" w:themeColor="text1"/>
          <w:sz w:val="24"/>
          <w:szCs w:val="24"/>
        </w:rPr>
        <w:t xml:space="preserve">, </w:t>
      </w:r>
      <w:r w:rsidRPr="004F0794">
        <w:rPr>
          <w:rFonts w:ascii="Times New Roman" w:eastAsia="Times New Roman" w:hAnsi="Times New Roman" w:cs="Times New Roman"/>
          <w:bCs/>
          <w:color w:val="000000" w:themeColor="text1"/>
          <w:sz w:val="24"/>
          <w:szCs w:val="24"/>
        </w:rPr>
        <w:t>customary marriage</w:t>
      </w:r>
      <w:r w:rsidRPr="004F0794">
        <w:rPr>
          <w:rFonts w:ascii="Times New Roman" w:eastAsia="Times New Roman" w:hAnsi="Times New Roman" w:cs="Times New Roman"/>
          <w:color w:val="000000" w:themeColor="text1"/>
          <w:sz w:val="24"/>
          <w:szCs w:val="24"/>
        </w:rPr>
        <w:t xml:space="preserve">, and </w:t>
      </w:r>
      <w:r w:rsidRPr="004F0794">
        <w:rPr>
          <w:rFonts w:ascii="Times New Roman" w:eastAsia="Times New Roman" w:hAnsi="Times New Roman" w:cs="Times New Roman"/>
          <w:bCs/>
          <w:color w:val="000000" w:themeColor="text1"/>
          <w:sz w:val="24"/>
          <w:szCs w:val="24"/>
        </w:rPr>
        <w:t>Islamic marriage</w:t>
      </w:r>
      <w:r w:rsidRPr="004F0794">
        <w:rPr>
          <w:rFonts w:ascii="Times New Roman" w:eastAsia="Times New Roman" w:hAnsi="Times New Roman" w:cs="Times New Roman"/>
          <w:color w:val="000000" w:themeColor="text1"/>
          <w:sz w:val="24"/>
          <w:szCs w:val="24"/>
        </w:rPr>
        <w:t>. Statutory marriage is monogamous and it is regulated by the Marriage Act and Matrimonial Causes Act</w:t>
      </w:r>
      <w:r w:rsidRPr="004F0794">
        <w:rPr>
          <w:rFonts w:ascii="Times New Roman" w:hAnsi="Times New Roman" w:cs="Times New Roman"/>
          <w:color w:val="000000" w:themeColor="text1"/>
          <w:sz w:val="24"/>
          <w:szCs w:val="24"/>
        </w:rPr>
        <w:t>.</w:t>
      </w:r>
      <w:r w:rsidRPr="004F0794">
        <w:rPr>
          <w:rStyle w:val="FootnoteReference"/>
          <w:rFonts w:ascii="Times New Roman" w:hAnsi="Times New Roman" w:cs="Times New Roman"/>
          <w:color w:val="000000" w:themeColor="text1"/>
          <w:sz w:val="24"/>
          <w:szCs w:val="24"/>
        </w:rPr>
        <w:footnoteReference w:id="31"/>
      </w:r>
      <w:r w:rsidRPr="004F0794">
        <w:rPr>
          <w:rFonts w:ascii="Times New Roman" w:eastAsia="Times New Roman" w:hAnsi="Times New Roman" w:cs="Times New Roman"/>
          <w:color w:val="000000" w:themeColor="text1"/>
          <w:sz w:val="24"/>
          <w:szCs w:val="24"/>
        </w:rPr>
        <w:t>In contrast, customary marriage is polygamous and it is governed by the customs of the ethnic group of the parties.</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Therefore, the definition of marriage must be broad enough to reflect the circumstances and way of live of people. According to Duran Bell,</w:t>
      </w:r>
      <w:r w:rsidRPr="004F0794">
        <w:rPr>
          <w:rStyle w:val="FootnoteReference"/>
          <w:rFonts w:ascii="Times New Roman" w:eastAsia="Times New Roman" w:hAnsi="Times New Roman" w:cs="Times New Roman"/>
          <w:color w:val="000000" w:themeColor="text1"/>
          <w:sz w:val="24"/>
          <w:szCs w:val="24"/>
        </w:rPr>
        <w:footnoteReference w:id="32"/>
      </w:r>
      <w:r w:rsidRPr="004F0794">
        <w:rPr>
          <w:rFonts w:ascii="Times New Roman" w:eastAsia="Times New Roman" w:hAnsi="Times New Roman" w:cs="Times New Roman"/>
          <w:color w:val="000000" w:themeColor="text1"/>
          <w:sz w:val="24"/>
          <w:szCs w:val="24"/>
        </w:rPr>
        <w:t xml:space="preserve"> a cross cultural valid conception of marriage must have in the definition a husband and wife with a distinction made from spouses and lovers. From this perspective we find that marriage is an institution by which men are provided rights by women. The husband is the only person with the right to control the sexuality of a given woman, and this role need not be held by the person who defines the </w:t>
      </w:r>
      <w:r w:rsidRPr="004F0794">
        <w:rPr>
          <w:rFonts w:ascii="Times New Roman" w:eastAsia="Times New Roman" w:hAnsi="Times New Roman" w:cs="Times New Roman"/>
          <w:color w:val="000000" w:themeColor="text1"/>
          <w:sz w:val="24"/>
          <w:szCs w:val="24"/>
        </w:rPr>
        <w:lastRenderedPageBreak/>
        <w:t>social position of the children of the woman. Thus, other men may have access to a woman by stealth or by permission, but only a husband has an institutionalised, socially supported right to control her sexuality.</w:t>
      </w:r>
      <w:r w:rsidRPr="004F0794">
        <w:rPr>
          <w:rStyle w:val="FootnoteReference"/>
          <w:rFonts w:ascii="Times New Roman" w:eastAsia="Times New Roman" w:hAnsi="Times New Roman" w:cs="Times New Roman"/>
          <w:color w:val="000000" w:themeColor="text1"/>
          <w:sz w:val="24"/>
          <w:szCs w:val="24"/>
        </w:rPr>
        <w:footnoteReference w:id="33"/>
      </w:r>
    </w:p>
    <w:p w:rsidR="00860B99" w:rsidRPr="004F0794" w:rsidRDefault="00860B99" w:rsidP="001C75F8">
      <w:pPr>
        <w:pStyle w:val="Heading3"/>
      </w:pPr>
      <w:bookmarkStart w:id="66" w:name="_Toc232722507"/>
      <w:r w:rsidRPr="004F0794">
        <w:t xml:space="preserve">2.1.2 </w:t>
      </w:r>
      <w:r w:rsidRPr="004F0794">
        <w:tab/>
        <w:t>Customary Law</w:t>
      </w:r>
      <w:bookmarkEnd w:id="66"/>
      <w:r w:rsidRPr="004F0794">
        <w:t xml:space="preserve">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Customary law refers to the indigenous norms, rules, and practices and it regulates the conduct of people. It obtains the force of law through long usage and communal acceptance. As Nigeria’s foremost jurists have noted, “the term covers a multiplicity of systems of law which differ from one locality to another.There is no single “Nigerian Customary Law. Rather, there are as many customary laws as there are ethnic groups (and sub-groups). They share foundation in traditional beliefs and values. </w:t>
      </w:r>
      <w:r w:rsidRPr="004F0794">
        <w:rPr>
          <w:rFonts w:ascii="Times New Roman" w:eastAsia="Times New Roman" w:hAnsi="Times New Roman" w:cs="Times New Roman"/>
          <w:bCs/>
          <w:color w:val="000000" w:themeColor="text1"/>
          <w:sz w:val="24"/>
          <w:szCs w:val="24"/>
        </w:rPr>
        <w:t>Customary law</w:t>
      </w:r>
      <w:r w:rsidRPr="004F0794">
        <w:rPr>
          <w:rFonts w:ascii="Times New Roman" w:eastAsia="Times New Roman" w:hAnsi="Times New Roman" w:cs="Times New Roman"/>
          <w:color w:val="000000" w:themeColor="text1"/>
          <w:sz w:val="24"/>
          <w:szCs w:val="24"/>
        </w:rPr>
        <w:t xml:space="preserve"> is flexible and dynamic. It is generally not codified (and there are few exceptions like the Sharia-based statutes in the North or community by-laws). Hence, it evolves with changing social practices. In addition, it is challenging to prove the content of a particular custom in court unless it has been judicially noticed by the court”.</w:t>
      </w:r>
      <w:r w:rsidRPr="004F0794">
        <w:rPr>
          <w:rStyle w:val="FootnoteReference"/>
          <w:rFonts w:ascii="Times New Roman" w:eastAsia="Times New Roman" w:hAnsi="Times New Roman" w:cs="Times New Roman"/>
          <w:color w:val="000000" w:themeColor="text1"/>
          <w:sz w:val="24"/>
          <w:szCs w:val="24"/>
        </w:rPr>
        <w:footnoteReference w:id="34"/>
      </w:r>
      <w:r w:rsidRPr="004F0794">
        <w:rPr>
          <w:rFonts w:ascii="Times New Roman" w:eastAsia="Times New Roman" w:hAnsi="Times New Roman" w:cs="Times New Roman"/>
          <w:color w:val="000000" w:themeColor="text1"/>
          <w:sz w:val="24"/>
          <w:szCs w:val="24"/>
        </w:rPr>
        <w:t xml:space="preserve"> Customary law is recognised by the Nigerian Constitution</w:t>
      </w:r>
      <w:r w:rsidRPr="004F0794">
        <w:rPr>
          <w:rStyle w:val="FootnoteReference"/>
          <w:rFonts w:ascii="Times New Roman" w:eastAsia="Times New Roman" w:hAnsi="Times New Roman" w:cs="Times New Roman"/>
          <w:color w:val="000000" w:themeColor="text1"/>
          <w:sz w:val="24"/>
          <w:szCs w:val="24"/>
        </w:rPr>
        <w:footnoteReference w:id="35"/>
      </w:r>
      <w:r w:rsidRPr="004F0794">
        <w:rPr>
          <w:rFonts w:ascii="Times New Roman" w:eastAsia="Times New Roman" w:hAnsi="Times New Roman" w:cs="Times New Roman"/>
          <w:color w:val="000000" w:themeColor="text1"/>
          <w:sz w:val="24"/>
          <w:szCs w:val="24"/>
        </w:rPr>
        <w:t xml:space="preserve"> and by various statutes. However, not all customary laws are enforceable. They are subject to three tests: the </w:t>
      </w:r>
      <w:r w:rsidRPr="004F0794">
        <w:rPr>
          <w:rFonts w:ascii="Times New Roman" w:eastAsia="Times New Roman" w:hAnsi="Times New Roman" w:cs="Times New Roman"/>
          <w:bCs/>
          <w:color w:val="000000" w:themeColor="text1"/>
          <w:sz w:val="24"/>
          <w:szCs w:val="24"/>
        </w:rPr>
        <w:t>repugnancy test</w:t>
      </w:r>
      <w:r w:rsidRPr="004F0794">
        <w:rPr>
          <w:rFonts w:ascii="Times New Roman" w:eastAsia="Times New Roman" w:hAnsi="Times New Roman" w:cs="Times New Roman"/>
          <w:color w:val="000000" w:themeColor="text1"/>
          <w:sz w:val="24"/>
          <w:szCs w:val="24"/>
        </w:rPr>
        <w:t xml:space="preserve">, the </w:t>
      </w:r>
      <w:r w:rsidRPr="004F0794">
        <w:rPr>
          <w:rFonts w:ascii="Times New Roman" w:eastAsia="Times New Roman" w:hAnsi="Times New Roman" w:cs="Times New Roman"/>
          <w:bCs/>
          <w:color w:val="000000" w:themeColor="text1"/>
          <w:sz w:val="24"/>
          <w:szCs w:val="24"/>
        </w:rPr>
        <w:t>incompatibility test</w:t>
      </w:r>
      <w:r w:rsidRPr="004F0794">
        <w:rPr>
          <w:rFonts w:ascii="Times New Roman" w:eastAsia="Times New Roman" w:hAnsi="Times New Roman" w:cs="Times New Roman"/>
          <w:color w:val="000000" w:themeColor="text1"/>
          <w:sz w:val="24"/>
          <w:szCs w:val="24"/>
        </w:rPr>
        <w:t xml:space="preserve">, and the </w:t>
      </w:r>
      <w:r w:rsidRPr="004F0794">
        <w:rPr>
          <w:rFonts w:ascii="Times New Roman" w:eastAsia="Times New Roman" w:hAnsi="Times New Roman" w:cs="Times New Roman"/>
          <w:bCs/>
          <w:color w:val="000000" w:themeColor="text1"/>
          <w:sz w:val="24"/>
          <w:szCs w:val="24"/>
        </w:rPr>
        <w:t>public policy test</w:t>
      </w:r>
      <w:r w:rsidRPr="004F0794">
        <w:rPr>
          <w:rFonts w:ascii="Times New Roman" w:eastAsia="Times New Roman" w:hAnsi="Times New Roman" w:cs="Times New Roman"/>
          <w:color w:val="000000" w:themeColor="text1"/>
          <w:sz w:val="24"/>
          <w:szCs w:val="24"/>
        </w:rPr>
        <w:t>. First, they must not be repugnant to natural justice, equity, and good conscience. Secondly, they must not be in conflict with an incompatible to or in conflict with an existing law.  Thirdly, they must not be contrary to the public policy.</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shd w:val="clear" w:color="auto" w:fill="FFFFFF"/>
        </w:rPr>
      </w:pPr>
      <w:r w:rsidRPr="004F0794">
        <w:rPr>
          <w:rFonts w:ascii="Times New Roman" w:eastAsia="Times New Roman" w:hAnsi="Times New Roman" w:cs="Times New Roman"/>
          <w:color w:val="000000" w:themeColor="text1"/>
          <w:sz w:val="24"/>
          <w:szCs w:val="24"/>
          <w:shd w:val="clear" w:color="auto" w:fill="FFFFFF"/>
        </w:rPr>
        <w:t xml:space="preserve">Customary law is the law that captures the norms, traditions and rules of behaviour of the people. It is the law propelled by the worldview, beliefs, philosophies and value system of the people. In traditional societies, customary laws were largely unchallenged save by </w:t>
      </w:r>
      <w:r w:rsidRPr="004F0794">
        <w:rPr>
          <w:rFonts w:ascii="Times New Roman" w:eastAsia="Times New Roman" w:hAnsi="Times New Roman" w:cs="Times New Roman"/>
          <w:color w:val="000000" w:themeColor="text1"/>
          <w:sz w:val="24"/>
          <w:szCs w:val="24"/>
          <w:shd w:val="clear" w:color="auto" w:fill="FFFFFF"/>
        </w:rPr>
        <w:lastRenderedPageBreak/>
        <w:t>compelling innovations that re-channeled aspects of the practices of the people and subsequently altered its traditions.</w:t>
      </w:r>
      <w:r w:rsidRPr="004F0794">
        <w:rPr>
          <w:rStyle w:val="FootnoteReference"/>
          <w:rFonts w:ascii="Times New Roman" w:eastAsia="Times New Roman" w:hAnsi="Times New Roman" w:cs="Times New Roman"/>
          <w:color w:val="000000" w:themeColor="text1"/>
          <w:sz w:val="24"/>
          <w:szCs w:val="24"/>
          <w:shd w:val="clear" w:color="auto" w:fill="FFFFFF"/>
        </w:rPr>
        <w:footnoteReference w:id="36"/>
      </w:r>
    </w:p>
    <w:p w:rsidR="00860B99" w:rsidRPr="004F0794" w:rsidRDefault="00860B99" w:rsidP="00860B99">
      <w:pPr>
        <w:spacing w:after="0" w:line="480" w:lineRule="auto"/>
        <w:jc w:val="both"/>
        <w:rPr>
          <w:rFonts w:ascii="Times New Roman" w:eastAsiaTheme="minorEastAsia" w:hAnsi="Times New Roman" w:cs="Times New Roman"/>
          <w:color w:val="000000" w:themeColor="text1"/>
          <w:sz w:val="24"/>
          <w:szCs w:val="24"/>
          <w:lang w:eastAsia="en-GB"/>
        </w:rPr>
      </w:pPr>
      <w:r>
        <w:rPr>
          <w:rFonts w:ascii="Times New Roman" w:eastAsiaTheme="minorEastAsia" w:hAnsi="Times New Roman" w:cs="Times New Roman"/>
          <w:color w:val="000000" w:themeColor="text1"/>
          <w:sz w:val="24"/>
          <w:szCs w:val="24"/>
          <w:lang w:eastAsia="en-GB"/>
        </w:rPr>
        <w:t xml:space="preserve">In </w:t>
      </w:r>
      <w:r>
        <w:rPr>
          <w:rFonts w:ascii="Times New Roman" w:eastAsiaTheme="minorEastAsia" w:hAnsi="Times New Roman" w:cs="Times New Roman"/>
          <w:i/>
          <w:color w:val="000000" w:themeColor="text1"/>
          <w:sz w:val="24"/>
          <w:szCs w:val="24"/>
          <w:lang w:eastAsia="en-GB"/>
        </w:rPr>
        <w:t>Olubodun v. Lawal</w:t>
      </w:r>
      <w:r>
        <w:rPr>
          <w:rFonts w:ascii="Times New Roman" w:eastAsiaTheme="minorEastAsia" w:hAnsi="Times New Roman" w:cs="Times New Roman"/>
          <w:color w:val="000000" w:themeColor="text1"/>
          <w:sz w:val="24"/>
          <w:szCs w:val="24"/>
          <w:lang w:eastAsia="en-GB"/>
        </w:rPr>
        <w:t>,</w:t>
      </w:r>
      <w:r w:rsidRPr="004F0794">
        <w:rPr>
          <w:rStyle w:val="FootnoteReference"/>
          <w:rFonts w:ascii="Times New Roman" w:eastAsiaTheme="minorEastAsia" w:hAnsi="Times New Roman" w:cs="Times New Roman"/>
          <w:color w:val="000000" w:themeColor="text1"/>
          <w:sz w:val="24"/>
          <w:szCs w:val="24"/>
          <w:lang w:eastAsia="en-GB"/>
        </w:rPr>
        <w:footnoteReference w:id="37"/>
      </w:r>
      <w:r w:rsidRPr="004F0794">
        <w:rPr>
          <w:rFonts w:ascii="Times New Roman" w:eastAsiaTheme="minorEastAsia" w:hAnsi="Times New Roman" w:cs="Times New Roman"/>
          <w:color w:val="000000" w:themeColor="text1"/>
          <w:sz w:val="24"/>
          <w:szCs w:val="24"/>
          <w:lang w:eastAsia="en-GB"/>
        </w:rPr>
        <w:t xml:space="preserve"> the Supreme Court of Nigeria defined custom or customary law to mean a set of rules of conduct applying to persons and things in a particular locality. It went further to state that it is of the characteristics of a custom or customary law that it must be recognized and adhered to by the inhabitants of the community to make it binding.</w:t>
      </w:r>
    </w:p>
    <w:p w:rsidR="00860B99" w:rsidRPr="004F0794" w:rsidRDefault="00860B99" w:rsidP="00860B99">
      <w:pPr>
        <w:spacing w:after="0" w:line="480" w:lineRule="auto"/>
        <w:jc w:val="both"/>
        <w:rPr>
          <w:rFonts w:ascii="Times New Roman" w:eastAsiaTheme="minorEastAsia" w:hAnsi="Times New Roman" w:cs="Times New Roman"/>
          <w:color w:val="000000" w:themeColor="text1"/>
          <w:sz w:val="24"/>
          <w:szCs w:val="24"/>
          <w:lang w:eastAsia="en-GB"/>
        </w:rPr>
      </w:pPr>
    </w:p>
    <w:p w:rsidR="00860B99" w:rsidRPr="004F0794" w:rsidRDefault="00860B99" w:rsidP="00860B99">
      <w:pPr>
        <w:spacing w:after="0" w:line="480" w:lineRule="auto"/>
        <w:jc w:val="both"/>
        <w:rPr>
          <w:rFonts w:ascii="Times New Roman" w:eastAsiaTheme="minorEastAsia" w:hAnsi="Times New Roman" w:cs="Times New Roman"/>
          <w:color w:val="000000" w:themeColor="text1"/>
          <w:sz w:val="24"/>
          <w:szCs w:val="24"/>
          <w:lang w:eastAsia="en-GB"/>
        </w:rPr>
      </w:pPr>
      <w:r>
        <w:rPr>
          <w:rFonts w:ascii="Times New Roman" w:eastAsiaTheme="minorEastAsia" w:hAnsi="Times New Roman" w:cs="Times New Roman"/>
          <w:color w:val="000000" w:themeColor="text1"/>
          <w:sz w:val="24"/>
          <w:szCs w:val="24"/>
          <w:lang w:eastAsia="en-GB"/>
        </w:rPr>
        <w:t xml:space="preserve">The Supreme Court in </w:t>
      </w:r>
      <w:r>
        <w:rPr>
          <w:rFonts w:ascii="Times New Roman" w:eastAsiaTheme="minorEastAsia" w:hAnsi="Times New Roman" w:cs="Times New Roman"/>
          <w:i/>
          <w:color w:val="000000" w:themeColor="text1"/>
          <w:sz w:val="24"/>
          <w:szCs w:val="24"/>
          <w:lang w:eastAsia="en-GB"/>
        </w:rPr>
        <w:t>Nwaigwe v. Okere</w:t>
      </w:r>
      <w:r>
        <w:rPr>
          <w:rFonts w:ascii="Times New Roman" w:eastAsiaTheme="minorEastAsia" w:hAnsi="Times New Roman" w:cs="Times New Roman"/>
          <w:color w:val="000000" w:themeColor="text1"/>
          <w:sz w:val="24"/>
          <w:szCs w:val="24"/>
          <w:lang w:eastAsia="en-GB"/>
        </w:rPr>
        <w:t>,</w:t>
      </w:r>
      <w:r w:rsidRPr="004F0794">
        <w:rPr>
          <w:rStyle w:val="FootnoteReference"/>
          <w:rFonts w:ascii="Times New Roman" w:eastAsiaTheme="minorEastAsia" w:hAnsi="Times New Roman" w:cs="Times New Roman"/>
          <w:color w:val="000000" w:themeColor="text1"/>
          <w:sz w:val="24"/>
          <w:szCs w:val="24"/>
          <w:lang w:eastAsia="en-GB"/>
        </w:rPr>
        <w:footnoteReference w:id="38"/>
      </w:r>
      <w:r w:rsidRPr="004F0794">
        <w:rPr>
          <w:rFonts w:ascii="Times New Roman" w:eastAsiaTheme="minorEastAsia" w:hAnsi="Times New Roman" w:cs="Times New Roman"/>
          <w:color w:val="000000" w:themeColor="text1"/>
          <w:sz w:val="24"/>
          <w:szCs w:val="24"/>
          <w:lang w:eastAsia="en-GB"/>
        </w:rPr>
        <w:t xml:space="preserve"> is more comprehensive and commands wider acceptance. It proceeds:</w:t>
      </w:r>
    </w:p>
    <w:p w:rsidR="00860B99" w:rsidRPr="004F0794" w:rsidRDefault="00860B99" w:rsidP="001C75F8">
      <w:pPr>
        <w:spacing w:after="0"/>
        <w:ind w:left="720"/>
        <w:jc w:val="both"/>
        <w:rPr>
          <w:rFonts w:ascii="Times New Roman" w:eastAsiaTheme="minorEastAsia" w:hAnsi="Times New Roman" w:cs="Times New Roman"/>
          <w:color w:val="000000" w:themeColor="text1"/>
          <w:lang w:eastAsia="en-GB"/>
        </w:rPr>
      </w:pPr>
      <w:r w:rsidRPr="004F0794">
        <w:rPr>
          <w:rFonts w:ascii="Times New Roman" w:eastAsiaTheme="minorEastAsia" w:hAnsi="Times New Roman" w:cs="Times New Roman"/>
          <w:color w:val="000000" w:themeColor="text1"/>
          <w:lang w:eastAsia="en-GB"/>
        </w:rPr>
        <w:t>What is customary law? Customary law generally means relating to custom or usage of a given community. Customary law emerges from the traditional usage and practice of a people in a given community which by common adoption and acquiescence on their part, and by long and unvarying habit, has acquired, to some extent, element of compulsion, and force of law with reference to the community. And because of the element of compulsion which it has acquired over the years by constant, consistent and community usage, it attracts sanctions of different kinds and is enforceable. Putting it in a more simplistic form, the customs, rules, relations, ethos and cultures which govern the relationship of members of a community are generally regarded as customary law of the people</w:t>
      </w:r>
    </w:p>
    <w:p w:rsidR="001C75F8" w:rsidRPr="004F0794" w:rsidRDefault="001C75F8" w:rsidP="00860B99">
      <w:p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p>
    <w:p w:rsidR="00860B99" w:rsidRPr="004F0794" w:rsidRDefault="00860B99" w:rsidP="001C75F8">
      <w:pPr>
        <w:pStyle w:val="Heading3"/>
      </w:pPr>
      <w:bookmarkStart w:id="67" w:name="_Toc232722508"/>
      <w:r w:rsidRPr="004F0794">
        <w:t>2.1.3  Customary Law Marriage</w:t>
      </w:r>
      <w:bookmarkEnd w:id="67"/>
      <w:r w:rsidRPr="004F0794">
        <w:t xml:space="preserve">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Marriage under customary law refers to a marriage conducted in accordance with the traditions and customs of the ethnic community of the parties. A customary marriage is valid when the requirements of the custom are fulfilled. Elements of Customary law marriage include the following.</w:t>
      </w:r>
      <w:r w:rsidRPr="004F0794">
        <w:rPr>
          <w:rStyle w:val="FootnoteReference"/>
          <w:rFonts w:ascii="Times New Roman" w:eastAsia="Times New Roman" w:hAnsi="Times New Roman" w:cs="Times New Roman"/>
          <w:color w:val="000000" w:themeColor="text1"/>
          <w:sz w:val="24"/>
          <w:szCs w:val="24"/>
        </w:rPr>
        <w:footnoteReference w:id="39"/>
      </w:r>
    </w:p>
    <w:p w:rsidR="00860B99" w:rsidRPr="004F0794" w:rsidRDefault="00860B99" w:rsidP="00860B99">
      <w:pPr>
        <w:pStyle w:val="ListParagraph"/>
        <w:numPr>
          <w:ilvl w:val="0"/>
          <w:numId w:val="6"/>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color w:val="000000" w:themeColor="text1"/>
          <w:sz w:val="24"/>
          <w:szCs w:val="24"/>
        </w:rPr>
        <w:lastRenderedPageBreak/>
        <w:t>Capacity:</w:t>
      </w:r>
      <w:r w:rsidRPr="004F0794">
        <w:rPr>
          <w:rFonts w:ascii="Times New Roman" w:eastAsia="Times New Roman" w:hAnsi="Times New Roman" w:cs="Times New Roman"/>
          <w:color w:val="000000" w:themeColor="text1"/>
          <w:sz w:val="24"/>
          <w:szCs w:val="24"/>
        </w:rPr>
        <w:t xml:space="preserve"> Parties must have the capacity to marry each other under that custom. They must not be related by blood. Capacity also included puberty or physical maturity. However, there is no defined marriageable age. Hence, some customs permits child betrothal.</w:t>
      </w:r>
      <w:r w:rsidRPr="004F0794">
        <w:rPr>
          <w:rStyle w:val="FootnoteReference"/>
          <w:rFonts w:ascii="Times New Roman" w:eastAsia="Times New Roman" w:hAnsi="Times New Roman" w:cs="Times New Roman"/>
          <w:color w:val="000000" w:themeColor="text1"/>
          <w:sz w:val="24"/>
          <w:szCs w:val="24"/>
        </w:rPr>
        <w:footnoteReference w:id="40"/>
      </w:r>
    </w:p>
    <w:p w:rsidR="00860B99" w:rsidRPr="004F0794" w:rsidRDefault="00860B99" w:rsidP="00860B99">
      <w:pPr>
        <w:pStyle w:val="ListParagraph"/>
        <w:numPr>
          <w:ilvl w:val="0"/>
          <w:numId w:val="6"/>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Consent of the Parties</w:t>
      </w:r>
      <w:r w:rsidRPr="004F0794">
        <w:rPr>
          <w:rFonts w:ascii="Times New Roman" w:eastAsia="Times New Roman" w:hAnsi="Times New Roman" w:cs="Times New Roman"/>
          <w:color w:val="000000" w:themeColor="text1"/>
          <w:sz w:val="24"/>
          <w:szCs w:val="24"/>
        </w:rPr>
        <w:t xml:space="preserve">: The intending husband and wife must consent to the union. While older anthropological accounts suggested marriages were arranged with minimal say from especially the bride, modern judicial stance (and arguably evolving practice) insists on the consent of both the man and the woman as prerequisite. In  </w:t>
      </w:r>
      <w:r>
        <w:rPr>
          <w:rFonts w:ascii="Times New Roman" w:eastAsia="Times New Roman" w:hAnsi="Times New Roman" w:cs="Times New Roman"/>
          <w:i/>
          <w:iCs/>
          <w:color w:val="000000" w:themeColor="text1"/>
          <w:sz w:val="24"/>
          <w:szCs w:val="24"/>
        </w:rPr>
        <w:t>Osamwonyi v. Osamwonyi</w:t>
      </w:r>
      <w:r w:rsidRPr="004F0794">
        <w:rPr>
          <w:rFonts w:ascii="Times New Roman" w:eastAsia="Times New Roman" w:hAnsi="Times New Roman" w:cs="Times New Roman"/>
          <w:color w:val="000000" w:themeColor="text1"/>
          <w:sz w:val="24"/>
          <w:szCs w:val="24"/>
        </w:rPr>
        <w:t>,</w:t>
      </w:r>
      <w:r w:rsidRPr="004F0794">
        <w:rPr>
          <w:rStyle w:val="FootnoteReference"/>
          <w:rFonts w:ascii="Times New Roman" w:eastAsia="Times New Roman" w:hAnsi="Times New Roman" w:cs="Times New Roman"/>
          <w:color w:val="000000" w:themeColor="text1"/>
          <w:sz w:val="24"/>
          <w:szCs w:val="24"/>
        </w:rPr>
        <w:footnoteReference w:id="41"/>
      </w:r>
      <w:r w:rsidRPr="004F0794">
        <w:rPr>
          <w:rFonts w:ascii="Times New Roman" w:eastAsia="Times New Roman" w:hAnsi="Times New Roman" w:cs="Times New Roman"/>
          <w:color w:val="000000" w:themeColor="text1"/>
          <w:sz w:val="24"/>
          <w:szCs w:val="24"/>
        </w:rPr>
        <w:t xml:space="preserve"> the court clarified that that even where families agreed, the marriage was invalid without the consent of the parties </w:t>
      </w:r>
    </w:p>
    <w:p w:rsidR="00860B99" w:rsidRPr="004F0794" w:rsidRDefault="00860B99" w:rsidP="00860B99">
      <w:pPr>
        <w:pStyle w:val="ListParagraph"/>
        <w:numPr>
          <w:ilvl w:val="0"/>
          <w:numId w:val="6"/>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Consent of the Parents/Family</w:t>
      </w:r>
      <w:r w:rsidRPr="004F0794">
        <w:rPr>
          <w:rFonts w:ascii="Times New Roman" w:eastAsia="Times New Roman" w:hAnsi="Times New Roman" w:cs="Times New Roman"/>
          <w:color w:val="000000" w:themeColor="text1"/>
          <w:sz w:val="24"/>
          <w:szCs w:val="24"/>
        </w:rPr>
        <w:t xml:space="preserve">: this is pertinent and most customs require the bride’s family (and often the groom’s) to consent to and bless the marriage. This is tied to the notion that marriage creates affinity between families. In </w:t>
      </w:r>
      <w:r>
        <w:rPr>
          <w:rFonts w:ascii="Times New Roman" w:eastAsia="Times New Roman" w:hAnsi="Times New Roman" w:cs="Times New Roman"/>
          <w:i/>
          <w:iCs/>
          <w:color w:val="000000" w:themeColor="text1"/>
          <w:sz w:val="24"/>
          <w:szCs w:val="24"/>
        </w:rPr>
        <w:t>Okpanum v. Okpanum</w:t>
      </w:r>
      <w:r w:rsidRPr="004F0794">
        <w:rPr>
          <w:rFonts w:ascii="Times New Roman" w:eastAsia="Times New Roman" w:hAnsi="Times New Roman" w:cs="Times New Roman"/>
          <w:i/>
          <w:iCs/>
          <w:color w:val="000000" w:themeColor="text1"/>
          <w:sz w:val="24"/>
          <w:szCs w:val="24"/>
        </w:rPr>
        <w:t>,</w:t>
      </w:r>
      <w:r w:rsidRPr="004F0794">
        <w:rPr>
          <w:rStyle w:val="FootnoteReference"/>
          <w:rFonts w:ascii="Times New Roman" w:eastAsia="Times New Roman" w:hAnsi="Times New Roman" w:cs="Times New Roman"/>
          <w:iCs/>
          <w:color w:val="000000" w:themeColor="text1"/>
          <w:sz w:val="24"/>
          <w:szCs w:val="24"/>
        </w:rPr>
        <w:footnoteReference w:id="42"/>
      </w:r>
      <w:r w:rsidRPr="004F0794">
        <w:rPr>
          <w:rFonts w:ascii="Times New Roman" w:eastAsia="Times New Roman" w:hAnsi="Times New Roman" w:cs="Times New Roman"/>
          <w:iCs/>
          <w:color w:val="000000" w:themeColor="text1"/>
          <w:sz w:val="24"/>
          <w:szCs w:val="24"/>
        </w:rPr>
        <w:t>the court</w:t>
      </w:r>
      <w:r w:rsidRPr="004F0794">
        <w:rPr>
          <w:rFonts w:ascii="Times New Roman" w:eastAsia="Times New Roman" w:hAnsi="Times New Roman" w:cs="Times New Roman"/>
          <w:color w:val="000000" w:themeColor="text1"/>
          <w:sz w:val="24"/>
          <w:szCs w:val="24"/>
        </w:rPr>
        <w:t xml:space="preserve"> held that parental consent was necessary in Igbo marriage. If a marriage is conducted without the knowledge or approval of the relevant family elders, it might be considered to be irregular or void in customary law. However, there are exceptions. A marriage might later be acknowledged through payment of bride price. </w:t>
      </w:r>
    </w:p>
    <w:p w:rsidR="00860B99" w:rsidRPr="004F0794" w:rsidRDefault="00860B99" w:rsidP="00860B99">
      <w:pPr>
        <w:pStyle w:val="ListParagraph"/>
        <w:numPr>
          <w:ilvl w:val="0"/>
          <w:numId w:val="6"/>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Bride Price (Dowry)</w:t>
      </w:r>
      <w:r w:rsidRPr="004F0794">
        <w:rPr>
          <w:rFonts w:ascii="Times New Roman" w:eastAsia="Times New Roman" w:hAnsi="Times New Roman" w:cs="Times New Roman"/>
          <w:color w:val="000000" w:themeColor="text1"/>
          <w:sz w:val="24"/>
          <w:szCs w:val="24"/>
        </w:rPr>
        <w:t xml:space="preserve">: This is the most distinctive requirement. Bride price is a transfer of valuable items (money, kola nuts, drinks, livestock, etc. depending on custom) from the groom’s family to the bride’s family. It symbolises respect and appreciation to the bride’s family for raising her. It is not considered a “purchase” of the woman (customary rhetoric insists it’s symbolic). However, it has legal implications. Bride price legitimises the marriage. In many customs, it confers upon </w:t>
      </w:r>
      <w:r w:rsidRPr="004F0794">
        <w:rPr>
          <w:rFonts w:ascii="Times New Roman" w:eastAsia="Times New Roman" w:hAnsi="Times New Roman" w:cs="Times New Roman"/>
          <w:color w:val="000000" w:themeColor="text1"/>
          <w:sz w:val="24"/>
          <w:szCs w:val="24"/>
        </w:rPr>
        <w:lastRenderedPageBreak/>
        <w:t>the husband’s family rights over the children of the union and it solidifies the marriage. Without it (or an agreed token of it), the marriage may be invalid. However, nominal or token payments often suffice and extravagant demands may be negotiated or regulated).</w:t>
      </w:r>
      <w:r w:rsidRPr="004F0794">
        <w:rPr>
          <w:rStyle w:val="FootnoteReference"/>
          <w:rFonts w:ascii="Times New Roman" w:eastAsia="Times New Roman" w:hAnsi="Times New Roman" w:cs="Times New Roman"/>
          <w:color w:val="000000" w:themeColor="text1"/>
          <w:sz w:val="24"/>
          <w:szCs w:val="24"/>
        </w:rPr>
        <w:footnoteReference w:id="43"/>
      </w:r>
    </w:p>
    <w:p w:rsidR="00860B99" w:rsidRPr="004F0794" w:rsidRDefault="00860B99" w:rsidP="00860B99">
      <w:pPr>
        <w:pStyle w:val="ListParagraph"/>
        <w:numPr>
          <w:ilvl w:val="0"/>
          <w:numId w:val="6"/>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MarriageRites/Ceremony</w:t>
      </w:r>
      <w:r w:rsidRPr="004F0794">
        <w:rPr>
          <w:rFonts w:ascii="Times New Roman" w:eastAsia="Times New Roman" w:hAnsi="Times New Roman" w:cs="Times New Roman"/>
          <w:color w:val="000000" w:themeColor="text1"/>
          <w:sz w:val="24"/>
          <w:szCs w:val="24"/>
        </w:rPr>
        <w:t>: A ceremony according to custom is required. This includes various steps: introduction/knocking (pre-visity groom’s family), engagement, and the formal traditional wedding. It is common to break kola nut together, pour libation, exchange gifts, for the bride’s father hand her over to the groom, and communal feast.</w:t>
      </w:r>
      <w:r w:rsidRPr="004F0794">
        <w:rPr>
          <w:rStyle w:val="FootnoteReference"/>
          <w:rFonts w:ascii="Times New Roman" w:eastAsia="Times New Roman" w:hAnsi="Times New Roman" w:cs="Times New Roman"/>
          <w:color w:val="000000" w:themeColor="text1"/>
          <w:sz w:val="24"/>
          <w:szCs w:val="24"/>
        </w:rPr>
        <w:footnoteReference w:id="44"/>
      </w:r>
    </w:p>
    <w:p w:rsidR="00860B99" w:rsidRPr="004F0794" w:rsidRDefault="00860B99" w:rsidP="00860B99">
      <w:pPr>
        <w:pStyle w:val="ListParagraph"/>
        <w:numPr>
          <w:ilvl w:val="0"/>
          <w:numId w:val="6"/>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Polygamy</w:t>
      </w:r>
      <w:r w:rsidRPr="004F0794">
        <w:rPr>
          <w:rFonts w:ascii="Times New Roman" w:eastAsia="Times New Roman" w:hAnsi="Times New Roman" w:cs="Times New Roman"/>
          <w:color w:val="000000" w:themeColor="text1"/>
          <w:sz w:val="24"/>
          <w:szCs w:val="24"/>
        </w:rPr>
        <w:t>: A customary marriage is polygamous, hence, the husband may marry more than one wife. As Sagay noted,</w:t>
      </w:r>
      <w:r w:rsidRPr="004F0794">
        <w:rPr>
          <w:rStyle w:val="FootnoteReference"/>
          <w:rFonts w:ascii="Times New Roman" w:eastAsia="Times New Roman" w:hAnsi="Times New Roman" w:cs="Times New Roman"/>
          <w:color w:val="000000" w:themeColor="text1"/>
          <w:sz w:val="24"/>
          <w:szCs w:val="24"/>
        </w:rPr>
        <w:footnoteReference w:id="45"/>
      </w:r>
      <w:r w:rsidRPr="004F0794">
        <w:rPr>
          <w:rFonts w:ascii="Times New Roman" w:eastAsia="Times New Roman" w:hAnsi="Times New Roman" w:cs="Times New Roman"/>
          <w:color w:val="000000" w:themeColor="text1"/>
          <w:sz w:val="24"/>
          <w:szCs w:val="24"/>
        </w:rPr>
        <w:t xml:space="preserve"> even if a man has one wife at a time under customary law, what matters is that he retains the capacity to marry others. Therefore, a customary marriage is not exclusive by nature. The flip side is that wives in customary marriage do not have a right to object to subsequent wives.</w:t>
      </w:r>
    </w:p>
    <w:p w:rsidR="00860B99" w:rsidRPr="004F0794" w:rsidRDefault="001C75F8" w:rsidP="001C75F8">
      <w:pPr>
        <w:pStyle w:val="Heading3"/>
      </w:pPr>
      <w:bookmarkStart w:id="68" w:name="_Toc232722509"/>
      <w:r w:rsidRPr="004F0794">
        <w:t xml:space="preserve">2.1.4 </w:t>
      </w:r>
      <w:r w:rsidRPr="004F0794">
        <w:tab/>
      </w:r>
      <w:r w:rsidR="00860B99" w:rsidRPr="004F0794">
        <w:t>Legal Status of Customary Marriages:</w:t>
      </w:r>
      <w:bookmarkEnd w:id="68"/>
    </w:p>
    <w:p w:rsidR="00860B99" w:rsidRPr="004F0794" w:rsidRDefault="00860B99" w:rsidP="00860B99">
      <w:pPr>
        <w:pStyle w:val="ListParagraph"/>
        <w:spacing w:before="100" w:beforeAutospacing="1" w:after="100" w:afterAutospacing="1" w:line="480" w:lineRule="auto"/>
        <w:ind w:left="0"/>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Customary law marriages are valid under Nigerian law for most purposes. However, a customary marriage does not confer some incidents that statutory marriage does. For instance, a spouse in a customary marriage cannot petition for divorce under the Matrimonial Causes Act. Also, a customary wife might not enjoy the same property rights under statutory law). Under some states, Customary law marriage may be registered. However, this is evidentiary and it is not a condition for validity. Hence, it would be difficult to proof customary law marriage when it is not registered.</w:t>
      </w:r>
    </w:p>
    <w:p w:rsidR="00860B99" w:rsidRPr="004F0794" w:rsidRDefault="001C75F8" w:rsidP="001C75F8">
      <w:pPr>
        <w:pStyle w:val="Heading3"/>
      </w:pPr>
      <w:bookmarkStart w:id="69" w:name="_Toc232722510"/>
      <w:r w:rsidRPr="004F0794">
        <w:lastRenderedPageBreak/>
        <w:t>2.1.5</w:t>
      </w:r>
      <w:r w:rsidR="00860B99" w:rsidRPr="004F0794">
        <w:t xml:space="preserve"> </w:t>
      </w:r>
      <w:r w:rsidRPr="004F0794">
        <w:tab/>
      </w:r>
      <w:r w:rsidR="00860B99" w:rsidRPr="004F0794">
        <w:t>Essential Incidents of Customary Marriage</w:t>
      </w:r>
      <w:bookmarkEnd w:id="69"/>
    </w:p>
    <w:p w:rsidR="00860B99" w:rsidRPr="004F0794" w:rsidRDefault="00860B99" w:rsidP="001C75F8">
      <w:p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color w:val="000000" w:themeColor="text1"/>
          <w:sz w:val="24"/>
          <w:szCs w:val="24"/>
        </w:rPr>
        <w:t>Essential incidents” of a customary marriage are those consequences or attributes that flow from the marriage under customary law inherently.</w:t>
      </w:r>
      <w:r w:rsidRPr="004F0794">
        <w:rPr>
          <w:rStyle w:val="FootnoteReference"/>
          <w:rFonts w:ascii="Times New Roman" w:eastAsia="Times New Roman" w:hAnsi="Times New Roman" w:cs="Times New Roman"/>
          <w:color w:val="000000" w:themeColor="text1"/>
          <w:sz w:val="24"/>
          <w:szCs w:val="24"/>
        </w:rPr>
        <w:footnoteReference w:id="46"/>
      </w:r>
      <w:r w:rsidRPr="004F0794">
        <w:rPr>
          <w:rFonts w:ascii="Times New Roman" w:eastAsia="Times New Roman" w:hAnsi="Times New Roman" w:cs="Times New Roman"/>
          <w:color w:val="000000" w:themeColor="text1"/>
          <w:sz w:val="24"/>
          <w:szCs w:val="24"/>
        </w:rPr>
        <w:t xml:space="preserve"> They include the following: </w:t>
      </w:r>
    </w:p>
    <w:p w:rsidR="00860B99" w:rsidRPr="004F0794" w:rsidRDefault="00860B99" w:rsidP="00860B99">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b/>
          <w:color w:val="000000" w:themeColor="text1"/>
          <w:sz w:val="24"/>
          <w:szCs w:val="24"/>
        </w:rPr>
        <w:t>The role of family:</w:t>
      </w:r>
      <w:r w:rsidRPr="004F0794">
        <w:rPr>
          <w:rFonts w:ascii="Times New Roman" w:eastAsia="Times New Roman" w:hAnsi="Times New Roman" w:cs="Times New Roman"/>
          <w:color w:val="000000" w:themeColor="text1"/>
          <w:sz w:val="24"/>
          <w:szCs w:val="24"/>
        </w:rPr>
        <w:t xml:space="preserve"> The family of both parties has a continuous role in the marriage. Even after the wedding, the extended family has recognised interests. In some cultures, serious disputes are expected to be mediated by family elders before any resort to separation. If a wife is maltreated, her family intervenes by the custom of “</w:t>
      </w:r>
      <w:r w:rsidRPr="004F0794">
        <w:rPr>
          <w:rFonts w:ascii="Times New Roman" w:eastAsia="Times New Roman" w:hAnsi="Times New Roman" w:cs="Times New Roman"/>
          <w:i/>
          <w:iCs/>
          <w:color w:val="000000" w:themeColor="text1"/>
          <w:sz w:val="24"/>
          <w:szCs w:val="24"/>
        </w:rPr>
        <w:t>igo mma nwanyi</w:t>
      </w:r>
      <w:r w:rsidRPr="004F0794">
        <w:rPr>
          <w:rFonts w:ascii="Times New Roman" w:eastAsia="Times New Roman" w:hAnsi="Times New Roman" w:cs="Times New Roman"/>
          <w:color w:val="000000" w:themeColor="text1"/>
          <w:sz w:val="24"/>
          <w:szCs w:val="24"/>
        </w:rPr>
        <w:t>” (Igbo: retrieving the bride). This takes the bride back until the husband apologises or changes. A spouse’s misbehavior might bring shame or require restitution to the other family.</w:t>
      </w:r>
      <w:r w:rsidRPr="004F0794">
        <w:rPr>
          <w:rStyle w:val="FootnoteReference"/>
          <w:rFonts w:ascii="Times New Roman" w:eastAsia="Times New Roman" w:hAnsi="Times New Roman" w:cs="Times New Roman"/>
          <w:color w:val="000000" w:themeColor="text1"/>
          <w:sz w:val="24"/>
          <w:szCs w:val="24"/>
        </w:rPr>
        <w:footnoteReference w:id="47"/>
      </w:r>
    </w:p>
    <w:p w:rsidR="00860B99" w:rsidRPr="004F0794" w:rsidRDefault="00860B99" w:rsidP="00860B99">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b/>
          <w:bCs/>
          <w:color w:val="000000" w:themeColor="text1"/>
          <w:sz w:val="24"/>
          <w:szCs w:val="24"/>
        </w:rPr>
        <w:t>Bride Price and its refund</w:t>
      </w:r>
      <w:r w:rsidRPr="004F0794">
        <w:rPr>
          <w:rFonts w:ascii="Times New Roman" w:eastAsia="Times New Roman" w:hAnsi="Times New Roman" w:cs="Times New Roman"/>
          <w:color w:val="000000" w:themeColor="text1"/>
          <w:sz w:val="24"/>
          <w:szCs w:val="24"/>
        </w:rPr>
        <w:t>: Bride price is an element required in the formation of a customary law marriage. It is also an essential incident because it affects the ongoing relationship and dissolution. As long as a marriage subsists, the bride price is “held” by the bride’s family. If the wife dies, some customs require part of it to be returned (since the “marriage contract” was cut short by her death without issue, in some areas). If the marriage is to be dissolved, the bride price must be refunded to the husband’</w:t>
      </w:r>
      <w:r w:rsidR="009870A0">
        <w:rPr>
          <w:rFonts w:ascii="Times New Roman" w:eastAsia="Times New Roman" w:hAnsi="Times New Roman" w:cs="Times New Roman"/>
          <w:color w:val="000000" w:themeColor="text1"/>
          <w:sz w:val="24"/>
          <w:szCs w:val="24"/>
        </w:rPr>
        <w:t xml:space="preserve">s family and this makes the </w:t>
      </w:r>
      <w:r w:rsidRPr="004F0794">
        <w:rPr>
          <w:rFonts w:ascii="Times New Roman" w:eastAsia="Times New Roman" w:hAnsi="Times New Roman" w:cs="Times New Roman"/>
          <w:color w:val="000000" w:themeColor="text1"/>
          <w:sz w:val="24"/>
          <w:szCs w:val="24"/>
        </w:rPr>
        <w:t>dissolution to be recognised.</w:t>
      </w:r>
      <w:r w:rsidRPr="004F0794">
        <w:rPr>
          <w:rStyle w:val="FootnoteReference"/>
          <w:rFonts w:ascii="Times New Roman" w:eastAsia="Times New Roman" w:hAnsi="Times New Roman" w:cs="Times New Roman"/>
          <w:color w:val="000000" w:themeColor="text1"/>
          <w:sz w:val="24"/>
          <w:szCs w:val="24"/>
        </w:rPr>
        <w:footnoteReference w:id="48"/>
      </w:r>
    </w:p>
    <w:p w:rsidR="00860B99" w:rsidRPr="004F0794" w:rsidRDefault="00860B99" w:rsidP="00860B99">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b/>
          <w:bCs/>
          <w:color w:val="000000" w:themeColor="text1"/>
          <w:sz w:val="24"/>
          <w:szCs w:val="24"/>
        </w:rPr>
        <w:t>Mutual obligations and consortium</w:t>
      </w:r>
      <w:r w:rsidRPr="004F0794">
        <w:rPr>
          <w:rFonts w:ascii="Times New Roman" w:eastAsia="Times New Roman" w:hAnsi="Times New Roman" w:cs="Times New Roman"/>
          <w:color w:val="000000" w:themeColor="text1"/>
          <w:sz w:val="24"/>
          <w:szCs w:val="24"/>
        </w:rPr>
        <w:t>: Customary marriage imposes on the husband the duty to maintain his wife (or wives) and children. That is, provide shelter, food, clothing. Conversely, wives are expected to be obedient and assist in the husband’s household.</w:t>
      </w:r>
    </w:p>
    <w:p w:rsidR="00860B99" w:rsidRPr="004F0794" w:rsidRDefault="00860B99" w:rsidP="00860B99">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b/>
          <w:bCs/>
          <w:color w:val="000000" w:themeColor="text1"/>
          <w:sz w:val="24"/>
          <w:szCs w:val="24"/>
        </w:rPr>
        <w:t>Property regime</w:t>
      </w:r>
      <w:r w:rsidRPr="004F0794">
        <w:rPr>
          <w:rFonts w:ascii="Times New Roman" w:eastAsia="Times New Roman" w:hAnsi="Times New Roman" w:cs="Times New Roman"/>
          <w:color w:val="000000" w:themeColor="text1"/>
          <w:sz w:val="24"/>
          <w:szCs w:val="24"/>
        </w:rPr>
        <w:t xml:space="preserve">: Under many customary laws, marital property is not jointly owned. The general principle (with some exceptions) is that each party keeps their property </w:t>
      </w:r>
      <w:r w:rsidRPr="004F0794">
        <w:rPr>
          <w:rFonts w:ascii="Times New Roman" w:eastAsia="Times New Roman" w:hAnsi="Times New Roman" w:cs="Times New Roman"/>
          <w:color w:val="000000" w:themeColor="text1"/>
          <w:sz w:val="24"/>
          <w:szCs w:val="24"/>
        </w:rPr>
        <w:lastRenderedPageBreak/>
        <w:t>separate. Conversely, that property may be owned by the family/lineage. The husband typically controls family land and major resources. A wife may have her personal property (e.g., her cookin</w:t>
      </w:r>
      <w:r w:rsidR="009870A0">
        <w:rPr>
          <w:rFonts w:ascii="Times New Roman" w:eastAsia="Times New Roman" w:hAnsi="Times New Roman" w:cs="Times New Roman"/>
          <w:color w:val="000000" w:themeColor="text1"/>
          <w:sz w:val="24"/>
          <w:szCs w:val="24"/>
        </w:rPr>
        <w:t xml:space="preserve">g utensils, clothing, sometimes </w:t>
      </w:r>
      <w:r w:rsidRPr="004F0794">
        <w:rPr>
          <w:rFonts w:ascii="Times New Roman" w:eastAsia="Times New Roman" w:hAnsi="Times New Roman" w:cs="Times New Roman"/>
          <w:color w:val="000000" w:themeColor="text1"/>
          <w:sz w:val="24"/>
          <w:szCs w:val="24"/>
        </w:rPr>
        <w:t>profits from her trading activities). However, on divorce or death, property is not split into half as in statutory law. Some customs did/do give a widow user rights in some of her late husband’s land under the condition that she remains with the family (or remarries within it).</w:t>
      </w:r>
      <w:r w:rsidRPr="004F0794">
        <w:rPr>
          <w:rStyle w:val="FootnoteReference"/>
          <w:rFonts w:ascii="Times New Roman" w:eastAsia="Times New Roman" w:hAnsi="Times New Roman" w:cs="Times New Roman"/>
          <w:color w:val="000000" w:themeColor="text1"/>
          <w:sz w:val="24"/>
          <w:szCs w:val="24"/>
        </w:rPr>
        <w:footnoteReference w:id="49"/>
      </w:r>
    </w:p>
    <w:p w:rsidR="00860B99" w:rsidRPr="004F0794" w:rsidRDefault="00860B99" w:rsidP="00860B99">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b/>
          <w:bCs/>
          <w:color w:val="000000" w:themeColor="text1"/>
          <w:sz w:val="24"/>
          <w:szCs w:val="24"/>
        </w:rPr>
        <w:t>Custody of children</w:t>
      </w:r>
      <w:r w:rsidRPr="004F0794">
        <w:rPr>
          <w:rFonts w:ascii="Times New Roman" w:eastAsia="Times New Roman" w:hAnsi="Times New Roman" w:cs="Times New Roman"/>
          <w:color w:val="000000" w:themeColor="text1"/>
          <w:sz w:val="24"/>
          <w:szCs w:val="24"/>
        </w:rPr>
        <w:t>: Under the customary law, children “belong” to the husband’s lineage because he paid bride price. Hence, if a marriage dissolves, the husband or his family have a strong claim to the children (especially once past infancy). A mother might keep very young children until weaned. However, older children are expected to be with the father or his people. This has been moderated by the Child Rights Act 2003 and welfare principles.  However, in pure customary setting, paternal right are dominant. Interestingly, if bride price was not paid, some customs assumes that the children belongs to the mother’s family. If a child was born before the refund of bride price, it is the husband’s child.  Hence, refunding bride price does not change that paternity.</w:t>
      </w:r>
      <w:r w:rsidRPr="004F0794">
        <w:rPr>
          <w:rStyle w:val="FootnoteReference"/>
          <w:rFonts w:ascii="Times New Roman" w:eastAsia="Times New Roman" w:hAnsi="Times New Roman" w:cs="Times New Roman"/>
          <w:color w:val="000000" w:themeColor="text1"/>
          <w:sz w:val="24"/>
          <w:szCs w:val="24"/>
        </w:rPr>
        <w:footnoteReference w:id="50"/>
      </w:r>
    </w:p>
    <w:p w:rsidR="00860B99" w:rsidRPr="004F0794" w:rsidRDefault="00860B99" w:rsidP="00860B99">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b/>
          <w:bCs/>
          <w:color w:val="000000" w:themeColor="text1"/>
          <w:sz w:val="24"/>
          <w:szCs w:val="24"/>
        </w:rPr>
        <w:t>Consortium and Fidelity</w:t>
      </w:r>
      <w:r w:rsidRPr="004F0794">
        <w:rPr>
          <w:rFonts w:ascii="Times New Roman" w:eastAsia="Times New Roman" w:hAnsi="Times New Roman" w:cs="Times New Roman"/>
          <w:color w:val="000000" w:themeColor="text1"/>
          <w:sz w:val="24"/>
          <w:szCs w:val="24"/>
        </w:rPr>
        <w:t>: Under customary law, wives are expected to be faithful. Adultery by wife is a ground for severe sanctions or divorce with heavy damages called “bride price not refunded in full” or fines. Husbands are not held to monogamous fidelity. However, outright adultery (sleeping with another man’s wife) is a wrong against that man. Sexual exclusivity for wives is thus an incident. For husbands, sexual exclusivity relates only to other men’s wives or certain forbidden relations.</w:t>
      </w:r>
      <w:r w:rsidRPr="004F0794">
        <w:rPr>
          <w:rStyle w:val="FootnoteReference"/>
          <w:rFonts w:ascii="Times New Roman" w:eastAsia="Times New Roman" w:hAnsi="Times New Roman" w:cs="Times New Roman"/>
          <w:color w:val="000000" w:themeColor="text1"/>
          <w:sz w:val="24"/>
          <w:szCs w:val="24"/>
        </w:rPr>
        <w:footnoteReference w:id="51"/>
      </w:r>
    </w:p>
    <w:p w:rsidR="00860B99" w:rsidRPr="004F0794" w:rsidRDefault="001C75F8" w:rsidP="001C75F8">
      <w:pPr>
        <w:pStyle w:val="Heading3"/>
      </w:pPr>
      <w:bookmarkStart w:id="70" w:name="_Toc232722511"/>
      <w:r w:rsidRPr="004F0794">
        <w:lastRenderedPageBreak/>
        <w:t>2.1.6</w:t>
      </w:r>
      <w:r w:rsidR="00860B99" w:rsidRPr="004F0794">
        <w:t xml:space="preserve"> </w:t>
      </w:r>
      <w:r w:rsidRPr="004F0794">
        <w:tab/>
      </w:r>
      <w:r w:rsidR="00860B99" w:rsidRPr="004F0794">
        <w:t>Distinction between Customary Law Marriage and Statutory Marriage</w:t>
      </w:r>
      <w:bookmarkEnd w:id="70"/>
    </w:p>
    <w:p w:rsidR="00860B99" w:rsidRPr="004F0794" w:rsidRDefault="00860B99" w:rsidP="00860B99">
      <w:pPr>
        <w:spacing w:before="100" w:beforeAutospacing="1" w:after="100" w:afterAutospacing="1" w:line="480" w:lineRule="auto"/>
        <w:ind w:left="360"/>
        <w:jc w:val="both"/>
        <w:outlineLvl w:val="3"/>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color w:val="000000" w:themeColor="text1"/>
          <w:sz w:val="24"/>
          <w:szCs w:val="24"/>
        </w:rPr>
        <w:t xml:space="preserve">It is crucial to distinguish between customary law marriage and statutory. This is because they operate under different rules and they have different implications. </w:t>
      </w:r>
      <w:r w:rsidRPr="009870A0">
        <w:rPr>
          <w:rFonts w:ascii="Times New Roman" w:eastAsia="Times New Roman" w:hAnsi="Times New Roman" w:cs="Times New Roman"/>
          <w:bCs/>
          <w:color w:val="000000" w:themeColor="text1"/>
          <w:sz w:val="24"/>
          <w:szCs w:val="24"/>
        </w:rPr>
        <w:t xml:space="preserve">The </w:t>
      </w:r>
      <w:r w:rsidRPr="009870A0">
        <w:rPr>
          <w:rFonts w:ascii="Times New Roman" w:eastAsia="Times New Roman" w:hAnsi="Times New Roman" w:cs="Times New Roman"/>
          <w:color w:val="000000" w:themeColor="text1"/>
          <w:sz w:val="24"/>
          <w:szCs w:val="24"/>
        </w:rPr>
        <w:t>Key distinctions include</w:t>
      </w:r>
      <w:r w:rsidR="008E427A">
        <w:rPr>
          <w:rFonts w:ascii="Times New Roman" w:eastAsia="Times New Roman" w:hAnsi="Times New Roman" w:cs="Times New Roman"/>
          <w:color w:val="000000" w:themeColor="text1"/>
          <w:sz w:val="24"/>
          <w:szCs w:val="24"/>
        </w:rPr>
        <w:t>:</w:t>
      </w:r>
    </w:p>
    <w:p w:rsidR="00860B99" w:rsidRPr="004F0794" w:rsidRDefault="00860B99" w:rsidP="00860B99">
      <w:pPr>
        <w:pStyle w:val="ListParagraph"/>
        <w:numPr>
          <w:ilvl w:val="0"/>
          <w:numId w:val="4"/>
        </w:numPr>
        <w:spacing w:before="100" w:beforeAutospacing="1" w:after="100" w:afterAutospacing="1" w:line="480" w:lineRule="auto"/>
        <w:jc w:val="both"/>
        <w:rPr>
          <w:rFonts w:ascii="Times New Roman" w:eastAsia="Times New Roman" w:hAnsi="Times New Roman" w:cs="Times New Roman"/>
          <w:b/>
          <w:color w:val="000000" w:themeColor="text1"/>
          <w:sz w:val="24"/>
          <w:szCs w:val="24"/>
        </w:rPr>
      </w:pPr>
      <w:r w:rsidRPr="004F0794">
        <w:rPr>
          <w:rFonts w:ascii="Times New Roman" w:eastAsia="Times New Roman" w:hAnsi="Times New Roman" w:cs="Times New Roman"/>
          <w:b/>
          <w:bCs/>
          <w:color w:val="000000" w:themeColor="text1"/>
          <w:sz w:val="24"/>
          <w:szCs w:val="24"/>
        </w:rPr>
        <w:t>Form and Legal Framework</w:t>
      </w:r>
    </w:p>
    <w:p w:rsidR="00860B99" w:rsidRPr="004F0794" w:rsidRDefault="00860B99" w:rsidP="00860B99">
      <w:pPr>
        <w:spacing w:before="100" w:beforeAutospacing="1" w:after="100" w:afterAutospacing="1" w:line="480" w:lineRule="auto"/>
        <w:ind w:left="360"/>
        <w:jc w:val="both"/>
        <w:rPr>
          <w:rFonts w:ascii="Times New Roman" w:eastAsia="Times New Roman" w:hAnsi="Times New Roman" w:cs="Times New Roman"/>
          <w:b/>
          <w:color w:val="000000" w:themeColor="text1"/>
          <w:sz w:val="24"/>
          <w:szCs w:val="24"/>
        </w:rPr>
      </w:pPr>
      <w:r w:rsidRPr="004F0794">
        <w:rPr>
          <w:rFonts w:ascii="Times New Roman" w:eastAsia="Times New Roman" w:hAnsi="Times New Roman" w:cs="Times New Roman"/>
          <w:color w:val="000000" w:themeColor="text1"/>
          <w:sz w:val="24"/>
          <w:szCs w:val="24"/>
        </w:rPr>
        <w:t>A statutory marriage is celebrated under the Marriage Act, usually at a marriage registry or licensed place of worship, in the presence of a registrar or minister and witnesses, following a prescribed procedure (notice, oath that no impediment of prior marriage, etc.).</w:t>
      </w:r>
      <w:r w:rsidRPr="004F0794">
        <w:rPr>
          <w:rStyle w:val="FootnoteReference"/>
          <w:rFonts w:ascii="Times New Roman" w:eastAsia="Times New Roman" w:hAnsi="Times New Roman" w:cs="Times New Roman"/>
          <w:color w:val="000000" w:themeColor="text1"/>
          <w:sz w:val="24"/>
          <w:szCs w:val="24"/>
        </w:rPr>
        <w:footnoteReference w:id="52"/>
      </w:r>
      <w:r w:rsidRPr="004F0794">
        <w:rPr>
          <w:rFonts w:ascii="Times New Roman" w:eastAsia="Times New Roman" w:hAnsi="Times New Roman" w:cs="Times New Roman"/>
          <w:color w:val="000000" w:themeColor="text1"/>
          <w:sz w:val="24"/>
          <w:szCs w:val="24"/>
        </w:rPr>
        <w:t xml:space="preserve"> It produces a government-issued marriage certificate and it is monogamous by law. Section 35 of the Marriage Act invalidates any statutory marriage if either party was, at the time, married under customary law to someone else. In contrast, a customary marriage is governed by customary law. It is validated by customary rites and the agreement of families.</w:t>
      </w:r>
      <w:r w:rsidRPr="004F0794">
        <w:rPr>
          <w:rStyle w:val="FootnoteReference"/>
          <w:rFonts w:ascii="Times New Roman" w:eastAsia="Times New Roman" w:hAnsi="Times New Roman" w:cs="Times New Roman"/>
          <w:color w:val="000000" w:themeColor="text1"/>
          <w:sz w:val="24"/>
          <w:szCs w:val="24"/>
        </w:rPr>
        <w:footnoteReference w:id="53"/>
      </w:r>
      <w:r w:rsidRPr="004F0794">
        <w:rPr>
          <w:rFonts w:ascii="Times New Roman" w:eastAsia="Times New Roman" w:hAnsi="Times New Roman" w:cs="Times New Roman"/>
          <w:color w:val="000000" w:themeColor="text1"/>
          <w:sz w:val="24"/>
          <w:szCs w:val="24"/>
        </w:rPr>
        <w:t xml:space="preserve"> No federal certificate is issued for customary marriages. However, local acknowledgment letters may be provided. Thus, evidentiary status differs. A statutory marriage certificate is a conclusive proof of marriage. In contrast, a customary marriage may require oral or other evidence to establish its validity </w:t>
      </w:r>
    </w:p>
    <w:p w:rsidR="00860B99" w:rsidRPr="004F0794" w:rsidRDefault="00860B99" w:rsidP="00860B99">
      <w:pPr>
        <w:pStyle w:val="ListParagraph"/>
        <w:numPr>
          <w:ilvl w:val="0"/>
          <w:numId w:val="4"/>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Nature of the Union (Monogamy vs Polygamy)</w:t>
      </w:r>
    </w:p>
    <w:p w:rsidR="00860B99" w:rsidRPr="004F0794" w:rsidRDefault="00860B99" w:rsidP="00860B99">
      <w:pPr>
        <w:spacing w:before="100" w:beforeAutospacing="1" w:after="100" w:afterAutospacing="1" w:line="480" w:lineRule="auto"/>
        <w:ind w:left="360"/>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Statutory marriage is monogamous (one man, one woman and neither can marry another during its subsistence). Customary marriage is polygamous potentially: one man, multiple wives (polyandry is not allowed in any known custom in Nigeria). This means a man in a customary union may take a second wife under custom without the first marriage being </w:t>
      </w:r>
      <w:r w:rsidRPr="004F0794">
        <w:rPr>
          <w:rFonts w:ascii="Times New Roman" w:eastAsia="Times New Roman" w:hAnsi="Times New Roman" w:cs="Times New Roman"/>
          <w:color w:val="000000" w:themeColor="text1"/>
          <w:sz w:val="24"/>
          <w:szCs w:val="24"/>
        </w:rPr>
        <w:lastRenderedPageBreak/>
        <w:t>dissolved or illegal. On the other hand, if he had a statutory marriage, marrying another (statutorily or customarily) would be illegal (bigamy) and void.</w:t>
      </w:r>
      <w:r w:rsidRPr="004F0794">
        <w:rPr>
          <w:rStyle w:val="FootnoteReference"/>
          <w:rFonts w:ascii="Times New Roman" w:eastAsia="Times New Roman" w:hAnsi="Times New Roman" w:cs="Times New Roman"/>
          <w:color w:val="000000" w:themeColor="text1"/>
          <w:sz w:val="24"/>
          <w:szCs w:val="24"/>
        </w:rPr>
        <w:footnoteReference w:id="54"/>
      </w:r>
      <w:r w:rsidRPr="004F0794">
        <w:rPr>
          <w:rFonts w:ascii="Times New Roman" w:eastAsia="Times New Roman" w:hAnsi="Times New Roman" w:cs="Times New Roman"/>
          <w:color w:val="000000" w:themeColor="text1"/>
          <w:sz w:val="24"/>
          <w:szCs w:val="24"/>
        </w:rPr>
        <w:t xml:space="preserve"> This difference is more than academic. It affects societal behaviour. Men sometimes avoid statutory marriage if they envisage taking another wife. They opt for customary to keep that option open. It also affects the legal status of subsequent unions. a second “wife” under custom when the first marriage was statutory has no legal recognition as a wife.</w:t>
      </w:r>
    </w:p>
    <w:p w:rsidR="00860B99" w:rsidRPr="004F0794" w:rsidRDefault="00860B99" w:rsidP="00860B99">
      <w:pPr>
        <w:pStyle w:val="ListParagraph"/>
        <w:numPr>
          <w:ilvl w:val="0"/>
          <w:numId w:val="4"/>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Consent Requirements</w:t>
      </w:r>
    </w:p>
    <w:p w:rsidR="00860B99" w:rsidRPr="004F0794" w:rsidRDefault="00860B99" w:rsidP="00860B99">
      <w:pPr>
        <w:spacing w:before="100" w:beforeAutospacing="1" w:after="100" w:afterAutospacing="1" w:line="480" w:lineRule="auto"/>
        <w:ind w:left="360"/>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Both types require the free consent of the couple, but statutory law only requires the couple’s consent (with an objection mechanism if someone knows of an impediment). Customary law effectively requires two levels of consent: the couple and their families (especially the bride’s family).</w:t>
      </w:r>
      <w:r w:rsidRPr="004F0794">
        <w:rPr>
          <w:rStyle w:val="FootnoteReference"/>
          <w:rFonts w:ascii="Times New Roman" w:eastAsia="Times New Roman" w:hAnsi="Times New Roman" w:cs="Times New Roman"/>
          <w:color w:val="000000" w:themeColor="text1"/>
          <w:sz w:val="24"/>
          <w:szCs w:val="24"/>
        </w:rPr>
        <w:footnoteReference w:id="55"/>
      </w:r>
      <w:r w:rsidRPr="004F0794">
        <w:rPr>
          <w:rFonts w:ascii="Times New Roman" w:eastAsia="Times New Roman" w:hAnsi="Times New Roman" w:cs="Times New Roman"/>
          <w:color w:val="000000" w:themeColor="text1"/>
          <w:sz w:val="24"/>
          <w:szCs w:val="24"/>
        </w:rPr>
        <w:t xml:space="preserve"> Without family consent, a customary marriage might not proceed or be respected (though modern practices vary). Under statutory law, age and parental consent is not required legally (except that minors under 21 need a guardian’s consent or the marriage can be voidable under the Act).</w:t>
      </w:r>
      <w:r w:rsidRPr="004F0794">
        <w:rPr>
          <w:rStyle w:val="FootnoteReference"/>
          <w:rFonts w:ascii="Times New Roman" w:eastAsia="Times New Roman" w:hAnsi="Times New Roman" w:cs="Times New Roman"/>
          <w:color w:val="000000" w:themeColor="text1"/>
          <w:sz w:val="24"/>
          <w:szCs w:val="24"/>
        </w:rPr>
        <w:footnoteReference w:id="56"/>
      </w:r>
    </w:p>
    <w:p w:rsidR="00860B99" w:rsidRPr="004F0794" w:rsidRDefault="00860B99" w:rsidP="00860B99">
      <w:pPr>
        <w:pStyle w:val="ListParagraph"/>
        <w:numPr>
          <w:ilvl w:val="0"/>
          <w:numId w:val="4"/>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Validity of Marriage:</w:t>
      </w:r>
    </w:p>
    <w:p w:rsidR="00860B99" w:rsidRDefault="00860B99" w:rsidP="00860B99">
      <w:pPr>
        <w:spacing w:before="100" w:beforeAutospacing="1" w:after="100" w:afterAutospacing="1" w:line="480" w:lineRule="auto"/>
        <w:ind w:left="360"/>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For statutory marriage, the validity of marriage is objective: either the known procedure was followed or not. For custom, validly may be subjective. It depends on the customary steps which were taken. For instance, but under custom, if dowry was not paid (or waived by family explicitly), the marriage might be considered incomplete.</w:t>
      </w:r>
      <w:r w:rsidRPr="004F0794">
        <w:rPr>
          <w:rStyle w:val="FootnoteReference"/>
          <w:rFonts w:ascii="Times New Roman" w:eastAsia="Times New Roman" w:hAnsi="Times New Roman" w:cs="Times New Roman"/>
          <w:color w:val="000000" w:themeColor="text1"/>
          <w:sz w:val="24"/>
          <w:szCs w:val="24"/>
        </w:rPr>
        <w:footnoteReference w:id="57"/>
      </w:r>
    </w:p>
    <w:p w:rsidR="00DB2257" w:rsidRPr="004F0794" w:rsidRDefault="00DB2257" w:rsidP="00860B99">
      <w:pPr>
        <w:spacing w:before="100" w:beforeAutospacing="1" w:after="100" w:afterAutospacing="1" w:line="480" w:lineRule="auto"/>
        <w:ind w:left="360"/>
        <w:jc w:val="both"/>
        <w:rPr>
          <w:rFonts w:ascii="Times New Roman" w:eastAsia="Times New Roman" w:hAnsi="Times New Roman" w:cs="Times New Roman"/>
          <w:color w:val="000000" w:themeColor="text1"/>
          <w:sz w:val="24"/>
          <w:szCs w:val="24"/>
        </w:rPr>
      </w:pPr>
    </w:p>
    <w:p w:rsidR="00860B99" w:rsidRPr="004F0794" w:rsidRDefault="00860B99" w:rsidP="00860B99">
      <w:pPr>
        <w:pStyle w:val="ListParagraph"/>
        <w:numPr>
          <w:ilvl w:val="0"/>
          <w:numId w:val="4"/>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lastRenderedPageBreak/>
        <w:t>Process of Dissolution:</w:t>
      </w:r>
    </w:p>
    <w:p w:rsidR="00860B99" w:rsidRPr="004F0794" w:rsidRDefault="00860B99" w:rsidP="00860B99">
      <w:pPr>
        <w:spacing w:before="100" w:beforeAutospacing="1" w:after="100" w:afterAutospacing="1" w:line="480" w:lineRule="auto"/>
        <w:ind w:left="360"/>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A statutory marriage can be dissolved only by a High Court under the Matrimonial Causes Act when there is proof that the marriage has </w:t>
      </w:r>
      <w:r w:rsidRPr="004F0794">
        <w:rPr>
          <w:rFonts w:ascii="Times New Roman" w:eastAsia="Times New Roman" w:hAnsi="Times New Roman" w:cs="Times New Roman"/>
          <w:i/>
          <w:iCs/>
          <w:color w:val="000000" w:themeColor="text1"/>
          <w:sz w:val="24"/>
          <w:szCs w:val="24"/>
        </w:rPr>
        <w:t>“irretrievable breakdown”</w:t>
      </w:r>
      <w:r w:rsidRPr="004F0794">
        <w:rPr>
          <w:rFonts w:ascii="Times New Roman" w:eastAsia="Times New Roman" w:hAnsi="Times New Roman" w:cs="Times New Roman"/>
          <w:color w:val="000000" w:themeColor="text1"/>
          <w:sz w:val="24"/>
          <w:szCs w:val="24"/>
        </w:rPr>
        <w:t xml:space="preserve"> Dissolution is permitted only after at least 2 years of marriage (unless exceptional hardship) Divorce proceedings are time-consuming and it also requires legal representation in most cases. Conversely, customary marriage may be dissolved informally or in customary courts. There is no time bar. A marriage may be dissolved even within a year if the families agree. The grounds for divorce are also not codified. Hence, it may be dissolved any reason that the families consider sufficient. Most times, reconciliation is attempted by elders. However, if it fails, divorce is then finalised when the bride price is returned. Customary courts formalises it by pronouncing a dissolution. It also ensures that these steps occurred. </w:t>
      </w:r>
    </w:p>
    <w:p w:rsidR="00860B99" w:rsidRPr="004F0794" w:rsidRDefault="00860B99" w:rsidP="00860B99">
      <w:pPr>
        <w:pStyle w:val="ListParagraph"/>
        <w:numPr>
          <w:ilvl w:val="0"/>
          <w:numId w:val="4"/>
        </w:num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
          <w:bCs/>
          <w:color w:val="000000" w:themeColor="text1"/>
          <w:sz w:val="24"/>
          <w:szCs w:val="24"/>
        </w:rPr>
        <w:t>Rights and Obligations:</w:t>
      </w:r>
    </w:p>
    <w:p w:rsidR="00860B99" w:rsidRPr="004F0794" w:rsidRDefault="00860B99" w:rsidP="00860B99">
      <w:pPr>
        <w:spacing w:before="100" w:beforeAutospacing="1" w:after="100" w:afterAutospacing="1" w:line="480" w:lineRule="auto"/>
        <w:ind w:left="360"/>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Statutory marriage gives spouses certain statutory rights. For example, a right to petition for maintenance, a share of property under equitable distribution (where applicable), automatic recognition of next-of-kin, among others. In contrast, until recently, customary law, did not grant a wife rights to her husband’s property (inheritance was patrilineal; wives did not inherit in many customs). While laws like the </w:t>
      </w:r>
      <w:r w:rsidRPr="004F0794">
        <w:rPr>
          <w:rFonts w:ascii="Times New Roman" w:eastAsia="Times New Roman" w:hAnsi="Times New Roman" w:cs="Times New Roman"/>
          <w:i/>
          <w:iCs/>
          <w:color w:val="000000" w:themeColor="text1"/>
          <w:sz w:val="24"/>
          <w:szCs w:val="24"/>
        </w:rPr>
        <w:t>Administration of Estates Law</w:t>
      </w:r>
      <w:r w:rsidRPr="004F0794">
        <w:rPr>
          <w:rFonts w:ascii="Times New Roman" w:eastAsia="Times New Roman" w:hAnsi="Times New Roman" w:cs="Times New Roman"/>
          <w:color w:val="000000" w:themeColor="text1"/>
          <w:sz w:val="24"/>
          <w:szCs w:val="24"/>
        </w:rPr>
        <w:t xml:space="preserve"> in southern states have modified this. However, differences remain in practice.  Under statutory law, courts make spousal maintenance orders. However, there is no concept of alimony under custom after divorce. Child maintenance under custom was also not a formalised obligation enforceable by court in the old days. In contrast, fathers have legal duty to maintain children under the statutes. Nowadays, customary courts order child support sometimes. </w:t>
      </w:r>
    </w:p>
    <w:p w:rsidR="001C75F8" w:rsidRPr="004F0794" w:rsidRDefault="001C75F8" w:rsidP="00860B99">
      <w:pPr>
        <w:spacing w:before="100" w:beforeAutospacing="1" w:after="100" w:afterAutospacing="1" w:line="480" w:lineRule="auto"/>
        <w:ind w:left="360"/>
        <w:jc w:val="both"/>
        <w:rPr>
          <w:rFonts w:ascii="Times New Roman" w:eastAsia="Times New Roman" w:hAnsi="Times New Roman" w:cs="Times New Roman"/>
          <w:color w:val="000000" w:themeColor="text1"/>
          <w:sz w:val="24"/>
          <w:szCs w:val="24"/>
        </w:rPr>
      </w:pPr>
    </w:p>
    <w:p w:rsidR="00860B99" w:rsidRPr="004F0794" w:rsidRDefault="00860B99" w:rsidP="001C75F8">
      <w:pPr>
        <w:pStyle w:val="Heading2"/>
        <w:rPr>
          <w:lang w:val="en-US"/>
        </w:rPr>
      </w:pPr>
      <w:bookmarkStart w:id="71" w:name="_Toc232722512"/>
      <w:r w:rsidRPr="004F0794">
        <w:rPr>
          <w:lang w:val="en-US"/>
        </w:rPr>
        <w:t xml:space="preserve">2.2 </w:t>
      </w:r>
      <w:r w:rsidRPr="004F0794">
        <w:rPr>
          <w:lang w:val="en-US"/>
        </w:rPr>
        <w:tab/>
        <w:t>Theoretical Framework</w:t>
      </w:r>
      <w:bookmarkEnd w:id="71"/>
    </w:p>
    <w:p w:rsidR="00860B99" w:rsidRPr="004F0794" w:rsidRDefault="00860B99" w:rsidP="001C75F8">
      <w:pPr>
        <w:pStyle w:val="Heading3"/>
        <w:rPr>
          <w:lang w:val="en-US"/>
        </w:rPr>
      </w:pPr>
      <w:bookmarkStart w:id="72" w:name="_Toc232722513"/>
      <w:r w:rsidRPr="004F0794">
        <w:rPr>
          <w:lang w:val="en-US"/>
        </w:rPr>
        <w:t xml:space="preserve">2.2.1 </w:t>
      </w:r>
      <w:r w:rsidRPr="004F0794">
        <w:rPr>
          <w:lang w:val="en-US"/>
        </w:rPr>
        <w:tab/>
        <w:t>Legal Pluralism Theory</w:t>
      </w:r>
      <w:bookmarkEnd w:id="72"/>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lang w:val="en-US"/>
        </w:rPr>
      </w:pPr>
      <w:r w:rsidRPr="004F0794">
        <w:rPr>
          <w:rFonts w:ascii="Times New Roman" w:eastAsia="Times New Roman" w:hAnsi="Times New Roman" w:cs="Times New Roman"/>
          <w:color w:val="000000" w:themeColor="text1"/>
          <w:sz w:val="24"/>
          <w:szCs w:val="24"/>
          <w:lang w:val="en-US"/>
        </w:rPr>
        <w:t>Legal pluralism refers to the coexistence of two or more normative or legal orders within the same social field or geographical space. It rejects the idea that law comes only from the state and recognises that binding rules may also arise from non-state sources such as custom, religion, community practice and social institutions. The theory is relevant in African states where received English law, indigenous customary law and, in some places, religious law continue to operate side by side. Scholars such as M.B. Hooker, Sally Falk Moore, John Griffiths and Sally Engle Merry are associated widely with the development of legal pluralist thought. Hooker was influential in colonial and post-colonial settings.</w:t>
      </w:r>
      <w:r w:rsidRPr="004F0794">
        <w:rPr>
          <w:rStyle w:val="FootnoteReference"/>
          <w:rFonts w:ascii="Times New Roman" w:hAnsi="Times New Roman" w:cs="Times New Roman"/>
          <w:color w:val="000000" w:themeColor="text1"/>
          <w:sz w:val="24"/>
          <w:szCs w:val="24"/>
          <w:lang w:val="en-US"/>
        </w:rPr>
        <w:footnoteReference w:id="58"/>
      </w:r>
      <w:r w:rsidRPr="004F0794">
        <w:rPr>
          <w:rFonts w:ascii="Times New Roman" w:eastAsia="Times New Roman" w:hAnsi="Times New Roman" w:cs="Times New Roman"/>
          <w:color w:val="000000" w:themeColor="text1"/>
          <w:sz w:val="24"/>
          <w:szCs w:val="24"/>
          <w:lang w:val="en-US"/>
        </w:rPr>
        <w:t xml:space="preserve"> On the other hand,  Griffiths argued that legal pluralism is the “fact” of multiple normative orders. This is opposed to legal centralism which assumes that law is produced only by the state.</w:t>
      </w:r>
      <w:r w:rsidRPr="004F0794">
        <w:rPr>
          <w:rStyle w:val="FootnoteReference"/>
          <w:rFonts w:ascii="Times New Roman" w:hAnsi="Times New Roman" w:cs="Times New Roman"/>
          <w:color w:val="000000" w:themeColor="text1"/>
          <w:sz w:val="24"/>
          <w:szCs w:val="24"/>
          <w:lang w:val="en-US"/>
        </w:rPr>
        <w:footnoteReference w:id="59"/>
      </w:r>
      <w:r w:rsidRPr="004F0794">
        <w:rPr>
          <w:rFonts w:ascii="Times New Roman" w:eastAsia="Times New Roman" w:hAnsi="Times New Roman" w:cs="Times New Roman"/>
          <w:color w:val="000000" w:themeColor="text1"/>
          <w:sz w:val="24"/>
          <w:szCs w:val="24"/>
          <w:lang w:val="en-US"/>
        </w:rPr>
        <w:t xml:space="preserve"> Sally Falk Moore also advanced the theory through her idea of the “semi-autonomous social field.” This shows that social groups generate and enforce their own norms even within the wider framework of state law.</w:t>
      </w:r>
      <w:r w:rsidRPr="004F0794">
        <w:rPr>
          <w:rStyle w:val="FootnoteReference"/>
          <w:rFonts w:ascii="Times New Roman" w:hAnsi="Times New Roman" w:cs="Times New Roman"/>
          <w:color w:val="000000" w:themeColor="text1"/>
          <w:sz w:val="24"/>
          <w:szCs w:val="24"/>
          <w:lang w:val="en-US"/>
        </w:rPr>
        <w:footnoteReference w:id="60"/>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lang w:val="en-US"/>
        </w:rPr>
      </w:pPr>
      <w:r w:rsidRPr="004F0794">
        <w:rPr>
          <w:rFonts w:ascii="Times New Roman" w:eastAsia="Times New Roman" w:hAnsi="Times New Roman" w:cs="Times New Roman"/>
          <w:color w:val="000000" w:themeColor="text1"/>
          <w:sz w:val="24"/>
          <w:szCs w:val="24"/>
          <w:lang w:val="en-US"/>
        </w:rPr>
        <w:t xml:space="preserve">Historically, legal pluralism is a response to the inadequacy of state-centred theories of law in explaining how law actually operates in many societies. During the colonial period, imperial administrations in Africa and Asia often maintained imported state law and at the same time they permit indigenous customary rules to govern matters such as marriage, inheritance, land tenure and family relations. This produced a layered legal order. In post-colonial states such </w:t>
      </w:r>
      <w:r w:rsidRPr="004F0794">
        <w:rPr>
          <w:rFonts w:ascii="Times New Roman" w:eastAsia="Times New Roman" w:hAnsi="Times New Roman" w:cs="Times New Roman"/>
          <w:color w:val="000000" w:themeColor="text1"/>
          <w:sz w:val="24"/>
          <w:szCs w:val="24"/>
          <w:lang w:val="en-US"/>
        </w:rPr>
        <w:lastRenderedPageBreak/>
        <w:t>as Nigeria, that layered structure did not disappear. Rather, it survived constitutionalism and modern legislation. Thus, the legal system in Nigeria today still reflects a plural legal order. Here, statutory law, common law, customary law and Islamic law interact, overlap and sometimes conflict. Legal pluralism therefore offers a useful lens to understand why customary law has continued to survive despite the growth of modern legislation and constitutional governance.</w:t>
      </w:r>
      <w:r w:rsidRPr="004F0794">
        <w:rPr>
          <w:rStyle w:val="FootnoteReference"/>
          <w:rFonts w:ascii="Times New Roman" w:hAnsi="Times New Roman" w:cs="Times New Roman"/>
          <w:color w:val="000000" w:themeColor="text1"/>
          <w:sz w:val="24"/>
          <w:szCs w:val="24"/>
          <w:lang w:val="en-US"/>
        </w:rPr>
        <w:footnoteReference w:id="61"/>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lang w:val="en-US"/>
        </w:rPr>
      </w:pPr>
      <w:r w:rsidRPr="004F0794">
        <w:rPr>
          <w:rFonts w:ascii="Times New Roman" w:eastAsia="Times New Roman" w:hAnsi="Times New Roman" w:cs="Times New Roman"/>
          <w:color w:val="000000" w:themeColor="text1"/>
          <w:sz w:val="24"/>
          <w:szCs w:val="24"/>
          <w:lang w:val="en-US"/>
        </w:rPr>
        <w:t>Nigeria is a classic example of a legally plural society. Its legal system comprises the Constitution, statutes,</w:t>
      </w:r>
      <w:r w:rsidRPr="004F0794">
        <w:rPr>
          <w:rStyle w:val="FootnoteReference"/>
          <w:rFonts w:ascii="Times New Roman" w:hAnsi="Times New Roman" w:cs="Times New Roman"/>
          <w:color w:val="000000" w:themeColor="text1"/>
          <w:sz w:val="24"/>
          <w:szCs w:val="24"/>
          <w:lang w:val="en-US"/>
        </w:rPr>
        <w:footnoteReference w:id="62"/>
      </w:r>
      <w:r w:rsidRPr="004F0794">
        <w:rPr>
          <w:rFonts w:ascii="Times New Roman" w:eastAsia="Times New Roman" w:hAnsi="Times New Roman" w:cs="Times New Roman"/>
          <w:color w:val="000000" w:themeColor="text1"/>
          <w:sz w:val="24"/>
          <w:szCs w:val="24"/>
          <w:lang w:val="en-US"/>
        </w:rPr>
        <w:t xml:space="preserve"> received English law, judicial precedents, customary law and, in many Northern states, Islamic law. The Constitution recognises the institutional place of customary law because it provides for Customary Courts of Appeal in the states</w:t>
      </w:r>
      <w:r w:rsidRPr="004F0794">
        <w:rPr>
          <w:rStyle w:val="FootnoteReference"/>
          <w:rFonts w:ascii="Times New Roman" w:hAnsi="Times New Roman" w:cs="Times New Roman"/>
          <w:color w:val="000000" w:themeColor="text1"/>
          <w:sz w:val="24"/>
          <w:szCs w:val="24"/>
          <w:lang w:val="en-US"/>
        </w:rPr>
        <w:footnoteReference w:id="63"/>
      </w:r>
      <w:r w:rsidRPr="004F0794">
        <w:rPr>
          <w:rFonts w:ascii="Times New Roman" w:eastAsia="Times New Roman" w:hAnsi="Times New Roman" w:cs="Times New Roman"/>
          <w:color w:val="000000" w:themeColor="text1"/>
          <w:sz w:val="24"/>
          <w:szCs w:val="24"/>
          <w:lang w:val="en-US"/>
        </w:rPr>
        <w:t xml:space="preserve"> and they are conferred with jurisdiction over questions of customary law.</w:t>
      </w:r>
      <w:r w:rsidRPr="004F0794">
        <w:rPr>
          <w:rStyle w:val="FootnoteReference"/>
          <w:rFonts w:ascii="Times New Roman" w:hAnsi="Times New Roman" w:cs="Times New Roman"/>
          <w:color w:val="000000" w:themeColor="text1"/>
          <w:sz w:val="24"/>
          <w:szCs w:val="24"/>
          <w:lang w:val="en-US"/>
        </w:rPr>
        <w:footnoteReference w:id="64"/>
      </w:r>
      <w:r w:rsidRPr="004F0794">
        <w:rPr>
          <w:rFonts w:ascii="Times New Roman" w:eastAsia="Times New Roman" w:hAnsi="Times New Roman" w:cs="Times New Roman"/>
          <w:color w:val="000000" w:themeColor="text1"/>
          <w:sz w:val="24"/>
          <w:szCs w:val="24"/>
          <w:lang w:val="en-US"/>
        </w:rPr>
        <w:t xml:space="preserve"> Likewise, the Evidence Act recognises the admissibility and proof of custom.</w:t>
      </w:r>
      <w:r w:rsidRPr="004F0794">
        <w:rPr>
          <w:rStyle w:val="FootnoteReference"/>
          <w:rFonts w:ascii="Times New Roman" w:hAnsi="Times New Roman" w:cs="Times New Roman"/>
          <w:color w:val="000000" w:themeColor="text1"/>
          <w:sz w:val="24"/>
          <w:szCs w:val="24"/>
          <w:lang w:val="en-US"/>
        </w:rPr>
        <w:footnoteReference w:id="65"/>
      </w:r>
      <w:r w:rsidRPr="004F0794">
        <w:rPr>
          <w:rFonts w:ascii="Times New Roman" w:eastAsia="Times New Roman" w:hAnsi="Times New Roman" w:cs="Times New Roman"/>
          <w:color w:val="000000" w:themeColor="text1"/>
          <w:sz w:val="24"/>
          <w:szCs w:val="24"/>
          <w:lang w:val="en-US"/>
        </w:rPr>
        <w:t xml:space="preserve"> The constitution also provides for judicial notice of customs that have become notorious or have been established previously before superior courts.</w:t>
      </w:r>
      <w:r w:rsidRPr="004F0794">
        <w:rPr>
          <w:rStyle w:val="FootnoteReference"/>
          <w:rFonts w:ascii="Times New Roman" w:hAnsi="Times New Roman" w:cs="Times New Roman"/>
          <w:color w:val="000000" w:themeColor="text1"/>
          <w:sz w:val="24"/>
          <w:szCs w:val="24"/>
          <w:lang w:val="en-US"/>
        </w:rPr>
        <w:footnoteReference w:id="66"/>
      </w:r>
      <w:r w:rsidRPr="004F0794">
        <w:rPr>
          <w:rFonts w:ascii="Times New Roman" w:eastAsia="Times New Roman" w:hAnsi="Times New Roman" w:cs="Times New Roman"/>
          <w:color w:val="000000" w:themeColor="text1"/>
          <w:sz w:val="24"/>
          <w:szCs w:val="24"/>
          <w:lang w:val="en-US"/>
        </w:rPr>
        <w:t xml:space="preserve"> This demonstrates that customary law is not merely a social practice existing outside the law. It is part of the legal order in Nigeria.</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lang w:val="en-US"/>
        </w:rPr>
      </w:pPr>
      <w:r w:rsidRPr="004F0794">
        <w:rPr>
          <w:rFonts w:ascii="Times New Roman" w:eastAsia="Times New Roman" w:hAnsi="Times New Roman" w:cs="Times New Roman"/>
          <w:color w:val="000000" w:themeColor="text1"/>
          <w:sz w:val="24"/>
          <w:szCs w:val="24"/>
          <w:lang w:val="en-US"/>
        </w:rPr>
        <w:t xml:space="preserve">The relevance of legal pluralism to this research is that it explains why customary law marriage continues to exist, operate and remain enforceable side by side with state law in Nigeria. The theory helps to explain that customary marriage does not lose validity simply because statutory marriage also exists. Rather, both systems occupy different but coexisting normative spaces within the same legal order. In a plural legal setting, many Nigerians continue to regulate intimate and family relationships through indigenous norms accepted by </w:t>
      </w:r>
      <w:r w:rsidRPr="004F0794">
        <w:rPr>
          <w:rFonts w:ascii="Times New Roman" w:eastAsia="Times New Roman" w:hAnsi="Times New Roman" w:cs="Times New Roman"/>
          <w:color w:val="000000" w:themeColor="text1"/>
          <w:sz w:val="24"/>
          <w:szCs w:val="24"/>
          <w:lang w:val="en-US"/>
        </w:rPr>
        <w:lastRenderedPageBreak/>
        <w:t>their communities. Consequently, customary law marriage remains significant because it is rooted in social acceptance and communal authority.</w:t>
      </w:r>
      <w:r w:rsidRPr="004F0794">
        <w:rPr>
          <w:rStyle w:val="FootnoteReference"/>
          <w:rFonts w:ascii="Times New Roman" w:hAnsi="Times New Roman" w:cs="Times New Roman"/>
          <w:color w:val="000000" w:themeColor="text1"/>
          <w:sz w:val="24"/>
          <w:szCs w:val="24"/>
          <w:lang w:val="en-US"/>
        </w:rPr>
        <w:footnoteReference w:id="67"/>
      </w:r>
      <w:r w:rsidRPr="004F0794">
        <w:rPr>
          <w:rFonts w:ascii="Times New Roman" w:eastAsia="Times New Roman" w:hAnsi="Times New Roman" w:cs="Times New Roman"/>
          <w:color w:val="000000" w:themeColor="text1"/>
          <w:sz w:val="24"/>
          <w:szCs w:val="24"/>
          <w:lang w:val="en-US"/>
        </w:rPr>
        <w:t xml:space="preserve"> Legal pluralism provides the intellectual basis for arguing that customary marriage is not an inferior or accidental form of union but a recognised legal institution within plural legal order in Nigeria. So long as the applicable customary requirements are fulfilled and the custom in question is not repugnant to natural justice, equity and good conscience, incompatible with any written law, or contrary to public policy, the marriage is capable of legal recognition and enforcement.</w:t>
      </w:r>
      <w:r w:rsidRPr="004F0794">
        <w:rPr>
          <w:rStyle w:val="FootnoteReference"/>
          <w:rFonts w:ascii="Times New Roman" w:hAnsi="Times New Roman" w:cs="Times New Roman"/>
          <w:color w:val="000000" w:themeColor="text1"/>
          <w:sz w:val="24"/>
          <w:szCs w:val="24"/>
          <w:lang w:val="en-US"/>
        </w:rPr>
        <w:footnoteReference w:id="68"/>
      </w:r>
      <w:r w:rsidRPr="004F0794">
        <w:rPr>
          <w:rFonts w:ascii="Times New Roman" w:eastAsia="Times New Roman" w:hAnsi="Times New Roman" w:cs="Times New Roman"/>
          <w:color w:val="000000" w:themeColor="text1"/>
          <w:sz w:val="24"/>
          <w:szCs w:val="24"/>
          <w:lang w:val="en-US"/>
        </w:rPr>
        <w:t xml:space="preserve">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lang w:val="en-US"/>
        </w:rPr>
      </w:pPr>
      <w:r w:rsidRPr="004F0794">
        <w:rPr>
          <w:rFonts w:ascii="Times New Roman" w:eastAsia="Times New Roman" w:hAnsi="Times New Roman" w:cs="Times New Roman"/>
          <w:color w:val="000000" w:themeColor="text1"/>
          <w:sz w:val="24"/>
          <w:szCs w:val="24"/>
          <w:lang w:val="en-US"/>
        </w:rPr>
        <w:t xml:space="preserve">Applied to this research, therefore, legal pluralism supports the argument that customary law marriage in Nigeria is valid within its own normative sphere and remains enforceable within the legal system in Nigeria. The point is not to compare it unnecessarily with statutory marriage. Rather, it is to show that the plural legal order in Nigeria allows customary marriage to subsist as a legally cognisable institution. </w:t>
      </w:r>
    </w:p>
    <w:p w:rsidR="00860B99" w:rsidRPr="004F0794" w:rsidRDefault="00860B99" w:rsidP="001C75F8">
      <w:pPr>
        <w:pStyle w:val="Heading3"/>
      </w:pPr>
      <w:bookmarkStart w:id="73" w:name="_Toc232722514"/>
      <w:r w:rsidRPr="004F0794">
        <w:t xml:space="preserve">2.2.2 </w:t>
      </w:r>
      <w:r w:rsidRPr="004F0794">
        <w:tab/>
        <w:t>Sociological Jurisprudence</w:t>
      </w:r>
      <w:bookmarkEnd w:id="73"/>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Sociological jurisprudence is a school of legal thought that examines law in its social context. It focuses on the relationship between law and society.</w:t>
      </w:r>
      <w:r w:rsidRPr="004F0794">
        <w:rPr>
          <w:rStyle w:val="FootnoteReference"/>
          <w:rFonts w:ascii="Times New Roman" w:eastAsia="Times New Roman" w:hAnsi="Times New Roman" w:cs="Times New Roman"/>
          <w:color w:val="000000" w:themeColor="text1"/>
          <w:sz w:val="24"/>
          <w:szCs w:val="24"/>
        </w:rPr>
        <w:footnoteReference w:id="69"/>
      </w:r>
      <w:r w:rsidRPr="004F0794">
        <w:rPr>
          <w:rFonts w:ascii="Times New Roman" w:eastAsia="Times New Roman" w:hAnsi="Times New Roman" w:cs="Times New Roman"/>
          <w:color w:val="000000" w:themeColor="text1"/>
          <w:sz w:val="24"/>
          <w:szCs w:val="24"/>
        </w:rPr>
        <w:t xml:space="preserve"> It proceeds on the idea that law is not an abstract body of rules existing in isolation. Rather, it is a social institution created to regulate human conduct and balance competing interests. In addition, it respond to the needs of the community. Thus, the theory holds that law is an instrument of social engineering; it is a means by which society is organised in order to promote social order, justice and the general welfare. The leading proponent of this theory is Roscoe Pound and he argued that the </w:t>
      </w:r>
      <w:r w:rsidRPr="004F0794">
        <w:rPr>
          <w:rFonts w:ascii="Times New Roman" w:eastAsia="Times New Roman" w:hAnsi="Times New Roman" w:cs="Times New Roman"/>
          <w:color w:val="000000" w:themeColor="text1"/>
          <w:sz w:val="24"/>
          <w:szCs w:val="24"/>
        </w:rPr>
        <w:lastRenderedPageBreak/>
        <w:t>task of law is to reconcile competing interests in a way that secures the smooth functioning of society.</w:t>
      </w:r>
      <w:r w:rsidRPr="004F0794">
        <w:rPr>
          <w:rStyle w:val="FootnoteReference"/>
          <w:rFonts w:ascii="Times New Roman" w:eastAsia="Times New Roman" w:hAnsi="Times New Roman" w:cs="Times New Roman"/>
          <w:color w:val="000000" w:themeColor="text1"/>
          <w:sz w:val="24"/>
          <w:szCs w:val="24"/>
        </w:rPr>
        <w:footnoteReference w:id="70"/>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This theory is relevant for analysing customary law marriage because customary law itself is a reflection of social norms and expectations. Under sociological jurisprudence, the following questions are pertinent: </w:t>
      </w:r>
      <w:r w:rsidRPr="00B67188">
        <w:rPr>
          <w:rFonts w:ascii="Times New Roman" w:eastAsia="Times New Roman" w:hAnsi="Times New Roman" w:cs="Times New Roman"/>
          <w:iCs/>
          <w:color w:val="000000" w:themeColor="text1"/>
          <w:sz w:val="24"/>
          <w:szCs w:val="24"/>
        </w:rPr>
        <w:t>How does the law of marriage (both customary and statutory) affect social interests? how should it adapt as society changes?</w:t>
      </w:r>
      <w:r w:rsidRPr="00B67188">
        <w:rPr>
          <w:rFonts w:ascii="Times New Roman" w:eastAsia="Times New Roman" w:hAnsi="Times New Roman" w:cs="Times New Roman"/>
          <w:color w:val="000000" w:themeColor="text1"/>
          <w:sz w:val="24"/>
          <w:szCs w:val="24"/>
        </w:rPr>
        <w:t xml:space="preserve"> </w:t>
      </w:r>
      <w:r w:rsidRPr="004F0794">
        <w:rPr>
          <w:rFonts w:ascii="Times New Roman" w:eastAsia="Times New Roman" w:hAnsi="Times New Roman" w:cs="Times New Roman"/>
          <w:color w:val="000000" w:themeColor="text1"/>
          <w:sz w:val="24"/>
          <w:szCs w:val="24"/>
        </w:rPr>
        <w:t>Indeed, the law cannot be understood in isolation from social realities. Applying this, we consider how modernisation and changing social attitudes in Nigeria are impacting customary marriage practices. Hence, the practice of law today differs from a century ago. The sociological approach would suggest that marriage laws (customary included) should evolve to reduce friction. For example, if child marriage is now seen as harmful (due to education and health insights), then even if a custom allowed it, the law through policy should intervene or communities should be encouraged to drop that practice.  As, Justice Tobi notes “times change and so do customs.”</w:t>
      </w:r>
      <w:r w:rsidRPr="004F0794">
        <w:rPr>
          <w:rStyle w:val="FootnoteReference"/>
          <w:rFonts w:ascii="Times New Roman" w:eastAsia="Times New Roman" w:hAnsi="Times New Roman" w:cs="Times New Roman"/>
          <w:color w:val="000000" w:themeColor="text1"/>
          <w:sz w:val="24"/>
          <w:szCs w:val="24"/>
        </w:rPr>
        <w:footnoteReference w:id="71"/>
      </w:r>
      <w:r w:rsidRPr="004F0794">
        <w:rPr>
          <w:rFonts w:ascii="Times New Roman" w:eastAsia="Times New Roman" w:hAnsi="Times New Roman" w:cs="Times New Roman"/>
          <w:color w:val="000000" w:themeColor="text1"/>
          <w:sz w:val="24"/>
          <w:szCs w:val="24"/>
        </w:rPr>
        <w:t xml:space="preserve"> This resonates with a sociological approach: law (especially customary law) must respond to evolving social values and conditions.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Moreover, sociological jurisprudence holds that the law should achieve certain social interests or “claims”. For marriage, key social interests include stability of the family, protection of children, fairness between spouses, and public morality. Customary marriage may be evaluated against these interests. The question is whether social interest is served or undermined when it is customary marriage become dissoluble easily. Arguably, it undermines stability. However, it might serve the interest of individual happiness when parties to a marriage are incompatible. It might also align with a traditional social tolerance for polygamy or separation. Pound’s concept of “social engineering” through law suggests </w:t>
      </w:r>
      <w:r w:rsidRPr="004F0794">
        <w:rPr>
          <w:rFonts w:ascii="Times New Roman" w:eastAsia="Times New Roman" w:hAnsi="Times New Roman" w:cs="Times New Roman"/>
          <w:color w:val="000000" w:themeColor="text1"/>
          <w:sz w:val="24"/>
          <w:szCs w:val="24"/>
        </w:rPr>
        <w:lastRenderedPageBreak/>
        <w:t xml:space="preserve">that if we identify a social problem (for example, exploitation of women in some customary marriages), the law should be re-engineered to mitigate that. In Nigeria, sociological jurisprudence is applied when courts or lawmakers refer to the </w:t>
      </w:r>
      <w:r w:rsidRPr="004F0794">
        <w:rPr>
          <w:rFonts w:ascii="Times New Roman" w:eastAsia="Times New Roman" w:hAnsi="Times New Roman" w:cs="Times New Roman"/>
          <w:i/>
          <w:iCs/>
          <w:color w:val="000000" w:themeColor="text1"/>
          <w:sz w:val="24"/>
          <w:szCs w:val="24"/>
        </w:rPr>
        <w:t>policy</w:t>
      </w:r>
      <w:r w:rsidRPr="004F0794">
        <w:rPr>
          <w:rFonts w:ascii="Times New Roman" w:eastAsia="Times New Roman" w:hAnsi="Times New Roman" w:cs="Times New Roman"/>
          <w:color w:val="000000" w:themeColor="text1"/>
          <w:sz w:val="24"/>
          <w:szCs w:val="24"/>
        </w:rPr>
        <w:t xml:space="preserve"> or </w:t>
      </w:r>
      <w:r w:rsidRPr="004F0794">
        <w:rPr>
          <w:rFonts w:ascii="Times New Roman" w:eastAsia="Times New Roman" w:hAnsi="Times New Roman" w:cs="Times New Roman"/>
          <w:i/>
          <w:iCs/>
          <w:color w:val="000000" w:themeColor="text1"/>
          <w:sz w:val="24"/>
          <w:szCs w:val="24"/>
        </w:rPr>
        <w:t>social consequences</w:t>
      </w:r>
      <w:r w:rsidRPr="004F0794">
        <w:rPr>
          <w:rFonts w:ascii="Times New Roman" w:eastAsia="Times New Roman" w:hAnsi="Times New Roman" w:cs="Times New Roman"/>
          <w:color w:val="000000" w:themeColor="text1"/>
          <w:sz w:val="24"/>
          <w:szCs w:val="24"/>
        </w:rPr>
        <w:t xml:space="preserve"> of a legal rule. </w:t>
      </w:r>
    </w:p>
    <w:p w:rsidR="00860B99" w:rsidRPr="004F0794" w:rsidRDefault="00860B99" w:rsidP="001C75F8">
      <w:pPr>
        <w:pStyle w:val="Heading3"/>
      </w:pPr>
      <w:bookmarkStart w:id="74" w:name="_Toc232722515"/>
      <w:r w:rsidRPr="004F0794">
        <w:t xml:space="preserve">2.2.3 </w:t>
      </w:r>
      <w:r w:rsidRPr="004F0794">
        <w:tab/>
        <w:t>Natural Law School of thought</w:t>
      </w:r>
      <w:bookmarkEnd w:id="74"/>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Natural law theory is one of the oldest and most influential schools of jurisprudence. It posits that law is not merely a command issued by the state or a body of rules enacted by a legislature. Rather, it must also be rooted in certain universal moral principles inherent in human nature and the natural order.</w:t>
      </w:r>
      <w:r w:rsidRPr="004F0794">
        <w:rPr>
          <w:rStyle w:val="FootnoteReference"/>
          <w:rFonts w:ascii="Times New Roman" w:eastAsia="Times New Roman" w:hAnsi="Times New Roman" w:cs="Times New Roman"/>
          <w:color w:val="000000" w:themeColor="text1"/>
          <w:sz w:val="24"/>
          <w:szCs w:val="24"/>
        </w:rPr>
        <w:footnoteReference w:id="72"/>
      </w:r>
      <w:r w:rsidRPr="004F0794">
        <w:rPr>
          <w:rFonts w:ascii="Times New Roman" w:eastAsia="Times New Roman" w:hAnsi="Times New Roman" w:cs="Times New Roman"/>
          <w:color w:val="000000" w:themeColor="text1"/>
          <w:sz w:val="24"/>
          <w:szCs w:val="24"/>
        </w:rPr>
        <w:t xml:space="preserve"> The theory proceeds on the assumption that there exists a higher law, discoverable through human reason. This is the ultimate standard for evaluating the validity and justice of human laws. In other words, law is not to be judged by the fact of its enactment. It also judged by its moral content and how it conforms with justice, fairness and the common good. Natural law theorists maintain that certain rights and values are inherent in the human person. Hence, they do not need to be recognised  by the state for their existence.</w:t>
      </w:r>
      <w:r w:rsidRPr="004F0794">
        <w:rPr>
          <w:rStyle w:val="FootnoteReference"/>
          <w:rFonts w:ascii="Times New Roman" w:eastAsia="Times New Roman" w:hAnsi="Times New Roman" w:cs="Times New Roman"/>
          <w:color w:val="000000" w:themeColor="text1"/>
          <w:sz w:val="24"/>
          <w:szCs w:val="24"/>
        </w:rPr>
        <w:footnoteReference w:id="73"/>
      </w:r>
      <w:r w:rsidRPr="004F0794">
        <w:rPr>
          <w:rFonts w:ascii="Times New Roman" w:eastAsia="Times New Roman" w:hAnsi="Times New Roman" w:cs="Times New Roman"/>
          <w:color w:val="000000" w:themeColor="text1"/>
          <w:sz w:val="24"/>
          <w:szCs w:val="24"/>
        </w:rPr>
        <w:t xml:space="preserve"> Consequently, where a man-made law is inconsistent with these higher moral standards, such a law may be said to be defective or lack true legitimacy. This is because, under natural law theory, the true foundation of law lies not only in authority or coercion but in reason and morality.</w:t>
      </w:r>
      <w:r w:rsidRPr="004F0794">
        <w:rPr>
          <w:rStyle w:val="FootnoteReference"/>
          <w:rFonts w:ascii="Times New Roman" w:eastAsia="Times New Roman" w:hAnsi="Times New Roman" w:cs="Times New Roman"/>
          <w:color w:val="000000" w:themeColor="text1"/>
          <w:sz w:val="24"/>
          <w:szCs w:val="24"/>
        </w:rPr>
        <w:footnoteReference w:id="74"/>
      </w:r>
      <w:r w:rsidRPr="004F0794">
        <w:rPr>
          <w:rFonts w:ascii="Times New Roman" w:eastAsia="Times New Roman" w:hAnsi="Times New Roman" w:cs="Times New Roman"/>
          <w:color w:val="000000" w:themeColor="text1"/>
          <w:sz w:val="24"/>
          <w:szCs w:val="24"/>
        </w:rPr>
        <w:t xml:space="preserve">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In the context of marriage, natural law assumes that marriage is a natural institution fundamental to human society (it is tied to procreation and the union of the sexes under a divine or natural ordinance). Many indigenous customs expresses the community’s understanding of the natural order or divine will regarding marriage. For instance, puberty is </w:t>
      </w:r>
      <w:r w:rsidRPr="004F0794">
        <w:rPr>
          <w:rFonts w:ascii="Times New Roman" w:eastAsia="Times New Roman" w:hAnsi="Times New Roman" w:cs="Times New Roman"/>
          <w:color w:val="000000" w:themeColor="text1"/>
          <w:sz w:val="24"/>
          <w:szCs w:val="24"/>
        </w:rPr>
        <w:lastRenderedPageBreak/>
        <w:t>required before marriage under customs. Similarly, incestuous unions are also forbidden. Conversely, natural law may be invoked to critique certain customary practices too.  Natural law theory holds that a custom is against natural justice when is disadvantage one sex.</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Natural law is a foundational moral critique. It helps articulate why certain practices should be considered inherently wrong or right beyond just what positive law (state or custom) says. By natural law reasoning, individuals have certain rights in marriage. If a custom violates a natural right, then that custom is deemed invalid or need of reform. Indeed, fundamental rights of the Nigerian Constitution reflects natural law principles. Hence, when a customary practice offends these, it is struck down by the court. This theoretical lens will be apparent when drawing conclusions about what aspects of customary marriage law need change. This makes the case that changes are not just legislatively expedient. Rather, they are required to align the law with fundamental principles of justice.</w:t>
      </w:r>
    </w:p>
    <w:p w:rsidR="00860B99" w:rsidRPr="004F0794" w:rsidRDefault="00860B99" w:rsidP="001C75F8">
      <w:pPr>
        <w:pStyle w:val="Heading3"/>
      </w:pPr>
      <w:bookmarkStart w:id="75" w:name="_Toc232722516"/>
      <w:r w:rsidRPr="004F0794">
        <w:t xml:space="preserve">2.2.4 </w:t>
      </w:r>
      <w:r w:rsidRPr="004F0794">
        <w:tab/>
        <w:t>Legal Realism</w:t>
      </w:r>
      <w:bookmarkEnd w:id="75"/>
    </w:p>
    <w:p w:rsidR="00860B99" w:rsidRPr="004F0794" w:rsidRDefault="00860B99" w:rsidP="00860B99">
      <w:pPr>
        <w:pStyle w:val="NormalWeb"/>
        <w:spacing w:line="480" w:lineRule="auto"/>
        <w:jc w:val="both"/>
        <w:rPr>
          <w:color w:val="000000" w:themeColor="text1"/>
        </w:rPr>
      </w:pPr>
      <w:r w:rsidRPr="004F0794">
        <w:rPr>
          <w:rStyle w:val="Strong"/>
          <w:color w:val="000000" w:themeColor="text1"/>
        </w:rPr>
        <w:t>Legal realism</w:t>
      </w:r>
      <w:r w:rsidRPr="004F0794">
        <w:rPr>
          <w:color w:val="000000" w:themeColor="text1"/>
        </w:rPr>
        <w:t xml:space="preserve"> is a modern school of jurisprudence and it insists that law is not a body of abstract rules contained in statutes, constitutions and judicial precedents. Rather, Law functions in society through the decisions of courts, officials and other legal actors. It is therefore concerned with </w:t>
      </w:r>
      <w:r w:rsidRPr="00E44058">
        <w:rPr>
          <w:rStyle w:val="Strong"/>
          <w:b w:val="0"/>
          <w:color w:val="000000" w:themeColor="text1"/>
        </w:rPr>
        <w:t>“law in action” not law in books</w:t>
      </w:r>
      <w:r w:rsidRPr="004F0794">
        <w:rPr>
          <w:color w:val="000000" w:themeColor="text1"/>
        </w:rPr>
        <w:t>.</w:t>
      </w:r>
      <w:r w:rsidRPr="004F0794">
        <w:rPr>
          <w:rStyle w:val="FootnoteReference"/>
          <w:color w:val="000000" w:themeColor="text1"/>
        </w:rPr>
        <w:footnoteReference w:id="75"/>
      </w:r>
      <w:r w:rsidRPr="004F0794">
        <w:rPr>
          <w:color w:val="000000" w:themeColor="text1"/>
        </w:rPr>
        <w:t xml:space="preserve"> The central claim of legal realism is that judicial decisions are not produced by mechanical deduction from legal rules alone. Rather, they are often influenced by a combination of factors. These include facts of the case, the behaviour and attitudes of judges, institutional constraints, public policy </w:t>
      </w:r>
      <w:r w:rsidRPr="004F0794">
        <w:rPr>
          <w:color w:val="000000" w:themeColor="text1"/>
        </w:rPr>
        <w:lastRenderedPageBreak/>
        <w:t>considerations and the wider social, economic and political environment within which the law operates.</w:t>
      </w:r>
      <w:r w:rsidRPr="004F0794">
        <w:rPr>
          <w:rStyle w:val="FootnoteReference"/>
          <w:color w:val="000000" w:themeColor="text1"/>
        </w:rPr>
        <w:footnoteReference w:id="76"/>
      </w:r>
    </w:p>
    <w:p w:rsidR="00860B99" w:rsidRPr="004F0794" w:rsidRDefault="00860B99" w:rsidP="00860B99">
      <w:pPr>
        <w:pStyle w:val="NormalWeb"/>
        <w:spacing w:line="480" w:lineRule="auto"/>
        <w:jc w:val="both"/>
        <w:rPr>
          <w:color w:val="000000" w:themeColor="text1"/>
        </w:rPr>
      </w:pPr>
      <w:r w:rsidRPr="004F0794">
        <w:rPr>
          <w:color w:val="000000" w:themeColor="text1"/>
        </w:rPr>
        <w:t xml:space="preserve">The theory developed in the United States in the early twentieth century and it is associated with jurists such as </w:t>
      </w:r>
      <w:r w:rsidRPr="00E44058">
        <w:rPr>
          <w:rStyle w:val="Strong"/>
          <w:b w:val="0"/>
          <w:color w:val="000000" w:themeColor="text1"/>
        </w:rPr>
        <w:t>Oliver Wendell Holmes Jr., Karl Llewellyn and Jerome Frank</w:t>
      </w:r>
      <w:r w:rsidRPr="00E44058">
        <w:rPr>
          <w:b/>
          <w:color w:val="000000" w:themeColor="text1"/>
        </w:rPr>
        <w:t>.</w:t>
      </w:r>
      <w:r w:rsidRPr="004F0794">
        <w:rPr>
          <w:color w:val="000000" w:themeColor="text1"/>
        </w:rPr>
        <w:t xml:space="preserve"> Holmes is often regarded as an intellectual forerunner of the movement because his famous essay, </w:t>
      </w:r>
      <w:r w:rsidRPr="004F0794">
        <w:rPr>
          <w:rStyle w:val="Emphasis"/>
          <w:color w:val="000000" w:themeColor="text1"/>
        </w:rPr>
        <w:t>The Path of the Law</w:t>
      </w:r>
      <w:r w:rsidRPr="004F0794">
        <w:rPr>
          <w:color w:val="000000" w:themeColor="text1"/>
        </w:rPr>
        <w:t xml:space="preserve"> (1897). He shifted attention from purely formal legal logic to the actual behaviour of courts and the practical prediction of judicial action.</w:t>
      </w:r>
      <w:r w:rsidRPr="004F0794">
        <w:rPr>
          <w:rStyle w:val="FootnoteReference"/>
          <w:color w:val="000000" w:themeColor="text1"/>
        </w:rPr>
        <w:footnoteReference w:id="77"/>
      </w:r>
      <w:r w:rsidRPr="004F0794">
        <w:rPr>
          <w:color w:val="000000" w:themeColor="text1"/>
        </w:rPr>
        <w:t xml:space="preserve"> Later on, Karl Llewellyn developed realist thought by stressing that legal rules do not decide cases automatically and that closer attention must be paid to how judges and institutions function in reality.</w:t>
      </w:r>
      <w:r w:rsidRPr="004F0794">
        <w:rPr>
          <w:rStyle w:val="FootnoteReference"/>
          <w:color w:val="000000" w:themeColor="text1"/>
        </w:rPr>
        <w:footnoteReference w:id="78"/>
      </w:r>
      <w:r w:rsidRPr="004F0794">
        <w:rPr>
          <w:color w:val="000000" w:themeColor="text1"/>
        </w:rPr>
        <w:t xml:space="preserve"> In turn, Jerome Frank pushed realism further. He focused on the role of judicial personality, human fallibility and factual uncertainty in the process of decision-making.</w:t>
      </w:r>
      <w:r w:rsidRPr="004F0794">
        <w:rPr>
          <w:rStyle w:val="FootnoteReference"/>
          <w:color w:val="000000" w:themeColor="text1"/>
        </w:rPr>
        <w:footnoteReference w:id="79"/>
      </w:r>
      <w:r w:rsidRPr="004F0794">
        <w:rPr>
          <w:color w:val="000000" w:themeColor="text1"/>
        </w:rPr>
        <w:t xml:space="preserve"> Thus, legal realism rejects excessive formalism and it argues that the true study of law must focus on the realities of adjudication and legal administration. Going further, legal realism holds that law is not a closed logical system from which single correct answers may be derived. Instead, realists argue that legal outcomes may vary because judges are human actors who operate within particular social contexts.</w:t>
      </w:r>
      <w:r w:rsidRPr="004F0794">
        <w:rPr>
          <w:rStyle w:val="FootnoteReference"/>
          <w:color w:val="000000" w:themeColor="text1"/>
        </w:rPr>
        <w:footnoteReference w:id="80"/>
      </w:r>
      <w:r w:rsidRPr="004F0794">
        <w:rPr>
          <w:color w:val="000000" w:themeColor="text1"/>
        </w:rPr>
        <w:t xml:space="preserve"> This does not mean that law is meaningless or entirely unpredictable. Rather, it means that the application of law is shaped by experience, discretion, institutional practice and social realities.</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 Adopting a legal realist perspective in examining customary marriage means scrutinising beyond the formal doctrines (like what the Marriage Act or customary law principles state). It assesses what </w:t>
      </w:r>
      <w:r w:rsidRPr="00E44058">
        <w:rPr>
          <w:rFonts w:ascii="Times New Roman" w:eastAsia="Times New Roman" w:hAnsi="Times New Roman" w:cs="Times New Roman"/>
          <w:iCs/>
          <w:color w:val="000000" w:themeColor="text1"/>
          <w:sz w:val="24"/>
          <w:szCs w:val="24"/>
        </w:rPr>
        <w:t>happens</w:t>
      </w:r>
      <w:r w:rsidRPr="00E44058">
        <w:rPr>
          <w:rFonts w:ascii="Times New Roman" w:eastAsia="Times New Roman" w:hAnsi="Times New Roman" w:cs="Times New Roman"/>
          <w:color w:val="000000" w:themeColor="text1"/>
          <w:sz w:val="24"/>
          <w:szCs w:val="24"/>
        </w:rPr>
        <w:t xml:space="preserve"> </w:t>
      </w:r>
      <w:r w:rsidRPr="004F0794">
        <w:rPr>
          <w:rFonts w:ascii="Times New Roman" w:eastAsia="Times New Roman" w:hAnsi="Times New Roman" w:cs="Times New Roman"/>
          <w:color w:val="000000" w:themeColor="text1"/>
          <w:sz w:val="24"/>
          <w:szCs w:val="24"/>
        </w:rPr>
        <w:t xml:space="preserve">when people marry or divorce under customary law. It encourages questions like: Do people follow the formal procedures? How do customary courts really </w:t>
      </w:r>
      <w:r w:rsidRPr="004F0794">
        <w:rPr>
          <w:rFonts w:ascii="Times New Roman" w:eastAsia="Times New Roman" w:hAnsi="Times New Roman" w:cs="Times New Roman"/>
          <w:color w:val="000000" w:themeColor="text1"/>
          <w:sz w:val="24"/>
          <w:szCs w:val="24"/>
        </w:rPr>
        <w:lastRenderedPageBreak/>
        <w:t xml:space="preserve">decide divorce cases. Are they biased? do they favour men? How do enforcement mechanisms work? Can a wife enforce a maintenance order from a customary court effectively? In Nigeria, one could point out that there is a gap between law and practice in the realm of customary marriages. </w:t>
      </w:r>
    </w:p>
    <w:p w:rsidR="00860B99" w:rsidRPr="004F0794" w:rsidRDefault="00860B99" w:rsidP="00860B99">
      <w:pPr>
        <w:spacing w:before="100" w:beforeAutospacing="1" w:after="100" w:afterAutospacing="1" w:line="480" w:lineRule="auto"/>
        <w:jc w:val="both"/>
        <w:rPr>
          <w:rFonts w:ascii="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Legal realism also considers the personalities and biases of judges. In customary courts, lay judges or assessors might bring their personal values (maybe conservative or patriarchy-leaning) to decisions. Legal realist assume that the outcome of a divorce depends on the attitudes of the court panel (and not any uniform rule). Similarly, when these cases reach the High Courts or appellate courts, the judges’ own views on culture or gender may colour how they interpret repugnancy or fairness. By incorporating legal realism, this appraisal remains grounded: it ensures it does not evaluate the framework in a vacuum. However, it is done in the light of actual observable outcomes and behaviours. Thus, realism tempers idealistic solutions and it also considers feasibility and the challenges in implementation. In essence, legal realism complements sociological jurisprudence and it focuses on the actors in the legal system. </w:t>
      </w:r>
    </w:p>
    <w:p w:rsidR="00A27C35" w:rsidRPr="004F0794" w:rsidRDefault="00A27C35">
      <w:pPr>
        <w:rPr>
          <w:rFonts w:ascii="Times New Roman" w:hAnsi="Times New Roman" w:cs="Times New Roman"/>
          <w:sz w:val="24"/>
          <w:szCs w:val="24"/>
        </w:rPr>
      </w:pPr>
    </w:p>
    <w:p w:rsidR="00860B99" w:rsidRPr="004F0794" w:rsidRDefault="00860B99">
      <w:pPr>
        <w:rPr>
          <w:rFonts w:ascii="Times New Roman" w:hAnsi="Times New Roman" w:cs="Times New Roman"/>
          <w:sz w:val="24"/>
          <w:szCs w:val="24"/>
        </w:rPr>
      </w:pPr>
    </w:p>
    <w:p w:rsidR="00860B99" w:rsidRPr="004F0794" w:rsidRDefault="00860B99">
      <w:pPr>
        <w:rPr>
          <w:rFonts w:ascii="Times New Roman" w:hAnsi="Times New Roman" w:cs="Times New Roman"/>
          <w:sz w:val="24"/>
          <w:szCs w:val="24"/>
        </w:rPr>
      </w:pPr>
      <w:r w:rsidRPr="004F0794">
        <w:rPr>
          <w:rFonts w:ascii="Times New Roman" w:hAnsi="Times New Roman" w:cs="Times New Roman"/>
          <w:sz w:val="24"/>
          <w:szCs w:val="24"/>
        </w:rPr>
        <w:br w:type="page"/>
      </w:r>
    </w:p>
    <w:p w:rsidR="00860B99" w:rsidRPr="004F0794" w:rsidRDefault="00860B99" w:rsidP="001C75F8">
      <w:pPr>
        <w:pStyle w:val="Heading1"/>
        <w:rPr>
          <w:kern w:val="36"/>
        </w:rPr>
      </w:pPr>
      <w:bookmarkStart w:id="76" w:name="_Toc232722517"/>
      <w:r w:rsidRPr="004F0794">
        <w:rPr>
          <w:kern w:val="36"/>
        </w:rPr>
        <w:lastRenderedPageBreak/>
        <w:t>CHAPTER THREE</w:t>
      </w:r>
      <w:bookmarkEnd w:id="76"/>
    </w:p>
    <w:p w:rsidR="00860B99" w:rsidRPr="004F0794" w:rsidRDefault="00860B99" w:rsidP="001C75F8">
      <w:pPr>
        <w:pStyle w:val="Heading1"/>
        <w:rPr>
          <w:kern w:val="36"/>
        </w:rPr>
      </w:pPr>
      <w:bookmarkStart w:id="77" w:name="_Toc232722518"/>
      <w:r w:rsidRPr="004F0794">
        <w:rPr>
          <w:kern w:val="36"/>
        </w:rPr>
        <w:t>LEGISLATIVE AND INSTITUTIONAL FRAMEWORKS GOVERNING CUSTOMARY MARRIAGE IN NIGERIA</w:t>
      </w:r>
      <w:bookmarkEnd w:id="77"/>
    </w:p>
    <w:p w:rsidR="00860B99" w:rsidRPr="004F0794" w:rsidRDefault="00860B99" w:rsidP="001C75F8">
      <w:pPr>
        <w:pStyle w:val="Heading2"/>
      </w:pPr>
      <w:bookmarkStart w:id="78" w:name="_Toc232722519"/>
      <w:r w:rsidRPr="004F0794">
        <w:t xml:space="preserve">3.1 </w:t>
      </w:r>
      <w:r w:rsidRPr="004F0794">
        <w:tab/>
        <w:t>Legislative Frameworks for Customary Marriage in Nigeria</w:t>
      </w:r>
      <w:bookmarkEnd w:id="78"/>
    </w:p>
    <w:p w:rsidR="00860B99" w:rsidRPr="004F0794" w:rsidRDefault="00860B99" w:rsidP="001C75F8">
      <w:pPr>
        <w:pStyle w:val="Heading3"/>
      </w:pPr>
      <w:bookmarkStart w:id="79" w:name="_Toc232722520"/>
      <w:r w:rsidRPr="004F0794">
        <w:t xml:space="preserve">3.1.1 </w:t>
      </w:r>
      <w:r w:rsidRPr="004F0794">
        <w:tab/>
        <w:t>The Constitution of the Federal Republic of Nigeria, 1999</w:t>
      </w:r>
      <w:bookmarkEnd w:id="79"/>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bCs/>
          <w:color w:val="000000" w:themeColor="text1"/>
          <w:sz w:val="24"/>
          <w:szCs w:val="24"/>
        </w:rPr>
        <w:t>The</w:t>
      </w:r>
      <w:r w:rsidRPr="004F0794">
        <w:rPr>
          <w:rFonts w:ascii="Times New Roman" w:eastAsia="Times New Roman" w:hAnsi="Times New Roman" w:cs="Times New Roman"/>
          <w:color w:val="000000" w:themeColor="text1"/>
          <w:sz w:val="24"/>
          <w:szCs w:val="24"/>
        </w:rPr>
        <w:t xml:space="preserve"> 1999 Constitution</w:t>
      </w:r>
      <w:r w:rsidRPr="004F0794">
        <w:rPr>
          <w:rStyle w:val="FootnoteReference"/>
          <w:rFonts w:ascii="Times New Roman" w:eastAsia="Times New Roman" w:hAnsi="Times New Roman" w:cs="Times New Roman"/>
          <w:color w:val="000000" w:themeColor="text1"/>
          <w:sz w:val="24"/>
          <w:szCs w:val="24"/>
        </w:rPr>
        <w:footnoteReference w:id="81"/>
      </w:r>
      <w:r w:rsidRPr="004F0794">
        <w:rPr>
          <w:rFonts w:ascii="Times New Roman" w:eastAsia="Times New Roman" w:hAnsi="Times New Roman" w:cs="Times New Roman"/>
          <w:color w:val="000000" w:themeColor="text1"/>
          <w:sz w:val="24"/>
          <w:szCs w:val="24"/>
        </w:rPr>
        <w:t xml:space="preserve"> recognises three forms of marriage. The include statutory, Islamic, and customary marriages. Item 61 of the Exclusive Legislative List vests on the </w:t>
      </w:r>
      <w:r w:rsidRPr="004F0794">
        <w:rPr>
          <w:rFonts w:ascii="Times New Roman" w:eastAsia="Times New Roman" w:hAnsi="Times New Roman" w:cs="Times New Roman"/>
          <w:bCs/>
          <w:color w:val="000000" w:themeColor="text1"/>
          <w:sz w:val="24"/>
          <w:szCs w:val="24"/>
        </w:rPr>
        <w:t xml:space="preserve">National Assembly </w:t>
      </w:r>
      <w:r w:rsidRPr="004F0794">
        <w:rPr>
          <w:rFonts w:ascii="Times New Roman" w:eastAsia="Times New Roman" w:hAnsi="Times New Roman" w:cs="Times New Roman"/>
          <w:color w:val="000000" w:themeColor="text1"/>
          <w:sz w:val="24"/>
          <w:szCs w:val="24"/>
        </w:rPr>
        <w:t xml:space="preserve">the power to legislate over “marriage </w:t>
      </w:r>
      <w:r w:rsidRPr="004F0794">
        <w:rPr>
          <w:rFonts w:ascii="Times New Roman" w:eastAsia="Times New Roman" w:hAnsi="Times New Roman" w:cs="Times New Roman"/>
          <w:bCs/>
          <w:color w:val="000000" w:themeColor="text1"/>
          <w:sz w:val="24"/>
          <w:szCs w:val="24"/>
        </w:rPr>
        <w:t>other than</w:t>
      </w:r>
      <w:r w:rsidRPr="004F0794">
        <w:rPr>
          <w:rFonts w:ascii="Times New Roman" w:eastAsia="Times New Roman" w:hAnsi="Times New Roman" w:cs="Times New Roman"/>
          <w:color w:val="000000" w:themeColor="text1"/>
          <w:sz w:val="24"/>
          <w:szCs w:val="24"/>
        </w:rPr>
        <w:t xml:space="preserve"> marriages under Islamic or customary law.” Crucially, all laws are subject to the supremacy of the Constitution and fundamental rights guarantees. Any custom that violates constitutional provisions may be declared void for inconsistency (to the extent of the inconsistency).</w:t>
      </w:r>
      <w:r w:rsidRPr="004F0794">
        <w:rPr>
          <w:rStyle w:val="FootnoteReference"/>
          <w:rFonts w:ascii="Times New Roman" w:eastAsia="Times New Roman" w:hAnsi="Times New Roman" w:cs="Times New Roman"/>
          <w:color w:val="000000" w:themeColor="text1"/>
          <w:sz w:val="24"/>
          <w:szCs w:val="24"/>
        </w:rPr>
        <w:footnoteReference w:id="82"/>
      </w:r>
      <w:r w:rsidRPr="004F0794">
        <w:rPr>
          <w:rFonts w:ascii="Times New Roman" w:eastAsia="Times New Roman" w:hAnsi="Times New Roman" w:cs="Times New Roman"/>
          <w:color w:val="000000" w:themeColor="text1"/>
          <w:sz w:val="24"/>
          <w:szCs w:val="24"/>
        </w:rPr>
        <w:t xml:space="preserve"> Nigerian courts have invoked the Constitution when they strike down oppressive marriage customs which are </w:t>
      </w:r>
      <w:r w:rsidRPr="004F0794">
        <w:rPr>
          <w:rFonts w:ascii="Times New Roman" w:eastAsia="Times New Roman" w:hAnsi="Times New Roman" w:cs="Times New Roman"/>
          <w:bCs/>
          <w:color w:val="000000" w:themeColor="text1"/>
          <w:sz w:val="24"/>
          <w:szCs w:val="24"/>
        </w:rPr>
        <w:t xml:space="preserve">repugnant to natural justice. The court held in </w:t>
      </w:r>
      <w:r>
        <w:rPr>
          <w:rFonts w:ascii="Times New Roman" w:eastAsia="Times New Roman" w:hAnsi="Times New Roman" w:cs="Times New Roman"/>
          <w:i/>
          <w:iCs/>
          <w:color w:val="000000" w:themeColor="text1"/>
          <w:sz w:val="24"/>
          <w:szCs w:val="24"/>
        </w:rPr>
        <w:t>Reuben v. Reuben</w:t>
      </w:r>
      <w:r w:rsidRPr="004F0794">
        <w:rPr>
          <w:rStyle w:val="FootnoteReference"/>
          <w:rFonts w:ascii="Times New Roman" w:eastAsia="Times New Roman" w:hAnsi="Times New Roman" w:cs="Times New Roman"/>
          <w:color w:val="000000" w:themeColor="text1"/>
          <w:sz w:val="24"/>
          <w:szCs w:val="24"/>
        </w:rPr>
        <w:footnoteReference w:id="83"/>
      </w:r>
      <w:r w:rsidRPr="004F0794">
        <w:rPr>
          <w:rFonts w:ascii="Times New Roman" w:eastAsia="Times New Roman" w:hAnsi="Times New Roman" w:cs="Times New Roman"/>
          <w:color w:val="000000" w:themeColor="text1"/>
          <w:sz w:val="24"/>
          <w:szCs w:val="24"/>
        </w:rPr>
        <w:t xml:space="preserve"> held that forcing a wife to refund bride price after years of abuse violated her right to dignity under Section 34</w:t>
      </w:r>
      <w:r w:rsidRPr="004F0794">
        <w:rPr>
          <w:rStyle w:val="FootnoteReference"/>
          <w:rFonts w:ascii="Times New Roman" w:eastAsia="Times New Roman" w:hAnsi="Times New Roman" w:cs="Times New Roman"/>
          <w:color w:val="000000" w:themeColor="text1"/>
          <w:sz w:val="24"/>
          <w:szCs w:val="24"/>
        </w:rPr>
        <w:footnoteReference w:id="84"/>
      </w:r>
      <w:r w:rsidRPr="004F0794">
        <w:rPr>
          <w:rFonts w:ascii="Times New Roman" w:eastAsia="Times New Roman" w:hAnsi="Times New Roman" w:cs="Times New Roman"/>
          <w:color w:val="000000" w:themeColor="text1"/>
          <w:sz w:val="24"/>
          <w:szCs w:val="24"/>
        </w:rPr>
        <w:t xml:space="preserve">. This constitution establishes that customary law should govern native marriages. However, it </w:t>
      </w:r>
      <w:r w:rsidRPr="004F0794">
        <w:rPr>
          <w:rFonts w:ascii="Times New Roman" w:eastAsia="Times New Roman" w:hAnsi="Times New Roman" w:cs="Times New Roman"/>
          <w:bCs/>
          <w:color w:val="000000" w:themeColor="text1"/>
          <w:sz w:val="24"/>
          <w:szCs w:val="24"/>
        </w:rPr>
        <w:t>must align with constitutional principles</w:t>
      </w:r>
      <w:r w:rsidRPr="004F0794">
        <w:rPr>
          <w:rFonts w:ascii="Times New Roman" w:eastAsia="Times New Roman" w:hAnsi="Times New Roman" w:cs="Times New Roman"/>
          <w:color w:val="000000" w:themeColor="text1"/>
          <w:sz w:val="24"/>
          <w:szCs w:val="24"/>
        </w:rPr>
        <w:t xml:space="preserve"> of equity and justice.</w:t>
      </w:r>
      <w:r w:rsidRPr="004F0794">
        <w:rPr>
          <w:rStyle w:val="FootnoteReference"/>
          <w:rFonts w:ascii="Times New Roman" w:eastAsia="Times New Roman" w:hAnsi="Times New Roman" w:cs="Times New Roman"/>
          <w:color w:val="000000" w:themeColor="text1"/>
          <w:sz w:val="24"/>
          <w:szCs w:val="24"/>
        </w:rPr>
        <w:footnoteReference w:id="85"/>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Another way, the constitution of Nigeria, 1999 as amended preserves or backs customary and Islamic Marriages is by guarantee freedom of Religion.</w:t>
      </w:r>
      <w:r w:rsidRPr="004F0794">
        <w:rPr>
          <w:rStyle w:val="FootnoteReference"/>
          <w:rFonts w:ascii="Times New Roman" w:eastAsia="Times New Roman" w:hAnsi="Times New Roman" w:cs="Times New Roman"/>
          <w:color w:val="000000" w:themeColor="text1"/>
          <w:sz w:val="24"/>
          <w:szCs w:val="24"/>
        </w:rPr>
        <w:footnoteReference w:id="86"/>
      </w:r>
      <w:r w:rsidRPr="004F0794">
        <w:rPr>
          <w:rFonts w:ascii="Times New Roman" w:eastAsia="Times New Roman" w:hAnsi="Times New Roman" w:cs="Times New Roman"/>
          <w:color w:val="000000" w:themeColor="text1"/>
          <w:sz w:val="24"/>
          <w:szCs w:val="24"/>
        </w:rPr>
        <w:t xml:space="preserve"> Nigeria being a multicultural and multi lingual and multi religious and multi ethnic society has engraved in the spirit and body of the grudnorm they gift themselves the preservation of these ways of live. It is freedom of </w:t>
      </w:r>
      <w:r w:rsidRPr="004F0794">
        <w:rPr>
          <w:rFonts w:ascii="Times New Roman" w:eastAsia="Times New Roman" w:hAnsi="Times New Roman" w:cs="Times New Roman"/>
          <w:color w:val="000000" w:themeColor="text1"/>
          <w:sz w:val="24"/>
          <w:szCs w:val="24"/>
        </w:rPr>
        <w:lastRenderedPageBreak/>
        <w:t>religion that opens up the option to wed either under customary law or Islamic law. If this wasn’t the case, then there would be no room for the discourse in the first place.</w:t>
      </w:r>
    </w:p>
    <w:p w:rsidR="00860B99" w:rsidRPr="004F0794" w:rsidRDefault="00860B99" w:rsidP="001C75F8">
      <w:pPr>
        <w:pStyle w:val="Heading3"/>
      </w:pPr>
      <w:bookmarkStart w:id="80" w:name="_Toc232722521"/>
      <w:r w:rsidRPr="004F0794">
        <w:t xml:space="preserve">3.1.2 </w:t>
      </w:r>
      <w:r w:rsidRPr="004F0794">
        <w:tab/>
        <w:t>Marriage Act Cap M6 LFN 2004</w:t>
      </w:r>
      <w:bookmarkEnd w:id="80"/>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The Marriage Act</w:t>
      </w:r>
      <w:r w:rsidRPr="004F0794">
        <w:rPr>
          <w:rStyle w:val="FootnoteReference"/>
          <w:rFonts w:ascii="Times New Roman" w:eastAsia="Times New Roman" w:hAnsi="Times New Roman" w:cs="Times New Roman"/>
          <w:color w:val="000000" w:themeColor="text1"/>
          <w:sz w:val="24"/>
          <w:szCs w:val="24"/>
        </w:rPr>
        <w:footnoteReference w:id="87"/>
      </w:r>
      <w:r w:rsidRPr="004F0794">
        <w:rPr>
          <w:rFonts w:ascii="Times New Roman" w:eastAsia="Times New Roman" w:hAnsi="Times New Roman" w:cs="Times New Roman"/>
          <w:color w:val="000000" w:themeColor="text1"/>
          <w:sz w:val="24"/>
          <w:szCs w:val="24"/>
        </w:rPr>
        <w:t xml:space="preserve"> governs </w:t>
      </w:r>
      <w:r w:rsidRPr="004F0794">
        <w:rPr>
          <w:rFonts w:ascii="Times New Roman" w:eastAsia="Times New Roman" w:hAnsi="Times New Roman" w:cs="Times New Roman"/>
          <w:bCs/>
          <w:color w:val="000000" w:themeColor="text1"/>
          <w:sz w:val="24"/>
          <w:szCs w:val="24"/>
        </w:rPr>
        <w:t>statutory marriages</w:t>
      </w:r>
      <w:r w:rsidRPr="004F0794">
        <w:rPr>
          <w:rFonts w:ascii="Times New Roman" w:eastAsia="Times New Roman" w:hAnsi="Times New Roman" w:cs="Times New Roman"/>
          <w:color w:val="000000" w:themeColor="text1"/>
          <w:sz w:val="24"/>
          <w:szCs w:val="24"/>
        </w:rPr>
        <w:t xml:space="preserve"> (monogamous “Marriage under the Act”) and it excludes polygamous unions. Section 33(1) of the Act provides that no marriage under the Act shall be valid if either party is already married under customary law to another person. In effect, a person in an existing customary marriage cannot contract a valid statutory marriage with a different partner. However, the Act permits the same spouses to </w:t>
      </w:r>
      <w:r w:rsidRPr="004F0794">
        <w:rPr>
          <w:rFonts w:ascii="Times New Roman" w:eastAsia="Times New Roman" w:hAnsi="Times New Roman" w:cs="Times New Roman"/>
          <w:bCs/>
          <w:color w:val="000000" w:themeColor="text1"/>
          <w:sz w:val="24"/>
          <w:szCs w:val="24"/>
        </w:rPr>
        <w:t>“upgrade”</w:t>
      </w:r>
      <w:r w:rsidRPr="004F0794">
        <w:rPr>
          <w:rFonts w:ascii="Times New Roman" w:eastAsia="Times New Roman" w:hAnsi="Times New Roman" w:cs="Times New Roman"/>
          <w:color w:val="000000" w:themeColor="text1"/>
          <w:sz w:val="24"/>
          <w:szCs w:val="24"/>
        </w:rPr>
        <w:t xml:space="preserve"> a customary union into a statutory marriage (often called a “double-decker” marriage) and the customary bond is not dissolved.</w:t>
      </w:r>
      <w:r w:rsidRPr="004F0794">
        <w:rPr>
          <w:rStyle w:val="FootnoteReference"/>
          <w:rFonts w:ascii="Times New Roman" w:eastAsia="Times New Roman" w:hAnsi="Times New Roman" w:cs="Times New Roman"/>
          <w:color w:val="000000" w:themeColor="text1"/>
          <w:sz w:val="24"/>
          <w:szCs w:val="24"/>
        </w:rPr>
        <w:footnoteReference w:id="88"/>
      </w:r>
      <w:r w:rsidRPr="004F0794">
        <w:rPr>
          <w:rFonts w:ascii="Times New Roman" w:eastAsia="Times New Roman" w:hAnsi="Times New Roman" w:cs="Times New Roman"/>
          <w:color w:val="000000" w:themeColor="text1"/>
          <w:sz w:val="24"/>
          <w:szCs w:val="24"/>
        </w:rPr>
        <w:t xml:space="preserve">  This allows couples initially married under custom to later marry under statute for additional legal security. The Act does not regulate customary rites. However, it provides for the offence of bigamy provisions and this penalise attempts to </w:t>
      </w:r>
      <w:r w:rsidRPr="004F0794">
        <w:rPr>
          <w:rFonts w:ascii="Times New Roman" w:eastAsia="Times New Roman" w:hAnsi="Times New Roman" w:cs="Times New Roman"/>
          <w:bCs/>
          <w:color w:val="000000" w:themeColor="text1"/>
          <w:sz w:val="24"/>
          <w:szCs w:val="24"/>
        </w:rPr>
        <w:t>mix regimes</w:t>
      </w:r>
      <w:r w:rsidRPr="004F0794">
        <w:rPr>
          <w:rFonts w:ascii="Times New Roman" w:eastAsia="Times New Roman" w:hAnsi="Times New Roman" w:cs="Times New Roman"/>
          <w:color w:val="000000" w:themeColor="text1"/>
          <w:sz w:val="24"/>
          <w:szCs w:val="24"/>
        </w:rPr>
        <w:t xml:space="preserve"> improperly. A husband with a monogamous statutory marriage cannot take another wife customarily without legal consequence. The Marriage Act draws a sharp line. It enforces monogamy. On the other hand, it leaves </w:t>
      </w:r>
      <w:r w:rsidRPr="004F0794">
        <w:rPr>
          <w:rFonts w:ascii="Times New Roman" w:eastAsia="Times New Roman" w:hAnsi="Times New Roman" w:cs="Times New Roman"/>
          <w:bCs/>
          <w:color w:val="000000" w:themeColor="text1"/>
          <w:sz w:val="24"/>
          <w:szCs w:val="24"/>
        </w:rPr>
        <w:t>polygamous customary marriages to operate under indigenous law</w:t>
      </w:r>
      <w:r w:rsidRPr="004F0794">
        <w:rPr>
          <w:rFonts w:ascii="Times New Roman" w:eastAsia="Times New Roman" w:hAnsi="Times New Roman" w:cs="Times New Roman"/>
          <w:color w:val="000000" w:themeColor="text1"/>
          <w:sz w:val="24"/>
          <w:szCs w:val="24"/>
        </w:rPr>
        <w:t>. Notably, many Nigerians assume that statutory marriages are “legal marriages.”</w:t>
      </w:r>
      <w:r w:rsidRPr="004F0794">
        <w:rPr>
          <w:rStyle w:val="FootnoteReference"/>
          <w:rFonts w:ascii="Times New Roman" w:eastAsia="Times New Roman" w:hAnsi="Times New Roman" w:cs="Times New Roman"/>
          <w:color w:val="000000" w:themeColor="text1"/>
          <w:sz w:val="24"/>
          <w:szCs w:val="24"/>
        </w:rPr>
        <w:footnoteReference w:id="89"/>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Intrinsically, one core principle the Marriage Act established either intentionally or otherwise is to recognise customary marriage as a complete marriage of its own without aiming to regulate same. For it is only a person according to the Marriage Act who has a single status/not in an existing lawful marriage that may contract statutory marriage</w:t>
      </w:r>
      <w:r w:rsidRPr="004F0794">
        <w:rPr>
          <w:rStyle w:val="FootnoteReference"/>
          <w:rFonts w:ascii="Times New Roman" w:eastAsia="Times New Roman" w:hAnsi="Times New Roman" w:cs="Times New Roman"/>
          <w:color w:val="000000" w:themeColor="text1"/>
          <w:sz w:val="24"/>
          <w:szCs w:val="24"/>
        </w:rPr>
        <w:footnoteReference w:id="90"/>
      </w:r>
      <w:r w:rsidRPr="004F0794">
        <w:rPr>
          <w:rFonts w:ascii="Times New Roman" w:eastAsia="Times New Roman" w:hAnsi="Times New Roman" w:cs="Times New Roman"/>
          <w:color w:val="000000" w:themeColor="text1"/>
          <w:sz w:val="24"/>
          <w:szCs w:val="24"/>
        </w:rPr>
        <w:t xml:space="preserve">. By the </w:t>
      </w:r>
      <w:r w:rsidRPr="004F0794">
        <w:rPr>
          <w:rFonts w:ascii="Times New Roman" w:eastAsia="Times New Roman" w:hAnsi="Times New Roman" w:cs="Times New Roman"/>
          <w:color w:val="000000" w:themeColor="text1"/>
          <w:sz w:val="24"/>
          <w:szCs w:val="24"/>
        </w:rPr>
        <w:lastRenderedPageBreak/>
        <w:t>marriage Act, a person married under customary law no longer has a single status. The marriage Act by this singular clause recognized customary law as a lawful marriage where properly celebrated and therefore a necessary legal framework for this research.</w:t>
      </w:r>
    </w:p>
    <w:p w:rsidR="00860B99" w:rsidRPr="004F0794" w:rsidRDefault="00860B99" w:rsidP="001C75F8">
      <w:pPr>
        <w:pStyle w:val="Heading3"/>
      </w:pPr>
      <w:bookmarkStart w:id="81" w:name="_Toc232722522"/>
      <w:r w:rsidRPr="004F0794">
        <w:t xml:space="preserve">3.1.3 </w:t>
      </w:r>
      <w:r w:rsidRPr="004F0794">
        <w:tab/>
        <w:t>Matrimonial Causes Act CAP M7 LFN 2004</w:t>
      </w:r>
      <w:bookmarkEnd w:id="81"/>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The MCA is a federal statute and it provides for divorce and ancillary relief (maintenance, etc.) for marriages under the Act. By its terms, the MCA </w:t>
      </w:r>
      <w:r w:rsidRPr="004F0794">
        <w:rPr>
          <w:rFonts w:ascii="Times New Roman" w:eastAsia="Times New Roman" w:hAnsi="Times New Roman" w:cs="Times New Roman"/>
          <w:bCs/>
          <w:color w:val="000000" w:themeColor="text1"/>
          <w:sz w:val="24"/>
          <w:szCs w:val="24"/>
        </w:rPr>
        <w:t>applies exclusively to statutory (monogamous) marriages</w:t>
      </w:r>
      <w:r w:rsidRPr="004F0794">
        <w:rPr>
          <w:rFonts w:ascii="Times New Roman" w:eastAsia="Times New Roman" w:hAnsi="Times New Roman" w:cs="Times New Roman"/>
          <w:color w:val="000000" w:themeColor="text1"/>
          <w:sz w:val="24"/>
          <w:szCs w:val="24"/>
        </w:rPr>
        <w:t>. it excludes Customary-law marriages. To petition for divorce under the MCA one must prove the marriage “has broken down irretrievably.”</w:t>
      </w:r>
      <w:r w:rsidRPr="004F0794">
        <w:rPr>
          <w:rStyle w:val="FootnoteReference"/>
          <w:rFonts w:ascii="Times New Roman" w:eastAsia="Times New Roman" w:hAnsi="Times New Roman" w:cs="Times New Roman"/>
          <w:color w:val="000000" w:themeColor="text1"/>
          <w:sz w:val="24"/>
          <w:szCs w:val="24"/>
        </w:rPr>
        <w:footnoteReference w:id="91"/>
      </w:r>
      <w:r w:rsidRPr="004F0794">
        <w:rPr>
          <w:rFonts w:ascii="Times New Roman" w:eastAsia="Times New Roman" w:hAnsi="Times New Roman" w:cs="Times New Roman"/>
          <w:color w:val="000000" w:themeColor="text1"/>
          <w:sz w:val="24"/>
          <w:szCs w:val="24"/>
        </w:rPr>
        <w:t xml:space="preserve"> There is </w:t>
      </w:r>
      <w:r w:rsidRPr="004F0794">
        <w:rPr>
          <w:rFonts w:ascii="Times New Roman" w:eastAsia="Times New Roman" w:hAnsi="Times New Roman" w:cs="Times New Roman"/>
          <w:bCs/>
          <w:color w:val="000000" w:themeColor="text1"/>
          <w:sz w:val="24"/>
          <w:szCs w:val="24"/>
        </w:rPr>
        <w:t>no equivalent statutory framework for dissolving customary marriages</w:t>
      </w:r>
      <w:r w:rsidRPr="004F0794">
        <w:rPr>
          <w:rFonts w:ascii="Times New Roman" w:eastAsia="Times New Roman" w:hAnsi="Times New Roman" w:cs="Times New Roman"/>
          <w:color w:val="000000" w:themeColor="text1"/>
          <w:sz w:val="24"/>
          <w:szCs w:val="24"/>
        </w:rPr>
        <w:t xml:space="preserve">. Instead, dissolution follows customary law procedures (often informal or via customary courts). Spouses in a customary marriage </w:t>
      </w:r>
      <w:r w:rsidRPr="004F0794">
        <w:rPr>
          <w:rFonts w:ascii="Times New Roman" w:eastAsia="Times New Roman" w:hAnsi="Times New Roman" w:cs="Times New Roman"/>
          <w:bCs/>
          <w:color w:val="000000" w:themeColor="text1"/>
          <w:sz w:val="24"/>
          <w:szCs w:val="24"/>
        </w:rPr>
        <w:t>cannot seek relief (like alimony, property settlement, or court-ordered child support) generally under the MCA</w:t>
      </w:r>
      <w:r w:rsidRPr="004F0794">
        <w:rPr>
          <w:rFonts w:ascii="Times New Roman" w:eastAsia="Times New Roman" w:hAnsi="Times New Roman" w:cs="Times New Roman"/>
          <w:color w:val="000000" w:themeColor="text1"/>
          <w:sz w:val="24"/>
          <w:szCs w:val="24"/>
        </w:rPr>
        <w:t>. This is because that Act does not recognise their union. A wife married under the Act may claim maintenance and property division upon divorce.</w:t>
      </w:r>
      <w:r w:rsidRPr="004F0794">
        <w:rPr>
          <w:rStyle w:val="FootnoteReference"/>
          <w:rFonts w:ascii="Times New Roman" w:eastAsia="Times New Roman" w:hAnsi="Times New Roman" w:cs="Times New Roman"/>
          <w:color w:val="000000" w:themeColor="text1"/>
          <w:sz w:val="24"/>
          <w:szCs w:val="24"/>
        </w:rPr>
        <w:footnoteReference w:id="92"/>
      </w:r>
      <w:r w:rsidRPr="004F0794">
        <w:rPr>
          <w:rFonts w:ascii="Times New Roman" w:eastAsia="Times New Roman" w:hAnsi="Times New Roman" w:cs="Times New Roman"/>
          <w:color w:val="000000" w:themeColor="text1"/>
          <w:sz w:val="24"/>
          <w:szCs w:val="24"/>
        </w:rPr>
        <w:t xml:space="preserve"> In contrast, her counterpart in a customary marriage “gets nothing… and is even required to refund the bride price” to her husband.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In section 114 of the Matrimonial Causes Act, different matrimonial causes were defined and itemised. One that stands out is the nullity proceedings which permits any interested party to question the validity of void marriage and for voidable marriage, the party to the marriage has the legal right to question it validity.  To question the validity of void marriage, a party to the void marriage who prior to the marriage was married under customary law may file an action questioning the validity of the marriage celebrated under the Act which is void. In this way </w:t>
      </w:r>
      <w:r w:rsidRPr="004F0794">
        <w:rPr>
          <w:rFonts w:ascii="Times New Roman" w:eastAsia="Times New Roman" w:hAnsi="Times New Roman" w:cs="Times New Roman"/>
          <w:color w:val="000000" w:themeColor="text1"/>
          <w:sz w:val="24"/>
          <w:szCs w:val="24"/>
        </w:rPr>
        <w:lastRenderedPageBreak/>
        <w:t>it’s a leg’s framework because a person who celebrates customary marriage is an interested party for the purpose of nullity proceedings governed under the Matrimonial Causes Act.</w:t>
      </w:r>
    </w:p>
    <w:p w:rsidR="00860B99" w:rsidRPr="004F0794" w:rsidRDefault="00860B99" w:rsidP="001C75F8">
      <w:pPr>
        <w:pStyle w:val="Heading3"/>
      </w:pPr>
      <w:bookmarkStart w:id="82" w:name="_Toc232722523"/>
      <w:r w:rsidRPr="004F0794">
        <w:t xml:space="preserve">3.1.4 </w:t>
      </w:r>
      <w:r w:rsidRPr="004F0794">
        <w:tab/>
        <w:t>Evidence Act 2011</w:t>
      </w:r>
      <w:bookmarkEnd w:id="82"/>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The Evidence Act provides guidance on </w:t>
      </w:r>
      <w:r w:rsidRPr="004F0794">
        <w:rPr>
          <w:rFonts w:ascii="Times New Roman" w:eastAsia="Times New Roman" w:hAnsi="Times New Roman" w:cs="Times New Roman"/>
          <w:bCs/>
          <w:color w:val="000000" w:themeColor="text1"/>
          <w:sz w:val="24"/>
          <w:szCs w:val="24"/>
        </w:rPr>
        <w:t>proving and validating customary law</w:t>
      </w:r>
      <w:r w:rsidRPr="004F0794">
        <w:rPr>
          <w:rFonts w:ascii="Times New Roman" w:eastAsia="Times New Roman" w:hAnsi="Times New Roman" w:cs="Times New Roman"/>
          <w:color w:val="000000" w:themeColor="text1"/>
          <w:sz w:val="24"/>
          <w:szCs w:val="24"/>
        </w:rPr>
        <w:t xml:space="preserve"> in formal courts. Section 18(3) of the Act codifies the </w:t>
      </w:r>
      <w:r w:rsidRPr="004F0794">
        <w:rPr>
          <w:rFonts w:ascii="Times New Roman" w:eastAsia="Times New Roman" w:hAnsi="Times New Roman" w:cs="Times New Roman"/>
          <w:bCs/>
          <w:color w:val="000000" w:themeColor="text1"/>
          <w:sz w:val="24"/>
          <w:szCs w:val="24"/>
        </w:rPr>
        <w:t>repugnancy and incompatibility tests</w:t>
      </w:r>
      <w:r w:rsidRPr="004F0794">
        <w:rPr>
          <w:rFonts w:ascii="Times New Roman" w:eastAsia="Times New Roman" w:hAnsi="Times New Roman" w:cs="Times New Roman"/>
          <w:color w:val="000000" w:themeColor="text1"/>
          <w:sz w:val="24"/>
          <w:szCs w:val="24"/>
        </w:rPr>
        <w:t xml:space="preserve">. It directs that a custom will be upheld only if it is not </w:t>
      </w:r>
      <w:r w:rsidRPr="004F0794">
        <w:rPr>
          <w:rFonts w:ascii="Times New Roman" w:eastAsia="Times New Roman" w:hAnsi="Times New Roman" w:cs="Times New Roman"/>
          <w:i/>
          <w:iCs/>
          <w:color w:val="000000" w:themeColor="text1"/>
          <w:sz w:val="24"/>
          <w:szCs w:val="24"/>
        </w:rPr>
        <w:t>“repugnant to natural justice, equity and good conscience”</w:t>
      </w:r>
      <w:r w:rsidRPr="004F0794">
        <w:rPr>
          <w:rFonts w:ascii="Times New Roman" w:eastAsia="Times New Roman" w:hAnsi="Times New Roman" w:cs="Times New Roman"/>
          <w:color w:val="000000" w:themeColor="text1"/>
          <w:sz w:val="24"/>
          <w:szCs w:val="24"/>
        </w:rPr>
        <w:t xml:space="preserve"> and that it is not incompatible with any existing law. Thus, courts have a statutory basis to refuse enforcement of customs that, for instance, treat women as chattel or conflict with statutory enactments. The Act also addresses </w:t>
      </w:r>
      <w:r w:rsidRPr="004F0794">
        <w:rPr>
          <w:rFonts w:ascii="Times New Roman" w:eastAsia="Times New Roman" w:hAnsi="Times New Roman" w:cs="Times New Roman"/>
          <w:bCs/>
          <w:color w:val="000000" w:themeColor="text1"/>
          <w:sz w:val="24"/>
          <w:szCs w:val="24"/>
        </w:rPr>
        <w:t>proof of customary law</w:t>
      </w:r>
      <w:r w:rsidRPr="004F0794">
        <w:rPr>
          <w:rFonts w:ascii="Times New Roman" w:eastAsia="Times New Roman" w:hAnsi="Times New Roman" w:cs="Times New Roman"/>
          <w:color w:val="000000" w:themeColor="text1"/>
          <w:sz w:val="24"/>
          <w:szCs w:val="24"/>
        </w:rPr>
        <w:t xml:space="preserve">. Since customary rules are unwritten, parties must prove that they exist and the content of a particular customary marriage rule unless it has attained judicial notice by frequent proof in past cases. Typically, a witness testimony is required from persons knowledgeable in customs of the community. For example, to establish that a valid Igbo marriage took place, witnesses might testify that bride price was paid. They must also prove that the bride was handed over per Igbo rites. If a custom is well-established and notorious (e.g. the requirement of bride price in Igboland), courts may take </w:t>
      </w:r>
      <w:r w:rsidRPr="004F0794">
        <w:rPr>
          <w:rFonts w:ascii="Times New Roman" w:eastAsia="Times New Roman" w:hAnsi="Times New Roman" w:cs="Times New Roman"/>
          <w:bCs/>
          <w:color w:val="000000" w:themeColor="text1"/>
          <w:sz w:val="24"/>
          <w:szCs w:val="24"/>
        </w:rPr>
        <w:t>judicial notice</w:t>
      </w:r>
      <w:r w:rsidRPr="004F0794">
        <w:rPr>
          <w:rFonts w:ascii="Times New Roman" w:eastAsia="Times New Roman" w:hAnsi="Times New Roman" w:cs="Times New Roman"/>
          <w:color w:val="000000" w:themeColor="text1"/>
          <w:sz w:val="24"/>
          <w:szCs w:val="24"/>
        </w:rPr>
        <w:t xml:space="preserve"> and dispense with formal proof. However, the burden of proof lies on the part that asserts a novel or disputed aspect of custom. The Evidence Act thereby ensures that indigenous norms govern customary marriages. However, they are examined through a </w:t>
      </w:r>
      <w:r w:rsidRPr="004F0794">
        <w:rPr>
          <w:rFonts w:ascii="Times New Roman" w:eastAsia="Times New Roman" w:hAnsi="Times New Roman" w:cs="Times New Roman"/>
          <w:bCs/>
          <w:color w:val="000000" w:themeColor="text1"/>
          <w:sz w:val="24"/>
          <w:szCs w:val="24"/>
        </w:rPr>
        <w:t>common law lens of fairness</w:t>
      </w:r>
      <w:r w:rsidRPr="004F0794">
        <w:rPr>
          <w:rFonts w:ascii="Times New Roman" w:eastAsia="Times New Roman" w:hAnsi="Times New Roman" w:cs="Times New Roman"/>
          <w:color w:val="000000" w:themeColor="text1"/>
          <w:sz w:val="24"/>
          <w:szCs w:val="24"/>
        </w:rPr>
        <w:t xml:space="preserve"> before enforcement. This has been pivotal in </w:t>
      </w:r>
      <w:r w:rsidRPr="004F0794">
        <w:rPr>
          <w:rFonts w:ascii="Times New Roman" w:eastAsia="Times New Roman" w:hAnsi="Times New Roman" w:cs="Times New Roman"/>
          <w:i/>
          <w:iCs/>
          <w:color w:val="000000" w:themeColor="text1"/>
          <w:sz w:val="24"/>
          <w:szCs w:val="24"/>
        </w:rPr>
        <w:t>Meribe v. Egwu</w:t>
      </w:r>
      <w:r w:rsidRPr="004F0794">
        <w:rPr>
          <w:rStyle w:val="FootnoteReference"/>
          <w:rFonts w:ascii="Times New Roman" w:eastAsia="Times New Roman" w:hAnsi="Times New Roman" w:cs="Times New Roman"/>
          <w:color w:val="000000" w:themeColor="text1"/>
          <w:sz w:val="24"/>
          <w:szCs w:val="24"/>
        </w:rPr>
        <w:footnoteReference w:id="93"/>
      </w:r>
      <w:r w:rsidRPr="004F0794">
        <w:rPr>
          <w:rFonts w:ascii="Times New Roman" w:eastAsia="Times New Roman" w:hAnsi="Times New Roman" w:cs="Times New Roman"/>
          <w:color w:val="000000" w:themeColor="text1"/>
          <w:sz w:val="24"/>
          <w:szCs w:val="24"/>
        </w:rPr>
        <w:t xml:space="preserve"> where the Supreme Court applied the repugnancy test. It invalidated the custom of “woman-to-woman marriage” because it is contrary to natural justice. The Act act is a check. It respects genuine customs. However, it filters out those inconsistent with fundamental legal values.</w:t>
      </w:r>
    </w:p>
    <w:p w:rsidR="00860B99" w:rsidRPr="004F0794" w:rsidRDefault="00860B99" w:rsidP="001C75F8">
      <w:pPr>
        <w:pStyle w:val="Heading3"/>
      </w:pPr>
      <w:bookmarkStart w:id="83" w:name="_Toc232722524"/>
      <w:r w:rsidRPr="004F0794">
        <w:lastRenderedPageBreak/>
        <w:t xml:space="preserve">3.1.5 </w:t>
      </w:r>
      <w:r w:rsidRPr="004F0794">
        <w:tab/>
        <w:t>State Customary Marriage Legislations</w:t>
      </w:r>
      <w:bookmarkEnd w:id="83"/>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Several Nigerian states formalise aspects of customary marriage through state enactments. States legislate on customary unions. In some state, it is required to register a marriage and it is done for evidentiary purposes.</w:t>
      </w:r>
      <w:r w:rsidRPr="004F0794">
        <w:rPr>
          <w:rStyle w:val="FootnoteReference"/>
          <w:rFonts w:ascii="Times New Roman" w:eastAsia="Times New Roman" w:hAnsi="Times New Roman" w:cs="Times New Roman"/>
          <w:color w:val="000000" w:themeColor="text1"/>
          <w:sz w:val="24"/>
          <w:szCs w:val="24"/>
        </w:rPr>
        <w:footnoteReference w:id="94"/>
      </w:r>
      <w:r w:rsidRPr="004F0794">
        <w:rPr>
          <w:rFonts w:ascii="Times New Roman" w:eastAsia="Times New Roman" w:hAnsi="Times New Roman" w:cs="Times New Roman"/>
          <w:color w:val="000000" w:themeColor="text1"/>
          <w:sz w:val="24"/>
          <w:szCs w:val="24"/>
        </w:rPr>
        <w:t xml:space="preserve"> For instance, Lagos State’s Marriage (Customary Marriage Registration) Law permits couples married under native law to register the marriage with a local registrar. In Eastern Nigeria, old regional laws (now adopted by states) provided that </w:t>
      </w:r>
      <w:r w:rsidRPr="004F0794">
        <w:rPr>
          <w:rFonts w:ascii="Times New Roman" w:eastAsia="Times New Roman" w:hAnsi="Times New Roman" w:cs="Times New Roman"/>
          <w:bCs/>
          <w:color w:val="000000" w:themeColor="text1"/>
          <w:sz w:val="24"/>
          <w:szCs w:val="24"/>
        </w:rPr>
        <w:t>customary marriages and divorces should be registered voluntarily</w:t>
      </w:r>
      <w:r w:rsidRPr="004F0794">
        <w:rPr>
          <w:rFonts w:ascii="Times New Roman" w:eastAsia="Times New Roman" w:hAnsi="Times New Roman" w:cs="Times New Roman"/>
          <w:color w:val="000000" w:themeColor="text1"/>
          <w:sz w:val="24"/>
          <w:szCs w:val="24"/>
        </w:rPr>
        <w:t>. However, uptake has been low.</w:t>
      </w:r>
      <w:r w:rsidRPr="004F0794">
        <w:rPr>
          <w:rStyle w:val="FootnoteReference"/>
          <w:rFonts w:ascii="Times New Roman" w:eastAsia="Times New Roman" w:hAnsi="Times New Roman" w:cs="Times New Roman"/>
          <w:color w:val="000000" w:themeColor="text1"/>
          <w:sz w:val="24"/>
          <w:szCs w:val="24"/>
        </w:rPr>
        <w:footnoteReference w:id="95"/>
      </w:r>
      <w:r w:rsidRPr="004F0794">
        <w:rPr>
          <w:rFonts w:ascii="Times New Roman" w:eastAsia="Times New Roman" w:hAnsi="Times New Roman" w:cs="Times New Roman"/>
          <w:color w:val="000000" w:themeColor="text1"/>
          <w:sz w:val="24"/>
          <w:szCs w:val="24"/>
        </w:rPr>
        <w:t xml:space="preserve"> Importantly, valid customary marriage is not invalidated when it is not registered. It only means proof of the marriage must be adduced through testimony or other evidence if contested. Some states have also begun to regulate </w:t>
      </w:r>
      <w:r w:rsidRPr="004F0794">
        <w:rPr>
          <w:rFonts w:ascii="Times New Roman" w:eastAsia="Times New Roman" w:hAnsi="Times New Roman" w:cs="Times New Roman"/>
          <w:bCs/>
          <w:color w:val="000000" w:themeColor="text1"/>
          <w:sz w:val="24"/>
          <w:szCs w:val="24"/>
        </w:rPr>
        <w:t>bride price and marriage expenses. This is there are</w:t>
      </w:r>
      <w:r w:rsidRPr="004F0794">
        <w:rPr>
          <w:rFonts w:ascii="Times New Roman" w:eastAsia="Times New Roman" w:hAnsi="Times New Roman" w:cs="Times New Roman"/>
          <w:color w:val="000000" w:themeColor="text1"/>
          <w:sz w:val="24"/>
          <w:szCs w:val="24"/>
        </w:rPr>
        <w:t xml:space="preserve"> concerns over exploitative practices. For example, Akwa Ibom State’s Widowhood, Harmful Traditional Practices Prohibition Law</w:t>
      </w:r>
      <w:r w:rsidRPr="004F0794">
        <w:rPr>
          <w:rStyle w:val="FootnoteReference"/>
          <w:rFonts w:ascii="Times New Roman" w:eastAsia="Times New Roman" w:hAnsi="Times New Roman" w:cs="Times New Roman"/>
          <w:color w:val="000000" w:themeColor="text1"/>
          <w:sz w:val="24"/>
          <w:szCs w:val="24"/>
        </w:rPr>
        <w:footnoteReference w:id="96"/>
      </w:r>
      <w:r w:rsidRPr="004F0794">
        <w:rPr>
          <w:rFonts w:ascii="Times New Roman" w:eastAsia="Times New Roman" w:hAnsi="Times New Roman" w:cs="Times New Roman"/>
          <w:color w:val="000000" w:themeColor="text1"/>
          <w:sz w:val="24"/>
          <w:szCs w:val="24"/>
        </w:rPr>
        <w:t xml:space="preserve"> and similar laws touch on marriage and it curbs excessive demands indirectly. In Nigeria, there are academic debates whether state laws should intervene to modify the bride price custom. Some Nigerian authors argue that legislation the refund of bride price should be eliminated or capped in divorce to protect the right of women.</w:t>
      </w:r>
      <w:r w:rsidRPr="004F0794">
        <w:rPr>
          <w:rStyle w:val="FootnoteReference"/>
          <w:rFonts w:ascii="Times New Roman" w:eastAsia="Times New Roman" w:hAnsi="Times New Roman" w:cs="Times New Roman"/>
          <w:color w:val="000000" w:themeColor="text1"/>
          <w:sz w:val="24"/>
          <w:szCs w:val="24"/>
        </w:rPr>
        <w:footnoteReference w:id="97"/>
      </w:r>
      <w:r w:rsidRPr="004F0794">
        <w:rPr>
          <w:rFonts w:ascii="Times New Roman" w:eastAsia="Times New Roman" w:hAnsi="Times New Roman" w:cs="Times New Roman"/>
          <w:color w:val="000000" w:themeColor="text1"/>
          <w:sz w:val="24"/>
          <w:szCs w:val="24"/>
        </w:rPr>
        <w:t xml:space="preserve">No Nigerian state has yet outlawed refunds of bride price. However, communities in parts of Igboland have set </w:t>
      </w:r>
      <w:r w:rsidRPr="004F0794">
        <w:rPr>
          <w:rFonts w:ascii="Times New Roman" w:eastAsia="Times New Roman" w:hAnsi="Times New Roman" w:cs="Times New Roman"/>
          <w:bCs/>
          <w:color w:val="000000" w:themeColor="text1"/>
          <w:sz w:val="24"/>
          <w:szCs w:val="24"/>
        </w:rPr>
        <w:t xml:space="preserve">nominal limits for bride price </w:t>
      </w:r>
      <w:r w:rsidRPr="004F0794">
        <w:rPr>
          <w:rFonts w:ascii="Times New Roman" w:eastAsia="Times New Roman" w:hAnsi="Times New Roman" w:cs="Times New Roman"/>
          <w:color w:val="000000" w:themeColor="text1"/>
          <w:sz w:val="24"/>
          <w:szCs w:val="24"/>
        </w:rPr>
        <w:t xml:space="preserve">(e.g. ₦100 in some cases) to reduce the burden. </w:t>
      </w:r>
    </w:p>
    <w:p w:rsidR="00860B99" w:rsidRPr="004F0794" w:rsidRDefault="00860B99" w:rsidP="001C75F8">
      <w:pPr>
        <w:pStyle w:val="Heading3"/>
      </w:pPr>
      <w:bookmarkStart w:id="84" w:name="_Toc232722525"/>
      <w:r w:rsidRPr="004F0794">
        <w:t>3.1.6</w:t>
      </w:r>
      <w:r w:rsidRPr="004F0794">
        <w:tab/>
        <w:t>State Customary Courts Laws &amp; Rules</w:t>
      </w:r>
      <w:bookmarkEnd w:id="84"/>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All states with customary courts have </w:t>
      </w:r>
      <w:r w:rsidRPr="004F0794">
        <w:rPr>
          <w:rFonts w:ascii="Times New Roman" w:eastAsia="Times New Roman" w:hAnsi="Times New Roman" w:cs="Times New Roman"/>
          <w:bCs/>
          <w:color w:val="000000" w:themeColor="text1"/>
          <w:sz w:val="24"/>
          <w:szCs w:val="24"/>
        </w:rPr>
        <w:t>Customary Court Laws and Rules and they establish</w:t>
      </w:r>
      <w:r w:rsidRPr="004F0794">
        <w:rPr>
          <w:rFonts w:ascii="Times New Roman" w:eastAsia="Times New Roman" w:hAnsi="Times New Roman" w:cs="Times New Roman"/>
          <w:color w:val="000000" w:themeColor="text1"/>
          <w:sz w:val="24"/>
          <w:szCs w:val="24"/>
        </w:rPr>
        <w:t xml:space="preserve"> those courts and guide their procedure. For example, Lagos State had no native courts </w:t>
      </w:r>
      <w:r w:rsidRPr="004F0794">
        <w:rPr>
          <w:rFonts w:ascii="Times New Roman" w:eastAsia="Times New Roman" w:hAnsi="Times New Roman" w:cs="Times New Roman"/>
          <w:color w:val="000000" w:themeColor="text1"/>
          <w:sz w:val="24"/>
          <w:szCs w:val="24"/>
        </w:rPr>
        <w:lastRenderedPageBreak/>
        <w:t>historically. However, they enacted a Customary Court Law in 2011 (amended 2018)</w:t>
      </w:r>
      <w:r w:rsidRPr="004F0794">
        <w:rPr>
          <w:rStyle w:val="FootnoteReference"/>
          <w:rFonts w:ascii="Times New Roman" w:eastAsia="Times New Roman" w:hAnsi="Times New Roman" w:cs="Times New Roman"/>
          <w:color w:val="000000" w:themeColor="text1"/>
          <w:sz w:val="24"/>
          <w:szCs w:val="24"/>
        </w:rPr>
        <w:footnoteReference w:id="98"/>
      </w:r>
      <w:r w:rsidRPr="004F0794">
        <w:rPr>
          <w:rFonts w:ascii="Times New Roman" w:eastAsia="Times New Roman" w:hAnsi="Times New Roman" w:cs="Times New Roman"/>
          <w:color w:val="000000" w:themeColor="text1"/>
          <w:sz w:val="24"/>
          <w:szCs w:val="24"/>
        </w:rPr>
        <w:t xml:space="preserve"> and this creates customary courts for adjudicating indigenous law matters. Section 1 of that Law empowers the State Judicial Service Commission to establish customary courts and appoint lay judges knowledgeable in custom. Similarly, Eastern states like Imo and Anambra have Customary Courts Edicts dating back to the 1980s (updated in the 2000s) and they define the courts’ jurisdiction over marriage and succession disputes under custom. These include schedules of fees, appeal routes, and a </w:t>
      </w:r>
      <w:r w:rsidRPr="004F0794">
        <w:rPr>
          <w:rFonts w:ascii="Times New Roman" w:eastAsia="Times New Roman" w:hAnsi="Times New Roman" w:cs="Times New Roman"/>
          <w:bCs/>
          <w:color w:val="000000" w:themeColor="text1"/>
          <w:sz w:val="24"/>
          <w:szCs w:val="24"/>
        </w:rPr>
        <w:t>customary court rules of procedure</w:t>
      </w:r>
      <w:r w:rsidRPr="004F0794">
        <w:rPr>
          <w:rFonts w:ascii="Times New Roman" w:eastAsia="Times New Roman" w:hAnsi="Times New Roman" w:cs="Times New Roman"/>
          <w:color w:val="000000" w:themeColor="text1"/>
          <w:sz w:val="24"/>
          <w:szCs w:val="24"/>
        </w:rPr>
        <w:t xml:space="preserve"> and this is simpler and less formal than the High Court’s. Many also embed the repugnancy proviso. They instruct customary courts not to enforce any custom contrary to public policy or equity.</w:t>
      </w:r>
      <w:r w:rsidRPr="004F0794">
        <w:rPr>
          <w:rStyle w:val="FootnoteReference"/>
          <w:rFonts w:ascii="Times New Roman" w:eastAsia="Times New Roman" w:hAnsi="Times New Roman" w:cs="Times New Roman"/>
          <w:color w:val="000000" w:themeColor="text1"/>
          <w:sz w:val="24"/>
          <w:szCs w:val="24"/>
        </w:rPr>
        <w:footnoteReference w:id="99"/>
      </w:r>
      <w:r w:rsidRPr="004F0794">
        <w:rPr>
          <w:rFonts w:ascii="Times New Roman" w:eastAsia="Times New Roman" w:hAnsi="Times New Roman" w:cs="Times New Roman"/>
          <w:color w:val="000000" w:themeColor="text1"/>
          <w:sz w:val="24"/>
          <w:szCs w:val="24"/>
        </w:rPr>
        <w:t xml:space="preserve"> Sometimes, state court rules specify evidentiary nuances. This includes requiring corroboration for certain marital claims (e.g. a rule might require at least one elder’s testimony to prove a customary marriage’s existence). In practice, formal rules in customary courts has not been adhered.</w:t>
      </w:r>
    </w:p>
    <w:p w:rsidR="00860B99" w:rsidRPr="004F0794" w:rsidRDefault="00860B99" w:rsidP="001C75F8">
      <w:pPr>
        <w:pStyle w:val="Heading2"/>
      </w:pPr>
      <w:bookmarkStart w:id="85" w:name="_Toc232722526"/>
      <w:r w:rsidRPr="004F0794">
        <w:t xml:space="preserve">3.2 </w:t>
      </w:r>
      <w:r w:rsidRPr="004F0794">
        <w:tab/>
        <w:t>Institutional Framework for Customary Law Marriage in Nigeria</w:t>
      </w:r>
      <w:bookmarkEnd w:id="85"/>
    </w:p>
    <w:p w:rsidR="00860B99" w:rsidRPr="004F0794" w:rsidRDefault="00860B99" w:rsidP="001C75F8">
      <w:pPr>
        <w:pStyle w:val="Heading3"/>
      </w:pPr>
      <w:bookmarkStart w:id="86" w:name="_Toc232722527"/>
      <w:r w:rsidRPr="004F0794">
        <w:t xml:space="preserve">3.2.1 </w:t>
      </w:r>
      <w:r w:rsidRPr="004F0794">
        <w:tab/>
        <w:t>Non-judicial for a (Family and Traditional Authorities)</w:t>
      </w:r>
      <w:bookmarkEnd w:id="86"/>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Customary marriage in Nigeria is fundamentally a </w:t>
      </w:r>
      <w:r w:rsidRPr="004F0794">
        <w:rPr>
          <w:rFonts w:ascii="Times New Roman" w:eastAsia="Times New Roman" w:hAnsi="Times New Roman" w:cs="Times New Roman"/>
          <w:bCs/>
          <w:color w:val="000000" w:themeColor="text1"/>
          <w:sz w:val="24"/>
          <w:szCs w:val="24"/>
        </w:rPr>
        <w:t>family affair</w:t>
      </w:r>
      <w:r w:rsidRPr="004F0794">
        <w:rPr>
          <w:rFonts w:ascii="Times New Roman" w:eastAsia="Times New Roman" w:hAnsi="Times New Roman" w:cs="Times New Roman"/>
          <w:color w:val="000000" w:themeColor="text1"/>
          <w:sz w:val="24"/>
          <w:szCs w:val="24"/>
        </w:rPr>
        <w:t>. Accordingly, family elders and community authorities play a pivotal role in its formation and dissolution. In many communities, marriage is not merely a union of two individuals. Rather, it is a union of two families. Thus, family heads and kindred councils are the first “institutions” which govern the marriage.</w:t>
      </w:r>
      <w:r w:rsidRPr="004F0794">
        <w:rPr>
          <w:rStyle w:val="FootnoteReference"/>
          <w:rFonts w:ascii="Times New Roman" w:eastAsia="Times New Roman" w:hAnsi="Times New Roman" w:cs="Times New Roman"/>
          <w:color w:val="000000" w:themeColor="text1"/>
          <w:sz w:val="24"/>
          <w:szCs w:val="24"/>
        </w:rPr>
        <w:footnoteReference w:id="100"/>
      </w:r>
      <w:r w:rsidRPr="004F0794">
        <w:rPr>
          <w:rFonts w:ascii="Times New Roman" w:eastAsia="Times New Roman" w:hAnsi="Times New Roman" w:cs="Times New Roman"/>
          <w:color w:val="000000" w:themeColor="text1"/>
          <w:sz w:val="24"/>
          <w:szCs w:val="24"/>
        </w:rPr>
        <w:t xml:space="preserve"> In Igbo custom, the bride’s family and groom’s family negotiate the marriage requirements (bride price, gifts, etc.). They also convene to settle any marital disputes that </w:t>
      </w:r>
      <w:r w:rsidRPr="004F0794">
        <w:rPr>
          <w:rFonts w:ascii="Times New Roman" w:eastAsia="Times New Roman" w:hAnsi="Times New Roman" w:cs="Times New Roman"/>
          <w:color w:val="000000" w:themeColor="text1"/>
          <w:sz w:val="24"/>
          <w:szCs w:val="24"/>
        </w:rPr>
        <w:lastRenderedPageBreak/>
        <w:t xml:space="preserve">arise. If a marriage turns sour, these elders attempt reconciliation. Only when reconciliation fails do they sanction a dissolution and this is completed when </w:t>
      </w:r>
      <w:r w:rsidRPr="004F0794">
        <w:rPr>
          <w:rFonts w:ascii="Times New Roman" w:eastAsia="Times New Roman" w:hAnsi="Times New Roman" w:cs="Times New Roman"/>
          <w:bCs/>
          <w:color w:val="000000" w:themeColor="text1"/>
          <w:sz w:val="24"/>
          <w:szCs w:val="24"/>
        </w:rPr>
        <w:t>the bride price has been returned</w:t>
      </w:r>
      <w:r w:rsidRPr="004F0794">
        <w:rPr>
          <w:rFonts w:ascii="Times New Roman" w:eastAsia="Times New Roman" w:hAnsi="Times New Roman" w:cs="Times New Roman"/>
          <w:color w:val="000000" w:themeColor="text1"/>
          <w:sz w:val="24"/>
          <w:szCs w:val="24"/>
        </w:rPr>
        <w:t xml:space="preserve"> in the presence of both families. This provides a form of arbitration or mediation. In addition, it reflects communal values and it also </w:t>
      </w:r>
      <w:r w:rsidRPr="004F0794">
        <w:rPr>
          <w:rFonts w:ascii="Times New Roman" w:eastAsia="Times New Roman" w:hAnsi="Times New Roman" w:cs="Times New Roman"/>
          <w:bCs/>
          <w:color w:val="000000" w:themeColor="text1"/>
          <w:sz w:val="24"/>
          <w:szCs w:val="24"/>
        </w:rPr>
        <w:t>preserves social relationships</w:t>
      </w:r>
      <w:r w:rsidRPr="004F0794">
        <w:rPr>
          <w:rFonts w:ascii="Times New Roman" w:eastAsia="Times New Roman" w:hAnsi="Times New Roman" w:cs="Times New Roman"/>
          <w:color w:val="000000" w:themeColor="text1"/>
          <w:sz w:val="24"/>
          <w:szCs w:val="24"/>
        </w:rPr>
        <w:t>. Traditional rulers and community chiefs also wield influence. In some Yoruba communities parties may appeal to the Baále or Oba (local chief) for intervention in protracted marital conflicts. This is a non-judicial fora and it lacks formal legal power. However, their decisions carry social legitimacy. They may declare a couple divorced according to custom so that the community regards the marriage as terminated.</w:t>
      </w:r>
      <w:r w:rsidRPr="004F0794">
        <w:rPr>
          <w:rStyle w:val="FootnoteReference"/>
          <w:rFonts w:ascii="Times New Roman" w:eastAsia="Times New Roman" w:hAnsi="Times New Roman" w:cs="Times New Roman"/>
          <w:color w:val="000000" w:themeColor="text1"/>
          <w:sz w:val="24"/>
          <w:szCs w:val="24"/>
        </w:rPr>
        <w:footnoteReference w:id="101"/>
      </w:r>
      <w:r w:rsidRPr="004F0794">
        <w:rPr>
          <w:rFonts w:ascii="Times New Roman" w:eastAsia="Times New Roman" w:hAnsi="Times New Roman" w:cs="Times New Roman"/>
          <w:color w:val="000000" w:themeColor="text1"/>
          <w:sz w:val="24"/>
          <w:szCs w:val="24"/>
        </w:rPr>
        <w:t xml:space="preserve"> One advantage is that this informal system is accessible and appropriate culturally. Disputes are resolved in the native language, with reference to shared norms. However, a critical </w:t>
      </w:r>
      <w:r w:rsidRPr="004F0794">
        <w:rPr>
          <w:rFonts w:ascii="Times New Roman" w:eastAsia="Times New Roman" w:hAnsi="Times New Roman" w:cs="Times New Roman"/>
          <w:bCs/>
          <w:color w:val="000000" w:themeColor="text1"/>
          <w:sz w:val="24"/>
          <w:szCs w:val="24"/>
        </w:rPr>
        <w:t>problem</w:t>
      </w:r>
      <w:r w:rsidRPr="004F0794">
        <w:rPr>
          <w:rFonts w:ascii="Times New Roman" w:eastAsia="Times New Roman" w:hAnsi="Times New Roman" w:cs="Times New Roman"/>
          <w:color w:val="000000" w:themeColor="text1"/>
          <w:sz w:val="24"/>
          <w:szCs w:val="24"/>
        </w:rPr>
        <w:t xml:space="preserve"> is that family or traditional adjudicators may reinforce </w:t>
      </w:r>
      <w:r w:rsidRPr="004F0794">
        <w:rPr>
          <w:rFonts w:ascii="Times New Roman" w:eastAsia="Times New Roman" w:hAnsi="Times New Roman" w:cs="Times New Roman"/>
          <w:bCs/>
          <w:color w:val="000000" w:themeColor="text1"/>
          <w:sz w:val="24"/>
          <w:szCs w:val="24"/>
        </w:rPr>
        <w:t>patriarchal biases</w:t>
      </w:r>
      <w:r w:rsidRPr="004F0794">
        <w:rPr>
          <w:rFonts w:ascii="Times New Roman" w:eastAsia="Times New Roman" w:hAnsi="Times New Roman" w:cs="Times New Roman"/>
          <w:color w:val="000000" w:themeColor="text1"/>
          <w:sz w:val="24"/>
          <w:szCs w:val="24"/>
        </w:rPr>
        <w:t>. Some customs treat the wife effectively as the husband’s property</w:t>
      </w:r>
      <w:r w:rsidRPr="004F0794">
        <w:rPr>
          <w:rFonts w:ascii="Times New Roman" w:hAnsi="Times New Roman" w:cs="Times New Roman"/>
          <w:color w:val="000000" w:themeColor="text1"/>
          <w:sz w:val="24"/>
          <w:szCs w:val="24"/>
        </w:rPr>
        <w:t xml:space="preserve">. </w:t>
      </w:r>
      <w:r w:rsidRPr="004F0794">
        <w:rPr>
          <w:rFonts w:ascii="Times New Roman" w:eastAsia="Times New Roman" w:hAnsi="Times New Roman" w:cs="Times New Roman"/>
          <w:color w:val="000000" w:themeColor="text1"/>
          <w:sz w:val="24"/>
          <w:szCs w:val="24"/>
        </w:rPr>
        <w:t>Hence, family elders (often male) might side reflexively with the husband or pressure a wife to endure mistreatment to avoid shame to the family.</w:t>
      </w:r>
      <w:r w:rsidRPr="004F0794">
        <w:rPr>
          <w:rStyle w:val="FootnoteReference"/>
          <w:rFonts w:ascii="Times New Roman" w:eastAsia="Times New Roman" w:hAnsi="Times New Roman" w:cs="Times New Roman"/>
          <w:color w:val="000000" w:themeColor="text1"/>
          <w:sz w:val="24"/>
          <w:szCs w:val="24"/>
        </w:rPr>
        <w:footnoteReference w:id="102"/>
      </w:r>
      <w:r w:rsidRPr="004F0794">
        <w:rPr>
          <w:rFonts w:ascii="Times New Roman" w:eastAsia="Times New Roman" w:hAnsi="Times New Roman" w:cs="Times New Roman"/>
          <w:color w:val="000000" w:themeColor="text1"/>
          <w:sz w:val="24"/>
          <w:szCs w:val="24"/>
        </w:rPr>
        <w:t xml:space="preserve"> In summary, Non-judicial institutions are indispensable to uphold customary marriages. However, they are informal and they perpetuate gender hierarchy. This undermines equitable outcomes. </w:t>
      </w:r>
    </w:p>
    <w:p w:rsidR="00860B99" w:rsidRPr="004F0794" w:rsidRDefault="00860B99" w:rsidP="001C75F8">
      <w:pPr>
        <w:pStyle w:val="Heading3"/>
      </w:pPr>
      <w:bookmarkStart w:id="87" w:name="_Toc232722528"/>
      <w:r w:rsidRPr="004F0794">
        <w:t xml:space="preserve">3.2.2 </w:t>
      </w:r>
      <w:r w:rsidRPr="004F0794">
        <w:tab/>
        <w:t>Judicial Fora</w:t>
      </w:r>
      <w:bookmarkEnd w:id="87"/>
    </w:p>
    <w:p w:rsidR="001C75F8" w:rsidRPr="004F0794" w:rsidRDefault="00860B99" w:rsidP="001C75F8">
      <w:pPr>
        <w:pStyle w:val="Heading4"/>
      </w:pPr>
      <w:r w:rsidRPr="004F0794">
        <w:t>3.2.2.1 Customary and Area Courts (Trial Courts)</w:t>
      </w:r>
    </w:p>
    <w:p w:rsidR="00860B99" w:rsidRPr="004F0794" w:rsidRDefault="00860B99" w:rsidP="001C75F8">
      <w:pPr>
        <w:spacing w:line="480" w:lineRule="auto"/>
        <w:jc w:val="both"/>
        <w:rPr>
          <w:rFonts w:ascii="Times New Roman" w:eastAsia="Times New Roman" w:hAnsi="Times New Roman" w:cs="Times New Roman"/>
          <w:b/>
          <w:bCs/>
          <w:color w:val="000000" w:themeColor="text1"/>
          <w:sz w:val="24"/>
          <w:szCs w:val="24"/>
        </w:rPr>
      </w:pPr>
      <w:r w:rsidRPr="004F0794">
        <w:rPr>
          <w:rFonts w:ascii="Times New Roman" w:eastAsia="Times New Roman" w:hAnsi="Times New Roman" w:cs="Times New Roman"/>
          <w:bCs/>
          <w:color w:val="000000" w:themeColor="text1"/>
          <w:sz w:val="24"/>
          <w:szCs w:val="24"/>
        </w:rPr>
        <w:t>Customary Courts</w:t>
      </w:r>
      <w:r w:rsidRPr="004F0794">
        <w:rPr>
          <w:rFonts w:ascii="Times New Roman" w:eastAsia="Times New Roman" w:hAnsi="Times New Roman" w:cs="Times New Roman"/>
          <w:color w:val="000000" w:themeColor="text1"/>
          <w:sz w:val="24"/>
          <w:szCs w:val="24"/>
        </w:rPr>
        <w:t xml:space="preserve"> (in the South) and </w:t>
      </w:r>
      <w:r w:rsidRPr="004F0794">
        <w:rPr>
          <w:rFonts w:ascii="Times New Roman" w:eastAsia="Times New Roman" w:hAnsi="Times New Roman" w:cs="Times New Roman"/>
          <w:bCs/>
          <w:color w:val="000000" w:themeColor="text1"/>
          <w:sz w:val="24"/>
          <w:szCs w:val="24"/>
        </w:rPr>
        <w:t>Area Courts</w:t>
      </w:r>
      <w:r w:rsidRPr="004F0794">
        <w:rPr>
          <w:rFonts w:ascii="Times New Roman" w:eastAsia="Times New Roman" w:hAnsi="Times New Roman" w:cs="Times New Roman"/>
          <w:color w:val="000000" w:themeColor="text1"/>
          <w:sz w:val="24"/>
          <w:szCs w:val="24"/>
        </w:rPr>
        <w:t xml:space="preserve"> (in the North) are the primary judicial fora for disputes involving customary law marriages. These courts were created by statute (established by state Customary Court Laws or Area Court Laws) and they are composed of a panel of lay judges or alkalis who posses knowledge of local custom; however, they are not </w:t>
      </w:r>
      <w:r w:rsidRPr="004F0794">
        <w:rPr>
          <w:rFonts w:ascii="Times New Roman" w:eastAsia="Times New Roman" w:hAnsi="Times New Roman" w:cs="Times New Roman"/>
          <w:color w:val="000000" w:themeColor="text1"/>
          <w:sz w:val="24"/>
          <w:szCs w:val="24"/>
        </w:rPr>
        <w:lastRenderedPageBreak/>
        <w:t xml:space="preserve">required to undergo formal legal training.  They have jurisdiction for customary law matters. This includes the validity of marriage, divorce, refund of bride price, custody of children of customary unions, and intestate succession under custom. In practice, when a spouse petitions for dissolution of a customary marriage through the courts, the case is filed in a Customary Court of appropriate grade in the locality where the marriage was celebrated or where the parties reside. For the Muslim communities of the far North, </w:t>
      </w:r>
      <w:r w:rsidRPr="004F0794">
        <w:rPr>
          <w:rFonts w:ascii="Times New Roman" w:eastAsia="Times New Roman" w:hAnsi="Times New Roman" w:cs="Times New Roman"/>
          <w:bCs/>
          <w:color w:val="000000" w:themeColor="text1"/>
          <w:sz w:val="24"/>
          <w:szCs w:val="24"/>
        </w:rPr>
        <w:t>Area Courts</w:t>
      </w:r>
      <w:r w:rsidRPr="004F0794">
        <w:rPr>
          <w:rFonts w:ascii="Times New Roman" w:eastAsia="Times New Roman" w:hAnsi="Times New Roman" w:cs="Times New Roman"/>
          <w:color w:val="000000" w:themeColor="text1"/>
          <w:sz w:val="24"/>
          <w:szCs w:val="24"/>
        </w:rPr>
        <w:t xml:space="preserve"> or Sharia Courts perform a similar function for Islamic marriages (which are often considered a subset of customary law marriages in legal classification). Notably, Lagos State had no customary courts during colonial times.</w:t>
      </w:r>
      <w:r w:rsidRPr="004F0794">
        <w:rPr>
          <w:rStyle w:val="FootnoteReference"/>
          <w:rFonts w:ascii="Times New Roman" w:eastAsia="Times New Roman" w:hAnsi="Times New Roman" w:cs="Times New Roman"/>
          <w:color w:val="000000" w:themeColor="text1"/>
          <w:sz w:val="24"/>
          <w:szCs w:val="24"/>
        </w:rPr>
        <w:footnoteReference w:id="103"/>
      </w:r>
      <w:r w:rsidRPr="004F0794">
        <w:rPr>
          <w:rFonts w:ascii="Times New Roman" w:eastAsia="Times New Roman" w:hAnsi="Times New Roman" w:cs="Times New Roman"/>
          <w:color w:val="000000" w:themeColor="text1"/>
          <w:sz w:val="24"/>
          <w:szCs w:val="24"/>
        </w:rPr>
        <w:t xml:space="preserve"> However, it now has Customary Courts and it handles indigenous marriage disputes pursuant to its 2011 Law</w:t>
      </w:r>
      <w:r w:rsidRPr="004F0794">
        <w:rPr>
          <w:rStyle w:val="FootnoteReference"/>
          <w:rFonts w:ascii="Times New Roman" w:eastAsia="Times New Roman" w:hAnsi="Times New Roman" w:cs="Times New Roman"/>
          <w:color w:val="000000" w:themeColor="text1"/>
          <w:sz w:val="24"/>
          <w:szCs w:val="24"/>
        </w:rPr>
        <w:footnoteReference w:id="104"/>
      </w:r>
      <w:r w:rsidRPr="004F0794">
        <w:rPr>
          <w:rFonts w:ascii="Times New Roman" w:eastAsia="Times New Roman" w:hAnsi="Times New Roman" w:cs="Times New Roman"/>
          <w:color w:val="000000" w:themeColor="text1"/>
          <w:sz w:val="24"/>
          <w:szCs w:val="24"/>
        </w:rPr>
        <w:t xml:space="preserve">. In these courts, procedure is meant to be </w:t>
      </w:r>
      <w:r w:rsidRPr="004F0794">
        <w:rPr>
          <w:rFonts w:ascii="Times New Roman" w:eastAsia="Times New Roman" w:hAnsi="Times New Roman" w:cs="Times New Roman"/>
          <w:bCs/>
          <w:color w:val="000000" w:themeColor="text1"/>
          <w:sz w:val="24"/>
          <w:szCs w:val="24"/>
        </w:rPr>
        <w:t>flexible and accessible</w:t>
      </w:r>
      <w:r w:rsidRPr="004F0794">
        <w:rPr>
          <w:rFonts w:ascii="Times New Roman" w:eastAsia="Times New Roman" w:hAnsi="Times New Roman" w:cs="Times New Roman"/>
          <w:color w:val="000000" w:themeColor="text1"/>
          <w:sz w:val="24"/>
          <w:szCs w:val="24"/>
        </w:rPr>
        <w:t xml:space="preserve">. Proceedings may be conducted in the local language and with minimal technical formality. For example, a wife who seeks divorce in a customary court may simply explain that she “no longer finds life with the husband bearable.”  She does not need to fit her petition into statutory grounds. The court would inquire if family mediation was attempted and if the bride price was ready to be returned. However, the capacity and quality of these courts vary widely. Many customary court judges are laypersons. Hence, they may not understand evidence and substantive law evenly. Some courts make decisions based on personal knowledge of custom or community sentiment (and not evidence on record). This raises concerns for due process. Furthermore, customary courts favour males in matters of custody and property due to customary norms. For instance, it was once routine for a customary court to award children of the marriage to the father as of right. Likewise, wives had no claim to jointly acquired property. Customary courts hold the view that whatever a wife earned or helped build belonged to the husband. However, these approaches have started to shift due to training and the influence of the constitution. Nonetheless, </w:t>
      </w:r>
      <w:r w:rsidRPr="004F0794">
        <w:rPr>
          <w:rFonts w:ascii="Times New Roman" w:eastAsia="Times New Roman" w:hAnsi="Times New Roman" w:cs="Times New Roman"/>
          <w:bCs/>
          <w:color w:val="000000" w:themeColor="text1"/>
          <w:sz w:val="24"/>
          <w:szCs w:val="24"/>
        </w:rPr>
        <w:t>outcomes still vary</w:t>
      </w:r>
      <w:r w:rsidRPr="004F0794">
        <w:rPr>
          <w:rFonts w:ascii="Times New Roman" w:eastAsia="Times New Roman" w:hAnsi="Times New Roman" w:cs="Times New Roman"/>
          <w:color w:val="000000" w:themeColor="text1"/>
          <w:sz w:val="24"/>
          <w:szCs w:val="24"/>
        </w:rPr>
        <w:t xml:space="preserve">. </w:t>
      </w:r>
      <w:r w:rsidRPr="004F0794">
        <w:rPr>
          <w:rFonts w:ascii="Times New Roman" w:eastAsia="Times New Roman" w:hAnsi="Times New Roman" w:cs="Times New Roman"/>
          <w:color w:val="000000" w:themeColor="text1"/>
          <w:sz w:val="24"/>
          <w:szCs w:val="24"/>
        </w:rPr>
        <w:lastRenderedPageBreak/>
        <w:t>In the North, Area/Sharia courts generally permit a husband’s unilateral divorce (talaq) with limited inquiry. However, if a wife petitions for divorce (khul’ or faskh), some Area courts still impose onerous conditions (for example, repaying the husband’s marriage payment (sadaki)) regardless of fault. However, this too is being questioned under human rights norms.</w:t>
      </w:r>
      <w:r w:rsidRPr="004F0794">
        <w:rPr>
          <w:rStyle w:val="FootnoteReference"/>
          <w:rFonts w:ascii="Times New Roman" w:eastAsia="Times New Roman" w:hAnsi="Times New Roman" w:cs="Times New Roman"/>
          <w:color w:val="000000" w:themeColor="text1"/>
          <w:sz w:val="24"/>
          <w:szCs w:val="24"/>
        </w:rPr>
        <w:footnoteReference w:id="105"/>
      </w:r>
    </w:p>
    <w:p w:rsidR="00860B99" w:rsidRPr="004F0794" w:rsidRDefault="00860B99" w:rsidP="001C75F8">
      <w:pPr>
        <w:pStyle w:val="Heading4"/>
      </w:pPr>
      <w:r w:rsidRPr="004F0794">
        <w:t xml:space="preserve">3.2.2.2 </w:t>
      </w:r>
      <w:r w:rsidRPr="004F0794">
        <w:tab/>
        <w:t>Customary/Sharia Court of Appeal (State).</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Above the trial level, Nigeria has a layered appellate structure and this supervises how customary law is applied. Some states have established a </w:t>
      </w:r>
      <w:r w:rsidRPr="004F0794">
        <w:rPr>
          <w:rFonts w:ascii="Times New Roman" w:eastAsia="Times New Roman" w:hAnsi="Times New Roman" w:cs="Times New Roman"/>
          <w:bCs/>
          <w:color w:val="000000" w:themeColor="text1"/>
          <w:sz w:val="24"/>
          <w:szCs w:val="24"/>
        </w:rPr>
        <w:t>State Customary Court of Appeal</w:t>
      </w:r>
      <w:r w:rsidRPr="004F0794">
        <w:rPr>
          <w:rFonts w:ascii="Times New Roman" w:eastAsia="Times New Roman" w:hAnsi="Times New Roman" w:cs="Times New Roman"/>
          <w:color w:val="000000" w:themeColor="text1"/>
          <w:sz w:val="24"/>
          <w:szCs w:val="24"/>
        </w:rPr>
        <w:t xml:space="preserve"> (CCA) and they are empowered by the Constitution (Section 280) to hear appeals solely on questions of customary law.</w:t>
      </w:r>
      <w:r w:rsidRPr="004F0794">
        <w:rPr>
          <w:rStyle w:val="FootnoteReference"/>
          <w:rFonts w:ascii="Times New Roman" w:eastAsia="Times New Roman" w:hAnsi="Times New Roman" w:cs="Times New Roman"/>
          <w:color w:val="000000" w:themeColor="text1"/>
          <w:sz w:val="24"/>
          <w:szCs w:val="24"/>
        </w:rPr>
        <w:footnoteReference w:id="106"/>
      </w:r>
      <w:r w:rsidRPr="004F0794">
        <w:rPr>
          <w:rFonts w:ascii="Times New Roman" w:eastAsia="Times New Roman" w:hAnsi="Times New Roman" w:cs="Times New Roman"/>
          <w:color w:val="000000" w:themeColor="text1"/>
          <w:sz w:val="24"/>
          <w:szCs w:val="24"/>
        </w:rPr>
        <w:t xml:space="preserve"> Customary Court of Appeal of a State is established and vested with appellate and supervisory jurisdiction in civil proceedings which involves questions of customary law. The Customary Court of Appeal of a State is composed of a President of the Customary Court of Appeal of the State and other judges and they learned in customary law.</w:t>
      </w:r>
      <w:r w:rsidRPr="004F0794">
        <w:rPr>
          <w:rStyle w:val="FootnoteReference"/>
          <w:rFonts w:ascii="Times New Roman" w:eastAsia="Times New Roman" w:hAnsi="Times New Roman" w:cs="Times New Roman"/>
          <w:color w:val="000000" w:themeColor="text1"/>
          <w:sz w:val="24"/>
          <w:szCs w:val="24"/>
        </w:rPr>
        <w:footnoteReference w:id="107"/>
      </w:r>
      <w:r w:rsidRPr="004F0794">
        <w:rPr>
          <w:rFonts w:ascii="Times New Roman" w:eastAsia="Times New Roman" w:hAnsi="Times New Roman" w:cs="Times New Roman"/>
          <w:color w:val="000000" w:themeColor="text1"/>
          <w:sz w:val="24"/>
          <w:szCs w:val="24"/>
        </w:rPr>
        <w:t xml:space="preserve"> The CCA is duly constituted if it consists of at least three Judges of that Court and they must be learned in Customary Law.</w:t>
      </w:r>
      <w:r w:rsidRPr="004F0794">
        <w:rPr>
          <w:rStyle w:val="FootnoteReference"/>
          <w:rFonts w:ascii="Times New Roman" w:eastAsia="Times New Roman" w:hAnsi="Times New Roman" w:cs="Times New Roman"/>
          <w:color w:val="000000" w:themeColor="text1"/>
          <w:sz w:val="24"/>
          <w:szCs w:val="24"/>
        </w:rPr>
        <w:footnoteReference w:id="108"/>
      </w:r>
      <w:r w:rsidRPr="004F0794">
        <w:rPr>
          <w:rFonts w:ascii="Times New Roman" w:eastAsia="Times New Roman" w:hAnsi="Times New Roman" w:cs="Times New Roman"/>
          <w:color w:val="000000" w:themeColor="text1"/>
          <w:sz w:val="24"/>
          <w:szCs w:val="24"/>
        </w:rPr>
        <w:t xml:space="preserve"> The Customary Court of Appeal issues decisions and this clarify what the essential ingredients of a valid customary marriage are, or whether a particular local custom meets the repugnancy standard. The CCA is an appellate court for customary-law questions. Hence, it becomes the institution that clarifies the content of the custom. In addition, it standardises the approach within the state. More-so, it polices whether a lower court misunderstood the customary rule or applied the wrong custom. In </w:t>
      </w:r>
      <w:r w:rsidRPr="004F0794">
        <w:rPr>
          <w:rFonts w:ascii="Times New Roman" w:eastAsia="Times New Roman" w:hAnsi="Times New Roman" w:cs="Times New Roman"/>
          <w:i/>
          <w:color w:val="000000" w:themeColor="text1"/>
          <w:sz w:val="24"/>
          <w:szCs w:val="24"/>
        </w:rPr>
        <w:t>Irabor v Mrs. Faith Irabor</w:t>
      </w:r>
      <w:r w:rsidRPr="004F0794">
        <w:rPr>
          <w:rFonts w:ascii="Times New Roman" w:eastAsia="Times New Roman" w:hAnsi="Times New Roman" w:cs="Times New Roman"/>
          <w:color w:val="000000" w:themeColor="text1"/>
          <w:sz w:val="24"/>
          <w:szCs w:val="24"/>
        </w:rPr>
        <w:t>,</w:t>
      </w:r>
      <w:r w:rsidRPr="004F0794">
        <w:rPr>
          <w:rStyle w:val="FootnoteReference"/>
          <w:rFonts w:ascii="Times New Roman" w:eastAsia="Times New Roman" w:hAnsi="Times New Roman" w:cs="Times New Roman"/>
          <w:color w:val="000000" w:themeColor="text1"/>
          <w:sz w:val="24"/>
          <w:szCs w:val="24"/>
        </w:rPr>
        <w:footnoteReference w:id="109"/>
      </w:r>
      <w:r w:rsidRPr="004F0794">
        <w:rPr>
          <w:rFonts w:ascii="Times New Roman" w:eastAsia="Times New Roman" w:hAnsi="Times New Roman" w:cs="Times New Roman"/>
          <w:color w:val="000000" w:themeColor="text1"/>
          <w:sz w:val="24"/>
          <w:szCs w:val="24"/>
        </w:rPr>
        <w:t xml:space="preserve"> the lower court dissolved the marriage and then it made consequential orders on custody, refund of dowry, maintenance, and removal of property. </w:t>
      </w:r>
      <w:r w:rsidRPr="004F0794">
        <w:rPr>
          <w:rFonts w:ascii="Times New Roman" w:eastAsia="Times New Roman" w:hAnsi="Times New Roman" w:cs="Times New Roman"/>
          <w:color w:val="000000" w:themeColor="text1"/>
          <w:sz w:val="24"/>
          <w:szCs w:val="24"/>
        </w:rPr>
        <w:lastRenderedPageBreak/>
        <w:t xml:space="preserve">The Edo state CCA affirmed the dissolution and most consequential reliefs. However, it stated that maintenance was excessive and this shows that CCA is a corrective appellate institution in customary marriage.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In Enugu state, customary Court of Appeal Law, 2005 and Customary Court of Appeal Rules, 2010 recognise that the customary court of appeal is an appellate court with powers, in an appropriate appeal, to draw inferences of fact, give any judgment or make any order which ought to have been made by the lower court, and make further orders necessary to determine the real questions in controversy on the merits.</w:t>
      </w:r>
      <w:r w:rsidRPr="004F0794">
        <w:rPr>
          <w:rStyle w:val="FootnoteReference"/>
          <w:rFonts w:ascii="Times New Roman" w:eastAsia="Times New Roman" w:hAnsi="Times New Roman" w:cs="Times New Roman"/>
          <w:color w:val="000000" w:themeColor="text1"/>
          <w:sz w:val="24"/>
          <w:szCs w:val="24"/>
        </w:rPr>
        <w:footnoteReference w:id="110"/>
      </w:r>
      <w:r w:rsidRPr="004F0794">
        <w:rPr>
          <w:rFonts w:ascii="Times New Roman" w:eastAsia="Times New Roman" w:hAnsi="Times New Roman" w:cs="Times New Roman"/>
          <w:color w:val="000000" w:themeColor="text1"/>
          <w:sz w:val="24"/>
          <w:szCs w:val="24"/>
        </w:rPr>
        <w:t xml:space="preserve"> In </w:t>
      </w:r>
      <w:r>
        <w:rPr>
          <w:rFonts w:ascii="Times New Roman" w:eastAsia="Times New Roman" w:hAnsi="Times New Roman" w:cs="Times New Roman"/>
          <w:i/>
          <w:color w:val="000000" w:themeColor="text1"/>
          <w:sz w:val="24"/>
          <w:szCs w:val="24"/>
        </w:rPr>
        <w:t>Nwigwe v Okolo &amp; Ors</w:t>
      </w:r>
      <w:r w:rsidRPr="004F0794">
        <w:rPr>
          <w:rFonts w:ascii="Times New Roman" w:eastAsia="Times New Roman" w:hAnsi="Times New Roman" w:cs="Times New Roman"/>
          <w:color w:val="000000" w:themeColor="text1"/>
          <w:sz w:val="24"/>
          <w:szCs w:val="24"/>
        </w:rPr>
        <w:t>,</w:t>
      </w:r>
      <w:r w:rsidRPr="004F0794">
        <w:rPr>
          <w:rStyle w:val="FootnoteReference"/>
          <w:rFonts w:ascii="Times New Roman" w:eastAsia="Times New Roman" w:hAnsi="Times New Roman" w:cs="Times New Roman"/>
          <w:color w:val="000000" w:themeColor="text1"/>
          <w:sz w:val="24"/>
          <w:szCs w:val="24"/>
        </w:rPr>
        <w:footnoteReference w:id="111"/>
      </w:r>
      <w:r w:rsidRPr="004F0794">
        <w:rPr>
          <w:rFonts w:ascii="Times New Roman" w:eastAsia="Times New Roman" w:hAnsi="Times New Roman" w:cs="Times New Roman"/>
          <w:color w:val="000000" w:themeColor="text1"/>
          <w:sz w:val="24"/>
          <w:szCs w:val="24"/>
        </w:rPr>
        <w:t xml:space="preserve"> the Enugu state customary court of appeal had relied on Order 4 Rules 3–6 of the Customary Court of Appeal Rules 2010 of Enugu State. This empowered the court to draw inferences of fact and make any order that ought to have been made by the lower court. The Court of Appeal held that those powers are exercisable when the court is acting in its appellate jurisdiction, not when it is exercising supervisory jurisdiction. Since the lower court proceedings had been quashed for denial of fair hearing, the proper order was to remit the matter for rehearing, not substitute a fresh interlocutory injunction. Thus, appellate review in the Enugu Customary Court of Appeal is structured in the following manner. The court may correct errors and make proper consequential orders on appeal. However, it cannot transform supervisory proceedings into a full appellate rehearing.</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Constitutionally, the Sharia Court of Appeal is a specialised appellate court and it is limited to Islamic personal law questions on marriage, divorce, custody/guardianship, and inheritance.</w:t>
      </w:r>
      <w:r w:rsidRPr="004F0794">
        <w:rPr>
          <w:rStyle w:val="FootnoteReference"/>
          <w:rFonts w:ascii="Times New Roman" w:eastAsia="Times New Roman" w:hAnsi="Times New Roman" w:cs="Times New Roman"/>
          <w:color w:val="000000" w:themeColor="text1"/>
          <w:sz w:val="24"/>
          <w:szCs w:val="24"/>
        </w:rPr>
        <w:footnoteReference w:id="112"/>
      </w:r>
      <w:r w:rsidRPr="004F0794">
        <w:rPr>
          <w:rFonts w:ascii="Times New Roman" w:eastAsia="Times New Roman" w:hAnsi="Times New Roman" w:cs="Times New Roman"/>
          <w:color w:val="000000" w:themeColor="text1"/>
          <w:sz w:val="24"/>
          <w:szCs w:val="24"/>
        </w:rPr>
        <w:t xml:space="preserve"> In Core northern states, there are </w:t>
      </w:r>
      <w:r w:rsidRPr="004F0794">
        <w:rPr>
          <w:rFonts w:ascii="Times New Roman" w:eastAsia="Times New Roman" w:hAnsi="Times New Roman" w:cs="Times New Roman"/>
          <w:bCs/>
          <w:color w:val="000000" w:themeColor="text1"/>
          <w:sz w:val="24"/>
          <w:szCs w:val="24"/>
        </w:rPr>
        <w:t>Sharia Courts of Appeal</w:t>
      </w:r>
      <w:r w:rsidRPr="004F0794">
        <w:rPr>
          <w:rFonts w:ascii="Times New Roman" w:eastAsia="Times New Roman" w:hAnsi="Times New Roman" w:cs="Times New Roman"/>
          <w:color w:val="000000" w:themeColor="text1"/>
          <w:sz w:val="24"/>
          <w:szCs w:val="24"/>
        </w:rPr>
        <w:t xml:space="preserve"> (for Islamic personal law) and these courts handle appeals in Muslim matrimonial cases instead of the CCA. The </w:t>
      </w:r>
      <w:r w:rsidRPr="004F0794">
        <w:rPr>
          <w:rFonts w:ascii="Times New Roman" w:eastAsia="Times New Roman" w:hAnsi="Times New Roman" w:cs="Times New Roman"/>
          <w:color w:val="000000" w:themeColor="text1"/>
          <w:sz w:val="24"/>
          <w:szCs w:val="24"/>
        </w:rPr>
        <w:lastRenderedPageBreak/>
        <w:t>Sharia Court of Appeal of the State composed of (a) a Grand Kadi and other number of Kadi.</w:t>
      </w:r>
      <w:r w:rsidRPr="004F0794">
        <w:rPr>
          <w:rStyle w:val="FootnoteReference"/>
          <w:rFonts w:ascii="Times New Roman" w:eastAsia="Times New Roman" w:hAnsi="Times New Roman" w:cs="Times New Roman"/>
          <w:color w:val="000000" w:themeColor="text1"/>
          <w:sz w:val="24"/>
          <w:szCs w:val="24"/>
        </w:rPr>
        <w:footnoteReference w:id="113"/>
      </w:r>
      <w:r w:rsidRPr="004F0794">
        <w:rPr>
          <w:rFonts w:ascii="Times New Roman" w:eastAsia="Times New Roman" w:hAnsi="Times New Roman" w:cs="Times New Roman"/>
          <w:color w:val="000000" w:themeColor="text1"/>
          <w:sz w:val="24"/>
          <w:szCs w:val="24"/>
        </w:rPr>
        <w:t xml:space="preserve"> It is duly constituted if it consists of at least three Kadis of that Court.</w:t>
      </w:r>
      <w:r w:rsidRPr="004F0794">
        <w:rPr>
          <w:rStyle w:val="FootnoteReference"/>
          <w:rFonts w:ascii="Times New Roman" w:eastAsia="Times New Roman" w:hAnsi="Times New Roman" w:cs="Times New Roman"/>
          <w:color w:val="000000" w:themeColor="text1"/>
          <w:sz w:val="24"/>
          <w:szCs w:val="24"/>
        </w:rPr>
        <w:footnoteReference w:id="114"/>
      </w:r>
      <w:r w:rsidRPr="004F0794">
        <w:rPr>
          <w:rFonts w:ascii="Times New Roman" w:eastAsia="Times New Roman" w:hAnsi="Times New Roman" w:cs="Times New Roman"/>
          <w:color w:val="000000" w:themeColor="text1"/>
          <w:sz w:val="24"/>
          <w:szCs w:val="24"/>
        </w:rPr>
        <w:t xml:space="preserve"> The SCA becomes central where the marriage is Islamic (nikah) or where parties (being Muslims) submit that the matter should be determined under Islamic personal law. Similarly, the Sharia Court of Appeal of the FCT, Abuja is established with equivalent jurisdictional frame for Islamic personal law questions.</w:t>
      </w:r>
    </w:p>
    <w:p w:rsidR="00860B99" w:rsidRPr="004F0794" w:rsidRDefault="00860B99" w:rsidP="001C75F8">
      <w:pPr>
        <w:pStyle w:val="Heading4"/>
      </w:pPr>
      <w:r w:rsidRPr="004F0794">
        <w:t xml:space="preserve">3.2.2.3 </w:t>
      </w:r>
      <w:r w:rsidRPr="004F0794">
        <w:tab/>
        <w:t>Court of Appeal</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Ultimately, all paths from where converge at the </w:t>
      </w:r>
      <w:r w:rsidRPr="004F0794">
        <w:rPr>
          <w:rFonts w:ascii="Times New Roman" w:eastAsia="Times New Roman" w:hAnsi="Times New Roman" w:cs="Times New Roman"/>
          <w:bCs/>
          <w:color w:val="000000" w:themeColor="text1"/>
          <w:sz w:val="24"/>
          <w:szCs w:val="24"/>
        </w:rPr>
        <w:t xml:space="preserve">Court of Appeal. </w:t>
      </w:r>
      <w:r w:rsidRPr="004F0794">
        <w:rPr>
          <w:rFonts w:ascii="Times New Roman" w:eastAsia="Times New Roman" w:hAnsi="Times New Roman" w:cs="Times New Roman"/>
          <w:color w:val="000000" w:themeColor="text1"/>
          <w:sz w:val="24"/>
          <w:szCs w:val="24"/>
        </w:rPr>
        <w:t xml:space="preserve">The Court of Appeal is a key institution and it harmonises customary marriage doctrine across the plural systems in Nigeria. Section 240 of the constitution provides that it has jurisdiction </w:t>
      </w:r>
      <w:r w:rsidRPr="004F0794">
        <w:rPr>
          <w:rFonts w:ascii="Times New Roman" w:eastAsia="Times New Roman" w:hAnsi="Times New Roman" w:cs="Times New Roman"/>
          <w:i/>
          <w:iCs/>
          <w:color w:val="000000" w:themeColor="text1"/>
          <w:sz w:val="24"/>
          <w:szCs w:val="24"/>
        </w:rPr>
        <w:t xml:space="preserve">“to hear and determine appeals from… High Court of a State, Sharia Court of Appeal… [and] Customary Court of Appeal of a State.  </w:t>
      </w:r>
      <w:r w:rsidRPr="004F0794">
        <w:rPr>
          <w:rFonts w:ascii="Times New Roman" w:eastAsia="Times New Roman" w:hAnsi="Times New Roman" w:cs="Times New Roman"/>
          <w:iCs/>
          <w:color w:val="000000" w:themeColor="text1"/>
          <w:sz w:val="24"/>
          <w:szCs w:val="24"/>
        </w:rPr>
        <w:t>The CA is composed of the president of the Court of Appeal and other justices of the CA.</w:t>
      </w:r>
      <w:r w:rsidRPr="004F0794">
        <w:rPr>
          <w:rStyle w:val="FootnoteReference"/>
          <w:rFonts w:ascii="Times New Roman" w:eastAsia="Times New Roman" w:hAnsi="Times New Roman" w:cs="Times New Roman"/>
          <w:iCs/>
          <w:color w:val="000000" w:themeColor="text1"/>
          <w:sz w:val="24"/>
          <w:szCs w:val="24"/>
        </w:rPr>
        <w:footnoteReference w:id="115"/>
      </w:r>
      <w:r w:rsidRPr="004F0794">
        <w:rPr>
          <w:rFonts w:ascii="Times New Roman" w:eastAsia="Times New Roman" w:hAnsi="Times New Roman" w:cs="Times New Roman"/>
          <w:iCs/>
          <w:color w:val="000000" w:themeColor="text1"/>
          <w:sz w:val="24"/>
          <w:szCs w:val="24"/>
        </w:rPr>
        <w:t xml:space="preserve"> it is duly constituted if it consists of not less than three Justices of the Court of Appeal.</w:t>
      </w:r>
      <w:r w:rsidRPr="004F0794">
        <w:rPr>
          <w:rStyle w:val="FootnoteReference"/>
          <w:rFonts w:ascii="Times New Roman" w:eastAsia="Times New Roman" w:hAnsi="Times New Roman" w:cs="Times New Roman"/>
          <w:iCs/>
          <w:color w:val="000000" w:themeColor="text1"/>
          <w:sz w:val="24"/>
          <w:szCs w:val="24"/>
        </w:rPr>
        <w:footnoteReference w:id="116"/>
      </w:r>
      <w:r w:rsidRPr="004F0794">
        <w:rPr>
          <w:rFonts w:ascii="Times New Roman" w:eastAsia="Times New Roman" w:hAnsi="Times New Roman" w:cs="Times New Roman"/>
          <w:color w:val="000000" w:themeColor="text1"/>
          <w:sz w:val="24"/>
          <w:szCs w:val="24"/>
        </w:rPr>
        <w:t xml:space="preserve">Matters of customary marriage reach the Court of Appeal through at least three routes. They include appeal from High Court decisions involving customary marriage questions; appeal from Customary Court of Appeal decisions (restricted to “customary law questions”); appeal from Sharia Court of Appeal decisions (restricted to Islamic personal law questions). </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w:t>
      </w:r>
      <w:r>
        <w:rPr>
          <w:rFonts w:ascii="Times New Roman" w:eastAsia="Times New Roman" w:hAnsi="Times New Roman" w:cs="Times New Roman"/>
          <w:i/>
          <w:color w:val="000000" w:themeColor="text1"/>
          <w:sz w:val="24"/>
          <w:szCs w:val="24"/>
        </w:rPr>
        <w:t>Uzowulu v Uzowulu</w:t>
      </w:r>
      <w:r>
        <w:rPr>
          <w:rFonts w:ascii="Times New Roman" w:eastAsia="Times New Roman" w:hAnsi="Times New Roman" w:cs="Times New Roman"/>
          <w:color w:val="000000" w:themeColor="text1"/>
          <w:sz w:val="24"/>
          <w:szCs w:val="24"/>
        </w:rPr>
        <w:t>,</w:t>
      </w:r>
      <w:r w:rsidRPr="004F0794">
        <w:rPr>
          <w:rStyle w:val="FootnoteReference"/>
          <w:rFonts w:ascii="Times New Roman" w:eastAsia="Times New Roman" w:hAnsi="Times New Roman" w:cs="Times New Roman"/>
          <w:color w:val="000000" w:themeColor="text1"/>
          <w:sz w:val="24"/>
          <w:szCs w:val="24"/>
        </w:rPr>
        <w:footnoteReference w:id="117"/>
      </w:r>
      <w:r w:rsidRPr="004F0794">
        <w:rPr>
          <w:rFonts w:ascii="Times New Roman" w:eastAsia="Times New Roman" w:hAnsi="Times New Roman" w:cs="Times New Roman"/>
          <w:color w:val="000000" w:themeColor="text1"/>
          <w:sz w:val="24"/>
          <w:szCs w:val="24"/>
        </w:rPr>
        <w:t xml:space="preserve"> a dispute arose from a customary law marriage between Mr Afam Uzowulu and Dr (Mrs) Chinyere Uzowulu. At the trial Customary Court, the wife petitioned for dissolution of the marriage. After hearing the matter, the trial court dissolved the </w:t>
      </w:r>
      <w:r w:rsidRPr="004F0794">
        <w:rPr>
          <w:rFonts w:ascii="Times New Roman" w:eastAsia="Times New Roman" w:hAnsi="Times New Roman" w:cs="Times New Roman"/>
          <w:color w:val="000000" w:themeColor="text1"/>
          <w:sz w:val="24"/>
          <w:szCs w:val="24"/>
        </w:rPr>
        <w:lastRenderedPageBreak/>
        <w:t xml:space="preserve">customary marriage and made consequential orders, including that the wife should have custody of the three children until they attained adulthood. The matter then went on appeal through the customary appellate structure and eventually reached the Court of Appeal, Enugu Division. The Court of Appeal, Enugu Division, dismissed the appeal because it lacked merit. It affirmed the judgment of the Enugu State Customary Court of Appeal, including the consequential custody order in respect of the children of the dissolved customary marriage. </w:t>
      </w:r>
    </w:p>
    <w:p w:rsidR="00860B99" w:rsidRPr="004F0794" w:rsidRDefault="00860B99" w:rsidP="001C75F8">
      <w:pPr>
        <w:pStyle w:val="Heading4"/>
      </w:pPr>
      <w:r w:rsidRPr="004F0794">
        <w:t xml:space="preserve">3.2.2.4 </w:t>
      </w:r>
      <w:r w:rsidRPr="004F0794">
        <w:tab/>
        <w:t>Supreme Court of Nigeria</w:t>
      </w:r>
    </w:p>
    <w:p w:rsidR="00860B99" w:rsidRPr="004F0794" w:rsidRDefault="00860B99" w:rsidP="00860B99">
      <w:pPr>
        <w:spacing w:before="100" w:beforeAutospacing="1" w:after="100" w:afterAutospacing="1" w:line="480" w:lineRule="auto"/>
        <w:jc w:val="both"/>
        <w:rPr>
          <w:rFonts w:ascii="Times New Roman" w:eastAsia="Times New Roman" w:hAnsi="Times New Roman" w:cs="Times New Roman"/>
          <w:color w:val="000000" w:themeColor="text1"/>
          <w:sz w:val="24"/>
          <w:szCs w:val="24"/>
        </w:rPr>
      </w:pPr>
      <w:r w:rsidRPr="004F0794">
        <w:rPr>
          <w:rFonts w:ascii="Times New Roman" w:eastAsia="Times New Roman" w:hAnsi="Times New Roman" w:cs="Times New Roman"/>
          <w:color w:val="000000" w:themeColor="text1"/>
          <w:sz w:val="24"/>
          <w:szCs w:val="24"/>
        </w:rPr>
        <w:t xml:space="preserve">The Supreme Court is the final appellate court. The Constitution states that: </w:t>
      </w:r>
      <w:r w:rsidRPr="004F0794">
        <w:rPr>
          <w:rFonts w:ascii="Times New Roman" w:eastAsia="Times New Roman" w:hAnsi="Times New Roman" w:cs="Times New Roman"/>
          <w:i/>
          <w:iCs/>
          <w:color w:val="000000" w:themeColor="text1"/>
          <w:sz w:val="24"/>
          <w:szCs w:val="24"/>
        </w:rPr>
        <w:t xml:space="preserve">“no appeal shall lie to any other body… from any determination of the Supreme Court. </w:t>
      </w:r>
      <w:r w:rsidRPr="004F0794">
        <w:rPr>
          <w:rFonts w:ascii="Times New Roman" w:eastAsia="Times New Roman" w:hAnsi="Times New Roman" w:cs="Times New Roman"/>
          <w:iCs/>
          <w:color w:val="000000" w:themeColor="text1"/>
          <w:sz w:val="24"/>
          <w:szCs w:val="24"/>
        </w:rPr>
        <w:t>The Supreme Court is composed of the Chief Justice and other justices of the supreme Court.</w:t>
      </w:r>
      <w:r w:rsidRPr="004F0794">
        <w:rPr>
          <w:rStyle w:val="FootnoteReference"/>
          <w:rFonts w:ascii="Times New Roman" w:eastAsia="Times New Roman" w:hAnsi="Times New Roman" w:cs="Times New Roman"/>
          <w:iCs/>
          <w:color w:val="000000" w:themeColor="text1"/>
          <w:sz w:val="24"/>
          <w:szCs w:val="24"/>
        </w:rPr>
        <w:footnoteReference w:id="118"/>
      </w:r>
      <w:r w:rsidRPr="004F0794">
        <w:rPr>
          <w:rFonts w:ascii="Times New Roman" w:eastAsia="Times New Roman" w:hAnsi="Times New Roman" w:cs="Times New Roman"/>
          <w:iCs/>
          <w:color w:val="000000" w:themeColor="text1"/>
          <w:sz w:val="24"/>
          <w:szCs w:val="24"/>
        </w:rPr>
        <w:t xml:space="preserve"> It is duly constituted if it consists of not less than five Justices of the Supreme Court. It is constituted by seven Justices when it is exercises its original jurisdiction in accordance with section 232.</w:t>
      </w:r>
      <w:r w:rsidRPr="004F0794">
        <w:rPr>
          <w:rStyle w:val="FootnoteReference"/>
          <w:rFonts w:ascii="Times New Roman" w:eastAsia="Times New Roman" w:hAnsi="Times New Roman" w:cs="Times New Roman"/>
          <w:iCs/>
          <w:color w:val="000000" w:themeColor="text1"/>
          <w:sz w:val="24"/>
          <w:szCs w:val="24"/>
        </w:rPr>
        <w:footnoteReference w:id="119"/>
      </w:r>
      <w:r w:rsidRPr="004F0794">
        <w:rPr>
          <w:rFonts w:ascii="Times New Roman" w:eastAsia="Times New Roman" w:hAnsi="Times New Roman" w:cs="Times New Roman"/>
          <w:color w:val="000000" w:themeColor="text1"/>
          <w:sz w:val="24"/>
          <w:szCs w:val="24"/>
        </w:rPr>
        <w:t xml:space="preserve">For customary marriage law, the Supreme Court matters because it fixes conflicts in appellate doctrine (especially where different divisions of the Court of Appeal treat the same customary practice differently). It also polices the boundary between customary rules and constitutional norms. In addition, it stabilises the law on what must be proved (formation) and what must be proved again (dissolution). Section 233(2)(a) provides that appeals lie as of right where the ground involves </w:t>
      </w:r>
      <w:r w:rsidRPr="004F0794">
        <w:rPr>
          <w:rFonts w:ascii="Times New Roman" w:eastAsia="Times New Roman" w:hAnsi="Times New Roman" w:cs="Times New Roman"/>
          <w:i/>
          <w:iCs/>
          <w:color w:val="000000" w:themeColor="text1"/>
          <w:sz w:val="24"/>
          <w:szCs w:val="24"/>
        </w:rPr>
        <w:t xml:space="preserve">“questions of law alone.” </w:t>
      </w:r>
      <w:r w:rsidRPr="004F0794">
        <w:rPr>
          <w:rFonts w:ascii="Times New Roman" w:eastAsia="Times New Roman" w:hAnsi="Times New Roman" w:cs="Times New Roman"/>
          <w:iCs/>
          <w:color w:val="000000" w:themeColor="text1"/>
          <w:sz w:val="24"/>
          <w:szCs w:val="24"/>
        </w:rPr>
        <w:t xml:space="preserve">This includes the following. What is the correct test to prove customary marriage in this locality? Is a particular step mandatory or directory? What is sufficient proof of dissolution? Is a customary rule repugnant to natural justice/equity/good conscience or inconsistent with the Constitution? </w:t>
      </w:r>
      <w:r w:rsidRPr="004F0794">
        <w:rPr>
          <w:rFonts w:ascii="Times New Roman" w:eastAsia="Times New Roman" w:hAnsi="Times New Roman" w:cs="Times New Roman"/>
          <w:color w:val="000000" w:themeColor="text1"/>
          <w:sz w:val="24"/>
          <w:szCs w:val="24"/>
        </w:rPr>
        <w:t>However, a practical limitation is that many customary marriage disputes never reach the appellate level. Those that do are often the more contentious cases that set important precedents.</w:t>
      </w:r>
    </w:p>
    <w:p w:rsidR="00860B99" w:rsidRPr="004F0794" w:rsidRDefault="00860B99">
      <w:pPr>
        <w:rPr>
          <w:rFonts w:ascii="Times New Roman" w:hAnsi="Times New Roman" w:cs="Times New Roman"/>
          <w:sz w:val="24"/>
          <w:szCs w:val="24"/>
        </w:rPr>
      </w:pPr>
    </w:p>
    <w:p w:rsidR="00860B99" w:rsidRPr="004F0794" w:rsidRDefault="00860B99">
      <w:pPr>
        <w:rPr>
          <w:rFonts w:ascii="Times New Roman" w:hAnsi="Times New Roman" w:cs="Times New Roman"/>
          <w:sz w:val="24"/>
          <w:szCs w:val="24"/>
        </w:rPr>
      </w:pPr>
    </w:p>
    <w:p w:rsidR="00860B99" w:rsidRPr="004F0794" w:rsidRDefault="00860B99">
      <w:pPr>
        <w:rPr>
          <w:rFonts w:ascii="Times New Roman" w:hAnsi="Times New Roman" w:cs="Times New Roman"/>
          <w:sz w:val="24"/>
          <w:szCs w:val="24"/>
        </w:rPr>
      </w:pPr>
      <w:r w:rsidRPr="004F0794">
        <w:rPr>
          <w:rFonts w:ascii="Times New Roman" w:hAnsi="Times New Roman" w:cs="Times New Roman"/>
          <w:sz w:val="24"/>
          <w:szCs w:val="24"/>
        </w:rPr>
        <w:br w:type="page"/>
      </w:r>
    </w:p>
    <w:p w:rsidR="00860B99" w:rsidRPr="004F0794" w:rsidRDefault="00860B99" w:rsidP="001C75F8">
      <w:pPr>
        <w:pStyle w:val="Heading1"/>
        <w:rPr>
          <w:kern w:val="36"/>
          <w:lang w:val="en-US"/>
        </w:rPr>
      </w:pPr>
      <w:bookmarkStart w:id="88" w:name="_Toc232722529"/>
      <w:r w:rsidRPr="004F0794">
        <w:rPr>
          <w:kern w:val="36"/>
          <w:lang w:val="en-US"/>
        </w:rPr>
        <w:lastRenderedPageBreak/>
        <w:t>CHAPTER FOUR</w:t>
      </w:r>
      <w:bookmarkEnd w:id="88"/>
    </w:p>
    <w:p w:rsidR="00860B99" w:rsidRPr="004F0794" w:rsidRDefault="00860B99" w:rsidP="001C75F8">
      <w:pPr>
        <w:pStyle w:val="Heading1"/>
        <w:rPr>
          <w:kern w:val="36"/>
          <w:lang w:val="en-US"/>
        </w:rPr>
      </w:pPr>
      <w:bookmarkStart w:id="89" w:name="_Toc232722530"/>
      <w:r w:rsidRPr="004F0794">
        <w:rPr>
          <w:kern w:val="36"/>
          <w:lang w:val="en-US"/>
        </w:rPr>
        <w:t>FORMATION AND DISSOLUTION OF CUSTOMARY LAW MARRIAGE IN NIGERIA</w:t>
      </w:r>
      <w:bookmarkEnd w:id="89"/>
    </w:p>
    <w:p w:rsidR="00860B99" w:rsidRPr="004F0794" w:rsidRDefault="00860B99" w:rsidP="001C75F8">
      <w:pPr>
        <w:pStyle w:val="Heading2"/>
        <w:rPr>
          <w:lang w:val="en-US"/>
        </w:rPr>
      </w:pPr>
      <w:bookmarkStart w:id="90" w:name="_Toc232722531"/>
      <w:r w:rsidRPr="004F0794">
        <w:rPr>
          <w:lang w:val="en-US"/>
        </w:rPr>
        <w:t xml:space="preserve">4.1 </w:t>
      </w:r>
      <w:r w:rsidRPr="004F0794">
        <w:rPr>
          <w:lang w:val="en-US"/>
        </w:rPr>
        <w:tab/>
        <w:t>Formation of Customary Law Marriage</w:t>
      </w:r>
      <w:bookmarkEnd w:id="90"/>
    </w:p>
    <w:p w:rsidR="00860B99" w:rsidRPr="004F0794" w:rsidRDefault="00860B99" w:rsidP="001C75F8">
      <w:pPr>
        <w:pStyle w:val="Heading3"/>
        <w:rPr>
          <w:lang w:val="en-US"/>
        </w:rPr>
      </w:pPr>
      <w:bookmarkStart w:id="91" w:name="_Toc232722532"/>
      <w:r w:rsidRPr="004F0794">
        <w:rPr>
          <w:lang w:val="en-US"/>
        </w:rPr>
        <w:t>4.1.1</w:t>
      </w:r>
      <w:r w:rsidRPr="004F0794">
        <w:rPr>
          <w:lang w:val="en-US"/>
        </w:rPr>
        <w:tab/>
        <w:t>Essential Requirements for a Valid Customary Marriage</w:t>
      </w:r>
      <w:bookmarkEnd w:id="91"/>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Indeed, Nigeria has many cultures but the courts have distilled the essentials of a valid customary law marriage. These include </w:t>
      </w:r>
      <w:r w:rsidRPr="004F0794">
        <w:rPr>
          <w:rFonts w:ascii="Times New Roman" w:eastAsia="Times New Roman" w:hAnsi="Times New Roman" w:cs="Times New Roman"/>
          <w:bCs/>
          <w:sz w:val="24"/>
          <w:szCs w:val="24"/>
          <w:lang w:val="en-US"/>
        </w:rPr>
        <w:t>mutual consent</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bCs/>
          <w:sz w:val="24"/>
          <w:szCs w:val="24"/>
          <w:lang w:val="en-US"/>
        </w:rPr>
        <w:t>parental approval</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bCs/>
          <w:sz w:val="24"/>
          <w:szCs w:val="24"/>
          <w:lang w:val="en-US"/>
        </w:rPr>
        <w:t>bride price payment</w:t>
      </w:r>
      <w:r w:rsidRPr="004F0794">
        <w:rPr>
          <w:rFonts w:ascii="Times New Roman" w:eastAsia="Times New Roman" w:hAnsi="Times New Roman" w:cs="Times New Roman"/>
          <w:sz w:val="24"/>
          <w:szCs w:val="24"/>
          <w:lang w:val="en-US"/>
        </w:rPr>
        <w:t xml:space="preserve">, and </w:t>
      </w:r>
      <w:r w:rsidRPr="004F0794">
        <w:rPr>
          <w:rFonts w:ascii="Times New Roman" w:eastAsia="Times New Roman" w:hAnsi="Times New Roman" w:cs="Times New Roman"/>
          <w:bCs/>
          <w:sz w:val="24"/>
          <w:szCs w:val="24"/>
          <w:lang w:val="en-US"/>
        </w:rPr>
        <w:t>a marriage ceremony (handing over of the bride)</w:t>
      </w:r>
      <w:r w:rsidRPr="004F0794">
        <w:rPr>
          <w:rFonts w:ascii="Times New Roman" w:eastAsia="Times New Roman" w:hAnsi="Times New Roman" w:cs="Times New Roman"/>
          <w:sz w:val="24"/>
          <w:szCs w:val="24"/>
          <w:lang w:val="en-US"/>
        </w:rPr>
        <w:t xml:space="preserve">. </w:t>
      </w:r>
    </w:p>
    <w:p w:rsidR="00860B99" w:rsidRPr="004F0794" w:rsidRDefault="00860B99" w:rsidP="00860B99">
      <w:pPr>
        <w:spacing w:line="480" w:lineRule="auto"/>
        <w:jc w:val="both"/>
        <w:rPr>
          <w:rFonts w:ascii="Times New Roman" w:eastAsia="Times New Roman" w:hAnsi="Times New Roman" w:cs="Times New Roman"/>
          <w:b/>
          <w:sz w:val="24"/>
          <w:szCs w:val="24"/>
          <w:lang w:val="en-US"/>
        </w:rPr>
      </w:pPr>
      <w:r w:rsidRPr="004F0794">
        <w:rPr>
          <w:rFonts w:ascii="Times New Roman" w:eastAsia="Times New Roman" w:hAnsi="Times New Roman" w:cs="Times New Roman"/>
          <w:b/>
          <w:sz w:val="24"/>
          <w:szCs w:val="24"/>
          <w:lang w:val="en-US"/>
        </w:rPr>
        <w:t xml:space="preserve">i. Consent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Under the customary marriage, the man and woman must consent to the union. Any marriage procured by force or fraud are invalidated under most customs (and would fail the repugnancy test in court). In addition, the consent of the bride’s family (her father or head of kindred) is also required.</w:t>
      </w:r>
      <w:r w:rsidRPr="004F0794">
        <w:rPr>
          <w:rStyle w:val="FootnoteReference"/>
          <w:rFonts w:ascii="Times New Roman" w:eastAsia="Times New Roman" w:hAnsi="Times New Roman" w:cs="Times New Roman"/>
          <w:sz w:val="24"/>
          <w:szCs w:val="24"/>
          <w:lang w:val="en-US"/>
        </w:rPr>
        <w:footnoteReference w:id="120"/>
      </w:r>
      <w:r w:rsidRPr="004F0794">
        <w:rPr>
          <w:rFonts w:ascii="Times New Roman" w:eastAsia="Times New Roman" w:hAnsi="Times New Roman" w:cs="Times New Roman"/>
          <w:sz w:val="24"/>
          <w:szCs w:val="24"/>
          <w:lang w:val="en-US"/>
        </w:rPr>
        <w:t xml:space="preserve">As the Court of Appeal observed in </w:t>
      </w:r>
      <w:r>
        <w:rPr>
          <w:rFonts w:ascii="Times New Roman" w:eastAsia="Times New Roman" w:hAnsi="Times New Roman" w:cs="Times New Roman"/>
          <w:i/>
          <w:iCs/>
          <w:sz w:val="24"/>
          <w:szCs w:val="24"/>
          <w:lang w:val="en-US"/>
        </w:rPr>
        <w:t>Osamwonyi v. Osamwonyi</w:t>
      </w:r>
      <w:r w:rsidRPr="004F0794">
        <w:rPr>
          <w:rFonts w:ascii="Times New Roman" w:eastAsia="Times New Roman" w:hAnsi="Times New Roman" w:cs="Times New Roman"/>
          <w:sz w:val="24"/>
          <w:szCs w:val="24"/>
          <w:lang w:val="en-US"/>
        </w:rPr>
        <w:t>,</w:t>
      </w:r>
      <w:r w:rsidRPr="004F0794">
        <w:rPr>
          <w:rStyle w:val="FootnoteReference"/>
          <w:rFonts w:ascii="Times New Roman" w:eastAsia="Times New Roman" w:hAnsi="Times New Roman" w:cs="Times New Roman"/>
          <w:sz w:val="24"/>
          <w:szCs w:val="24"/>
          <w:lang w:val="en-US"/>
        </w:rPr>
        <w:footnoteReference w:id="121"/>
      </w:r>
      <w:r w:rsidRPr="004F0794">
        <w:rPr>
          <w:rFonts w:ascii="Times New Roman" w:eastAsia="Times New Roman" w:hAnsi="Times New Roman" w:cs="Times New Roman"/>
          <w:sz w:val="24"/>
          <w:szCs w:val="24"/>
          <w:lang w:val="en-US"/>
        </w:rPr>
        <w:t xml:space="preserve"> parental consent in a polygamous customary union is “not only basic but fundamental.” </w:t>
      </w:r>
    </w:p>
    <w:p w:rsidR="00860B99" w:rsidRPr="004F0794" w:rsidRDefault="00860B99" w:rsidP="00860B99">
      <w:pPr>
        <w:spacing w:line="480" w:lineRule="auto"/>
        <w:jc w:val="both"/>
        <w:rPr>
          <w:rFonts w:ascii="Times New Roman" w:eastAsia="Times New Roman" w:hAnsi="Times New Roman" w:cs="Times New Roman"/>
          <w:b/>
          <w:sz w:val="24"/>
          <w:szCs w:val="24"/>
          <w:lang w:val="en-US"/>
        </w:rPr>
      </w:pPr>
      <w:r w:rsidRPr="004F0794">
        <w:rPr>
          <w:rFonts w:ascii="Times New Roman" w:eastAsia="Times New Roman" w:hAnsi="Times New Roman" w:cs="Times New Roman"/>
          <w:b/>
          <w:sz w:val="24"/>
          <w:szCs w:val="24"/>
          <w:lang w:val="en-US"/>
        </w:rPr>
        <w:t>ii. Bride Price</w:t>
      </w:r>
    </w:p>
    <w:p w:rsidR="00860B99" w:rsidRPr="004F0794" w:rsidRDefault="00860B99" w:rsidP="00860B99">
      <w:pPr>
        <w:spacing w:line="480" w:lineRule="auto"/>
        <w:jc w:val="both"/>
        <w:rPr>
          <w:rFonts w:ascii="Times New Roman" w:eastAsia="Times New Roman" w:hAnsi="Times New Roman" w:cs="Times New Roman"/>
          <w:color w:val="FF0000"/>
          <w:sz w:val="24"/>
          <w:szCs w:val="24"/>
          <w:lang w:val="en-US"/>
        </w:rPr>
      </w:pPr>
      <w:r w:rsidRPr="004F0794">
        <w:rPr>
          <w:rFonts w:ascii="Times New Roman" w:eastAsia="Times New Roman" w:hAnsi="Times New Roman" w:cs="Times New Roman"/>
          <w:sz w:val="24"/>
          <w:szCs w:val="24"/>
          <w:lang w:val="en-US"/>
        </w:rPr>
        <w:t xml:space="preserve">Next, the </w:t>
      </w:r>
      <w:r w:rsidRPr="004F0794">
        <w:rPr>
          <w:rFonts w:ascii="Times New Roman" w:eastAsia="Times New Roman" w:hAnsi="Times New Roman" w:cs="Times New Roman"/>
          <w:bCs/>
          <w:sz w:val="24"/>
          <w:szCs w:val="24"/>
          <w:lang w:val="en-US"/>
        </w:rPr>
        <w:t>bride price (dowry)</w:t>
      </w:r>
      <w:r w:rsidRPr="004F0794">
        <w:rPr>
          <w:rFonts w:ascii="Times New Roman" w:eastAsia="Times New Roman" w:hAnsi="Times New Roman" w:cs="Times New Roman"/>
          <w:sz w:val="24"/>
          <w:szCs w:val="24"/>
          <w:lang w:val="en-US"/>
        </w:rPr>
        <w:t xml:space="preserve"> must be paid by the groom or his family to the bride’s family. The bride price is known by various names (e.g. </w:t>
      </w:r>
      <w:r w:rsidRPr="004F0794">
        <w:rPr>
          <w:rFonts w:ascii="Times New Roman" w:eastAsia="Times New Roman" w:hAnsi="Times New Roman" w:cs="Times New Roman"/>
          <w:i/>
          <w:iCs/>
          <w:sz w:val="24"/>
          <w:szCs w:val="24"/>
          <w:lang w:val="en-US"/>
        </w:rPr>
        <w:t>“iku ukwu”</w:t>
      </w:r>
      <w:r w:rsidRPr="004F0794">
        <w:rPr>
          <w:rFonts w:ascii="Times New Roman" w:eastAsia="Times New Roman" w:hAnsi="Times New Roman" w:cs="Times New Roman"/>
          <w:sz w:val="24"/>
          <w:szCs w:val="24"/>
          <w:lang w:val="en-US"/>
        </w:rPr>
        <w:t xml:space="preserve"> in Igbo, </w:t>
      </w:r>
      <w:r w:rsidRPr="004F0794">
        <w:rPr>
          <w:rFonts w:ascii="Times New Roman" w:eastAsia="Times New Roman" w:hAnsi="Times New Roman" w:cs="Times New Roman"/>
          <w:i/>
          <w:iCs/>
          <w:sz w:val="24"/>
          <w:szCs w:val="24"/>
          <w:lang w:val="en-US"/>
        </w:rPr>
        <w:t>“sadaki”</w:t>
      </w:r>
      <w:r w:rsidRPr="004F0794">
        <w:rPr>
          <w:rFonts w:ascii="Times New Roman" w:eastAsia="Times New Roman" w:hAnsi="Times New Roman" w:cs="Times New Roman"/>
          <w:sz w:val="24"/>
          <w:szCs w:val="24"/>
          <w:lang w:val="en-US"/>
        </w:rPr>
        <w:t xml:space="preserve"> in Hausa). It is a token of appreciation and a key validating element. Some customs allow part payment with agreement to settle the rest later. However, the marriage becomes voidable if it is not paid complete. Alongside the bride price, there may be other customary gifts and rites (yam tubers, kolanuts, drinks, etc.). Even so, those are considered incidental.The core requirement </w:t>
      </w:r>
      <w:r w:rsidRPr="004F0794">
        <w:rPr>
          <w:rFonts w:ascii="Times New Roman" w:eastAsia="Times New Roman" w:hAnsi="Times New Roman" w:cs="Times New Roman"/>
          <w:sz w:val="24"/>
          <w:szCs w:val="24"/>
          <w:lang w:val="en-US"/>
        </w:rPr>
        <w:lastRenderedPageBreak/>
        <w:t xml:space="preserve">is the transfer of </w:t>
      </w:r>
      <w:r w:rsidRPr="004F0794">
        <w:rPr>
          <w:rFonts w:ascii="Times New Roman" w:eastAsia="Times New Roman" w:hAnsi="Times New Roman" w:cs="Times New Roman"/>
          <w:bCs/>
          <w:sz w:val="24"/>
          <w:szCs w:val="24"/>
          <w:lang w:val="en-US"/>
        </w:rPr>
        <w:t>some recognized value</w:t>
      </w:r>
      <w:r w:rsidRPr="004F0794">
        <w:rPr>
          <w:rFonts w:ascii="Times New Roman" w:eastAsia="Times New Roman" w:hAnsi="Times New Roman" w:cs="Times New Roman"/>
          <w:sz w:val="24"/>
          <w:szCs w:val="24"/>
          <w:lang w:val="en-US"/>
        </w:rPr>
        <w:t xml:space="preserve"> as bride price.</w:t>
      </w:r>
      <w:r w:rsidRPr="004F0794">
        <w:rPr>
          <w:rStyle w:val="FootnoteReference"/>
          <w:rFonts w:ascii="Times New Roman" w:eastAsia="Times New Roman" w:hAnsi="Times New Roman" w:cs="Times New Roman"/>
          <w:sz w:val="24"/>
          <w:szCs w:val="24"/>
          <w:lang w:val="en-US"/>
        </w:rPr>
        <w:footnoteReference w:id="122"/>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color w:val="000000" w:themeColor="text1"/>
          <w:sz w:val="24"/>
          <w:szCs w:val="24"/>
          <w:lang w:val="en-US"/>
        </w:rPr>
        <w:t>The bride price is center to the marriage ceremony and it’s necessity has been recognized by various state laws on customary law marriage by fixing a specific price or regulating that is considered too high.</w:t>
      </w:r>
      <w:r w:rsidRPr="004F0794">
        <w:rPr>
          <w:rStyle w:val="FootnoteReference"/>
          <w:rFonts w:ascii="Times New Roman" w:eastAsia="Times New Roman" w:hAnsi="Times New Roman" w:cs="Times New Roman"/>
          <w:color w:val="000000" w:themeColor="text1"/>
          <w:sz w:val="24"/>
          <w:szCs w:val="24"/>
          <w:lang w:val="en-US"/>
        </w:rPr>
        <w:footnoteReference w:id="123"/>
      </w:r>
    </w:p>
    <w:p w:rsidR="00860B99" w:rsidRPr="004F0794" w:rsidRDefault="00860B99" w:rsidP="00860B99">
      <w:pPr>
        <w:spacing w:line="480" w:lineRule="auto"/>
        <w:jc w:val="both"/>
        <w:rPr>
          <w:rFonts w:ascii="Times New Roman" w:eastAsia="Times New Roman" w:hAnsi="Times New Roman" w:cs="Times New Roman"/>
          <w:b/>
          <w:sz w:val="24"/>
          <w:szCs w:val="24"/>
          <w:lang w:val="en-US"/>
        </w:rPr>
      </w:pPr>
      <w:r w:rsidRPr="004F0794">
        <w:rPr>
          <w:rFonts w:ascii="Times New Roman" w:eastAsia="Times New Roman" w:hAnsi="Times New Roman" w:cs="Times New Roman"/>
          <w:b/>
          <w:bCs/>
          <w:sz w:val="24"/>
          <w:szCs w:val="24"/>
          <w:lang w:val="en-US"/>
        </w:rPr>
        <w:t>iii. Ceremonial handover</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Finally, a </w:t>
      </w:r>
      <w:r w:rsidRPr="004F0794">
        <w:rPr>
          <w:rFonts w:ascii="Times New Roman" w:eastAsia="Times New Roman" w:hAnsi="Times New Roman" w:cs="Times New Roman"/>
          <w:bCs/>
          <w:sz w:val="24"/>
          <w:szCs w:val="24"/>
          <w:lang w:val="en-US"/>
        </w:rPr>
        <w:t>ceremonial handover</w:t>
      </w:r>
      <w:r w:rsidRPr="004F0794">
        <w:rPr>
          <w:rFonts w:ascii="Times New Roman" w:eastAsia="Times New Roman" w:hAnsi="Times New Roman" w:cs="Times New Roman"/>
          <w:sz w:val="24"/>
          <w:szCs w:val="24"/>
          <w:lang w:val="en-US"/>
        </w:rPr>
        <w:t xml:space="preserve"> of the bride must occur. This signifies that her family relinquishes her into the care of the groom’s family. This often happens at a public gathering. For example, the Igbo </w:t>
      </w:r>
      <w:r w:rsidRPr="004F0794">
        <w:rPr>
          <w:rFonts w:ascii="Times New Roman" w:eastAsia="Times New Roman" w:hAnsi="Times New Roman" w:cs="Times New Roman"/>
          <w:i/>
          <w:iCs/>
          <w:sz w:val="24"/>
          <w:szCs w:val="24"/>
          <w:lang w:val="en-US"/>
        </w:rPr>
        <w:t>IgbaNkwu</w:t>
      </w:r>
      <w:r w:rsidRPr="004F0794">
        <w:rPr>
          <w:rFonts w:ascii="Times New Roman" w:eastAsia="Times New Roman" w:hAnsi="Times New Roman" w:cs="Times New Roman"/>
          <w:sz w:val="24"/>
          <w:szCs w:val="24"/>
          <w:lang w:val="en-US"/>
        </w:rPr>
        <w:t xml:space="preserve"> ceremony where the bride is physically handed to the groom in the presence of elders after she finds him with a ceremonial cup of wine. In many Yoruba engagements, there is a moment where the bride’s family “gives” her to the groom’s people.</w:t>
      </w:r>
      <w:r w:rsidRPr="004F0794">
        <w:rPr>
          <w:rStyle w:val="FootnoteReference"/>
          <w:rFonts w:ascii="Times New Roman" w:eastAsia="Times New Roman" w:hAnsi="Times New Roman" w:cs="Times New Roman"/>
          <w:sz w:val="24"/>
          <w:szCs w:val="24"/>
          <w:lang w:val="en-US"/>
        </w:rPr>
        <w:footnoteReference w:id="124"/>
      </w:r>
      <w:r w:rsidRPr="004F0794">
        <w:rPr>
          <w:rFonts w:ascii="Times New Roman" w:eastAsia="Times New Roman" w:hAnsi="Times New Roman" w:cs="Times New Roman"/>
          <w:sz w:val="24"/>
          <w:szCs w:val="24"/>
          <w:lang w:val="en-US"/>
        </w:rPr>
        <w:t xml:space="preserve"> Courts require evidence of such a ceremony In </w:t>
      </w:r>
      <w:r w:rsidRPr="004F0794">
        <w:rPr>
          <w:rFonts w:ascii="Times New Roman" w:eastAsia="Times New Roman" w:hAnsi="Times New Roman" w:cs="Times New Roman"/>
          <w:i/>
          <w:iCs/>
          <w:sz w:val="24"/>
          <w:szCs w:val="24"/>
          <w:lang w:val="en-US"/>
        </w:rPr>
        <w:t>Obi v. Bosah</w:t>
      </w:r>
      <w:r w:rsidRPr="004F0794">
        <w:rPr>
          <w:rFonts w:ascii="Times New Roman" w:eastAsia="Times New Roman" w:hAnsi="Times New Roman" w:cs="Times New Roman"/>
          <w:sz w:val="24"/>
          <w:szCs w:val="24"/>
          <w:lang w:val="en-US"/>
        </w:rPr>
        <w:t>,</w:t>
      </w:r>
      <w:r w:rsidRPr="004F0794">
        <w:rPr>
          <w:rStyle w:val="FootnoteReference"/>
          <w:rFonts w:ascii="Times New Roman" w:eastAsia="Times New Roman" w:hAnsi="Times New Roman" w:cs="Times New Roman"/>
          <w:sz w:val="24"/>
          <w:szCs w:val="24"/>
          <w:lang w:val="en-US"/>
        </w:rPr>
        <w:footnoteReference w:id="125"/>
      </w:r>
      <w:r w:rsidRPr="004F0794">
        <w:rPr>
          <w:rFonts w:ascii="Times New Roman" w:eastAsia="Times New Roman" w:hAnsi="Times New Roman" w:cs="Times New Roman"/>
          <w:sz w:val="24"/>
          <w:szCs w:val="24"/>
          <w:lang w:val="en-US"/>
        </w:rPr>
        <w:t xml:space="preserve"> the Court of Appeal emphasised that the two </w:t>
      </w:r>
      <w:r w:rsidRPr="004F0794">
        <w:rPr>
          <w:rFonts w:ascii="Times New Roman" w:eastAsia="Times New Roman" w:hAnsi="Times New Roman" w:cs="Times New Roman"/>
          <w:bCs/>
          <w:sz w:val="24"/>
          <w:szCs w:val="24"/>
          <w:lang w:val="en-US"/>
        </w:rPr>
        <w:t>indispensable ingredients</w:t>
      </w:r>
      <w:r w:rsidRPr="004F0794">
        <w:rPr>
          <w:rFonts w:ascii="Times New Roman" w:eastAsia="Times New Roman" w:hAnsi="Times New Roman" w:cs="Times New Roman"/>
          <w:sz w:val="24"/>
          <w:szCs w:val="24"/>
          <w:lang w:val="en-US"/>
        </w:rPr>
        <w:t xml:space="preserve"> of any customary marriage include </w:t>
      </w:r>
      <w:r w:rsidRPr="004F0794">
        <w:rPr>
          <w:rFonts w:ascii="Times New Roman" w:eastAsia="Times New Roman" w:hAnsi="Times New Roman" w:cs="Times New Roman"/>
          <w:bCs/>
          <w:sz w:val="24"/>
          <w:szCs w:val="24"/>
          <w:lang w:val="en-US"/>
        </w:rPr>
        <w:t>payment of bride price and handing over of the bride</w:t>
      </w:r>
      <w:r w:rsidRPr="004F0794">
        <w:rPr>
          <w:rFonts w:ascii="Times New Roman" w:eastAsia="Times New Roman" w:hAnsi="Times New Roman" w:cs="Times New Roman"/>
          <w:sz w:val="24"/>
          <w:szCs w:val="24"/>
          <w:lang w:val="en-US"/>
        </w:rPr>
        <w:t>. Next, the consummation of the ceremony takes place after the festivities and this often is on the same day</w:t>
      </w:r>
      <w:r w:rsidRPr="004F0794">
        <w:rPr>
          <w:rStyle w:val="FootnoteReference"/>
          <w:rFonts w:ascii="Times New Roman" w:eastAsia="Times New Roman" w:hAnsi="Times New Roman" w:cs="Times New Roman"/>
          <w:sz w:val="24"/>
          <w:szCs w:val="24"/>
          <w:lang w:val="en-US"/>
        </w:rPr>
        <w:footnoteReference w:id="126"/>
      </w:r>
      <w:r w:rsidRPr="004F0794">
        <w:rPr>
          <w:rFonts w:ascii="Times New Roman" w:eastAsia="Times New Roman" w:hAnsi="Times New Roman" w:cs="Times New Roman"/>
          <w:sz w:val="24"/>
          <w:szCs w:val="24"/>
          <w:lang w:val="en-US"/>
        </w:rPr>
        <w:t>. Then, cohabitation commences thereafter as man and wife.</w:t>
      </w:r>
    </w:p>
    <w:p w:rsidR="00860B99" w:rsidRPr="004F0794" w:rsidRDefault="00860B99" w:rsidP="00860B99">
      <w:pPr>
        <w:spacing w:line="480" w:lineRule="auto"/>
        <w:jc w:val="both"/>
        <w:rPr>
          <w:rFonts w:ascii="Times New Roman" w:eastAsia="Times New Roman" w:hAnsi="Times New Roman" w:cs="Times New Roman"/>
          <w:b/>
          <w:bCs/>
          <w:sz w:val="24"/>
          <w:szCs w:val="24"/>
          <w:lang w:val="en-US"/>
        </w:rPr>
      </w:pPr>
      <w:r w:rsidRPr="004F0794">
        <w:rPr>
          <w:rFonts w:ascii="Times New Roman" w:eastAsia="Times New Roman" w:hAnsi="Times New Roman" w:cs="Times New Roman"/>
          <w:b/>
          <w:bCs/>
          <w:sz w:val="24"/>
          <w:szCs w:val="24"/>
          <w:lang w:val="en-US"/>
        </w:rPr>
        <w:t>iv. Capacity and Age</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The capacity to marry under customary law hinged on puberty and sound mind, not a fixed numerical age.</w:t>
      </w:r>
      <w:r w:rsidRPr="004F0794">
        <w:rPr>
          <w:rStyle w:val="FootnoteReference"/>
          <w:rFonts w:ascii="Times New Roman" w:eastAsia="Times New Roman" w:hAnsi="Times New Roman" w:cs="Times New Roman"/>
          <w:sz w:val="24"/>
          <w:szCs w:val="24"/>
          <w:lang w:val="en-US"/>
        </w:rPr>
        <w:footnoteReference w:id="127"/>
      </w:r>
      <w:r w:rsidRPr="004F0794">
        <w:rPr>
          <w:rFonts w:ascii="Times New Roman" w:eastAsia="Times New Roman" w:hAnsi="Times New Roman" w:cs="Times New Roman"/>
          <w:sz w:val="24"/>
          <w:szCs w:val="24"/>
          <w:lang w:val="en-US"/>
        </w:rPr>
        <w:t xml:space="preserve">Most customs considered a girl marriageable once she had attained puberty (signs of womanhood). On the other hand, a boy is marriageable once he could assume the responsibilities of a husband. The </w:t>
      </w:r>
      <w:r w:rsidRPr="004F0794">
        <w:rPr>
          <w:rFonts w:ascii="Times New Roman" w:eastAsia="Times New Roman" w:hAnsi="Times New Roman" w:cs="Times New Roman"/>
          <w:bCs/>
          <w:sz w:val="24"/>
          <w:szCs w:val="24"/>
          <w:lang w:val="en-US"/>
        </w:rPr>
        <w:t>Child Rights Act 2003</w:t>
      </w:r>
      <w:r w:rsidRPr="004F0794">
        <w:rPr>
          <w:rFonts w:ascii="Times New Roman" w:eastAsia="Times New Roman" w:hAnsi="Times New Roman" w:cs="Times New Roman"/>
          <w:sz w:val="24"/>
          <w:szCs w:val="24"/>
          <w:lang w:val="en-US"/>
        </w:rPr>
        <w:t xml:space="preserve"> sets </w:t>
      </w:r>
      <w:r w:rsidRPr="004F0794">
        <w:rPr>
          <w:rFonts w:ascii="Times New Roman" w:eastAsia="Times New Roman" w:hAnsi="Times New Roman" w:cs="Times New Roman"/>
          <w:bCs/>
          <w:sz w:val="24"/>
          <w:szCs w:val="24"/>
          <w:lang w:val="en-US"/>
        </w:rPr>
        <w:t>18 years</w:t>
      </w:r>
      <w:r w:rsidRPr="004F0794">
        <w:rPr>
          <w:rFonts w:ascii="Times New Roman" w:eastAsia="Times New Roman" w:hAnsi="Times New Roman" w:cs="Times New Roman"/>
          <w:sz w:val="24"/>
          <w:szCs w:val="24"/>
          <w:lang w:val="en-US"/>
        </w:rPr>
        <w:t xml:space="preserve"> as the minimum marriageable age and this renders any marriage of a person below 18 invalid.</w:t>
      </w:r>
      <w:r w:rsidRPr="004F0794">
        <w:rPr>
          <w:rStyle w:val="FootnoteReference"/>
          <w:rFonts w:ascii="Times New Roman" w:eastAsia="Times New Roman" w:hAnsi="Times New Roman" w:cs="Times New Roman"/>
          <w:sz w:val="24"/>
          <w:szCs w:val="24"/>
          <w:lang w:val="en-US"/>
        </w:rPr>
        <w:footnoteReference w:id="128"/>
      </w:r>
      <w:r w:rsidRPr="004F0794">
        <w:rPr>
          <w:rFonts w:ascii="Times New Roman" w:eastAsia="Times New Roman" w:hAnsi="Times New Roman" w:cs="Times New Roman"/>
          <w:sz w:val="24"/>
          <w:szCs w:val="24"/>
          <w:lang w:val="en-US"/>
        </w:rPr>
        <w:t xml:space="preserve"> However, not </w:t>
      </w:r>
      <w:r w:rsidRPr="004F0794">
        <w:rPr>
          <w:rFonts w:ascii="Times New Roman" w:eastAsia="Times New Roman" w:hAnsi="Times New Roman" w:cs="Times New Roman"/>
          <w:sz w:val="24"/>
          <w:szCs w:val="24"/>
          <w:lang w:val="en-US"/>
        </w:rPr>
        <w:lastRenderedPageBreak/>
        <w:t>all states have domesticated this act. Thus, child marriages still occur in rural areas (most especially in the northern part of Nigeria).</w:t>
      </w:r>
      <w:r w:rsidRPr="004F0794">
        <w:rPr>
          <w:rStyle w:val="FootnoteReference"/>
          <w:rFonts w:ascii="Times New Roman" w:eastAsia="Times New Roman" w:hAnsi="Times New Roman" w:cs="Times New Roman"/>
          <w:sz w:val="24"/>
          <w:szCs w:val="24"/>
          <w:lang w:val="en-US"/>
        </w:rPr>
        <w:footnoteReference w:id="129"/>
      </w:r>
      <w:r w:rsidRPr="004F0794">
        <w:rPr>
          <w:rFonts w:ascii="Times New Roman" w:eastAsia="Times New Roman" w:hAnsi="Times New Roman" w:cs="Times New Roman"/>
          <w:sz w:val="24"/>
          <w:szCs w:val="24"/>
          <w:lang w:val="en-US"/>
        </w:rPr>
        <w:t xml:space="preserve"> Such marriages are void, on grounds of lack of consent and conflict with public policy when. Going further, </w:t>
      </w:r>
      <w:r w:rsidRPr="004F0794">
        <w:rPr>
          <w:rFonts w:ascii="Times New Roman" w:eastAsia="Times New Roman" w:hAnsi="Times New Roman" w:cs="Times New Roman"/>
          <w:bCs/>
          <w:sz w:val="24"/>
          <w:szCs w:val="24"/>
          <w:lang w:val="en-US"/>
        </w:rPr>
        <w:t>mental capacity</w:t>
      </w:r>
      <w:r w:rsidRPr="004F0794">
        <w:rPr>
          <w:rFonts w:ascii="Times New Roman" w:eastAsia="Times New Roman" w:hAnsi="Times New Roman" w:cs="Times New Roman"/>
          <w:sz w:val="24"/>
          <w:szCs w:val="24"/>
          <w:lang w:val="en-US"/>
        </w:rPr>
        <w:t xml:space="preserve"> is also required. Hence, an insane or mentally incapable individual cannot enter a valid marriage under either custom or statute.</w:t>
      </w:r>
    </w:p>
    <w:p w:rsidR="00860B99" w:rsidRPr="004F0794" w:rsidRDefault="00860B99" w:rsidP="001C75F8">
      <w:pPr>
        <w:pStyle w:val="Heading3"/>
        <w:rPr>
          <w:lang w:val="en-US"/>
        </w:rPr>
      </w:pPr>
      <w:bookmarkStart w:id="92" w:name="_Toc232722533"/>
      <w:r w:rsidRPr="004F0794">
        <w:rPr>
          <w:lang w:val="en-US"/>
        </w:rPr>
        <w:t xml:space="preserve">4.1.2 </w:t>
      </w:r>
      <w:r w:rsidRPr="004F0794">
        <w:rPr>
          <w:lang w:val="en-US"/>
        </w:rPr>
        <w:tab/>
        <w:t>Proof of Customary Marriage in Court</w:t>
      </w:r>
      <w:bookmarkEnd w:id="92"/>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In the past, customary marriages were </w:t>
      </w:r>
      <w:r w:rsidRPr="004F0794">
        <w:rPr>
          <w:rFonts w:ascii="Times New Roman" w:eastAsia="Times New Roman" w:hAnsi="Times New Roman" w:cs="Times New Roman"/>
          <w:bCs/>
          <w:sz w:val="24"/>
          <w:szCs w:val="24"/>
          <w:lang w:val="en-US"/>
        </w:rPr>
        <w:t>oral and communal</w:t>
      </w:r>
      <w:r w:rsidRPr="004F0794">
        <w:rPr>
          <w:rFonts w:ascii="Times New Roman" w:eastAsia="Times New Roman" w:hAnsi="Times New Roman" w:cs="Times New Roman"/>
          <w:sz w:val="24"/>
          <w:szCs w:val="24"/>
          <w:lang w:val="en-US"/>
        </w:rPr>
        <w:t xml:space="preserve"> agreements. However, today, evidence of marriage includes list of marriage expenses, receipts for bride price or dowry payments, or photographs of the traditional ceremony. Several states permit or encourage </w:t>
      </w:r>
      <w:r w:rsidRPr="004F0794">
        <w:rPr>
          <w:rFonts w:ascii="Times New Roman" w:eastAsia="Times New Roman" w:hAnsi="Times New Roman" w:cs="Times New Roman"/>
          <w:bCs/>
          <w:sz w:val="24"/>
          <w:szCs w:val="24"/>
          <w:lang w:val="en-US"/>
        </w:rPr>
        <w:t>registration</w:t>
      </w:r>
      <w:r w:rsidRPr="004F0794">
        <w:rPr>
          <w:rFonts w:ascii="Times New Roman" w:eastAsia="Times New Roman" w:hAnsi="Times New Roman" w:cs="Times New Roman"/>
          <w:sz w:val="24"/>
          <w:szCs w:val="24"/>
          <w:lang w:val="en-US"/>
        </w:rPr>
        <w:t xml:space="preserve"> because of the difficulties in proving this evidence.In practice, such registrations are rare. Many couples see no need until a dispute arises or they need a certificate for official purposes (suck as visa applications). Courts will accept other proof (witness testimony, etc.) of the existence of the marriage. Registration simply simplifies proof because it creates a presumptive record. Hence, challenges arise upon breakdown of a customary marriage when registration is not carried out. One party (often the husband) might </w:t>
      </w:r>
      <w:r w:rsidRPr="004F0794">
        <w:rPr>
          <w:rFonts w:ascii="Times New Roman" w:eastAsia="Times New Roman" w:hAnsi="Times New Roman" w:cs="Times New Roman"/>
          <w:bCs/>
          <w:sz w:val="24"/>
          <w:szCs w:val="24"/>
          <w:lang w:val="en-US"/>
        </w:rPr>
        <w:t>deny that a marriage ever took place</w:t>
      </w:r>
      <w:r w:rsidRPr="004F0794">
        <w:rPr>
          <w:rFonts w:ascii="Times New Roman" w:eastAsia="Times New Roman" w:hAnsi="Times New Roman" w:cs="Times New Roman"/>
          <w:sz w:val="24"/>
          <w:szCs w:val="24"/>
          <w:lang w:val="en-US"/>
        </w:rPr>
        <w:t xml:space="preserve"> (especially, if no bride price receipt or written evidence exists). In such cases, the burden falls on the asserting party to prove the marriage </w:t>
      </w:r>
      <w:r w:rsidRPr="004F0794">
        <w:rPr>
          <w:rFonts w:ascii="Times New Roman" w:eastAsia="Times New Roman" w:hAnsi="Times New Roman" w:cs="Times New Roman"/>
          <w:i/>
          <w:iCs/>
          <w:sz w:val="24"/>
          <w:szCs w:val="24"/>
          <w:lang w:val="en-US"/>
        </w:rPr>
        <w:t>aliunde</w:t>
      </w:r>
      <w:r w:rsidRPr="004F0794">
        <w:rPr>
          <w:rFonts w:ascii="Times New Roman" w:eastAsia="Times New Roman" w:hAnsi="Times New Roman" w:cs="Times New Roman"/>
          <w:sz w:val="24"/>
          <w:szCs w:val="24"/>
          <w:lang w:val="en-US"/>
        </w:rPr>
        <w:t xml:space="preserve">.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Proof can be through the oral evidence of family members or elders who attended the ceremony. As the Supreme Court held in </w:t>
      </w:r>
      <w:r>
        <w:rPr>
          <w:rFonts w:ascii="Times New Roman" w:eastAsia="Times New Roman" w:hAnsi="Times New Roman" w:cs="Times New Roman"/>
          <w:i/>
          <w:iCs/>
          <w:sz w:val="24"/>
          <w:szCs w:val="24"/>
          <w:lang w:val="en-US"/>
        </w:rPr>
        <w:t>Lawal v. Younan,</w:t>
      </w:r>
      <w:r w:rsidRPr="004F0794">
        <w:rPr>
          <w:rStyle w:val="FootnoteReference"/>
          <w:rFonts w:ascii="Times New Roman" w:eastAsia="Times New Roman" w:hAnsi="Times New Roman" w:cs="Times New Roman"/>
          <w:i/>
          <w:iCs/>
          <w:sz w:val="24"/>
          <w:szCs w:val="24"/>
          <w:lang w:val="en-US"/>
        </w:rPr>
        <w:footnoteReference w:id="130"/>
      </w:r>
      <w:r w:rsidRPr="004F0794">
        <w:rPr>
          <w:rFonts w:ascii="Times New Roman" w:eastAsia="Times New Roman" w:hAnsi="Times New Roman" w:cs="Times New Roman"/>
          <w:sz w:val="24"/>
          <w:szCs w:val="24"/>
          <w:lang w:val="en-US"/>
        </w:rPr>
        <w:t xml:space="preserve"> a high standard of proof is needed to establish a marriage, given its serious implications.However, direct evidence of the customary rites will suffice. In addition, the courts have recognised </w:t>
      </w:r>
      <w:r w:rsidRPr="004F0794">
        <w:rPr>
          <w:rFonts w:ascii="Times New Roman" w:eastAsia="Times New Roman" w:hAnsi="Times New Roman" w:cs="Times New Roman"/>
          <w:bCs/>
          <w:sz w:val="24"/>
          <w:szCs w:val="24"/>
          <w:lang w:val="en-US"/>
        </w:rPr>
        <w:t>cohabitation and repute</w:t>
      </w:r>
      <w:r w:rsidRPr="004F0794">
        <w:rPr>
          <w:rFonts w:ascii="Times New Roman" w:eastAsia="Times New Roman" w:hAnsi="Times New Roman" w:cs="Times New Roman"/>
          <w:sz w:val="24"/>
          <w:szCs w:val="24"/>
          <w:lang w:val="en-US"/>
        </w:rPr>
        <w:t xml:space="preserve"> as supporting evidence of a customary marriage. A presumption of marriage under custom is </w:t>
      </w:r>
      <w:r w:rsidRPr="004F0794">
        <w:rPr>
          <w:rFonts w:ascii="Times New Roman" w:eastAsia="Times New Roman" w:hAnsi="Times New Roman" w:cs="Times New Roman"/>
          <w:sz w:val="24"/>
          <w:szCs w:val="24"/>
          <w:lang w:val="en-US"/>
        </w:rPr>
        <w:lastRenderedPageBreak/>
        <w:t>created when man and woman has cohabited for long and also when the man and his relatives have acknowledge the woman as wife.</w:t>
      </w:r>
      <w:r w:rsidRPr="004F0794">
        <w:rPr>
          <w:rStyle w:val="FootnoteReference"/>
          <w:rFonts w:ascii="Times New Roman" w:eastAsia="Times New Roman" w:hAnsi="Times New Roman" w:cs="Times New Roman"/>
          <w:sz w:val="24"/>
          <w:szCs w:val="24"/>
          <w:lang w:val="en-US"/>
        </w:rPr>
        <w:footnoteReference w:id="131"/>
      </w:r>
    </w:p>
    <w:p w:rsidR="00860B99" w:rsidRPr="004F0794" w:rsidRDefault="00860B99" w:rsidP="001C75F8">
      <w:pPr>
        <w:pStyle w:val="Heading3"/>
      </w:pPr>
      <w:bookmarkStart w:id="93" w:name="_Toc232722534"/>
      <w:r w:rsidRPr="004F0794">
        <w:t>4.1.3</w:t>
      </w:r>
      <w:r w:rsidRPr="004F0794">
        <w:tab/>
        <w:t>Legal Effects of Customary Law Marriage</w:t>
      </w:r>
      <w:bookmarkEnd w:id="93"/>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Once validly contracted, a customary marriage confers marital </w:t>
      </w:r>
      <w:r w:rsidRPr="004F0794">
        <w:rPr>
          <w:rFonts w:ascii="Times New Roman" w:eastAsia="Times New Roman" w:hAnsi="Times New Roman" w:cs="Times New Roman"/>
          <w:bCs/>
          <w:sz w:val="24"/>
          <w:szCs w:val="24"/>
          <w:lang w:val="en-US"/>
        </w:rPr>
        <w:t>status</w:t>
      </w:r>
      <w:r w:rsidRPr="004F0794">
        <w:rPr>
          <w:rFonts w:ascii="Times New Roman" w:eastAsia="Times New Roman" w:hAnsi="Times New Roman" w:cs="Times New Roman"/>
          <w:sz w:val="24"/>
          <w:szCs w:val="24"/>
          <w:lang w:val="en-US"/>
        </w:rPr>
        <w:t xml:space="preserve"> on the parties. The wife becomes, in native law, part of the husband’s family. Children of the union are considered </w:t>
      </w:r>
      <w:r w:rsidRPr="004F0794">
        <w:rPr>
          <w:rFonts w:ascii="Times New Roman" w:eastAsia="Times New Roman" w:hAnsi="Times New Roman" w:cs="Times New Roman"/>
          <w:bCs/>
          <w:sz w:val="24"/>
          <w:szCs w:val="24"/>
          <w:lang w:val="en-US"/>
        </w:rPr>
        <w:t>legitimate</w:t>
      </w:r>
      <w:r w:rsidRPr="004F0794">
        <w:rPr>
          <w:rFonts w:ascii="Times New Roman" w:eastAsia="Times New Roman" w:hAnsi="Times New Roman" w:cs="Times New Roman"/>
          <w:sz w:val="24"/>
          <w:szCs w:val="24"/>
          <w:lang w:val="en-US"/>
        </w:rPr>
        <w:t xml:space="preserve"> by customary law and by the law in Nigeria generally.</w:t>
      </w:r>
      <w:r w:rsidRPr="004F0794">
        <w:rPr>
          <w:rStyle w:val="FootnoteReference"/>
          <w:rFonts w:ascii="Times New Roman" w:eastAsia="Times New Roman" w:hAnsi="Times New Roman" w:cs="Times New Roman"/>
          <w:sz w:val="24"/>
          <w:szCs w:val="24"/>
          <w:lang w:val="en-US"/>
        </w:rPr>
        <w:footnoteReference w:id="132"/>
      </w:r>
      <w:r w:rsidRPr="004F0794">
        <w:rPr>
          <w:rFonts w:ascii="Times New Roman" w:eastAsia="Times New Roman" w:hAnsi="Times New Roman" w:cs="Times New Roman"/>
          <w:sz w:val="24"/>
          <w:szCs w:val="24"/>
          <w:lang w:val="en-US"/>
        </w:rPr>
        <w:t xml:space="preserve"> In practice, though, Nigerian customary law itself treats the child as legitimate once the father has paid the pregnancy/damage fees or bride price for the mother. On matters of </w:t>
      </w:r>
      <w:r w:rsidRPr="004F0794">
        <w:rPr>
          <w:rFonts w:ascii="Times New Roman" w:eastAsia="Times New Roman" w:hAnsi="Times New Roman" w:cs="Times New Roman"/>
          <w:bCs/>
          <w:sz w:val="24"/>
          <w:szCs w:val="24"/>
          <w:lang w:val="en-US"/>
        </w:rPr>
        <w:t>inheritance</w:t>
      </w:r>
      <w:r w:rsidRPr="004F0794">
        <w:rPr>
          <w:rFonts w:ascii="Times New Roman" w:eastAsia="Times New Roman" w:hAnsi="Times New Roman" w:cs="Times New Roman"/>
          <w:sz w:val="24"/>
          <w:szCs w:val="24"/>
          <w:lang w:val="en-US"/>
        </w:rPr>
        <w:t>, spouses of a customary marriage have rights under customary inheritance rules (often patrilineal). For example, in Igbo custom, a wife does not inherit her husband’s land (that goes to the sons or family). However, in some Western Igbo communities she may retain use-rights in the matrimonial homestead.</w:t>
      </w:r>
      <w:r w:rsidRPr="004F0794">
        <w:rPr>
          <w:rStyle w:val="FootnoteReference"/>
          <w:rFonts w:ascii="Times New Roman" w:eastAsia="Times New Roman" w:hAnsi="Times New Roman" w:cs="Times New Roman"/>
          <w:sz w:val="24"/>
          <w:szCs w:val="24"/>
          <w:lang w:val="en-US"/>
        </w:rPr>
        <w:footnoteReference w:id="133"/>
      </w:r>
      <w:r w:rsidRPr="004F0794">
        <w:rPr>
          <w:rFonts w:ascii="Times New Roman" w:eastAsia="Times New Roman" w:hAnsi="Times New Roman" w:cs="Times New Roman"/>
          <w:sz w:val="24"/>
          <w:szCs w:val="24"/>
          <w:lang w:val="en-US"/>
        </w:rPr>
        <w:t xml:space="preserve"> Courts have also included customary law wives as lawful spouses for purposes of inheritance and succession,</w:t>
      </w:r>
      <w:r w:rsidRPr="004F0794">
        <w:rPr>
          <w:rStyle w:val="FootnoteReference"/>
          <w:rFonts w:ascii="Times New Roman" w:eastAsia="Times New Roman" w:hAnsi="Times New Roman" w:cs="Times New Roman"/>
          <w:sz w:val="24"/>
          <w:szCs w:val="24"/>
          <w:lang w:val="en-US"/>
        </w:rPr>
        <w:footnoteReference w:id="134"/>
      </w:r>
      <w:r w:rsidRPr="004F0794">
        <w:rPr>
          <w:rFonts w:ascii="Times New Roman" w:eastAsia="Times New Roman" w:hAnsi="Times New Roman" w:cs="Times New Roman"/>
          <w:sz w:val="24"/>
          <w:szCs w:val="24"/>
          <w:lang w:val="en-US"/>
        </w:rPr>
        <w:t xml:space="preserve"> to avoid unfairness. Another effect is on </w:t>
      </w:r>
      <w:r w:rsidRPr="004F0794">
        <w:rPr>
          <w:rFonts w:ascii="Times New Roman" w:eastAsia="Times New Roman" w:hAnsi="Times New Roman" w:cs="Times New Roman"/>
          <w:bCs/>
          <w:sz w:val="24"/>
          <w:szCs w:val="24"/>
          <w:lang w:val="en-US"/>
        </w:rPr>
        <w:t>domicile and citizenship</w:t>
      </w:r>
      <w:r w:rsidRPr="004F0794">
        <w:rPr>
          <w:rFonts w:ascii="Times New Roman" w:eastAsia="Times New Roman" w:hAnsi="Times New Roman" w:cs="Times New Roman"/>
          <w:sz w:val="24"/>
          <w:szCs w:val="24"/>
          <w:lang w:val="en-US"/>
        </w:rPr>
        <w:t>.Marriage under custom affect a woman’s domicile (traditionally she takes the husband’s domicile, though this is less rigid now) and can be a basis for indigenous rights (e.g. becoming an “indigene” of the husband’s state for certain benefits, albeit this is a sensitive political issue in Nigeria).</w:t>
      </w:r>
      <w:r w:rsidRPr="004F0794">
        <w:rPr>
          <w:rStyle w:val="FootnoteReference"/>
          <w:rFonts w:ascii="Times New Roman" w:eastAsia="Times New Roman" w:hAnsi="Times New Roman" w:cs="Times New Roman"/>
          <w:sz w:val="24"/>
          <w:szCs w:val="24"/>
          <w:lang w:val="en-US"/>
        </w:rPr>
        <w:footnoteReference w:id="135"/>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Customary marriage also permits </w:t>
      </w:r>
      <w:r w:rsidRPr="004F0794">
        <w:rPr>
          <w:rFonts w:ascii="Times New Roman" w:eastAsia="Times New Roman" w:hAnsi="Times New Roman" w:cs="Times New Roman"/>
          <w:bCs/>
          <w:sz w:val="24"/>
          <w:szCs w:val="24"/>
          <w:lang w:val="en-US"/>
        </w:rPr>
        <w:t>polygamy</w:t>
      </w:r>
      <w:r w:rsidRPr="004F0794">
        <w:rPr>
          <w:rFonts w:ascii="Times New Roman" w:eastAsia="Times New Roman" w:hAnsi="Times New Roman" w:cs="Times New Roman"/>
          <w:sz w:val="24"/>
          <w:szCs w:val="24"/>
          <w:lang w:val="en-US"/>
        </w:rPr>
        <w:t xml:space="preserve">, as noted, which has its own legal ramifications. A man with multiple customary wives has one family legally. All wives are equally wives under native law. However, if that man, for instance, were to convert and marry under statute to one of them, that statutory marriage would be invalid </w:t>
      </w:r>
      <w:r w:rsidRPr="004F0794">
        <w:rPr>
          <w:rFonts w:ascii="Times New Roman" w:eastAsia="Times New Roman" w:hAnsi="Times New Roman" w:cs="Times New Roman"/>
          <w:i/>
          <w:sz w:val="24"/>
          <w:szCs w:val="24"/>
          <w:lang w:val="en-US"/>
        </w:rPr>
        <w:t>ab initio</w:t>
      </w:r>
      <w:r w:rsidRPr="004F0794">
        <w:rPr>
          <w:rFonts w:ascii="Times New Roman" w:eastAsia="Times New Roman" w:hAnsi="Times New Roman" w:cs="Times New Roman"/>
          <w:sz w:val="24"/>
          <w:szCs w:val="24"/>
          <w:lang w:val="en-US"/>
        </w:rPr>
        <w:t xml:space="preserve"> (because he was not single). </w:t>
      </w:r>
      <w:r w:rsidRPr="004F0794">
        <w:rPr>
          <w:rFonts w:ascii="Times New Roman" w:eastAsia="Times New Roman" w:hAnsi="Times New Roman" w:cs="Times New Roman"/>
          <w:sz w:val="24"/>
          <w:szCs w:val="24"/>
          <w:lang w:val="en-US"/>
        </w:rPr>
        <w:lastRenderedPageBreak/>
        <w:t>In addition, he would also be liable for bigamy.</w:t>
      </w:r>
      <w:r w:rsidRPr="004F0794">
        <w:rPr>
          <w:rStyle w:val="FootnoteReference"/>
          <w:rFonts w:ascii="Times New Roman" w:eastAsia="Times New Roman" w:hAnsi="Times New Roman" w:cs="Times New Roman"/>
          <w:sz w:val="24"/>
          <w:szCs w:val="24"/>
          <w:lang w:val="en-US"/>
        </w:rPr>
        <w:footnoteReference w:id="136"/>
      </w:r>
      <w:r w:rsidRPr="004F0794">
        <w:rPr>
          <w:rFonts w:ascii="Times New Roman" w:eastAsia="Times New Roman" w:hAnsi="Times New Roman" w:cs="Times New Roman"/>
          <w:sz w:val="24"/>
          <w:szCs w:val="24"/>
          <w:lang w:val="en-US"/>
        </w:rPr>
        <w:t xml:space="preserve"> Conversely, a monogamously married (statutory) man cannot take a second wife without violating the law, even if his custom allows it.</w:t>
      </w:r>
      <w:r w:rsidRPr="004F0794">
        <w:rPr>
          <w:rStyle w:val="FootnoteReference"/>
          <w:rFonts w:ascii="Times New Roman" w:eastAsia="Times New Roman" w:hAnsi="Times New Roman" w:cs="Times New Roman"/>
          <w:sz w:val="24"/>
          <w:szCs w:val="24"/>
          <w:lang w:val="en-US"/>
        </w:rPr>
        <w:footnoteReference w:id="137"/>
      </w:r>
    </w:p>
    <w:p w:rsidR="00860B99" w:rsidRPr="004F0794" w:rsidRDefault="001C75F8" w:rsidP="001C75F8">
      <w:pPr>
        <w:pStyle w:val="Heading3"/>
      </w:pPr>
      <w:bookmarkStart w:id="94" w:name="_Toc232722535"/>
      <w:r w:rsidRPr="004F0794">
        <w:t>4.1.4</w:t>
      </w:r>
      <w:r w:rsidR="00860B99" w:rsidRPr="004F0794">
        <w:t xml:space="preserve"> </w:t>
      </w:r>
      <w:r w:rsidR="00860B99" w:rsidRPr="004F0794">
        <w:tab/>
        <w:t>Challenges in the Formation of Customary Law Marriage</w:t>
      </w:r>
      <w:bookmarkEnd w:id="94"/>
    </w:p>
    <w:p w:rsidR="00860B99" w:rsidRPr="004F0794" w:rsidRDefault="00860B99" w:rsidP="00860B99">
      <w:pPr>
        <w:spacing w:line="480" w:lineRule="auto"/>
        <w:jc w:val="both"/>
        <w:rPr>
          <w:rFonts w:ascii="Times New Roman" w:eastAsia="Times New Roman" w:hAnsi="Times New Roman" w:cs="Times New Roman"/>
          <w:b/>
          <w:sz w:val="24"/>
          <w:szCs w:val="24"/>
          <w:lang w:val="en-US"/>
        </w:rPr>
      </w:pPr>
      <w:r w:rsidRPr="004F0794">
        <w:rPr>
          <w:rFonts w:ascii="Times New Roman" w:eastAsia="Times New Roman" w:hAnsi="Times New Roman" w:cs="Times New Roman"/>
          <w:b/>
          <w:sz w:val="24"/>
          <w:szCs w:val="24"/>
          <w:lang w:val="en-US"/>
        </w:rPr>
        <w:t>i. Diversity of Custom in Nigeria</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One major challenge is that the </w:t>
      </w:r>
      <w:r w:rsidRPr="004F0794">
        <w:rPr>
          <w:rFonts w:ascii="Times New Roman" w:eastAsia="Times New Roman" w:hAnsi="Times New Roman" w:cs="Times New Roman"/>
          <w:bCs/>
          <w:sz w:val="24"/>
          <w:szCs w:val="24"/>
          <w:lang w:val="en-US"/>
        </w:rPr>
        <w:t>customs</w:t>
      </w:r>
      <w:r w:rsidRPr="004F0794">
        <w:rPr>
          <w:rFonts w:ascii="Times New Roman" w:eastAsia="Times New Roman" w:hAnsi="Times New Roman" w:cs="Times New Roman"/>
          <w:sz w:val="24"/>
          <w:szCs w:val="24"/>
          <w:lang w:val="en-US"/>
        </w:rPr>
        <w:t>is diverse in Nigeria with hundreds of ethnic groups. The essential ingredients may be the same. However, the details vary. Hence, what constitutes valid consent or adequate bride price in one culture may differ in another. For example, among the Hausa-Fulani (governed largely by Islamic law), the bride herself has a wali (guardian) give consent on her behalf in the marriage contract, and the bride price (mahr) is given to the bride (not her family).</w:t>
      </w:r>
      <w:r w:rsidRPr="004F0794">
        <w:rPr>
          <w:rStyle w:val="FootnoteReference"/>
          <w:rFonts w:ascii="Times New Roman" w:eastAsia="Times New Roman" w:hAnsi="Times New Roman" w:cs="Times New Roman"/>
          <w:sz w:val="24"/>
          <w:szCs w:val="24"/>
          <w:lang w:val="en-US"/>
        </w:rPr>
        <w:footnoteReference w:id="138"/>
      </w:r>
      <w:r w:rsidRPr="004F0794">
        <w:rPr>
          <w:rFonts w:ascii="Times New Roman" w:eastAsia="Times New Roman" w:hAnsi="Times New Roman" w:cs="Times New Roman"/>
          <w:sz w:val="24"/>
          <w:szCs w:val="24"/>
          <w:lang w:val="en-US"/>
        </w:rPr>
        <w:t xml:space="preserve"> In contrast, in Igbo custom the bride price is negotiated with and paid to the bride’s father or family. The bride’s direct wishes were less emphasized historically (though her personal consent is now expected in recent times). Such differences causes confusion, in inter-ethnic marriages. An Igbo marrying a Yoruba might perform two sets of ceremonies to satisfy both sides.</w:t>
      </w:r>
      <w:r w:rsidRPr="004F0794">
        <w:rPr>
          <w:rStyle w:val="FootnoteReference"/>
          <w:rFonts w:ascii="Times New Roman" w:eastAsia="Times New Roman" w:hAnsi="Times New Roman" w:cs="Times New Roman"/>
          <w:sz w:val="24"/>
          <w:szCs w:val="24"/>
          <w:lang w:val="en-US"/>
        </w:rPr>
        <w:footnoteReference w:id="139"/>
      </w:r>
    </w:p>
    <w:p w:rsidR="00860B99" w:rsidRPr="004F0794" w:rsidRDefault="00860B99" w:rsidP="00860B99">
      <w:pPr>
        <w:spacing w:line="480" w:lineRule="auto"/>
        <w:jc w:val="both"/>
        <w:rPr>
          <w:rFonts w:ascii="Times New Roman" w:eastAsia="Times New Roman" w:hAnsi="Times New Roman" w:cs="Times New Roman"/>
          <w:b/>
          <w:sz w:val="24"/>
          <w:szCs w:val="24"/>
          <w:lang w:val="en-US"/>
        </w:rPr>
      </w:pPr>
      <w:r w:rsidRPr="004F0794">
        <w:rPr>
          <w:rFonts w:ascii="Times New Roman" w:eastAsia="Times New Roman" w:hAnsi="Times New Roman" w:cs="Times New Roman"/>
          <w:b/>
          <w:bCs/>
          <w:sz w:val="24"/>
          <w:szCs w:val="24"/>
          <w:lang w:val="en-US"/>
        </w:rPr>
        <w:t>ii. Exorbitant Bride Price and Marriage Expenses</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bCs/>
          <w:sz w:val="24"/>
          <w:szCs w:val="24"/>
          <w:lang w:val="en-US"/>
        </w:rPr>
        <w:t xml:space="preserve">Exorbitant bride price and marriage expenses </w:t>
      </w:r>
      <w:r w:rsidRPr="004F0794">
        <w:rPr>
          <w:rFonts w:ascii="Times New Roman" w:eastAsia="Times New Roman" w:hAnsi="Times New Roman" w:cs="Times New Roman"/>
          <w:sz w:val="24"/>
          <w:szCs w:val="24"/>
          <w:lang w:val="en-US"/>
        </w:rPr>
        <w:t>have made marriage burdensome financially. This led to informal unions without proper customary formalisation. Many customs would say no marriage until the bride price is paid. Yet, over time, some such unions might be treated as marriage by cohabitation/repute</w:t>
      </w:r>
      <w:r w:rsidRPr="004F0794">
        <w:rPr>
          <w:rStyle w:val="FootnoteReference"/>
          <w:rFonts w:ascii="Times New Roman" w:eastAsia="Times New Roman" w:hAnsi="Times New Roman" w:cs="Times New Roman"/>
          <w:sz w:val="24"/>
          <w:szCs w:val="24"/>
          <w:lang w:val="en-US"/>
        </w:rPr>
        <w:footnoteReference w:id="140"/>
      </w:r>
      <w:r w:rsidRPr="004F0794">
        <w:rPr>
          <w:rFonts w:ascii="Times New Roman" w:eastAsia="Times New Roman" w:hAnsi="Times New Roman" w:cs="Times New Roman"/>
          <w:sz w:val="24"/>
          <w:szCs w:val="24"/>
          <w:lang w:val="en-US"/>
        </w:rPr>
        <w:t xml:space="preserve">. The law here is murky. The courts might be sympathetic, but still require evidence that the families later accepted payments or </w:t>
      </w:r>
      <w:r w:rsidRPr="004F0794">
        <w:rPr>
          <w:rFonts w:ascii="Times New Roman" w:eastAsia="Times New Roman" w:hAnsi="Times New Roman" w:cs="Times New Roman"/>
          <w:sz w:val="24"/>
          <w:szCs w:val="24"/>
          <w:lang w:val="en-US"/>
        </w:rPr>
        <w:lastRenderedPageBreak/>
        <w:t xml:space="preserve">acknowledged the union. Some communities (e.g. certain Igbo communities and even state governments) have tried to </w:t>
      </w:r>
      <w:r w:rsidRPr="004F0794">
        <w:rPr>
          <w:rFonts w:ascii="Times New Roman" w:eastAsia="Times New Roman" w:hAnsi="Times New Roman" w:cs="Times New Roman"/>
          <w:bCs/>
          <w:sz w:val="24"/>
          <w:szCs w:val="24"/>
          <w:lang w:val="en-US"/>
        </w:rPr>
        <w:t>regulate bride price</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color w:val="000000" w:themeColor="text1"/>
          <w:sz w:val="24"/>
          <w:szCs w:val="24"/>
          <w:lang w:val="en-US"/>
        </w:rPr>
        <w:t>The Anambra State government in 2018 announced standard rates for bride price to curb extortionate demands.</w:t>
      </w:r>
      <w:r w:rsidRPr="004F0794">
        <w:rPr>
          <w:rStyle w:val="FootnoteReference"/>
          <w:rFonts w:ascii="Times New Roman" w:eastAsia="Times New Roman" w:hAnsi="Times New Roman" w:cs="Times New Roman"/>
          <w:color w:val="000000" w:themeColor="text1"/>
          <w:sz w:val="24"/>
          <w:szCs w:val="24"/>
          <w:lang w:val="en-US"/>
        </w:rPr>
        <w:footnoteReference w:id="141"/>
      </w:r>
      <w:r w:rsidRPr="004F0794">
        <w:rPr>
          <w:rFonts w:ascii="Times New Roman" w:eastAsia="Times New Roman" w:hAnsi="Times New Roman" w:cs="Times New Roman"/>
          <w:color w:val="000000" w:themeColor="text1"/>
          <w:sz w:val="24"/>
          <w:szCs w:val="24"/>
          <w:lang w:val="en-US"/>
        </w:rPr>
        <w:t xml:space="preserve"> Indeed, this wasn’t a formal law. However, it indicates a trend toward easing the formation process.</w:t>
      </w:r>
    </w:p>
    <w:p w:rsidR="00860B99" w:rsidRPr="004F0794" w:rsidRDefault="00860B99" w:rsidP="00860B99">
      <w:pPr>
        <w:spacing w:line="480" w:lineRule="auto"/>
        <w:jc w:val="both"/>
        <w:rPr>
          <w:rFonts w:ascii="Times New Roman" w:eastAsia="Times New Roman" w:hAnsi="Times New Roman" w:cs="Times New Roman"/>
          <w:b/>
          <w:sz w:val="24"/>
          <w:szCs w:val="24"/>
          <w:lang w:val="en-US"/>
        </w:rPr>
      </w:pPr>
      <w:r w:rsidRPr="004F0794">
        <w:rPr>
          <w:rFonts w:ascii="Times New Roman" w:eastAsia="Times New Roman" w:hAnsi="Times New Roman" w:cs="Times New Roman"/>
          <w:b/>
          <w:bCs/>
          <w:sz w:val="24"/>
          <w:szCs w:val="24"/>
          <w:lang w:val="en-US"/>
        </w:rPr>
        <w:t>iii. Proof in Court</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In proving a customary marriage in court, there is need to respect traditional forms. Proof of customary marriage includes; Receipts or a documented list of bride price and items given, testimony from eyewitnesses (family elders, the marriage negotiator (</w:t>
      </w:r>
      <w:r w:rsidRPr="004F0794">
        <w:rPr>
          <w:rFonts w:ascii="Times New Roman" w:eastAsia="Times New Roman" w:hAnsi="Times New Roman" w:cs="Times New Roman"/>
          <w:i/>
          <w:iCs/>
          <w:sz w:val="24"/>
          <w:szCs w:val="24"/>
          <w:lang w:val="en-US"/>
        </w:rPr>
        <w:t>“Onye aka ebe”</w:t>
      </w:r>
      <w:r w:rsidRPr="004F0794">
        <w:rPr>
          <w:rFonts w:ascii="Times New Roman" w:eastAsia="Times New Roman" w:hAnsi="Times New Roman" w:cs="Times New Roman"/>
          <w:sz w:val="24"/>
          <w:szCs w:val="24"/>
          <w:lang w:val="en-US"/>
        </w:rPr>
        <w:t xml:space="preserve"> in Igbo, or </w:t>
      </w:r>
      <w:r w:rsidRPr="004F0794">
        <w:rPr>
          <w:rFonts w:ascii="Times New Roman" w:eastAsia="Times New Roman" w:hAnsi="Times New Roman" w:cs="Times New Roman"/>
          <w:i/>
          <w:iCs/>
          <w:sz w:val="24"/>
          <w:szCs w:val="24"/>
          <w:lang w:val="en-US"/>
        </w:rPr>
        <w:t>“rago”</w:t>
      </w:r>
      <w:r w:rsidRPr="004F0794">
        <w:rPr>
          <w:rFonts w:ascii="Times New Roman" w:eastAsia="Times New Roman" w:hAnsi="Times New Roman" w:cs="Times New Roman"/>
          <w:sz w:val="24"/>
          <w:szCs w:val="24"/>
          <w:lang w:val="en-US"/>
        </w:rPr>
        <w:t xml:space="preserve"> in Hausa) who can recount the proceedings), photographs or video of the ceremony if available, and evidence of subsequent cohabitation and recognition (e.g. introduction of the wife to the community, naming ceremonies of children).</w:t>
      </w:r>
      <w:r w:rsidRPr="004F0794">
        <w:rPr>
          <w:rStyle w:val="FootnoteReference"/>
          <w:rFonts w:ascii="Times New Roman" w:eastAsia="Times New Roman" w:hAnsi="Times New Roman" w:cs="Times New Roman"/>
          <w:sz w:val="24"/>
          <w:szCs w:val="24"/>
          <w:lang w:val="en-US"/>
        </w:rPr>
        <w:footnoteReference w:id="142"/>
      </w:r>
      <w:r w:rsidRPr="004F0794">
        <w:rPr>
          <w:rFonts w:ascii="Times New Roman" w:eastAsia="Times New Roman" w:hAnsi="Times New Roman" w:cs="Times New Roman"/>
          <w:sz w:val="24"/>
          <w:szCs w:val="24"/>
          <w:lang w:val="en-US"/>
        </w:rPr>
        <w:t xml:space="preserve"> The courts do not demand registration certificates except in states where the law says a registered certificate is primary proof.</w:t>
      </w:r>
      <w:r w:rsidRPr="004F0794">
        <w:rPr>
          <w:rStyle w:val="FootnoteReference"/>
          <w:rFonts w:ascii="Times New Roman" w:eastAsia="Times New Roman" w:hAnsi="Times New Roman" w:cs="Times New Roman"/>
          <w:sz w:val="24"/>
          <w:szCs w:val="24"/>
          <w:lang w:val="en-US"/>
        </w:rPr>
        <w:footnoteReference w:id="143"/>
      </w:r>
      <w:r w:rsidRPr="004F0794">
        <w:rPr>
          <w:rFonts w:ascii="Times New Roman" w:eastAsia="Times New Roman" w:hAnsi="Times New Roman" w:cs="Times New Roman"/>
          <w:sz w:val="24"/>
          <w:szCs w:val="24"/>
          <w:lang w:val="en-US"/>
        </w:rPr>
        <w:t xml:space="preserve"> Indeed, in most litigation, oral testimony carries the day. The courts are flexible and try to uphold marriages rather than nullify them on technicalities as long as the basic ingredients can be inferred.</w:t>
      </w:r>
      <w:r w:rsidRPr="004F0794">
        <w:rPr>
          <w:rStyle w:val="FootnoteReference"/>
          <w:rFonts w:ascii="Times New Roman" w:eastAsia="Times New Roman" w:hAnsi="Times New Roman" w:cs="Times New Roman"/>
          <w:sz w:val="24"/>
          <w:szCs w:val="24"/>
          <w:lang w:val="en-US"/>
        </w:rPr>
        <w:footnoteReference w:id="144"/>
      </w:r>
      <w:r w:rsidRPr="004F0794">
        <w:rPr>
          <w:rFonts w:ascii="Times New Roman" w:eastAsia="Times New Roman" w:hAnsi="Times New Roman" w:cs="Times New Roman"/>
          <w:sz w:val="24"/>
          <w:szCs w:val="24"/>
          <w:lang w:val="en-US"/>
        </w:rPr>
        <w:t>However, there are instances where proof fails. This is common where one party denies the marriage and key witnesses are dead or unavailable. The law attempts to avoid such outcomes through the doctrine of presumption of marriage. The court would presume that a marriage exist when there is a lengthy cohabitation as husband and wife. This shifts the onus to the challenger to prove no marriage took place.</w:t>
      </w:r>
      <w:r w:rsidRPr="004F0794">
        <w:rPr>
          <w:rStyle w:val="FootnoteReference"/>
          <w:rFonts w:ascii="Times New Roman" w:eastAsia="Times New Roman" w:hAnsi="Times New Roman" w:cs="Times New Roman"/>
          <w:sz w:val="24"/>
          <w:szCs w:val="24"/>
          <w:lang w:val="en-US"/>
        </w:rPr>
        <w:footnoteReference w:id="145"/>
      </w:r>
      <w:r w:rsidRPr="004F0794">
        <w:rPr>
          <w:rFonts w:ascii="Times New Roman" w:eastAsia="Times New Roman" w:hAnsi="Times New Roman" w:cs="Times New Roman"/>
          <w:sz w:val="24"/>
          <w:szCs w:val="24"/>
          <w:lang w:val="en-US"/>
        </w:rPr>
        <w:t xml:space="preserve"> Even so, this is a discretionary tool. </w:t>
      </w:r>
    </w:p>
    <w:p w:rsidR="001C75F8" w:rsidRPr="004F0794" w:rsidRDefault="001C75F8" w:rsidP="00860B99">
      <w:pPr>
        <w:spacing w:line="480" w:lineRule="auto"/>
        <w:jc w:val="both"/>
        <w:rPr>
          <w:rFonts w:ascii="Times New Roman" w:eastAsia="Times New Roman" w:hAnsi="Times New Roman" w:cs="Times New Roman"/>
          <w:sz w:val="24"/>
          <w:szCs w:val="24"/>
          <w:lang w:val="en-US"/>
        </w:rPr>
      </w:pPr>
    </w:p>
    <w:p w:rsidR="00860B99" w:rsidRPr="004F0794" w:rsidRDefault="00860B99" w:rsidP="001C75F8">
      <w:pPr>
        <w:pStyle w:val="Heading2"/>
        <w:rPr>
          <w:lang w:val="en-US"/>
        </w:rPr>
      </w:pPr>
      <w:bookmarkStart w:id="95" w:name="_Toc232722536"/>
      <w:r w:rsidRPr="004F0794">
        <w:rPr>
          <w:lang w:val="en-US"/>
        </w:rPr>
        <w:lastRenderedPageBreak/>
        <w:t xml:space="preserve">4.2 </w:t>
      </w:r>
      <w:r w:rsidRPr="004F0794">
        <w:rPr>
          <w:lang w:val="en-US"/>
        </w:rPr>
        <w:tab/>
        <w:t>Dissolution of Customary Law Marriage: Grounds, Procedure, and Effects</w:t>
      </w:r>
      <w:bookmarkEnd w:id="95"/>
    </w:p>
    <w:p w:rsidR="00860B99" w:rsidRPr="004F0794" w:rsidRDefault="00860B99" w:rsidP="001C75F8">
      <w:pPr>
        <w:pStyle w:val="Heading3"/>
        <w:rPr>
          <w:lang w:val="en-US"/>
        </w:rPr>
      </w:pPr>
      <w:bookmarkStart w:id="96" w:name="_Toc232722537"/>
      <w:r w:rsidRPr="004F0794">
        <w:rPr>
          <w:lang w:val="en-US"/>
        </w:rPr>
        <w:t xml:space="preserve">4.2.1 </w:t>
      </w:r>
      <w:r w:rsidRPr="004F0794">
        <w:rPr>
          <w:lang w:val="en-US"/>
        </w:rPr>
        <w:tab/>
        <w:t>Grounds for Dissolution</w:t>
      </w:r>
      <w:bookmarkEnd w:id="96"/>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Under customary law, a marriage is dissolved </w:t>
      </w:r>
      <w:r w:rsidRPr="004F0794">
        <w:rPr>
          <w:rFonts w:ascii="Times New Roman" w:eastAsia="Times New Roman" w:hAnsi="Times New Roman" w:cs="Times New Roman"/>
          <w:bCs/>
          <w:sz w:val="24"/>
          <w:szCs w:val="24"/>
          <w:lang w:val="en-US"/>
        </w:rPr>
        <w:t>with few formal hurdles.</w:t>
      </w:r>
      <w:r w:rsidRPr="004F0794">
        <w:rPr>
          <w:rFonts w:ascii="Times New Roman" w:eastAsia="Times New Roman" w:hAnsi="Times New Roman" w:cs="Times New Roman"/>
          <w:sz w:val="24"/>
          <w:szCs w:val="24"/>
          <w:lang w:val="en-US"/>
        </w:rPr>
        <w:t xml:space="preserve"> The concept of matrimonial fault or specific “grounds” (such as adultery or cruelty) is secondary to the overarching criterion that </w:t>
      </w:r>
      <w:r w:rsidRPr="004F0794">
        <w:rPr>
          <w:rFonts w:ascii="Times New Roman" w:eastAsia="Times New Roman" w:hAnsi="Times New Roman" w:cs="Times New Roman"/>
          <w:bCs/>
          <w:sz w:val="24"/>
          <w:szCs w:val="24"/>
          <w:lang w:val="en-US"/>
        </w:rPr>
        <w:t>one or both parties no longer wish to continue the marriage.</w:t>
      </w:r>
      <w:r w:rsidRPr="004F0794">
        <w:rPr>
          <w:rStyle w:val="FootnoteReference"/>
          <w:rFonts w:ascii="Times New Roman" w:eastAsia="Times New Roman" w:hAnsi="Times New Roman" w:cs="Times New Roman"/>
          <w:bCs/>
          <w:sz w:val="24"/>
          <w:szCs w:val="24"/>
          <w:lang w:val="en-US"/>
        </w:rPr>
        <w:footnoteReference w:id="146"/>
      </w:r>
      <w:r w:rsidRPr="004F0794">
        <w:rPr>
          <w:rFonts w:ascii="Times New Roman" w:eastAsia="Times New Roman" w:hAnsi="Times New Roman" w:cs="Times New Roman"/>
          <w:bCs/>
          <w:sz w:val="24"/>
          <w:szCs w:val="24"/>
          <w:lang w:val="en-US"/>
        </w:rPr>
        <w:t xml:space="preserve"> </w:t>
      </w:r>
      <w:r w:rsidRPr="004F0794">
        <w:rPr>
          <w:rFonts w:ascii="Times New Roman" w:eastAsia="Times New Roman" w:hAnsi="Times New Roman" w:cs="Times New Roman"/>
          <w:sz w:val="24"/>
          <w:szCs w:val="24"/>
          <w:lang w:val="en-US"/>
        </w:rPr>
        <w:t>Customary marriage permits divorce by mutual agreement or on a unilateral decision and this could be done without proof of a matrimonial offense.</w:t>
      </w:r>
      <w:r w:rsidRPr="004F0794">
        <w:rPr>
          <w:rStyle w:val="FootnoteReference"/>
          <w:rFonts w:ascii="Times New Roman" w:eastAsia="Times New Roman" w:hAnsi="Times New Roman" w:cs="Times New Roman"/>
          <w:sz w:val="24"/>
          <w:szCs w:val="24"/>
          <w:lang w:val="en-US"/>
        </w:rPr>
        <w:footnoteReference w:id="147"/>
      </w:r>
      <w:r w:rsidRPr="004F0794">
        <w:rPr>
          <w:rFonts w:ascii="Times New Roman" w:eastAsia="Times New Roman" w:hAnsi="Times New Roman" w:cs="Times New Roman"/>
          <w:sz w:val="24"/>
          <w:szCs w:val="24"/>
          <w:lang w:val="en-US"/>
        </w:rPr>
        <w:t xml:space="preserve"> That said, customary courts and families do take into account reasons for the breakup. Even so, reasons across the cultures in Nigeria include </w:t>
      </w:r>
      <w:r w:rsidRPr="004F0794">
        <w:rPr>
          <w:rFonts w:ascii="Times New Roman" w:eastAsia="Times New Roman" w:hAnsi="Times New Roman" w:cs="Times New Roman"/>
          <w:bCs/>
          <w:sz w:val="24"/>
          <w:szCs w:val="24"/>
          <w:lang w:val="en-US"/>
        </w:rPr>
        <w:t>infidelity</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bCs/>
          <w:sz w:val="24"/>
          <w:szCs w:val="24"/>
          <w:lang w:val="en-US"/>
        </w:rPr>
        <w:t>impotence or barrenness</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bCs/>
          <w:sz w:val="24"/>
          <w:szCs w:val="24"/>
          <w:lang w:val="en-US"/>
        </w:rPr>
        <w:t>cruelty or constant beating</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bCs/>
          <w:sz w:val="24"/>
          <w:szCs w:val="24"/>
          <w:lang w:val="en-US"/>
        </w:rPr>
        <w:t>desertion</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bCs/>
          <w:sz w:val="24"/>
          <w:szCs w:val="24"/>
          <w:lang w:val="en-US"/>
        </w:rPr>
        <w:t>laziness or inability to provide</w:t>
      </w:r>
      <w:r w:rsidRPr="004F0794">
        <w:rPr>
          <w:rFonts w:ascii="Times New Roman" w:eastAsia="Times New Roman" w:hAnsi="Times New Roman" w:cs="Times New Roman"/>
          <w:sz w:val="24"/>
          <w:szCs w:val="24"/>
          <w:lang w:val="en-US"/>
        </w:rPr>
        <w:t xml:space="preserve">, </w:t>
      </w:r>
      <w:r w:rsidRPr="004F0794">
        <w:rPr>
          <w:rFonts w:ascii="Times New Roman" w:eastAsia="Times New Roman" w:hAnsi="Times New Roman" w:cs="Times New Roman"/>
          <w:bCs/>
          <w:sz w:val="24"/>
          <w:szCs w:val="24"/>
          <w:lang w:val="en-US"/>
        </w:rPr>
        <w:t>witchcraft accusations</w:t>
      </w:r>
      <w:r w:rsidRPr="004F0794">
        <w:rPr>
          <w:rFonts w:ascii="Times New Roman" w:eastAsia="Times New Roman" w:hAnsi="Times New Roman" w:cs="Times New Roman"/>
          <w:sz w:val="24"/>
          <w:szCs w:val="24"/>
          <w:lang w:val="en-US"/>
        </w:rPr>
        <w:t xml:space="preserve">, and </w:t>
      </w:r>
      <w:r w:rsidRPr="004F0794">
        <w:rPr>
          <w:rFonts w:ascii="Times New Roman" w:eastAsia="Times New Roman" w:hAnsi="Times New Roman" w:cs="Times New Roman"/>
          <w:bCs/>
          <w:sz w:val="24"/>
          <w:szCs w:val="24"/>
          <w:lang w:val="en-US"/>
        </w:rPr>
        <w:t xml:space="preserve">serious character defects or quarrelsomeness. </w:t>
      </w:r>
      <w:r w:rsidRPr="004F0794">
        <w:rPr>
          <w:rFonts w:ascii="Times New Roman" w:eastAsia="Times New Roman" w:hAnsi="Times New Roman" w:cs="Times New Roman"/>
          <w:sz w:val="24"/>
          <w:szCs w:val="24"/>
          <w:lang w:val="en-US"/>
        </w:rPr>
        <w:t>More so, some customs consider specific taboos. Among the Igbo, if a wife persistently disrespects her husband’s family or fails to bear male children, it could lead to dissolution.</w:t>
      </w:r>
      <w:r w:rsidRPr="004F0794">
        <w:rPr>
          <w:rStyle w:val="FootnoteReference"/>
          <w:rFonts w:ascii="Times New Roman" w:eastAsia="Times New Roman" w:hAnsi="Times New Roman" w:cs="Times New Roman"/>
          <w:sz w:val="24"/>
          <w:szCs w:val="24"/>
          <w:lang w:val="en-US"/>
        </w:rPr>
        <w:footnoteReference w:id="148"/>
      </w:r>
      <w:r w:rsidRPr="004F0794">
        <w:rPr>
          <w:rFonts w:ascii="Times New Roman" w:eastAsia="Times New Roman" w:hAnsi="Times New Roman" w:cs="Times New Roman"/>
          <w:sz w:val="24"/>
          <w:szCs w:val="24"/>
          <w:lang w:val="en-US"/>
        </w:rPr>
        <w:t xml:space="preserve">Among the Yoruba, chronic </w:t>
      </w:r>
      <w:r w:rsidRPr="004F0794">
        <w:rPr>
          <w:rFonts w:ascii="Times New Roman" w:eastAsia="Times New Roman" w:hAnsi="Times New Roman" w:cs="Times New Roman"/>
          <w:bCs/>
          <w:sz w:val="24"/>
          <w:szCs w:val="24"/>
          <w:lang w:val="en-US"/>
        </w:rPr>
        <w:t>neglect or lack of support</w:t>
      </w:r>
      <w:r w:rsidRPr="004F0794">
        <w:rPr>
          <w:rFonts w:ascii="Times New Roman" w:eastAsia="Times New Roman" w:hAnsi="Times New Roman" w:cs="Times New Roman"/>
          <w:sz w:val="24"/>
          <w:szCs w:val="24"/>
          <w:lang w:val="en-US"/>
        </w:rPr>
        <w:t xml:space="preserve"> is a reason, as is the husband’s inability to satisfy conjugal obligations.</w:t>
      </w:r>
      <w:r w:rsidRPr="004F0794">
        <w:rPr>
          <w:rStyle w:val="FootnoteReference"/>
          <w:rFonts w:ascii="Times New Roman" w:eastAsia="Times New Roman" w:hAnsi="Times New Roman" w:cs="Times New Roman"/>
          <w:sz w:val="24"/>
          <w:szCs w:val="24"/>
          <w:lang w:val="en-US"/>
        </w:rPr>
        <w:footnoteReference w:id="149"/>
      </w:r>
      <w:r w:rsidRPr="004F0794">
        <w:rPr>
          <w:rFonts w:ascii="Times New Roman" w:eastAsia="Times New Roman" w:hAnsi="Times New Roman" w:cs="Times New Roman"/>
          <w:sz w:val="24"/>
          <w:szCs w:val="24"/>
          <w:lang w:val="en-US"/>
        </w:rPr>
        <w:t xml:space="preserve"> Northern Muslim communities allow divorce even </w:t>
      </w:r>
      <w:r w:rsidRPr="004F0794">
        <w:rPr>
          <w:rFonts w:ascii="Times New Roman" w:eastAsia="Times New Roman" w:hAnsi="Times New Roman" w:cs="Times New Roman"/>
          <w:bCs/>
          <w:sz w:val="24"/>
          <w:szCs w:val="24"/>
          <w:lang w:val="en-US"/>
        </w:rPr>
        <w:t>“without cause”</w:t>
      </w:r>
      <w:r w:rsidRPr="004F0794">
        <w:rPr>
          <w:rFonts w:ascii="Times New Roman" w:eastAsia="Times New Roman" w:hAnsi="Times New Roman" w:cs="Times New Roman"/>
          <w:sz w:val="24"/>
          <w:szCs w:val="24"/>
          <w:lang w:val="en-US"/>
        </w:rPr>
        <w:t xml:space="preserve"> at the behest of the husband (talaq). However, if a wife seeks a divorce (khul’), Maliki Islamic law applied in Nigeria requires her to either prove a fault (like cruelty, impotence, non-support) or else return her bride price/mahr to the husband in exchange for his consent.</w:t>
      </w:r>
      <w:r w:rsidRPr="004F0794">
        <w:rPr>
          <w:rStyle w:val="FootnoteReference"/>
          <w:rFonts w:ascii="Times New Roman" w:eastAsia="Times New Roman" w:hAnsi="Times New Roman" w:cs="Times New Roman"/>
          <w:sz w:val="24"/>
          <w:szCs w:val="24"/>
          <w:lang w:val="en-US"/>
        </w:rPr>
        <w:footnoteReference w:id="150"/>
      </w:r>
      <w:r w:rsidRPr="004F0794">
        <w:rPr>
          <w:rFonts w:ascii="Times New Roman" w:eastAsia="Times New Roman" w:hAnsi="Times New Roman" w:cs="Times New Roman"/>
          <w:sz w:val="24"/>
          <w:szCs w:val="24"/>
          <w:lang w:val="en-US"/>
        </w:rPr>
        <w:t xml:space="preserve"> Thus, in practice, there are </w:t>
      </w:r>
      <w:r w:rsidRPr="004F0794">
        <w:rPr>
          <w:rFonts w:ascii="Times New Roman" w:eastAsia="Times New Roman" w:hAnsi="Times New Roman" w:cs="Times New Roman"/>
          <w:i/>
          <w:iCs/>
          <w:sz w:val="24"/>
          <w:szCs w:val="24"/>
          <w:lang w:val="en-US"/>
        </w:rPr>
        <w:t>de facto</w:t>
      </w:r>
      <w:r w:rsidRPr="004F0794">
        <w:rPr>
          <w:rFonts w:ascii="Times New Roman" w:eastAsia="Times New Roman" w:hAnsi="Times New Roman" w:cs="Times New Roman"/>
          <w:sz w:val="24"/>
          <w:szCs w:val="24"/>
          <w:lang w:val="en-US"/>
        </w:rPr>
        <w:t xml:space="preserve"> grounds considered. Even so, the threshold for ending a customary marriage remains low</w:t>
      </w:r>
    </w:p>
    <w:p w:rsidR="001C75F8" w:rsidRPr="004F0794" w:rsidRDefault="001C75F8" w:rsidP="00860B99">
      <w:pPr>
        <w:spacing w:line="480" w:lineRule="auto"/>
        <w:jc w:val="both"/>
        <w:rPr>
          <w:rFonts w:ascii="Times New Roman" w:eastAsia="Times New Roman" w:hAnsi="Times New Roman" w:cs="Times New Roman"/>
          <w:sz w:val="24"/>
          <w:szCs w:val="24"/>
          <w:lang w:val="en-US"/>
        </w:rPr>
      </w:pPr>
    </w:p>
    <w:p w:rsidR="001C75F8" w:rsidRPr="004F0794" w:rsidRDefault="001C75F8" w:rsidP="00860B99">
      <w:pPr>
        <w:spacing w:line="480" w:lineRule="auto"/>
        <w:jc w:val="both"/>
        <w:rPr>
          <w:rFonts w:ascii="Times New Roman" w:eastAsia="Times New Roman" w:hAnsi="Times New Roman" w:cs="Times New Roman"/>
          <w:sz w:val="24"/>
          <w:szCs w:val="24"/>
          <w:lang w:val="en-US"/>
        </w:rPr>
      </w:pPr>
    </w:p>
    <w:p w:rsidR="00860B99" w:rsidRPr="004F0794" w:rsidRDefault="00860B99" w:rsidP="001C75F8">
      <w:pPr>
        <w:pStyle w:val="Heading3"/>
        <w:rPr>
          <w:lang w:val="en-US"/>
        </w:rPr>
      </w:pPr>
      <w:bookmarkStart w:id="97" w:name="_Toc232722538"/>
      <w:r w:rsidRPr="004F0794">
        <w:rPr>
          <w:lang w:val="en-US"/>
        </w:rPr>
        <w:lastRenderedPageBreak/>
        <w:t xml:space="preserve">4.2.2 </w:t>
      </w:r>
      <w:r w:rsidRPr="004F0794">
        <w:rPr>
          <w:lang w:val="en-US"/>
        </w:rPr>
        <w:tab/>
        <w:t>Procedure for Dissolution</w:t>
      </w:r>
      <w:bookmarkEnd w:id="97"/>
    </w:p>
    <w:p w:rsidR="00860B99" w:rsidRPr="004F0794" w:rsidRDefault="00860B99" w:rsidP="00860B99">
      <w:pPr>
        <w:spacing w:line="480" w:lineRule="auto"/>
        <w:jc w:val="both"/>
        <w:rPr>
          <w:rFonts w:ascii="Times New Roman" w:eastAsia="Times New Roman" w:hAnsi="Times New Roman" w:cs="Times New Roman"/>
          <w:b/>
          <w:bCs/>
          <w:sz w:val="24"/>
          <w:szCs w:val="24"/>
          <w:lang w:val="en-US"/>
        </w:rPr>
      </w:pPr>
      <w:r w:rsidRPr="004F0794">
        <w:rPr>
          <w:rFonts w:ascii="Times New Roman" w:eastAsia="Times New Roman" w:hAnsi="Times New Roman" w:cs="Times New Roman"/>
          <w:b/>
          <w:bCs/>
          <w:sz w:val="24"/>
          <w:szCs w:val="24"/>
          <w:lang w:val="en-US"/>
        </w:rPr>
        <w:t xml:space="preserve">i. Non-Judicial Procedure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bCs/>
          <w:sz w:val="24"/>
          <w:szCs w:val="24"/>
          <w:lang w:val="en-US"/>
        </w:rPr>
        <w:t xml:space="preserve">The family and community is the first point of dissolution. Mutual consent divorce is common in customary law marriage. Hence the </w:t>
      </w:r>
      <w:r w:rsidRPr="004F0794">
        <w:rPr>
          <w:rFonts w:ascii="Times New Roman" w:eastAsia="Times New Roman" w:hAnsi="Times New Roman" w:cs="Times New Roman"/>
          <w:sz w:val="24"/>
          <w:szCs w:val="24"/>
          <w:lang w:val="en-US"/>
        </w:rPr>
        <w:t>families of both sides meet and agree to dissolve the marriage after attempts at reconciliation fail.</w:t>
      </w:r>
      <w:r w:rsidRPr="004F0794">
        <w:rPr>
          <w:rStyle w:val="FootnoteReference"/>
          <w:rFonts w:ascii="Times New Roman" w:eastAsia="Times New Roman" w:hAnsi="Times New Roman" w:cs="Times New Roman"/>
          <w:sz w:val="24"/>
          <w:szCs w:val="24"/>
          <w:lang w:val="en-US"/>
        </w:rPr>
        <w:footnoteReference w:id="151"/>
      </w:r>
      <w:r w:rsidRPr="004F0794">
        <w:rPr>
          <w:rFonts w:ascii="Times New Roman" w:eastAsia="Times New Roman" w:hAnsi="Times New Roman" w:cs="Times New Roman"/>
          <w:sz w:val="24"/>
          <w:szCs w:val="24"/>
          <w:lang w:val="en-US"/>
        </w:rPr>
        <w:t xml:space="preserve"> In many cultures, this meeting involves the family of the wife </w:t>
      </w:r>
      <w:r w:rsidRPr="004F0794">
        <w:rPr>
          <w:rFonts w:ascii="Times New Roman" w:eastAsia="Times New Roman" w:hAnsi="Times New Roman" w:cs="Times New Roman"/>
          <w:bCs/>
          <w:sz w:val="24"/>
          <w:szCs w:val="24"/>
          <w:lang w:val="en-US"/>
        </w:rPr>
        <w:t>returning the bride price</w:t>
      </w:r>
      <w:r w:rsidRPr="004F0794">
        <w:rPr>
          <w:rFonts w:ascii="Times New Roman" w:eastAsia="Times New Roman" w:hAnsi="Times New Roman" w:cs="Times New Roman"/>
          <w:sz w:val="24"/>
          <w:szCs w:val="24"/>
          <w:lang w:val="en-US"/>
        </w:rPr>
        <w:t xml:space="preserve"> to the husband’s family. This undoes the marriage contract symbolically.</w:t>
      </w:r>
      <w:r w:rsidRPr="004F0794">
        <w:rPr>
          <w:rStyle w:val="FootnoteReference"/>
          <w:rFonts w:ascii="Times New Roman" w:eastAsia="Times New Roman" w:hAnsi="Times New Roman" w:cs="Times New Roman"/>
          <w:sz w:val="24"/>
          <w:szCs w:val="24"/>
          <w:lang w:val="en-US"/>
        </w:rPr>
        <w:footnoteReference w:id="152"/>
      </w:r>
      <w:r w:rsidRPr="004F0794">
        <w:rPr>
          <w:rFonts w:ascii="Times New Roman" w:eastAsia="Times New Roman" w:hAnsi="Times New Roman" w:cs="Times New Roman"/>
          <w:sz w:val="24"/>
          <w:szCs w:val="24"/>
          <w:lang w:val="en-US"/>
        </w:rPr>
        <w:t>In Igbo land, the protocol is that the husband requests the return of his bride price. Then the bride’s family, after verifying that truly the marriage cannot be saved, repays the sum (sometimes even just a token part of it) and records that the marriage is dissolved. They might break a kola nut together to signify the severance of the bond</w:t>
      </w:r>
      <w:r w:rsidRPr="004F0794">
        <w:rPr>
          <w:rStyle w:val="FootnoteReference"/>
          <w:rFonts w:ascii="Times New Roman" w:eastAsia="Times New Roman" w:hAnsi="Times New Roman" w:cs="Times New Roman"/>
          <w:sz w:val="24"/>
          <w:szCs w:val="24"/>
          <w:lang w:val="en-US"/>
        </w:rPr>
        <w:footnoteReference w:id="153"/>
      </w:r>
      <w:r w:rsidRPr="004F0794">
        <w:rPr>
          <w:rFonts w:ascii="Times New Roman" w:eastAsia="Times New Roman" w:hAnsi="Times New Roman" w:cs="Times New Roman"/>
          <w:sz w:val="24"/>
          <w:szCs w:val="24"/>
          <w:lang w:val="en-US"/>
        </w:rPr>
        <w:t>. Among the Yoruba, the process is less formal. The wife may simply leave the husband’s house and return to her parents. The husband or his family then sends a message or letter indicating the marriage has ended. In some cases, they ask for the bride price which is usually nominal to be returned.</w:t>
      </w:r>
      <w:r w:rsidRPr="004F0794">
        <w:rPr>
          <w:rStyle w:val="FootnoteReference"/>
          <w:rFonts w:ascii="Times New Roman" w:eastAsia="Times New Roman" w:hAnsi="Times New Roman" w:cs="Times New Roman"/>
          <w:sz w:val="24"/>
          <w:szCs w:val="24"/>
          <w:lang w:val="en-US"/>
        </w:rPr>
        <w:footnoteReference w:id="154"/>
      </w:r>
      <w:r w:rsidRPr="004F0794">
        <w:rPr>
          <w:rFonts w:ascii="Times New Roman" w:eastAsia="Times New Roman" w:hAnsi="Times New Roman" w:cs="Times New Roman"/>
          <w:sz w:val="24"/>
          <w:szCs w:val="24"/>
          <w:lang w:val="en-US"/>
        </w:rPr>
        <w:t xml:space="preserve"> However, in many Yoruba cases bride price is so small it’s more the gesture that counts. The man might also repudiate the marriage publicly by telling elders “I have divorced her.”</w:t>
      </w:r>
      <w:r w:rsidRPr="004F0794">
        <w:rPr>
          <w:rStyle w:val="FootnoteReference"/>
          <w:rFonts w:ascii="Times New Roman" w:eastAsia="Times New Roman" w:hAnsi="Times New Roman" w:cs="Times New Roman"/>
          <w:sz w:val="24"/>
          <w:szCs w:val="24"/>
          <w:lang w:val="en-US"/>
        </w:rPr>
        <w:footnoteReference w:id="155"/>
      </w:r>
      <w:r w:rsidRPr="004F0794">
        <w:rPr>
          <w:rFonts w:ascii="Times New Roman" w:eastAsia="Times New Roman" w:hAnsi="Times New Roman" w:cs="Times New Roman"/>
          <w:sz w:val="24"/>
          <w:szCs w:val="24"/>
          <w:lang w:val="en-US"/>
        </w:rPr>
        <w:t xml:space="preserve"> In Northern Nigeria, dissolution often happens by the husband pronouncing “talaq” (repudiation) three times.Sometimes, this is done in the presence of witnesses or the wife’s relatives. If done out of court, families will still confer to arrange the return of the </w:t>
      </w:r>
      <w:r w:rsidRPr="004F0794">
        <w:rPr>
          <w:rFonts w:ascii="Times New Roman" w:eastAsia="Times New Roman" w:hAnsi="Times New Roman" w:cs="Times New Roman"/>
          <w:bCs/>
          <w:sz w:val="24"/>
          <w:szCs w:val="24"/>
          <w:lang w:val="en-US"/>
        </w:rPr>
        <w:t>wife’s dowry (kabberi)</w:t>
      </w:r>
      <w:r w:rsidRPr="004F0794">
        <w:rPr>
          <w:rFonts w:ascii="Times New Roman" w:eastAsia="Times New Roman" w:hAnsi="Times New Roman" w:cs="Times New Roman"/>
          <w:sz w:val="24"/>
          <w:szCs w:val="24"/>
          <w:lang w:val="en-US"/>
        </w:rPr>
        <w:t xml:space="preserve"> or the mahr if required, (this is common if the wife initiated the separation).</w:t>
      </w:r>
      <w:r w:rsidRPr="004F0794">
        <w:rPr>
          <w:rStyle w:val="FootnoteReference"/>
          <w:rFonts w:ascii="Times New Roman" w:eastAsia="Times New Roman" w:hAnsi="Times New Roman" w:cs="Times New Roman"/>
          <w:sz w:val="24"/>
          <w:szCs w:val="24"/>
          <w:lang w:val="en-US"/>
        </w:rPr>
        <w:footnoteReference w:id="156"/>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lastRenderedPageBreak/>
        <w:t xml:space="preserve">A unique customary extra-judicial divorce scenario is </w:t>
      </w:r>
      <w:r w:rsidRPr="004F0794">
        <w:rPr>
          <w:rFonts w:ascii="Times New Roman" w:eastAsia="Times New Roman" w:hAnsi="Times New Roman" w:cs="Times New Roman"/>
          <w:bCs/>
          <w:sz w:val="24"/>
          <w:szCs w:val="24"/>
          <w:lang w:val="en-US"/>
        </w:rPr>
        <w:t>unilateral repudiation by conduct</w:t>
      </w:r>
      <w:r w:rsidRPr="004F0794">
        <w:rPr>
          <w:rFonts w:ascii="Times New Roman" w:eastAsia="Times New Roman" w:hAnsi="Times New Roman" w:cs="Times New Roman"/>
          <w:sz w:val="24"/>
          <w:szCs w:val="24"/>
          <w:lang w:val="en-US"/>
        </w:rPr>
        <w:t>. A husband may end the marriage by driving his wife away or returning her to her parents’ home with a declaration that he doesn’t want her anymore. Conversely, a wife may indicate her intent to end the marriage by leaving the husband’s home for good (often fleeing to her father’s house).</w:t>
      </w:r>
      <w:r w:rsidRPr="004F0794">
        <w:rPr>
          <w:rStyle w:val="FootnoteReference"/>
          <w:rFonts w:ascii="Times New Roman" w:eastAsia="Times New Roman" w:hAnsi="Times New Roman" w:cs="Times New Roman"/>
          <w:sz w:val="24"/>
          <w:szCs w:val="24"/>
          <w:lang w:val="en-US"/>
        </w:rPr>
        <w:footnoteReference w:id="157"/>
      </w:r>
      <w:r w:rsidRPr="004F0794">
        <w:rPr>
          <w:rFonts w:ascii="Times New Roman" w:eastAsia="Times New Roman" w:hAnsi="Times New Roman" w:cs="Times New Roman"/>
          <w:sz w:val="24"/>
          <w:szCs w:val="24"/>
          <w:lang w:val="en-US"/>
        </w:rPr>
        <w:t>Customarily, the wife’s family is then obliged to contact the husband’s family to see if reconciliation is possible. If not, they may proffer the refund of the bride price. In extreme cases, the marriage’s status becomes contentious if a wife absconds and the husband’s family refuses to accept a refund. Generally, though, once cohabitation has ended and families have exchanged communications about the breakup, the community considers the marriage ended.</w:t>
      </w:r>
      <w:r w:rsidRPr="004F0794">
        <w:rPr>
          <w:rStyle w:val="FootnoteReference"/>
          <w:rFonts w:ascii="Times New Roman" w:eastAsia="Times New Roman" w:hAnsi="Times New Roman" w:cs="Times New Roman"/>
          <w:sz w:val="24"/>
          <w:szCs w:val="24"/>
          <w:lang w:val="en-US"/>
        </w:rPr>
        <w:footnoteReference w:id="158"/>
      </w:r>
    </w:p>
    <w:p w:rsidR="00860B99" w:rsidRPr="004F0794" w:rsidRDefault="00860B99" w:rsidP="00860B99">
      <w:pPr>
        <w:spacing w:line="480" w:lineRule="auto"/>
        <w:jc w:val="both"/>
        <w:rPr>
          <w:rFonts w:ascii="Times New Roman" w:eastAsia="Times New Roman" w:hAnsi="Times New Roman" w:cs="Times New Roman"/>
          <w:b/>
          <w:sz w:val="24"/>
          <w:szCs w:val="24"/>
          <w:lang w:val="en-US"/>
        </w:rPr>
      </w:pPr>
      <w:r w:rsidRPr="004F0794">
        <w:rPr>
          <w:rFonts w:ascii="Times New Roman" w:eastAsia="Times New Roman" w:hAnsi="Times New Roman" w:cs="Times New Roman"/>
          <w:b/>
          <w:bCs/>
          <w:sz w:val="24"/>
          <w:szCs w:val="24"/>
          <w:lang w:val="en-US"/>
        </w:rPr>
        <w:t>ii. Judicial Procedure</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If the parties cannot agree or there are contested issues (like custody, property, or a reluctant spouse), they may resort to the </w:t>
      </w:r>
      <w:r w:rsidRPr="004F0794">
        <w:rPr>
          <w:rFonts w:ascii="Times New Roman" w:eastAsia="Times New Roman" w:hAnsi="Times New Roman" w:cs="Times New Roman"/>
          <w:bCs/>
          <w:sz w:val="24"/>
          <w:szCs w:val="24"/>
          <w:lang w:val="en-US"/>
        </w:rPr>
        <w:t>customary courts or area courts</w:t>
      </w:r>
      <w:r w:rsidRPr="004F0794">
        <w:rPr>
          <w:rFonts w:ascii="Times New Roman" w:eastAsia="Times New Roman" w:hAnsi="Times New Roman" w:cs="Times New Roman"/>
          <w:sz w:val="24"/>
          <w:szCs w:val="24"/>
          <w:lang w:val="en-US"/>
        </w:rPr>
        <w:t xml:space="preserve"> for a formal divorce decree. In a Customary Court, the process is through a </w:t>
      </w:r>
      <w:r w:rsidRPr="004F0794">
        <w:rPr>
          <w:rFonts w:ascii="Times New Roman" w:eastAsia="Times New Roman" w:hAnsi="Times New Roman" w:cs="Times New Roman"/>
          <w:bCs/>
          <w:sz w:val="24"/>
          <w:szCs w:val="24"/>
          <w:lang w:val="en-US"/>
        </w:rPr>
        <w:t>petition (complaint)</w:t>
      </w:r>
      <w:r w:rsidRPr="004F0794">
        <w:rPr>
          <w:rFonts w:ascii="Times New Roman" w:eastAsia="Times New Roman" w:hAnsi="Times New Roman" w:cs="Times New Roman"/>
          <w:sz w:val="24"/>
          <w:szCs w:val="24"/>
          <w:lang w:val="en-US"/>
        </w:rPr>
        <w:t xml:space="preserve"> outlining brief facts and relief sought.</w:t>
      </w:r>
      <w:r w:rsidRPr="004F0794">
        <w:rPr>
          <w:rStyle w:val="FootnoteReference"/>
          <w:rFonts w:ascii="Times New Roman" w:eastAsia="Times New Roman" w:hAnsi="Times New Roman" w:cs="Times New Roman"/>
          <w:sz w:val="24"/>
          <w:szCs w:val="24"/>
          <w:lang w:val="en-US"/>
        </w:rPr>
        <w:footnoteReference w:id="159"/>
      </w:r>
      <w:r w:rsidRPr="004F0794">
        <w:rPr>
          <w:rFonts w:ascii="Times New Roman" w:eastAsia="Times New Roman" w:hAnsi="Times New Roman" w:cs="Times New Roman"/>
          <w:sz w:val="24"/>
          <w:szCs w:val="24"/>
          <w:lang w:val="en-US"/>
        </w:rPr>
        <w:t xml:space="preserve">The court will hear from both parties, and often from family elders as well (since customary courts are flexible, they might invite the parents or in-laws to testify about efforts at reconciliation). Many customary courts require that </w:t>
      </w:r>
      <w:r w:rsidRPr="004F0794">
        <w:rPr>
          <w:rFonts w:ascii="Times New Roman" w:eastAsia="Times New Roman" w:hAnsi="Times New Roman" w:cs="Times New Roman"/>
          <w:bCs/>
          <w:sz w:val="24"/>
          <w:szCs w:val="24"/>
          <w:lang w:val="en-US"/>
        </w:rPr>
        <w:t>arbitration by family</w:t>
      </w:r>
      <w:r w:rsidRPr="004F0794">
        <w:rPr>
          <w:rFonts w:ascii="Times New Roman" w:eastAsia="Times New Roman" w:hAnsi="Times New Roman" w:cs="Times New Roman"/>
          <w:sz w:val="24"/>
          <w:szCs w:val="24"/>
          <w:lang w:val="en-US"/>
        </w:rPr>
        <w:t xml:space="preserve"> be attempted first. Indeed, a petition may be dismissed if the court feels the family has not been involved sufficiently. Once the court is satisfied that the marriage has broken down beyond repair, it will pronounce a </w:t>
      </w:r>
      <w:r w:rsidRPr="004F0794">
        <w:rPr>
          <w:rFonts w:ascii="Times New Roman" w:eastAsia="Times New Roman" w:hAnsi="Times New Roman" w:cs="Times New Roman"/>
          <w:bCs/>
          <w:sz w:val="24"/>
          <w:szCs w:val="24"/>
          <w:lang w:val="en-US"/>
        </w:rPr>
        <w:t>dissolution order</w:t>
      </w:r>
      <w:r w:rsidRPr="004F0794">
        <w:rPr>
          <w:rFonts w:ascii="Times New Roman" w:eastAsia="Times New Roman" w:hAnsi="Times New Roman" w:cs="Times New Roman"/>
          <w:sz w:val="24"/>
          <w:szCs w:val="24"/>
          <w:lang w:val="en-US"/>
        </w:rPr>
        <w:t>.</w:t>
      </w:r>
      <w:r w:rsidRPr="004F0794">
        <w:rPr>
          <w:rStyle w:val="FootnoteReference"/>
          <w:rFonts w:ascii="Times New Roman" w:eastAsia="Times New Roman" w:hAnsi="Times New Roman" w:cs="Times New Roman"/>
          <w:sz w:val="24"/>
          <w:szCs w:val="24"/>
          <w:lang w:val="en-US"/>
        </w:rPr>
        <w:footnoteReference w:id="160"/>
      </w:r>
      <w:r w:rsidRPr="004F0794">
        <w:rPr>
          <w:rFonts w:ascii="Times New Roman" w:eastAsia="Times New Roman" w:hAnsi="Times New Roman" w:cs="Times New Roman"/>
          <w:sz w:val="24"/>
          <w:szCs w:val="24"/>
          <w:lang w:val="en-US"/>
        </w:rPr>
        <w:t xml:space="preserve"> Customary courts do not issue “decrees nisi/absolute” like the High Court; the divorce is effective immediately or after a short period </w:t>
      </w:r>
      <w:r w:rsidRPr="004F0794">
        <w:rPr>
          <w:rFonts w:ascii="Times New Roman" w:eastAsia="Times New Roman" w:hAnsi="Times New Roman" w:cs="Times New Roman"/>
          <w:sz w:val="24"/>
          <w:szCs w:val="24"/>
          <w:lang w:val="en-US"/>
        </w:rPr>
        <w:lastRenderedPageBreak/>
        <w:t xml:space="preserve">for any appeal. Crucially, the court will address </w:t>
      </w:r>
      <w:r w:rsidRPr="004F0794">
        <w:rPr>
          <w:rFonts w:ascii="Times New Roman" w:eastAsia="Times New Roman" w:hAnsi="Times New Roman" w:cs="Times New Roman"/>
          <w:bCs/>
          <w:sz w:val="24"/>
          <w:szCs w:val="24"/>
          <w:lang w:val="en-US"/>
        </w:rPr>
        <w:t>ancillary matters</w:t>
      </w:r>
      <w:r w:rsidRPr="004F0794">
        <w:rPr>
          <w:rFonts w:ascii="Times New Roman" w:eastAsia="Times New Roman" w:hAnsi="Times New Roman" w:cs="Times New Roman"/>
          <w:sz w:val="24"/>
          <w:szCs w:val="24"/>
          <w:lang w:val="en-US"/>
        </w:rPr>
        <w:t xml:space="preserve"> in its judgment.</w:t>
      </w:r>
      <w:r w:rsidRPr="004F0794">
        <w:rPr>
          <w:rStyle w:val="FootnoteReference"/>
          <w:rFonts w:ascii="Times New Roman" w:eastAsia="Times New Roman" w:hAnsi="Times New Roman" w:cs="Times New Roman"/>
          <w:sz w:val="24"/>
          <w:szCs w:val="24"/>
          <w:lang w:val="en-US"/>
        </w:rPr>
        <w:footnoteReference w:id="161"/>
      </w:r>
      <w:r w:rsidRPr="004F0794">
        <w:rPr>
          <w:rFonts w:ascii="Times New Roman" w:eastAsia="Times New Roman" w:hAnsi="Times New Roman" w:cs="Times New Roman"/>
          <w:sz w:val="24"/>
          <w:szCs w:val="24"/>
          <w:lang w:val="en-US"/>
        </w:rPr>
        <w:t xml:space="preserve"> Typically, it will order the </w:t>
      </w:r>
      <w:r w:rsidRPr="004F0794">
        <w:rPr>
          <w:rFonts w:ascii="Times New Roman" w:eastAsia="Times New Roman" w:hAnsi="Times New Roman" w:cs="Times New Roman"/>
          <w:bCs/>
          <w:sz w:val="24"/>
          <w:szCs w:val="24"/>
          <w:lang w:val="en-US"/>
        </w:rPr>
        <w:t>refund of the bride price</w:t>
      </w:r>
      <w:r w:rsidRPr="004F0794">
        <w:rPr>
          <w:rFonts w:ascii="Times New Roman" w:eastAsia="Times New Roman" w:hAnsi="Times New Roman" w:cs="Times New Roman"/>
          <w:sz w:val="24"/>
          <w:szCs w:val="24"/>
          <w:lang w:val="en-US"/>
        </w:rPr>
        <w:t xml:space="preserve"> (if the husband paid, and especially if he is the innocent party). it will also decide </w:t>
      </w:r>
      <w:r w:rsidRPr="004F0794">
        <w:rPr>
          <w:rFonts w:ascii="Times New Roman" w:eastAsia="Times New Roman" w:hAnsi="Times New Roman" w:cs="Times New Roman"/>
          <w:bCs/>
          <w:sz w:val="24"/>
          <w:szCs w:val="24"/>
          <w:lang w:val="en-US"/>
        </w:rPr>
        <w:t>child custody</w:t>
      </w:r>
      <w:r w:rsidRPr="004F0794">
        <w:rPr>
          <w:rFonts w:ascii="Times New Roman" w:eastAsia="Times New Roman" w:hAnsi="Times New Roman" w:cs="Times New Roman"/>
          <w:sz w:val="24"/>
          <w:szCs w:val="24"/>
          <w:lang w:val="en-US"/>
        </w:rPr>
        <w:t xml:space="preserve">and order the husband to pay some support for the children if they stay with the wife. The </w:t>
      </w:r>
      <w:r w:rsidRPr="004F0794">
        <w:rPr>
          <w:rFonts w:ascii="Times New Roman" w:eastAsia="Times New Roman" w:hAnsi="Times New Roman" w:cs="Times New Roman"/>
          <w:bCs/>
          <w:sz w:val="24"/>
          <w:szCs w:val="24"/>
          <w:lang w:val="en-US"/>
        </w:rPr>
        <w:t>refund of bride price</w:t>
      </w:r>
      <w:r w:rsidRPr="004F0794">
        <w:rPr>
          <w:rFonts w:ascii="Times New Roman" w:eastAsia="Times New Roman" w:hAnsi="Times New Roman" w:cs="Times New Roman"/>
          <w:sz w:val="24"/>
          <w:szCs w:val="24"/>
          <w:lang w:val="en-US"/>
        </w:rPr>
        <w:t xml:space="preserve"> in court dissolutions is almost routine. Even in cases of the husband’s misconduct, many courts feel bound by custom to order at least a token refund to finalize the divorce.</w:t>
      </w:r>
      <w:r w:rsidRPr="004F0794">
        <w:rPr>
          <w:rStyle w:val="FootnoteReference"/>
          <w:rFonts w:ascii="Times New Roman" w:eastAsia="Times New Roman" w:hAnsi="Times New Roman" w:cs="Times New Roman"/>
          <w:sz w:val="24"/>
          <w:szCs w:val="24"/>
          <w:lang w:val="en-US"/>
        </w:rPr>
        <w:footnoteReference w:id="162"/>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In </w:t>
      </w:r>
      <w:r>
        <w:rPr>
          <w:rFonts w:ascii="Times New Roman" w:hAnsi="Times New Roman" w:cs="Times New Roman"/>
          <w:i/>
          <w:sz w:val="24"/>
          <w:szCs w:val="24"/>
        </w:rPr>
        <w:t>Nsirim v Nsirim</w:t>
      </w:r>
      <w:r>
        <w:rPr>
          <w:rFonts w:ascii="Times New Roman" w:hAnsi="Times New Roman" w:cs="Times New Roman"/>
          <w:sz w:val="24"/>
          <w:szCs w:val="24"/>
        </w:rPr>
        <w:t>,</w:t>
      </w:r>
      <w:r w:rsidRPr="004F0794">
        <w:rPr>
          <w:rStyle w:val="FootnoteReference"/>
          <w:rFonts w:ascii="Times New Roman" w:eastAsia="Times New Roman" w:hAnsi="Times New Roman" w:cs="Times New Roman"/>
          <w:sz w:val="24"/>
          <w:szCs w:val="24"/>
          <w:lang w:val="en-US"/>
        </w:rPr>
        <w:footnoteReference w:id="163"/>
      </w:r>
      <w:r w:rsidRPr="004F0794">
        <w:rPr>
          <w:rFonts w:ascii="Times New Roman" w:eastAsia="Times New Roman" w:hAnsi="Times New Roman" w:cs="Times New Roman"/>
          <w:sz w:val="24"/>
          <w:szCs w:val="24"/>
          <w:lang w:val="en-US"/>
        </w:rPr>
        <w:t xml:space="preserve">the court held that </w:t>
      </w:r>
      <w:r w:rsidRPr="004F0794">
        <w:rPr>
          <w:rFonts w:ascii="Times New Roman" w:eastAsia="Times New Roman" w:hAnsi="Times New Roman" w:cs="Times New Roman"/>
          <w:i/>
          <w:iCs/>
          <w:sz w:val="24"/>
          <w:szCs w:val="24"/>
          <w:lang w:val="en-US"/>
        </w:rPr>
        <w:t>“return of dowry is the sine qua non of dissolution”</w:t>
      </w:r>
      <w:r w:rsidRPr="004F0794">
        <w:rPr>
          <w:rFonts w:ascii="Times New Roman" w:eastAsia="Times New Roman" w:hAnsi="Times New Roman" w:cs="Times New Roman"/>
          <w:sz w:val="24"/>
          <w:szCs w:val="24"/>
          <w:lang w:val="en-US"/>
        </w:rPr>
        <w:t xml:space="preserve"> under Igbo custom. Consequently, until the dowry is returned, the marriage is not terminated in the eyes of custom.</w:t>
      </w:r>
      <w:r w:rsidRPr="004F0794">
        <w:rPr>
          <w:rStyle w:val="FootnoteReference"/>
          <w:rFonts w:ascii="Times New Roman" w:eastAsia="Times New Roman" w:hAnsi="Times New Roman" w:cs="Times New Roman"/>
          <w:sz w:val="24"/>
          <w:szCs w:val="24"/>
          <w:lang w:val="en-US"/>
        </w:rPr>
        <w:footnoteReference w:id="164"/>
      </w:r>
      <w:r w:rsidRPr="004F0794">
        <w:rPr>
          <w:rFonts w:ascii="Times New Roman" w:eastAsia="Times New Roman" w:hAnsi="Times New Roman" w:cs="Times New Roman"/>
          <w:sz w:val="24"/>
          <w:szCs w:val="24"/>
          <w:lang w:val="en-US"/>
        </w:rPr>
        <w:t xml:space="preserve">However, as seen in the </w:t>
      </w:r>
      <w:r>
        <w:rPr>
          <w:rFonts w:ascii="Times New Roman" w:eastAsia="Times New Roman" w:hAnsi="Times New Roman" w:cs="Times New Roman"/>
          <w:i/>
          <w:iCs/>
          <w:sz w:val="24"/>
          <w:szCs w:val="24"/>
          <w:lang w:val="en-US"/>
        </w:rPr>
        <w:t>Reuben v. Reuben,</w:t>
      </w:r>
      <w:r w:rsidRPr="004F0794">
        <w:rPr>
          <w:rStyle w:val="FootnoteReference"/>
          <w:rFonts w:ascii="Times New Roman" w:eastAsia="Times New Roman" w:hAnsi="Times New Roman" w:cs="Times New Roman"/>
          <w:i/>
          <w:iCs/>
          <w:sz w:val="24"/>
          <w:szCs w:val="24"/>
          <w:lang w:val="en-US"/>
        </w:rPr>
        <w:footnoteReference w:id="165"/>
      </w:r>
      <w:r w:rsidRPr="004F0794">
        <w:rPr>
          <w:rFonts w:ascii="Times New Roman" w:eastAsia="Times New Roman" w:hAnsi="Times New Roman" w:cs="Times New Roman"/>
          <w:i/>
          <w:iCs/>
          <w:sz w:val="24"/>
          <w:szCs w:val="24"/>
          <w:lang w:val="en-US"/>
        </w:rPr>
        <w:t xml:space="preserve"> </w:t>
      </w:r>
      <w:r w:rsidRPr="004F0794">
        <w:rPr>
          <w:rFonts w:ascii="Times New Roman" w:eastAsia="Times New Roman" w:hAnsi="Times New Roman" w:cs="Times New Roman"/>
          <w:sz w:val="24"/>
          <w:szCs w:val="24"/>
          <w:lang w:val="en-US"/>
        </w:rPr>
        <w:t xml:space="preserve">the judiciary has been willing to depart from automatic refund when it offends equity. In that case, despite Kagoma custom requiring refund, the court </w:t>
      </w:r>
      <w:r w:rsidRPr="004F0794">
        <w:rPr>
          <w:rFonts w:ascii="Times New Roman" w:eastAsia="Times New Roman" w:hAnsi="Times New Roman" w:cs="Times New Roman"/>
          <w:bCs/>
          <w:sz w:val="24"/>
          <w:szCs w:val="24"/>
          <w:lang w:val="en-US"/>
        </w:rPr>
        <w:t>declined to enforce it</w:t>
      </w:r>
      <w:r w:rsidRPr="004F0794">
        <w:rPr>
          <w:rFonts w:ascii="Times New Roman" w:eastAsia="Times New Roman" w:hAnsi="Times New Roman" w:cs="Times New Roman"/>
          <w:sz w:val="24"/>
          <w:szCs w:val="24"/>
          <w:lang w:val="en-US"/>
        </w:rPr>
        <w:t xml:space="preserve"> because the wife had suffered abuse and the custom was deemed repugnant to natural justice.</w:t>
      </w:r>
      <w:r w:rsidRPr="004F0794">
        <w:rPr>
          <w:rStyle w:val="FootnoteReference"/>
          <w:rFonts w:ascii="Times New Roman" w:eastAsia="Times New Roman" w:hAnsi="Times New Roman" w:cs="Times New Roman"/>
          <w:sz w:val="24"/>
          <w:szCs w:val="24"/>
          <w:lang w:val="en-US"/>
        </w:rPr>
        <w:footnoteReference w:id="166"/>
      </w:r>
      <w:r w:rsidRPr="004F0794">
        <w:rPr>
          <w:rFonts w:ascii="Times New Roman" w:eastAsia="Times New Roman" w:hAnsi="Times New Roman" w:cs="Times New Roman"/>
          <w:sz w:val="24"/>
          <w:szCs w:val="24"/>
          <w:lang w:val="en-US"/>
        </w:rPr>
        <w:t xml:space="preserve"> This suggests that in egregious situations, a customary court (especially higher ones) may dissolve the marriage </w:t>
      </w:r>
      <w:r w:rsidRPr="004F0794">
        <w:rPr>
          <w:rFonts w:ascii="Times New Roman" w:eastAsia="Times New Roman" w:hAnsi="Times New Roman" w:cs="Times New Roman"/>
          <w:bCs/>
          <w:sz w:val="24"/>
          <w:szCs w:val="24"/>
          <w:lang w:val="en-US"/>
        </w:rPr>
        <w:t>without the refund of bride price</w:t>
      </w:r>
      <w:r w:rsidRPr="004F0794">
        <w:rPr>
          <w:rFonts w:ascii="Times New Roman" w:eastAsia="Times New Roman" w:hAnsi="Times New Roman" w:cs="Times New Roman"/>
          <w:sz w:val="24"/>
          <w:szCs w:val="24"/>
          <w:lang w:val="en-US"/>
        </w:rPr>
        <w:t>, or even award compensation to the wife, to achieve a just result. Still, such cases are currently the exception.</w:t>
      </w:r>
    </w:p>
    <w:p w:rsidR="00860B99" w:rsidRPr="004F0794" w:rsidRDefault="00860B99" w:rsidP="001C75F8">
      <w:pPr>
        <w:pStyle w:val="Heading3"/>
      </w:pPr>
      <w:bookmarkStart w:id="98" w:name="_Toc232722539"/>
      <w:r w:rsidRPr="004F0794">
        <w:t>4.2.3</w:t>
      </w:r>
      <w:r w:rsidRPr="004F0794">
        <w:tab/>
        <w:t>Legal Effects of Dissolution</w:t>
      </w:r>
      <w:bookmarkEnd w:id="98"/>
      <w:r w:rsidRPr="004F0794">
        <w:t xml:space="preserve">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Once a customary marriage is dissolved (whether by mutual consent or court order) the parties are free to marry other people (save for any waiting period dictated by custom or, for Muslims, the iddah period of three months for the wife).</w:t>
      </w:r>
      <w:r w:rsidRPr="004F0794">
        <w:rPr>
          <w:rStyle w:val="FootnoteReference"/>
          <w:rFonts w:ascii="Times New Roman" w:eastAsia="Times New Roman" w:hAnsi="Times New Roman" w:cs="Times New Roman"/>
          <w:sz w:val="24"/>
          <w:szCs w:val="24"/>
          <w:lang w:val="en-US"/>
        </w:rPr>
        <w:footnoteReference w:id="167"/>
      </w:r>
      <w:r w:rsidRPr="004F0794">
        <w:rPr>
          <w:rFonts w:ascii="Times New Roman" w:eastAsia="Times New Roman" w:hAnsi="Times New Roman" w:cs="Times New Roman"/>
          <w:sz w:val="24"/>
          <w:szCs w:val="24"/>
          <w:lang w:val="en-US"/>
        </w:rPr>
        <w:t xml:space="preserve"> Customary law has no formal </w:t>
      </w:r>
      <w:r w:rsidRPr="004F0794">
        <w:rPr>
          <w:rFonts w:ascii="Times New Roman" w:eastAsia="Times New Roman" w:hAnsi="Times New Roman" w:cs="Times New Roman"/>
          <w:bCs/>
          <w:sz w:val="24"/>
          <w:szCs w:val="24"/>
          <w:lang w:val="en-US"/>
        </w:rPr>
        <w:t>“decree absolute”</w:t>
      </w:r>
      <w:r w:rsidRPr="004F0794">
        <w:rPr>
          <w:rFonts w:ascii="Times New Roman" w:eastAsia="Times New Roman" w:hAnsi="Times New Roman" w:cs="Times New Roman"/>
          <w:sz w:val="24"/>
          <w:szCs w:val="24"/>
          <w:lang w:val="en-US"/>
        </w:rPr>
        <w:t xml:space="preserve"> stage, so finality is immediate. The </w:t>
      </w:r>
      <w:r w:rsidRPr="004F0794">
        <w:rPr>
          <w:rFonts w:ascii="Times New Roman" w:eastAsia="Times New Roman" w:hAnsi="Times New Roman" w:cs="Times New Roman"/>
          <w:bCs/>
          <w:sz w:val="24"/>
          <w:szCs w:val="24"/>
          <w:lang w:val="en-US"/>
        </w:rPr>
        <w:t xml:space="preserve">refund of the bride price </w:t>
      </w:r>
      <w:r w:rsidRPr="004F0794">
        <w:rPr>
          <w:rFonts w:ascii="Times New Roman" w:eastAsia="Times New Roman" w:hAnsi="Times New Roman" w:cs="Times New Roman"/>
          <w:sz w:val="24"/>
          <w:szCs w:val="24"/>
          <w:lang w:val="en-US"/>
        </w:rPr>
        <w:t xml:space="preserve">is the final act that nullifies the union. However, complications arise if one party does not acknowledge the </w:t>
      </w:r>
      <w:r w:rsidRPr="004F0794">
        <w:rPr>
          <w:rFonts w:ascii="Times New Roman" w:eastAsia="Times New Roman" w:hAnsi="Times New Roman" w:cs="Times New Roman"/>
          <w:sz w:val="24"/>
          <w:szCs w:val="24"/>
          <w:lang w:val="en-US"/>
        </w:rPr>
        <w:lastRenderedPageBreak/>
        <w:t>divorce.</w:t>
      </w:r>
      <w:r w:rsidRPr="004F0794">
        <w:rPr>
          <w:rStyle w:val="FootnoteReference"/>
          <w:rFonts w:ascii="Times New Roman" w:eastAsia="Times New Roman" w:hAnsi="Times New Roman" w:cs="Times New Roman"/>
          <w:sz w:val="24"/>
          <w:szCs w:val="24"/>
          <w:lang w:val="en-US"/>
        </w:rPr>
        <w:footnoteReference w:id="168"/>
      </w:r>
      <w:r w:rsidRPr="004F0794">
        <w:rPr>
          <w:rFonts w:ascii="Times New Roman" w:eastAsia="Times New Roman" w:hAnsi="Times New Roman" w:cs="Times New Roman"/>
          <w:sz w:val="24"/>
          <w:szCs w:val="24"/>
          <w:lang w:val="en-US"/>
        </w:rPr>
        <w:t xml:space="preserve"> For example, a husband may refuse to accept the bride price back. In such cases, some customs consider the marriage still intact until the husband accepts the refund. Courts have had to navigate this by sometimes paying the bride price into the court.</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The effect dissolution of marriage on </w:t>
      </w:r>
      <w:r w:rsidRPr="004F0794">
        <w:rPr>
          <w:rFonts w:ascii="Times New Roman" w:eastAsia="Times New Roman" w:hAnsi="Times New Roman" w:cs="Times New Roman"/>
          <w:bCs/>
          <w:sz w:val="24"/>
          <w:szCs w:val="24"/>
          <w:lang w:val="en-US"/>
        </w:rPr>
        <w:t>children</w:t>
      </w:r>
      <w:r w:rsidRPr="004F0794">
        <w:rPr>
          <w:rFonts w:ascii="Times New Roman" w:eastAsia="Times New Roman" w:hAnsi="Times New Roman" w:cs="Times New Roman"/>
          <w:sz w:val="24"/>
          <w:szCs w:val="24"/>
          <w:lang w:val="en-US"/>
        </w:rPr>
        <w:t xml:space="preserve"> is a significant. Under most customs, children “belong” to the father’s lineage. So, after a divorce, the father or his family is entitled to custody of the children, if they are above a certain age (often weaning age for infants, or around 7 years old).</w:t>
      </w:r>
      <w:r w:rsidRPr="004F0794">
        <w:rPr>
          <w:rStyle w:val="FootnoteReference"/>
          <w:rFonts w:ascii="Times New Roman" w:eastAsia="Times New Roman" w:hAnsi="Times New Roman" w:cs="Times New Roman"/>
          <w:sz w:val="24"/>
          <w:szCs w:val="24"/>
          <w:lang w:val="en-US"/>
        </w:rPr>
        <w:footnoteReference w:id="169"/>
      </w:r>
      <w:r w:rsidRPr="004F0794">
        <w:rPr>
          <w:rFonts w:ascii="Times New Roman" w:eastAsia="Times New Roman" w:hAnsi="Times New Roman" w:cs="Times New Roman"/>
          <w:sz w:val="24"/>
          <w:szCs w:val="24"/>
          <w:lang w:val="en-US"/>
        </w:rPr>
        <w:t xml:space="preserve">The idea is that since the man paid dowry, the children (fruits of the marriage) are his familial property. However, in recent times, there has been a shift towards the </w:t>
      </w:r>
      <w:r w:rsidRPr="004F0794">
        <w:rPr>
          <w:rFonts w:ascii="Times New Roman" w:eastAsia="Times New Roman" w:hAnsi="Times New Roman" w:cs="Times New Roman"/>
          <w:bCs/>
          <w:sz w:val="24"/>
          <w:szCs w:val="24"/>
          <w:lang w:val="en-US"/>
        </w:rPr>
        <w:t>best interests of the child</w:t>
      </w:r>
      <w:r w:rsidRPr="004F0794">
        <w:rPr>
          <w:rFonts w:ascii="Times New Roman" w:eastAsia="Times New Roman" w:hAnsi="Times New Roman" w:cs="Times New Roman"/>
          <w:sz w:val="24"/>
          <w:szCs w:val="24"/>
          <w:lang w:val="en-US"/>
        </w:rPr>
        <w:t>.</w:t>
      </w:r>
      <w:r w:rsidRPr="004F0794">
        <w:rPr>
          <w:rStyle w:val="FootnoteReference"/>
          <w:rFonts w:ascii="Times New Roman" w:eastAsia="Times New Roman" w:hAnsi="Times New Roman" w:cs="Times New Roman"/>
          <w:sz w:val="24"/>
          <w:szCs w:val="24"/>
          <w:lang w:val="en-US"/>
        </w:rPr>
        <w:footnoteReference w:id="170"/>
      </w:r>
      <w:r w:rsidRPr="004F0794">
        <w:rPr>
          <w:rFonts w:ascii="Times New Roman" w:eastAsia="Times New Roman" w:hAnsi="Times New Roman" w:cs="Times New Roman"/>
          <w:sz w:val="24"/>
          <w:szCs w:val="24"/>
          <w:lang w:val="en-US"/>
        </w:rPr>
        <w:t xml:space="preserve"> For example, the Ebonyi State Customary Court Law states that in decisions on custody, “the interest and welfare of the children shall be the first and paramount consideration”</w:t>
      </w:r>
      <w:r w:rsidRPr="004F0794">
        <w:rPr>
          <w:rStyle w:val="FootnoteReference"/>
          <w:rFonts w:ascii="Times New Roman" w:eastAsia="Times New Roman" w:hAnsi="Times New Roman" w:cs="Times New Roman"/>
          <w:sz w:val="24"/>
          <w:szCs w:val="24"/>
          <w:lang w:val="en-US"/>
        </w:rPr>
        <w:footnoteReference w:id="171"/>
      </w:r>
      <w:r w:rsidRPr="004F0794">
        <w:rPr>
          <w:rFonts w:ascii="Times New Roman" w:eastAsia="Times New Roman" w:hAnsi="Times New Roman" w:cs="Times New Roman"/>
          <w:sz w:val="24"/>
          <w:szCs w:val="24"/>
          <w:lang w:val="en-US"/>
        </w:rPr>
        <w:t>Other states’ laws and the influence of the Child Rights Act have infiltrated the decisions of customary court.</w:t>
      </w:r>
      <w:r w:rsidRPr="004F0794">
        <w:rPr>
          <w:rStyle w:val="FootnoteReference"/>
          <w:rFonts w:ascii="Times New Roman" w:eastAsia="Times New Roman" w:hAnsi="Times New Roman" w:cs="Times New Roman"/>
          <w:sz w:val="24"/>
          <w:szCs w:val="24"/>
          <w:lang w:val="en-US"/>
        </w:rPr>
        <w:footnoteReference w:id="172"/>
      </w:r>
      <w:r w:rsidRPr="004F0794">
        <w:rPr>
          <w:rFonts w:ascii="Times New Roman" w:eastAsia="Times New Roman" w:hAnsi="Times New Roman" w:cs="Times New Roman"/>
          <w:sz w:val="24"/>
          <w:szCs w:val="24"/>
          <w:lang w:val="en-US"/>
        </w:rPr>
        <w:t xml:space="preserve"> Consequently, it is now possible for a mother to gain custody</w:t>
      </w:r>
      <w:r w:rsidRPr="004F0794">
        <w:rPr>
          <w:rStyle w:val="FootnoteReference"/>
          <w:rFonts w:ascii="Times New Roman" w:eastAsia="Times New Roman" w:hAnsi="Times New Roman" w:cs="Times New Roman"/>
          <w:sz w:val="24"/>
          <w:szCs w:val="24"/>
          <w:lang w:val="en-US"/>
        </w:rPr>
        <w:footnoteReference w:id="173"/>
      </w:r>
      <w:r w:rsidRPr="004F0794">
        <w:rPr>
          <w:rFonts w:ascii="Times New Roman" w:eastAsia="Times New Roman" w:hAnsi="Times New Roman" w:cs="Times New Roman"/>
          <w:sz w:val="24"/>
          <w:szCs w:val="24"/>
          <w:lang w:val="en-US"/>
        </w:rPr>
        <w:t xml:space="preserve">if evidence shows the father is unfit or unable to care for them. Still, the norm remains that fathers retain or at least share custody. Upon dissolution, if children stay with the mother, some customs require that any future marriage by the mother does not carry those children into the lineage of the new husband.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As for the </w:t>
      </w:r>
      <w:r w:rsidRPr="004F0794">
        <w:rPr>
          <w:rFonts w:ascii="Times New Roman" w:eastAsia="Times New Roman" w:hAnsi="Times New Roman" w:cs="Times New Roman"/>
          <w:bCs/>
          <w:sz w:val="24"/>
          <w:szCs w:val="24"/>
          <w:lang w:val="en-US"/>
        </w:rPr>
        <w:t>division ofproperty</w:t>
      </w:r>
      <w:r w:rsidRPr="004F0794">
        <w:rPr>
          <w:rFonts w:ascii="Times New Roman" w:eastAsia="Times New Roman" w:hAnsi="Times New Roman" w:cs="Times New Roman"/>
          <w:sz w:val="24"/>
          <w:szCs w:val="24"/>
          <w:lang w:val="en-US"/>
        </w:rPr>
        <w:t xml:space="preserve">, customary law does not recognise that marital property may be owned by husband and wife jointly. The house as well as major assets are considered the husband’s (or his family’s) property. Traditionally, a divorced woman leaves with only her personal belongings, kitchen utensils, or farming tools she brought, and maybe gifts received during marriage. In recent times, this practice has evolved through “judicial ingenuity.”Courts invoke fairness to grant a divorced wife rights in property she contributed </w:t>
      </w:r>
      <w:r w:rsidRPr="004F0794">
        <w:rPr>
          <w:rFonts w:ascii="Times New Roman" w:eastAsia="Times New Roman" w:hAnsi="Times New Roman" w:cs="Times New Roman"/>
          <w:sz w:val="24"/>
          <w:szCs w:val="24"/>
          <w:lang w:val="en-US"/>
        </w:rPr>
        <w:lastRenderedPageBreak/>
        <w:t xml:space="preserve">to substantially. In, </w:t>
      </w:r>
      <w:r w:rsidRPr="004F0794">
        <w:rPr>
          <w:rFonts w:ascii="Times New Roman" w:eastAsia="Times New Roman" w:hAnsi="Times New Roman" w:cs="Times New Roman"/>
          <w:i/>
          <w:iCs/>
          <w:sz w:val="24"/>
          <w:szCs w:val="24"/>
          <w:lang w:val="en-US"/>
        </w:rPr>
        <w:t>Edet v. Essien,</w:t>
      </w:r>
      <w:r w:rsidRPr="004F0794">
        <w:rPr>
          <w:rStyle w:val="FootnoteReference"/>
          <w:rFonts w:ascii="Times New Roman" w:eastAsia="Times New Roman" w:hAnsi="Times New Roman" w:cs="Times New Roman"/>
          <w:i/>
          <w:iCs/>
          <w:sz w:val="24"/>
          <w:szCs w:val="24"/>
          <w:lang w:val="en-US"/>
        </w:rPr>
        <w:footnoteReference w:id="174"/>
      </w:r>
      <w:r w:rsidRPr="004F0794">
        <w:rPr>
          <w:rFonts w:ascii="Times New Roman" w:eastAsia="Times New Roman" w:hAnsi="Times New Roman" w:cs="Times New Roman"/>
          <w:sz w:val="24"/>
          <w:szCs w:val="24"/>
          <w:lang w:val="en-US"/>
        </w:rPr>
        <w:t xml:space="preserve">held that a wife who helped her husband build up a business was entitled to a share upon separation. This deviates from the strict customary stance.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Another effect of dissolution is on </w:t>
      </w:r>
      <w:r w:rsidRPr="004F0794">
        <w:rPr>
          <w:rFonts w:ascii="Times New Roman" w:eastAsia="Times New Roman" w:hAnsi="Times New Roman" w:cs="Times New Roman"/>
          <w:bCs/>
          <w:sz w:val="24"/>
          <w:szCs w:val="24"/>
          <w:lang w:val="en-US"/>
        </w:rPr>
        <w:t>remarriage</w:t>
      </w:r>
      <w:r w:rsidRPr="004F0794">
        <w:rPr>
          <w:rFonts w:ascii="Times New Roman" w:eastAsia="Times New Roman" w:hAnsi="Times New Roman" w:cs="Times New Roman"/>
          <w:sz w:val="24"/>
          <w:szCs w:val="24"/>
          <w:lang w:val="en-US"/>
        </w:rPr>
        <w:t xml:space="preserve"> and status. After a customary divorce, the woman is free to remarry (unlike some cultures where divorcees faced stigma). In Northern Nigeria, a Muslim divorcee must observe iddah (waiting period, usually three menstrual cycles) before remarriage.</w:t>
      </w:r>
      <w:r w:rsidRPr="004F0794">
        <w:rPr>
          <w:rStyle w:val="FootnoteReference"/>
          <w:rFonts w:ascii="Times New Roman" w:eastAsia="Times New Roman" w:hAnsi="Times New Roman" w:cs="Times New Roman"/>
          <w:sz w:val="24"/>
          <w:szCs w:val="24"/>
          <w:lang w:val="en-US"/>
        </w:rPr>
        <w:footnoteReference w:id="175"/>
      </w:r>
      <w:r w:rsidRPr="004F0794">
        <w:rPr>
          <w:rFonts w:ascii="Times New Roman" w:eastAsia="Times New Roman" w:hAnsi="Times New Roman" w:cs="Times New Roman"/>
          <w:sz w:val="24"/>
          <w:szCs w:val="24"/>
          <w:lang w:val="en-US"/>
        </w:rPr>
        <w:t xml:space="preserve"> This is to ensure that there is no confusion regarding to pregnancy. That waiting period concept does not exist in southern customs. If a customary marriage dissolves and the wife moves to marry under statute with someone else and where the divorce was informal and not documented, the woman would require a declaration from the court.</w:t>
      </w:r>
    </w:p>
    <w:p w:rsidR="00860B99" w:rsidRPr="004F0794" w:rsidRDefault="00860B99" w:rsidP="001C75F8">
      <w:pPr>
        <w:pStyle w:val="Heading3"/>
      </w:pPr>
      <w:bookmarkStart w:id="99" w:name="_Toc232722540"/>
      <w:r w:rsidRPr="004F0794">
        <w:t xml:space="preserve">4.2.4 </w:t>
      </w:r>
      <w:r w:rsidRPr="004F0794">
        <w:tab/>
        <w:t>Challenges in the dissolution of Customary Law Marriage</w:t>
      </w:r>
      <w:bookmarkEnd w:id="99"/>
    </w:p>
    <w:p w:rsidR="00860B99" w:rsidRPr="004F0794" w:rsidRDefault="00860B99" w:rsidP="00860B99">
      <w:pPr>
        <w:spacing w:line="480" w:lineRule="auto"/>
        <w:jc w:val="both"/>
        <w:rPr>
          <w:rFonts w:ascii="Times New Roman" w:eastAsia="Times New Roman" w:hAnsi="Times New Roman" w:cs="Times New Roman"/>
          <w:b/>
          <w:bCs/>
          <w:sz w:val="24"/>
          <w:szCs w:val="24"/>
          <w:lang w:val="en-US"/>
        </w:rPr>
      </w:pPr>
      <w:r w:rsidRPr="004F0794">
        <w:rPr>
          <w:rFonts w:ascii="Times New Roman" w:eastAsia="Times New Roman" w:hAnsi="Times New Roman" w:cs="Times New Roman"/>
          <w:b/>
          <w:bCs/>
          <w:sz w:val="24"/>
          <w:szCs w:val="24"/>
          <w:lang w:val="en-US"/>
        </w:rPr>
        <w:t>i. Inconsistencies and Uncertainties</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Several inconsistencies emerge from these practices. For one, the </w:t>
      </w:r>
      <w:r w:rsidRPr="004F0794">
        <w:rPr>
          <w:rFonts w:ascii="Times New Roman" w:eastAsia="Times New Roman" w:hAnsi="Times New Roman" w:cs="Times New Roman"/>
          <w:bCs/>
          <w:sz w:val="24"/>
          <w:szCs w:val="24"/>
          <w:lang w:val="en-US"/>
        </w:rPr>
        <w:t xml:space="preserve">requirement (or not) of refunding the bride price </w:t>
      </w:r>
      <w:r w:rsidRPr="004F0794">
        <w:rPr>
          <w:rFonts w:ascii="Times New Roman" w:eastAsia="Times New Roman" w:hAnsi="Times New Roman" w:cs="Times New Roman"/>
          <w:sz w:val="24"/>
          <w:szCs w:val="24"/>
          <w:lang w:val="en-US"/>
        </w:rPr>
        <w:t>is not uniform. Igbo insist on it and Yoruba nominalise it.</w:t>
      </w:r>
      <w:r w:rsidRPr="004F0794">
        <w:rPr>
          <w:rStyle w:val="FootnoteReference"/>
          <w:rFonts w:ascii="Times New Roman" w:eastAsia="Times New Roman" w:hAnsi="Times New Roman" w:cs="Times New Roman"/>
          <w:sz w:val="24"/>
          <w:szCs w:val="24"/>
          <w:lang w:val="en-US"/>
        </w:rPr>
        <w:footnoteReference w:id="176"/>
      </w:r>
      <w:r w:rsidRPr="004F0794">
        <w:rPr>
          <w:rFonts w:ascii="Times New Roman" w:eastAsia="Times New Roman" w:hAnsi="Times New Roman" w:cs="Times New Roman"/>
          <w:sz w:val="24"/>
          <w:szCs w:val="24"/>
          <w:lang w:val="en-US"/>
        </w:rPr>
        <w:t xml:space="preserve"> On the other hand, some Islamic law authorities have outright held that once consummation has occurred, the husband has no right to reclaim mahr (since it’s the wife’s property). In fact, in, </w:t>
      </w:r>
      <w:r>
        <w:rPr>
          <w:rFonts w:ascii="Times New Roman" w:eastAsia="Times New Roman" w:hAnsi="Times New Roman" w:cs="Times New Roman"/>
          <w:bCs/>
          <w:i/>
          <w:iCs/>
          <w:sz w:val="24"/>
          <w:szCs w:val="24"/>
          <w:lang w:val="en-US"/>
        </w:rPr>
        <w:t>Reuben v. Reuben</w:t>
      </w:r>
      <w:r w:rsidRPr="004F0794">
        <w:rPr>
          <w:rFonts w:ascii="Times New Roman" w:eastAsia="Times New Roman" w:hAnsi="Times New Roman" w:cs="Times New Roman"/>
          <w:sz w:val="24"/>
          <w:szCs w:val="24"/>
          <w:lang w:val="en-US"/>
        </w:rPr>
        <w:t>,</w:t>
      </w:r>
      <w:r w:rsidRPr="004F0794">
        <w:rPr>
          <w:rStyle w:val="FootnoteReference"/>
          <w:rFonts w:ascii="Times New Roman" w:eastAsia="Times New Roman" w:hAnsi="Times New Roman" w:cs="Times New Roman"/>
          <w:sz w:val="24"/>
          <w:szCs w:val="24"/>
          <w:lang w:val="en-US"/>
        </w:rPr>
        <w:footnoteReference w:id="177"/>
      </w:r>
      <w:r w:rsidRPr="004F0794">
        <w:rPr>
          <w:rFonts w:ascii="Times New Roman" w:eastAsia="Times New Roman" w:hAnsi="Times New Roman" w:cs="Times New Roman"/>
          <w:sz w:val="24"/>
          <w:szCs w:val="24"/>
          <w:lang w:val="en-US"/>
        </w:rPr>
        <w:t xml:space="preserve"> the issue concerned a Kagoma custom (in the Middle Belt) which requires refund. The court found it to be unfair. The approach to custody is also inconsistent. Some customary courts still apply the old rule which favours fathers.</w:t>
      </w:r>
      <w:r w:rsidRPr="004F0794">
        <w:rPr>
          <w:rStyle w:val="FootnoteReference"/>
          <w:rFonts w:ascii="Times New Roman" w:eastAsia="Times New Roman" w:hAnsi="Times New Roman" w:cs="Times New Roman"/>
          <w:sz w:val="24"/>
          <w:szCs w:val="24"/>
          <w:lang w:val="en-US"/>
        </w:rPr>
        <w:footnoteReference w:id="178"/>
      </w:r>
      <w:r w:rsidRPr="004F0794">
        <w:rPr>
          <w:rFonts w:ascii="Times New Roman" w:eastAsia="Times New Roman" w:hAnsi="Times New Roman" w:cs="Times New Roman"/>
          <w:sz w:val="24"/>
          <w:szCs w:val="24"/>
          <w:lang w:val="en-US"/>
        </w:rPr>
        <w:t xml:space="preserve"> On the other hand, others apply the best-interest test. A mother could get a different outcome depending on the </w:t>
      </w:r>
      <w:r w:rsidRPr="004F0794">
        <w:rPr>
          <w:rFonts w:ascii="Times New Roman" w:eastAsia="Times New Roman" w:hAnsi="Times New Roman" w:cs="Times New Roman"/>
          <w:sz w:val="24"/>
          <w:szCs w:val="24"/>
          <w:lang w:val="en-US"/>
        </w:rPr>
        <w:lastRenderedPageBreak/>
        <w:t xml:space="preserve">forum or judge. More so, there are still </w:t>
      </w:r>
      <w:r w:rsidRPr="004F0794">
        <w:rPr>
          <w:rFonts w:ascii="Times New Roman" w:eastAsia="Times New Roman" w:hAnsi="Times New Roman" w:cs="Times New Roman"/>
          <w:bCs/>
          <w:sz w:val="24"/>
          <w:szCs w:val="24"/>
          <w:lang w:val="en-US"/>
        </w:rPr>
        <w:t>legal uncertainties</w:t>
      </w:r>
      <w:r w:rsidRPr="004F0794">
        <w:rPr>
          <w:rFonts w:ascii="Times New Roman" w:eastAsia="Times New Roman" w:hAnsi="Times New Roman" w:cs="Times New Roman"/>
          <w:sz w:val="24"/>
          <w:szCs w:val="24"/>
          <w:lang w:val="en-US"/>
        </w:rPr>
        <w:t xml:space="preserve"> regarding what constitutes final dissolution.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b/>
          <w:bCs/>
          <w:sz w:val="24"/>
          <w:szCs w:val="24"/>
          <w:lang w:val="en-US"/>
        </w:rPr>
        <w:t xml:space="preserve">ii. Gender Inequality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 xml:space="preserve">The structure of customary divorce often assumes that the husband’s family is stronger while the wife’s autonomy is mediated through her father, brothers, or other male relatives. In practice, a woman may be unable to bring an effective end to a marriage on her own because the return of bride price is handled by her family and because community elders may pressure her to remain in the union for reasons of family honour, or preserving inter-family relations. </w:t>
      </w:r>
      <w:r w:rsidRPr="004F0794">
        <w:rPr>
          <w:rFonts w:ascii="Times New Roman" w:hAnsi="Times New Roman" w:cs="Times New Roman"/>
          <w:sz w:val="24"/>
          <w:szCs w:val="24"/>
        </w:rPr>
        <w:t>Byron</w:t>
      </w:r>
      <w:r w:rsidRPr="004F0794">
        <w:rPr>
          <w:rFonts w:ascii="Times New Roman" w:eastAsia="Times New Roman" w:hAnsi="Times New Roman" w:cs="Times New Roman"/>
          <w:sz w:val="24"/>
          <w:szCs w:val="24"/>
          <w:lang w:val="en-US"/>
        </w:rPr>
        <w:t>notes that Nigerian customary law still leaves women poorly protected on divorce, especially regarding property, maintenance, and equal bargaining power.This challenge becomes more serious where the wife is leaving because neglect or abuse. The use of refund as a compulsory precondition for freedom from marriage works severe injustice against women.</w:t>
      </w:r>
      <w:r w:rsidRPr="004F0794">
        <w:rPr>
          <w:rStyle w:val="FootnoteReference"/>
          <w:rFonts w:ascii="Times New Roman" w:eastAsia="Times New Roman" w:hAnsi="Times New Roman" w:cs="Times New Roman"/>
          <w:sz w:val="24"/>
          <w:szCs w:val="24"/>
          <w:lang w:val="en-US"/>
        </w:rPr>
        <w:footnoteReference w:id="179"/>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b/>
          <w:bCs/>
          <w:sz w:val="24"/>
          <w:szCs w:val="24"/>
          <w:lang w:val="en-US"/>
        </w:rPr>
        <w:t>iii. Tension Between Patrilineal Custom and Child Welfare</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Under Traditional customary law in many Nigerian communities, children of the marriage belongto the father’s lineage where bride price has been paid. That approach often places the mother at a disadvantage after separation. However, the law favours the welfare and best interests of the child.</w:t>
      </w:r>
      <w:r w:rsidRPr="004F0794">
        <w:rPr>
          <w:rStyle w:val="FootnoteReference"/>
          <w:rFonts w:ascii="Times New Roman" w:eastAsia="Times New Roman" w:hAnsi="Times New Roman" w:cs="Times New Roman"/>
          <w:sz w:val="24"/>
          <w:szCs w:val="24"/>
          <w:lang w:val="en-US"/>
        </w:rPr>
        <w:footnoteReference w:id="180"/>
      </w:r>
      <w:r w:rsidRPr="004F0794">
        <w:rPr>
          <w:rFonts w:ascii="Times New Roman" w:eastAsia="Times New Roman" w:hAnsi="Times New Roman" w:cs="Times New Roman"/>
          <w:sz w:val="24"/>
          <w:szCs w:val="24"/>
          <w:lang w:val="en-US"/>
        </w:rPr>
        <w:t xml:space="preserve"> This results to a tension between patrilineal assumptions and child-rights standards. Research indicate that many women still face serious obstacles because it is assumed that the father has the superior custodial claim even where the children are very </w:t>
      </w:r>
      <w:r w:rsidRPr="004F0794">
        <w:rPr>
          <w:rFonts w:ascii="Times New Roman" w:eastAsia="Times New Roman" w:hAnsi="Times New Roman" w:cs="Times New Roman"/>
          <w:sz w:val="24"/>
          <w:szCs w:val="24"/>
          <w:lang w:val="en-US"/>
        </w:rPr>
        <w:lastRenderedPageBreak/>
        <w:t>young or where the mother is better placed to care for them. Byron and Ajagunna</w:t>
      </w:r>
      <w:r w:rsidRPr="004F0794">
        <w:rPr>
          <w:rStyle w:val="FootnoteReference"/>
          <w:rFonts w:ascii="Times New Roman" w:eastAsia="Times New Roman" w:hAnsi="Times New Roman" w:cs="Times New Roman"/>
          <w:sz w:val="24"/>
          <w:szCs w:val="24"/>
          <w:lang w:val="en-US"/>
        </w:rPr>
        <w:footnoteReference w:id="181"/>
      </w:r>
      <w:r w:rsidRPr="004F0794">
        <w:rPr>
          <w:rFonts w:ascii="Times New Roman" w:eastAsia="Times New Roman" w:hAnsi="Times New Roman" w:cs="Times New Roman"/>
          <w:sz w:val="24"/>
          <w:szCs w:val="24"/>
          <w:lang w:val="en-US"/>
        </w:rPr>
        <w:t xml:space="preserve"> observe that courts speak in the language of the best interests of the child increasingly. However, patrilineal thinking remains influential at community and court levels. The older position is illustrated in </w:t>
      </w:r>
      <w:r>
        <w:rPr>
          <w:rFonts w:ascii="Times New Roman" w:eastAsia="Times New Roman" w:hAnsi="Times New Roman" w:cs="Times New Roman"/>
          <w:bCs/>
          <w:i/>
          <w:sz w:val="24"/>
          <w:szCs w:val="24"/>
          <w:lang w:val="en-US"/>
        </w:rPr>
        <w:t>Mesike v Mesike</w:t>
      </w:r>
      <w:r w:rsidRPr="004F0794">
        <w:rPr>
          <w:rFonts w:ascii="Times New Roman" w:eastAsia="Times New Roman" w:hAnsi="Times New Roman" w:cs="Times New Roman"/>
          <w:sz w:val="24"/>
          <w:szCs w:val="24"/>
          <w:lang w:val="en-US"/>
        </w:rPr>
        <w:t>.</w:t>
      </w:r>
      <w:r w:rsidRPr="004F0794">
        <w:rPr>
          <w:rStyle w:val="FootnoteReference"/>
          <w:rFonts w:ascii="Times New Roman" w:eastAsia="Times New Roman" w:hAnsi="Times New Roman" w:cs="Times New Roman"/>
          <w:sz w:val="24"/>
          <w:szCs w:val="24"/>
          <w:lang w:val="en-US"/>
        </w:rPr>
        <w:footnoteReference w:id="182"/>
      </w:r>
      <w:r w:rsidRPr="004F0794">
        <w:rPr>
          <w:rFonts w:ascii="Times New Roman" w:eastAsia="Times New Roman" w:hAnsi="Times New Roman" w:cs="Times New Roman"/>
          <w:sz w:val="24"/>
          <w:szCs w:val="24"/>
          <w:lang w:val="en-US"/>
        </w:rPr>
        <w:t xml:space="preserve"> After dissolving the marriage, the court gave the older children to the father and allowed the mother temporary custody of a very young child until the child attained a specified age. Afterwards, the child was to be returned to the father.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b/>
          <w:bCs/>
          <w:sz w:val="24"/>
          <w:szCs w:val="24"/>
          <w:lang w:val="en-US"/>
        </w:rPr>
        <w:t xml:space="preserve">iv. </w:t>
      </w:r>
      <w:r w:rsidRPr="004F0794">
        <w:rPr>
          <w:rFonts w:ascii="Times New Roman" w:eastAsia="Times New Roman" w:hAnsi="Times New Roman" w:cs="Times New Roman"/>
          <w:b/>
          <w:bCs/>
          <w:color w:val="000000" w:themeColor="text1"/>
          <w:sz w:val="24"/>
          <w:szCs w:val="24"/>
          <w:lang w:val="en-US"/>
        </w:rPr>
        <w:t>Weak Protection for the Property and Maintenance Rights of women.</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Customary marriage in Nigeria does not provide an enforceable scheme for maintenance, division of matrimonial assets, or compensation for non-financial domestic contribution.</w:t>
      </w:r>
      <w:r w:rsidRPr="004F0794">
        <w:rPr>
          <w:rStyle w:val="FootnoteReference"/>
          <w:rFonts w:ascii="Times New Roman" w:eastAsia="Times New Roman" w:hAnsi="Times New Roman" w:cs="Times New Roman"/>
          <w:sz w:val="24"/>
          <w:szCs w:val="24"/>
          <w:lang w:val="en-US"/>
        </w:rPr>
        <w:footnoteReference w:id="183"/>
      </w:r>
      <w:r w:rsidRPr="004F0794">
        <w:rPr>
          <w:rFonts w:ascii="Times New Roman" w:eastAsia="Times New Roman" w:hAnsi="Times New Roman" w:cs="Times New Roman"/>
          <w:sz w:val="24"/>
          <w:szCs w:val="24"/>
          <w:lang w:val="en-US"/>
        </w:rPr>
        <w:t xml:space="preserve"> As a result, a wife who has invested labour, money, and time in the marriage may leave the union with little or no proprietary protection. Byron indicates that women under customary law are disadvantaged upon dissolution because their contributions to family property are often not recognised.</w:t>
      </w:r>
      <w:r w:rsidRPr="004F0794">
        <w:rPr>
          <w:rStyle w:val="FootnoteReference"/>
          <w:rFonts w:ascii="Times New Roman" w:eastAsia="Times New Roman" w:hAnsi="Times New Roman" w:cs="Times New Roman"/>
          <w:sz w:val="24"/>
          <w:szCs w:val="24"/>
          <w:lang w:val="en-US"/>
        </w:rPr>
        <w:footnoteReference w:id="184"/>
      </w:r>
      <w:r w:rsidRPr="004F0794">
        <w:rPr>
          <w:rFonts w:ascii="Times New Roman" w:eastAsia="Times New Roman" w:hAnsi="Times New Roman" w:cs="Times New Roman"/>
          <w:sz w:val="24"/>
          <w:szCs w:val="24"/>
          <w:lang w:val="en-US"/>
        </w:rPr>
        <w:t xml:space="preserve"> More so, it is assumed that property in customary marriages belongs to the husband or his lineage, even where the wife contributed. </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b/>
          <w:bCs/>
          <w:sz w:val="24"/>
          <w:szCs w:val="24"/>
          <w:lang w:val="en-US"/>
        </w:rPr>
        <w:t>v. Informality and Poor Documentation</w:t>
      </w:r>
    </w:p>
    <w:p w:rsidR="00860B99" w:rsidRPr="004F0794" w:rsidRDefault="00860B99" w:rsidP="00860B99">
      <w:pPr>
        <w:spacing w:line="480" w:lineRule="auto"/>
        <w:jc w:val="both"/>
        <w:rPr>
          <w:rFonts w:ascii="Times New Roman" w:eastAsia="Times New Roman" w:hAnsi="Times New Roman" w:cs="Times New Roman"/>
          <w:sz w:val="24"/>
          <w:szCs w:val="24"/>
          <w:lang w:val="en-US"/>
        </w:rPr>
      </w:pPr>
      <w:r w:rsidRPr="004F0794">
        <w:rPr>
          <w:rFonts w:ascii="Times New Roman" w:eastAsia="Times New Roman" w:hAnsi="Times New Roman" w:cs="Times New Roman"/>
          <w:sz w:val="24"/>
          <w:szCs w:val="24"/>
          <w:lang w:val="en-US"/>
        </w:rPr>
        <w:t>Many divorces occur through family meetings or oral declarations that are never reduced into writing.</w:t>
      </w:r>
      <w:r w:rsidRPr="004F0794">
        <w:rPr>
          <w:rStyle w:val="FootnoteReference"/>
          <w:rFonts w:ascii="Times New Roman" w:eastAsia="Times New Roman" w:hAnsi="Times New Roman" w:cs="Times New Roman"/>
          <w:sz w:val="24"/>
          <w:szCs w:val="24"/>
          <w:lang w:val="en-US"/>
        </w:rPr>
        <w:footnoteReference w:id="185"/>
      </w:r>
      <w:r w:rsidRPr="004F0794">
        <w:rPr>
          <w:rFonts w:ascii="Times New Roman" w:eastAsia="Times New Roman" w:hAnsi="Times New Roman" w:cs="Times New Roman"/>
          <w:sz w:val="24"/>
          <w:szCs w:val="24"/>
          <w:lang w:val="en-US"/>
        </w:rPr>
        <w:t xml:space="preserve">This makes the process accessible and familiar. However, it creates evidential problems later. Regularly, questions arise as to whether the marriage was ever dissolved, whether the bride price was refunded or whether the refund was complete. There might also uncertainties whether the parties intended final dissolution. Hence, years after separation, </w:t>
      </w:r>
      <w:r w:rsidRPr="004F0794">
        <w:rPr>
          <w:rFonts w:ascii="Times New Roman" w:eastAsia="Times New Roman" w:hAnsi="Times New Roman" w:cs="Times New Roman"/>
          <w:sz w:val="24"/>
          <w:szCs w:val="24"/>
          <w:lang w:val="en-US"/>
        </w:rPr>
        <w:lastRenderedPageBreak/>
        <w:t>disputes may arise over inheritance, remarriage, custody, or legitimacy of a later union. Customary courts provide a judicial forum for resolving such disputes. However, their practices are not always uniform.</w:t>
      </w:r>
      <w:r w:rsidRPr="004F0794">
        <w:rPr>
          <w:rStyle w:val="FootnoteReference"/>
          <w:rFonts w:ascii="Times New Roman" w:eastAsia="Times New Roman" w:hAnsi="Times New Roman" w:cs="Times New Roman"/>
          <w:sz w:val="24"/>
          <w:szCs w:val="24"/>
          <w:lang w:val="en-US"/>
        </w:rPr>
        <w:footnoteReference w:id="186"/>
      </w:r>
      <w:r w:rsidRPr="004F0794">
        <w:rPr>
          <w:rFonts w:ascii="Times New Roman" w:eastAsia="Times New Roman" w:hAnsi="Times New Roman" w:cs="Times New Roman"/>
          <w:sz w:val="24"/>
          <w:szCs w:val="24"/>
          <w:lang w:val="en-US"/>
        </w:rPr>
        <w:t xml:space="preserve"> There is also no registration system for customary marriages and divorces. As a result, there is no room for documentation.</w:t>
      </w:r>
    </w:p>
    <w:p w:rsidR="00860B99" w:rsidRPr="004F0794" w:rsidRDefault="00860B99">
      <w:pPr>
        <w:rPr>
          <w:rFonts w:ascii="Times New Roman" w:hAnsi="Times New Roman" w:cs="Times New Roman"/>
          <w:sz w:val="24"/>
          <w:szCs w:val="24"/>
        </w:rPr>
      </w:pPr>
    </w:p>
    <w:p w:rsidR="00860B99" w:rsidRPr="004F0794" w:rsidRDefault="00860B99">
      <w:pPr>
        <w:rPr>
          <w:rFonts w:ascii="Times New Roman" w:hAnsi="Times New Roman" w:cs="Times New Roman"/>
          <w:sz w:val="24"/>
          <w:szCs w:val="24"/>
        </w:rPr>
      </w:pPr>
    </w:p>
    <w:p w:rsidR="00860B99" w:rsidRPr="004F0794" w:rsidRDefault="00860B99">
      <w:pPr>
        <w:rPr>
          <w:rFonts w:ascii="Times New Roman" w:hAnsi="Times New Roman" w:cs="Times New Roman"/>
          <w:sz w:val="24"/>
          <w:szCs w:val="24"/>
        </w:rPr>
      </w:pPr>
      <w:r w:rsidRPr="004F0794">
        <w:rPr>
          <w:rFonts w:ascii="Times New Roman" w:hAnsi="Times New Roman" w:cs="Times New Roman"/>
          <w:sz w:val="24"/>
          <w:szCs w:val="24"/>
        </w:rPr>
        <w:br w:type="page"/>
      </w:r>
    </w:p>
    <w:p w:rsidR="00860B99" w:rsidRPr="004F0794" w:rsidRDefault="00860B99" w:rsidP="001C75F8">
      <w:pPr>
        <w:pStyle w:val="Heading1"/>
      </w:pPr>
      <w:bookmarkStart w:id="100" w:name="_Toc232722541"/>
      <w:r w:rsidRPr="004F0794">
        <w:lastRenderedPageBreak/>
        <w:t>CHAPTER FIVE</w:t>
      </w:r>
      <w:bookmarkEnd w:id="100"/>
    </w:p>
    <w:p w:rsidR="00860B99" w:rsidRPr="004F0794" w:rsidRDefault="00860B99" w:rsidP="001C75F8">
      <w:pPr>
        <w:pStyle w:val="Heading1"/>
      </w:pPr>
      <w:bookmarkStart w:id="101" w:name="_Toc232722542"/>
      <w:r w:rsidRPr="004F0794">
        <w:t>SUMMARY OF FINDINGS, RECOMMENDATIONS AND CONCLUSION</w:t>
      </w:r>
      <w:bookmarkEnd w:id="101"/>
    </w:p>
    <w:p w:rsidR="00860B99" w:rsidRPr="004F0794" w:rsidRDefault="00860B99" w:rsidP="001C75F8">
      <w:pPr>
        <w:pStyle w:val="Heading2"/>
      </w:pPr>
      <w:bookmarkStart w:id="102" w:name="_Toc232722543"/>
      <w:r w:rsidRPr="004F0794">
        <w:t xml:space="preserve">5.1 </w:t>
      </w:r>
      <w:r w:rsidRPr="004F0794">
        <w:tab/>
        <w:t>Summary of Findings</w:t>
      </w:r>
      <w:bookmarkEnd w:id="102"/>
      <w:r w:rsidRPr="004F0794">
        <w:t xml:space="preserve"> </w:t>
      </w:r>
    </w:p>
    <w:p w:rsidR="00860B99" w:rsidRPr="004F0794" w:rsidRDefault="00860B99" w:rsidP="00860B99">
      <w:pPr>
        <w:spacing w:line="480" w:lineRule="auto"/>
        <w:jc w:val="both"/>
        <w:rPr>
          <w:rFonts w:ascii="Times New Roman" w:hAnsi="Times New Roman" w:cs="Times New Roman"/>
          <w:sz w:val="24"/>
          <w:szCs w:val="24"/>
        </w:rPr>
      </w:pPr>
      <w:r w:rsidRPr="004F0794">
        <w:rPr>
          <w:rFonts w:ascii="Times New Roman" w:hAnsi="Times New Roman" w:cs="Times New Roman"/>
          <w:sz w:val="24"/>
          <w:szCs w:val="24"/>
        </w:rPr>
        <w:t xml:space="preserve">This project has </w:t>
      </w:r>
      <w:r w:rsidRPr="004F0794">
        <w:rPr>
          <w:rFonts w:ascii="Times New Roman" w:hAnsi="Times New Roman" w:cs="Times New Roman"/>
          <w:color w:val="000000" w:themeColor="text1"/>
          <w:sz w:val="24"/>
          <w:szCs w:val="24"/>
        </w:rPr>
        <w:t xml:space="preserve">critically appraised the formation and dissolution of customary law marriage in Nigeria. </w:t>
      </w:r>
      <w:r w:rsidRPr="004F0794">
        <w:rPr>
          <w:rFonts w:ascii="Times New Roman" w:hAnsi="Times New Roman" w:cs="Times New Roman"/>
          <w:sz w:val="24"/>
          <w:szCs w:val="24"/>
        </w:rPr>
        <w:t xml:space="preserve">Firstly, it critically appraised the core legislative and institutional framework for customary law marriage in Nigeria. For the legislative framework, it was found that the 1999 Constitution recognises three forms of marriage. They include statutory, Islamic, and customary marriages. Item 61 of the Exclusive Legislative List vests on the National Assembly the power to legislate over “marriage other than marriages under Islamic or customary law.” Crucially, all laws are subject to the supremacy of the Constitution and fundamental rights guarantees. Any custom that violates constitutional provisions may be declared void for inconsistency (to the extent of the inconsistency). The Marriage Act governs statutory marriages (monogamous “Marriage under the Act”) and it excludes polygamous unions. Section 33(1) of the Act provides that no marriage under the Act shall be valid if either party is already married under customary law to another person. Going further, the Matrimonial Causes Act is a federal statute and it provides for divorce and ancillary relief (maintenance, etc.) for marriages under the Act. By its terms, the MCA applies to statutory (monogamous) marriages. It excludes Customary-law marriages. There is no equivalent statutory framework for dissolving customary marriages. The Evidence Act 2011 provides guidance on proving and validating customary law in formal courts. Section 18(3) of the Act codifies the repugnancy and incompatibility tests. It directs that a custom will be upheld only if it is not “repugnant to natural justice, equity and good conscience” and that it is not incompatible with any existing law. For the institutional framework, family elders and community authorities play a pivotal role in the formation and dissolution of marriage. Thus, </w:t>
      </w:r>
      <w:r w:rsidRPr="004F0794">
        <w:rPr>
          <w:rFonts w:ascii="Times New Roman" w:hAnsi="Times New Roman" w:cs="Times New Roman"/>
          <w:sz w:val="24"/>
          <w:szCs w:val="24"/>
        </w:rPr>
        <w:lastRenderedPageBreak/>
        <w:t xml:space="preserve">family heads and kindred councils are the first “institutions” which govern the marriage. Traditional rulers and community chiefs also wield influence. This is a non-judicial fora and it lacks formal legal power. However, their decisions carry social legitimacy. Non-judicial institutions are indispensable to uphold customary marriages but they are informal and they perpetuate gender hierarchy. Customary Courts (in the South) and Area Courts (in the North) are the primary judicial fora for disputes involving customary law marriages. They have jurisdiction for customary law matters. This includes the validity of marriage, divorce, refund of bride price, custody of children of customary unions, and intestate succession under custom. However, the capacity and quality of these courts vary widely. Many customary court judges are laypersons. Hence, they may not understand evidence and substantive law evenly. Some states have established a State Customary Court of Appeal (CCA) and they are empowered by the Constitution (Section 280) to hear appeals solely on questions of customary law. The CCA is an appellate court for questions of customary-law. Hence, it becomes the institution that clarifies the content of the custom. In addition, it standardises the approach within the state. More-so, it polices whether a lower court misunderstood the customary rule or applied the wrong custom. Constitutionally, the Sharia Court of Appeal is a specialised appellate court and it is limited to questions of Islamic personal law on marriage, divorce, custody/guardianship, and inheritance. In Core northern states, there are Sharia Courts of Appeal (for Islamic personal law) and these courts handle appeals in Muslim matrimonial cases instead of the CCA. The Court of Appeal is a key institution and it harmonises customary marriage doctrine across the plural systems in Nigeria. Matters of customary marriage reach the Court of Appeal through at least three routes. They include appeal from High Court decisions involving customary marriage questions; appeal from Customary Court of Appeal decisions (restricted to “customary law questions”); appeal from </w:t>
      </w:r>
      <w:r w:rsidRPr="004F0794">
        <w:rPr>
          <w:rFonts w:ascii="Times New Roman" w:hAnsi="Times New Roman" w:cs="Times New Roman"/>
          <w:sz w:val="24"/>
          <w:szCs w:val="24"/>
        </w:rPr>
        <w:lastRenderedPageBreak/>
        <w:t xml:space="preserve">Sharia Court of Appeal decisions (restricted to Islamic personal law questions). Lastly, the Supreme Court is the final appellate court. </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Secondly, this project critically evaluated the requirement and procedures for the formation of customary law marriage in Nigeria. It was found that indeed, Nigeria has many cultures but the courts have distilled the essentials of a valid customary law marriage. These include mutual consent, parental approval, bride price payment, and a marriage ceremony (handing over of the bride). Under the customary marriage, the man and woman must consent to the union. Any marriage procured by force or fraud are invalidated under most customs (and would fail the repugnancy test in court). In addition, the consent of the bride’s family (her father or head of kindred) is also required. As the Court of Appeal observed in </w:t>
      </w:r>
      <w:r>
        <w:rPr>
          <w:rFonts w:ascii="Times New Roman" w:hAnsi="Times New Roman" w:cs="Times New Roman"/>
          <w:i/>
          <w:sz w:val="24"/>
          <w:szCs w:val="24"/>
          <w:lang w:val="en-US"/>
        </w:rPr>
        <w:t>Osamwonyi v. Osamwonyi</w:t>
      </w:r>
      <w:r w:rsidRPr="004F0794">
        <w:rPr>
          <w:rFonts w:ascii="Times New Roman" w:hAnsi="Times New Roman" w:cs="Times New Roman"/>
          <w:sz w:val="24"/>
          <w:szCs w:val="24"/>
          <w:lang w:val="en-US"/>
        </w:rPr>
        <w:t>,</w:t>
      </w:r>
      <w:r w:rsidRPr="004F0794">
        <w:rPr>
          <w:rStyle w:val="FootnoteReference"/>
          <w:rFonts w:ascii="Times New Roman" w:hAnsi="Times New Roman" w:cs="Times New Roman"/>
          <w:sz w:val="24"/>
          <w:szCs w:val="24"/>
          <w:lang w:val="en-US"/>
        </w:rPr>
        <w:footnoteReference w:id="187"/>
      </w:r>
      <w:r w:rsidRPr="004F0794">
        <w:rPr>
          <w:rFonts w:ascii="Times New Roman" w:hAnsi="Times New Roman" w:cs="Times New Roman"/>
          <w:sz w:val="24"/>
          <w:szCs w:val="24"/>
          <w:lang w:val="en-US"/>
        </w:rPr>
        <w:t xml:space="preserve"> parental consent in a polygamous customary union is “not only basic but fundamental.” Next, the bride price (dowry) must be paid by the groom or his family to the bride’s family. It is a token of appreciation and a validating element. Some customs allow part payment with agreement to settle the rest later. However, the marriage becomes voidable if it is not paid complete. Even so, those are considered incidental. The core requirement is the transfer of some recognized value as bride price. Finally, a ceremonial handover of the bride must occur. This signifies that her family relinquishes her into the care of the groom’s family. This often happens at a public gathering. Courts require evidence of such a ceremony. In </w:t>
      </w:r>
      <w:r w:rsidRPr="004F0794">
        <w:rPr>
          <w:rFonts w:ascii="Times New Roman" w:hAnsi="Times New Roman" w:cs="Times New Roman"/>
          <w:i/>
          <w:sz w:val="24"/>
          <w:szCs w:val="24"/>
          <w:lang w:val="en-US"/>
        </w:rPr>
        <w:t>Obi v. Bosah</w:t>
      </w:r>
      <w:r w:rsidRPr="004F0794">
        <w:rPr>
          <w:rFonts w:ascii="Times New Roman" w:hAnsi="Times New Roman" w:cs="Times New Roman"/>
          <w:sz w:val="24"/>
          <w:szCs w:val="24"/>
          <w:lang w:val="en-US"/>
        </w:rPr>
        <w:t>,</w:t>
      </w:r>
      <w:r w:rsidRPr="004F0794">
        <w:rPr>
          <w:rStyle w:val="FootnoteReference"/>
          <w:rFonts w:ascii="Times New Roman" w:hAnsi="Times New Roman" w:cs="Times New Roman"/>
          <w:sz w:val="24"/>
          <w:szCs w:val="24"/>
          <w:lang w:val="en-US"/>
        </w:rPr>
        <w:footnoteReference w:id="188"/>
      </w:r>
      <w:r w:rsidRPr="004F0794">
        <w:rPr>
          <w:rFonts w:ascii="Times New Roman" w:hAnsi="Times New Roman" w:cs="Times New Roman"/>
          <w:sz w:val="24"/>
          <w:szCs w:val="24"/>
          <w:lang w:val="en-US"/>
        </w:rPr>
        <w:t xml:space="preserve"> the Court of Appeal emphasised that the two indispensable ingredients of any customary marriage include payment of bride price and handing over of the bride. Next, the consummation of the ceremony takes place after the festivities and this often is on the same day. Then, cohabitation commences thereafter as man and wife. For the requirement, the capacity to marry under customary law hinged on puberty and sound mind, not a fixed numerical age. The Child Rights Act 2003 sets 18 years as the minimum marriageable age </w:t>
      </w:r>
      <w:r w:rsidRPr="004F0794">
        <w:rPr>
          <w:rFonts w:ascii="Times New Roman" w:hAnsi="Times New Roman" w:cs="Times New Roman"/>
          <w:sz w:val="24"/>
          <w:szCs w:val="24"/>
          <w:lang w:val="en-US"/>
        </w:rPr>
        <w:lastRenderedPageBreak/>
        <w:t>and this renders any marriage of a person below 18 invalid. However, not all states have domesticated this act. Thus, child marriages still occur in rural areas (most especially in the northern part of Nigeria). Going further, mental capacity is also required. Hence, an insane or mentally incapable individual cannot enter a valid marriage under either custom or statute. In the past, customary marriages were oral and communal agreements. However, today, evidence of marriage includes list of marriage expenses, receipts for bride price or dowry payments, or photographs of the traditional ceremony. Several states permit or encourage registration because of the difficulties in proving this evidence. In practice, such registrations are rare. Registration simply simplifies proof because it creates a presumptive record. Courts will accept other proof (witness testimony, etc.) of the existence of the marriage. Proof can be through the oral evidence of family members or elders who attended the ceremony. In addition, the courts have recognised cohabitation and repute as supporting evidence of a customary marriage.</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Thirdly, this project critically evaluated the procedures for the dissolution of customary law marriage in Nigeria. It was found that under customary law, a marriage is dissolved with few formal hurdles. The concept of matrimonial fault or specific “grounds” (such as adultery or cruelty) is secondary to the overarching criterion that one or both parties no longer wish to continue the marriage. Customary marriage permits divorce by mutual agreement or on a unilateral decision and this could be done without proof of a matrimonial offense. That said, customary courts and families do take into account reasons for the breakup. Even so, reasons across the cultures in Nigeria include infidelity, impotence or barrenness, cruelty or constant beating, desertion, laziness or inability to provide, witchcraft accusations, and serious character defects or quarrelsomeness. Thus, in practice, there are de facto grounds considered. Nonetheless, the threshold for ending a customary marriage remains low. The family and community is the first point of dissolution. Mutual consent divorce is common in </w:t>
      </w:r>
      <w:r w:rsidRPr="004F0794">
        <w:rPr>
          <w:rFonts w:ascii="Times New Roman" w:hAnsi="Times New Roman" w:cs="Times New Roman"/>
          <w:sz w:val="24"/>
          <w:szCs w:val="24"/>
          <w:lang w:val="en-US"/>
        </w:rPr>
        <w:lastRenderedPageBreak/>
        <w:t>customary law marriage. Hence the families of both sides meet and agree to dissolve the marriage after attempts at reconciliation fail. In many cultures, this meeting involves the family of the wife returning the bride price to the husband’s family. This undoes the marriage contract symbolically. In Igbo land, the protocol is that the husband requests the return of his bride price. Then the bride’s family, after verifying that truly the marriage cannot be saved, repays the sum (sometimes even just a token part of it) and records that the marriage is dissolved. Among the Yoruba, the process is less formal. The wife may simply leave the husband’s house and return to her parents. Then, the husband or his family sends a message or letter and this indicates that the marriage has ended. In some cases, they ask for the bride price to be returned. A unilateral conduct may also lead to dissolution. A husband may end the marriage by driving his wife away or returning her to her parents’ home with a declaration that he doesn’t want her anymore. Conversely, a wife may indicate her intent to end the marriage by leaving the husband’s home for good (often fleeing to her father’s house). Customarily, the wife’s family is then obliged to contact the husband’s family to see if reconciliation is possible. If not, they may proffer the refund of the bride price. If the parties cannot agree or there are contested issues (like custody, property, or a reluctant spouse), they may resort to the customary courts or area courts for a decree for formal divorce. In a Customary Court, the process is through a petition (complaint) and it outlines the facts of the case and relief sought. The court will hear from both parties, and often from family elders as well. Many customary courts require that arbitration by family be attempted first. Once the court is satisfied that the marriage has broken down beyond repair, it will pronounce a dissolution order. Customary courts do not issue “decrees nisi/absolute” like the High Court; the divorce is effective immediately or after a short period for any appeal. The refund of bride price in court dissolutions is almost routine. Consequently, until the dowry is returned, the marriage is not terminated in the eyes of custom.</w:t>
      </w:r>
    </w:p>
    <w:p w:rsidR="00860B99" w:rsidRPr="004F0794" w:rsidRDefault="00860B99" w:rsidP="001C75F8">
      <w:pPr>
        <w:pStyle w:val="Heading2"/>
        <w:rPr>
          <w:lang w:val="en-US"/>
        </w:rPr>
      </w:pPr>
      <w:bookmarkStart w:id="103" w:name="_Toc232722544"/>
      <w:r w:rsidRPr="004F0794">
        <w:rPr>
          <w:lang w:val="en-US"/>
        </w:rPr>
        <w:lastRenderedPageBreak/>
        <w:t xml:space="preserve">5.2 </w:t>
      </w:r>
      <w:r w:rsidRPr="004F0794">
        <w:rPr>
          <w:lang w:val="en-US"/>
        </w:rPr>
        <w:tab/>
        <w:t>Recommendations</w:t>
      </w:r>
      <w:bookmarkEnd w:id="103"/>
    </w:p>
    <w:p w:rsidR="00860B99" w:rsidRPr="004F0794" w:rsidRDefault="00860B99" w:rsidP="00860B99">
      <w:pPr>
        <w:spacing w:line="480" w:lineRule="auto"/>
        <w:jc w:val="both"/>
        <w:rPr>
          <w:rFonts w:ascii="Times New Roman" w:hAnsi="Times New Roman" w:cs="Times New Roman"/>
          <w:b/>
          <w:bCs/>
          <w:sz w:val="24"/>
          <w:szCs w:val="24"/>
          <w:lang w:val="en-US"/>
        </w:rPr>
      </w:pPr>
      <w:r w:rsidRPr="004F0794">
        <w:rPr>
          <w:rFonts w:ascii="Times New Roman" w:hAnsi="Times New Roman" w:cs="Times New Roman"/>
          <w:b/>
          <w:bCs/>
          <w:sz w:val="24"/>
          <w:szCs w:val="24"/>
          <w:lang w:val="en-US"/>
        </w:rPr>
        <w:t>Enact a Comprehensive Legislation for Customary Marriage</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There is a need for legislation which regulates the formation and dissolution of customary law marriages in Nigeria. At present, the applicable rules are scattered across the Constitution, the Marriage Act, the Evidence Act, laws for state customary court and the unwritten customs of different communities. The framework is fragmented and it creates uncertainty which concerns the validity, proof and dissolution of customary marriages. Therefore, the State Houses of Assembly should enact harmonised Legislation for Customary Marriage. This should prescribe minimum standards and preserve cultural differences. The legislation should identify the requirements of a valid customary marriage clearly. It should also provide procedure for dissolution as well as prescribe the legal consequences of divorce. </w:t>
      </w:r>
    </w:p>
    <w:p w:rsidR="00860B99" w:rsidRPr="004F0794" w:rsidRDefault="00860B99" w:rsidP="00860B99">
      <w:pPr>
        <w:spacing w:line="480" w:lineRule="auto"/>
        <w:jc w:val="both"/>
        <w:rPr>
          <w:rFonts w:ascii="Times New Roman" w:hAnsi="Times New Roman" w:cs="Times New Roman"/>
          <w:b/>
          <w:bCs/>
          <w:sz w:val="24"/>
          <w:szCs w:val="24"/>
          <w:lang w:val="en-US"/>
        </w:rPr>
      </w:pPr>
      <w:r w:rsidRPr="004F0794">
        <w:rPr>
          <w:rFonts w:ascii="Times New Roman" w:hAnsi="Times New Roman" w:cs="Times New Roman"/>
          <w:b/>
          <w:bCs/>
          <w:sz w:val="24"/>
          <w:szCs w:val="24"/>
          <w:lang w:val="en-US"/>
        </w:rPr>
        <w:t>Compulsory Registration of Customary Marriages and Divorces</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The registration of customary marriages and divorces should be compulsory throughout Nigeria. Registration should not replace the customary ceremony. Rather, it should be a record that the customary requirements were completed. Marriage registries should be authorised to issue customary marriage certificates. However, they must recieve a declaration which would signed by the spouses, representatives of both families and the traditional authority or marriage witness involved in the ceremony. Similarly, where a customary divorces is concluded through family meetings, it should be registered within a prescribed period. The record should indicate the parties, date of dissolution, refund or waiver of bride price and arrangements which concern children and property. Failure to register should attract a penalty without invalidating an otherwise valid marriage or divorce. The government should also establish an electronic database and it should be linked to registries and courts. </w:t>
      </w:r>
    </w:p>
    <w:p w:rsidR="00860B99" w:rsidRPr="004F0794" w:rsidRDefault="00860B99" w:rsidP="00860B99">
      <w:pPr>
        <w:spacing w:line="480" w:lineRule="auto"/>
        <w:jc w:val="both"/>
        <w:rPr>
          <w:rFonts w:ascii="Times New Roman" w:hAnsi="Times New Roman" w:cs="Times New Roman"/>
          <w:b/>
          <w:bCs/>
          <w:sz w:val="24"/>
          <w:szCs w:val="24"/>
          <w:lang w:val="en-US"/>
        </w:rPr>
      </w:pPr>
      <w:r w:rsidRPr="004F0794">
        <w:rPr>
          <w:rFonts w:ascii="Times New Roman" w:hAnsi="Times New Roman" w:cs="Times New Roman"/>
          <w:b/>
          <w:bCs/>
          <w:sz w:val="24"/>
          <w:szCs w:val="24"/>
          <w:lang w:val="en-US"/>
        </w:rPr>
        <w:lastRenderedPageBreak/>
        <w:t xml:space="preserve">Reform the Requirement for Bride-Price </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Bride price should be preserved. However, it should also be regulated. State legislation should place limits on monetary and material demands imposed by families during marriage ceremonies. Excessive bride price and marriage expenses discourage formal marriage and promote informal cohabitation. It may create the impression that a woman has been purchased. Traditional councils together either local governments should publish approved lists for customary marriage and nominal limits for bride-price applicable within their communities. More importantly, refund of bride price should not operate as an instrument for preventing a woman from leaving an abusive or irretrievably broken marriage. The law should permit either spouse to apply to a customary court for dissolution without requiring the cooperation of parents or guardians. Where the husband or his family refuses to receive the refund, the wife should be allowed to deposit the sum with the court or an authorised customary marriage registrar. This would protect women from being trapped in unwanted marriages by the refusal of a husband or family to accept bride price.</w:t>
      </w:r>
    </w:p>
    <w:p w:rsidR="00860B99" w:rsidRPr="004F0794" w:rsidRDefault="00860B99" w:rsidP="00860B99">
      <w:pPr>
        <w:spacing w:line="480" w:lineRule="auto"/>
        <w:jc w:val="both"/>
        <w:rPr>
          <w:rFonts w:ascii="Times New Roman" w:hAnsi="Times New Roman" w:cs="Times New Roman"/>
          <w:b/>
          <w:bCs/>
          <w:sz w:val="24"/>
          <w:szCs w:val="24"/>
          <w:lang w:val="en-US"/>
        </w:rPr>
      </w:pPr>
      <w:r w:rsidRPr="004F0794">
        <w:rPr>
          <w:rFonts w:ascii="Times New Roman" w:hAnsi="Times New Roman" w:cs="Times New Roman"/>
          <w:b/>
          <w:bCs/>
          <w:sz w:val="24"/>
          <w:szCs w:val="24"/>
          <w:lang w:val="en-US"/>
        </w:rPr>
        <w:t>Protect Consent and Capacity</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The consent should be indispensable. The consent of parent or family is relevant, but it must not override the consent of the parties. Where a marriage is obtained through force, fraud, intimidation or pressure, it should be void. Furthermore, every state should domesticate and enforce the Child Rights Act. Traditional and religious authorities should not conduct or recognise child marriage. Officers who violate this requirement should face sanctions. </w:t>
      </w:r>
    </w:p>
    <w:p w:rsidR="00860B99" w:rsidRPr="004F0794" w:rsidRDefault="00860B99" w:rsidP="00860B99">
      <w:pPr>
        <w:spacing w:line="480" w:lineRule="auto"/>
        <w:jc w:val="both"/>
        <w:rPr>
          <w:rFonts w:ascii="Times New Roman" w:hAnsi="Times New Roman" w:cs="Times New Roman"/>
          <w:b/>
          <w:bCs/>
          <w:sz w:val="24"/>
          <w:szCs w:val="24"/>
          <w:lang w:val="en-US"/>
        </w:rPr>
      </w:pPr>
      <w:r w:rsidRPr="004F0794">
        <w:rPr>
          <w:rFonts w:ascii="Times New Roman" w:hAnsi="Times New Roman" w:cs="Times New Roman"/>
          <w:b/>
          <w:bCs/>
          <w:sz w:val="24"/>
          <w:szCs w:val="24"/>
          <w:lang w:val="en-US"/>
        </w:rPr>
        <w:t>Establish Clear Procedure for Dissolution</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The procedure for dissolving customary marriages should be simplified and documented. Family members may mediate at the beginning. However, reconciliation must not be </w:t>
      </w:r>
      <w:r w:rsidRPr="004F0794">
        <w:rPr>
          <w:rFonts w:ascii="Times New Roman" w:hAnsi="Times New Roman" w:cs="Times New Roman"/>
          <w:sz w:val="24"/>
          <w:szCs w:val="24"/>
          <w:lang w:val="en-US"/>
        </w:rPr>
        <w:lastRenderedPageBreak/>
        <w:t xml:space="preserve">compulsory where there is domestic violence, threats, coercion or other harm. Where reconciliation fails, the families should prepare a written memorandum. This should confirm that the marriage has been dissolved. In addition, it should confirm any agreement which relates to children or property. Where the parties disagree, either spouse should have the right to approach the customary or area court independently. The court should possess authority to dissolve the marriage, order the acceptance or deposit of bride price, determine the custody of children and make orders for maintenance and property. Mere separation should not be proof of dissolution. A certificate of customary divorce should be issued after judicial dissolution. </w:t>
      </w:r>
    </w:p>
    <w:p w:rsidR="00860B99" w:rsidRPr="004F0794" w:rsidRDefault="00860B99" w:rsidP="00860B99">
      <w:pPr>
        <w:spacing w:line="480" w:lineRule="auto"/>
        <w:jc w:val="both"/>
        <w:rPr>
          <w:rFonts w:ascii="Times New Roman" w:hAnsi="Times New Roman" w:cs="Times New Roman"/>
          <w:b/>
          <w:bCs/>
          <w:sz w:val="24"/>
          <w:szCs w:val="24"/>
          <w:lang w:val="en-US"/>
        </w:rPr>
      </w:pPr>
      <w:r w:rsidRPr="004F0794">
        <w:rPr>
          <w:rFonts w:ascii="Times New Roman" w:hAnsi="Times New Roman" w:cs="Times New Roman"/>
          <w:b/>
          <w:bCs/>
          <w:sz w:val="24"/>
          <w:szCs w:val="24"/>
          <w:lang w:val="en-US"/>
        </w:rPr>
        <w:t>Strengthen Customary Courts and Other Institutions</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Customary courts, area courts, family courts and magistrates’ courts should receive jurisdictional guidance concerning disputes relating to customary marriage. Judicial officers and customary court members should undergo training in evidence, constitutional rights, gender equality, child welfare and the changing nature of customary law regularly. Officials appointed to the customary courts should have knowledge of local customs with basic legal competence. Reasons should be given for decisions and it must be written down, especially in cases which invovle validity of marriage, dissolution, custody, maintenance and property. Family elders and traditional rulers should also receive training on lawful mediation and standards for human-rights. Their role should be reconciliatory, not coercive. They must not compel women to remain in abusive marriages or impose discriminatory conditions for dissolution. Decisions or settlements reached before traditional authorities should be documented and, where necessary, registered or endorsed by the appropriate court.</w:t>
      </w:r>
    </w:p>
    <w:p w:rsidR="00860B99" w:rsidRPr="004F0794" w:rsidRDefault="00860B99" w:rsidP="00860B99">
      <w:pPr>
        <w:spacing w:line="480" w:lineRule="auto"/>
        <w:jc w:val="both"/>
        <w:rPr>
          <w:rFonts w:ascii="Times New Roman" w:hAnsi="Times New Roman" w:cs="Times New Roman"/>
          <w:b/>
          <w:bCs/>
          <w:sz w:val="24"/>
          <w:szCs w:val="24"/>
          <w:lang w:val="en-US"/>
        </w:rPr>
      </w:pPr>
      <w:r w:rsidRPr="004F0794">
        <w:rPr>
          <w:rFonts w:ascii="Times New Roman" w:hAnsi="Times New Roman" w:cs="Times New Roman"/>
          <w:b/>
          <w:bCs/>
          <w:sz w:val="24"/>
          <w:szCs w:val="24"/>
          <w:lang w:val="en-US"/>
        </w:rPr>
        <w:t>Public Enlightenment and Access to Legal Assistance</w:t>
      </w:r>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Institutions (including Government agencies, the National Orientation Agency, civil society organisations, traditional institutions and the Nigerian Bar Association) should conduct </w:t>
      </w:r>
      <w:r w:rsidRPr="004F0794">
        <w:rPr>
          <w:rFonts w:ascii="Times New Roman" w:hAnsi="Times New Roman" w:cs="Times New Roman"/>
          <w:sz w:val="24"/>
          <w:szCs w:val="24"/>
          <w:lang w:val="en-US"/>
        </w:rPr>
        <w:lastRenderedPageBreak/>
        <w:t>public education on the legal requirements and consequences of customary marriage. Couples should be informed that cohabitation alone may not establish marriage, that separation alone may not prove dissolution and that customary marriage affects succession, legitimacy, custody and the validity of later marriages. The information should be available in local languages through radio, community meetings, registries and social media. In addition, Legal aid should also be extended to indigent spouses involved in disputes relating to customary marriage. These measures would ensure that the reforms are not confined to statutes but are understood and applied at community level.</w:t>
      </w:r>
    </w:p>
    <w:p w:rsidR="00860B99" w:rsidRPr="004F0794" w:rsidRDefault="00860B99" w:rsidP="001C75F8">
      <w:pPr>
        <w:pStyle w:val="Heading2"/>
        <w:rPr>
          <w:lang w:val="en-US"/>
        </w:rPr>
      </w:pPr>
      <w:bookmarkStart w:id="104" w:name="_Toc232722545"/>
      <w:r w:rsidRPr="004F0794">
        <w:rPr>
          <w:lang w:val="en-US"/>
        </w:rPr>
        <w:t xml:space="preserve">5.3 </w:t>
      </w:r>
      <w:r w:rsidRPr="004F0794">
        <w:rPr>
          <w:lang w:val="en-US"/>
        </w:rPr>
        <w:tab/>
        <w:t>Conclusion</w:t>
      </w:r>
      <w:bookmarkEnd w:id="104"/>
    </w:p>
    <w:p w:rsidR="00860B99" w:rsidRPr="004F0794" w:rsidRDefault="00860B99" w:rsidP="00860B99">
      <w:pPr>
        <w:spacing w:line="480" w:lineRule="auto"/>
        <w:jc w:val="both"/>
        <w:rPr>
          <w:rFonts w:ascii="Times New Roman" w:hAnsi="Times New Roman" w:cs="Times New Roman"/>
          <w:sz w:val="24"/>
          <w:szCs w:val="24"/>
          <w:lang w:val="en-US"/>
        </w:rPr>
      </w:pPr>
      <w:r w:rsidRPr="004F0794">
        <w:rPr>
          <w:rFonts w:ascii="Times New Roman" w:hAnsi="Times New Roman" w:cs="Times New Roman"/>
          <w:sz w:val="24"/>
          <w:szCs w:val="24"/>
          <w:lang w:val="en-US"/>
        </w:rPr>
        <w:t xml:space="preserve">Customary law marriage remains one of the most important and culturally accepted forms of marriage in Nigeria. It reflects the communal character of society in Nigeria because it is not a union between two individuals. Rather, it is an alliance between their families. Its relevance is therefore beyond doubt. Nevertheless, its formation and dissolution remains fragmented, uncertain and, in some respects, inconsistent with the standards of human-rights. This research critically examined the legislative and institutional framework for customary marriage, the requirements and procedures for its formation and the processes through which it may be dissolved. It established that the essential requirements include the consent and capacity of the parties, family approval, payment or acknowledgement of bride price and ceremonial handing over of the bride. However, requirements vary among communities The study also found that customary marriage may be dissolved through family agreement and the return of bride price or through proceedings before a customary or area court. Indeed, this flexibility makes customary divorce more accessible than statutory divorce. However, informal dissolution often creates uncertainty where there is no written record. Accordingly, customary marriage law should not be abolished or stripped of its cultural foundation. Rather, it should be modernised through harmonised state legislation, compulsory registration, clearer </w:t>
      </w:r>
      <w:r w:rsidRPr="004F0794">
        <w:rPr>
          <w:rFonts w:ascii="Times New Roman" w:hAnsi="Times New Roman" w:cs="Times New Roman"/>
          <w:sz w:val="24"/>
          <w:szCs w:val="24"/>
          <w:lang w:val="en-US"/>
        </w:rPr>
        <w:lastRenderedPageBreak/>
        <w:t xml:space="preserve">procedures for dissolution, stronger judicial institutions and women and children should be protected effectively. Reform must preserve customs where it is legitimate. In addition, it must also reject practices which violate dignity, equality and justice. </w:t>
      </w:r>
    </w:p>
    <w:p w:rsidR="00860B99" w:rsidRPr="004F0794" w:rsidRDefault="00860B99">
      <w:pPr>
        <w:rPr>
          <w:rFonts w:ascii="Times New Roman" w:hAnsi="Times New Roman" w:cs="Times New Roman"/>
          <w:sz w:val="24"/>
          <w:szCs w:val="24"/>
        </w:rPr>
      </w:pPr>
    </w:p>
    <w:p w:rsidR="003718E6" w:rsidRDefault="003718E6">
      <w:pPr>
        <w:rPr>
          <w:rFonts w:ascii="Times New Roman" w:hAnsi="Times New Roman" w:cs="Times New Roman"/>
          <w:sz w:val="24"/>
          <w:szCs w:val="24"/>
        </w:rPr>
      </w:pPr>
    </w:p>
    <w:p w:rsidR="004F0794" w:rsidRPr="004F0794" w:rsidRDefault="004F0794">
      <w:pPr>
        <w:rPr>
          <w:rFonts w:ascii="Times New Roman" w:hAnsi="Times New Roman" w:cs="Times New Roman"/>
          <w:sz w:val="24"/>
          <w:szCs w:val="24"/>
        </w:rPr>
      </w:pPr>
    </w:p>
    <w:p w:rsidR="003718E6" w:rsidRPr="004F0794" w:rsidRDefault="003718E6">
      <w:pPr>
        <w:rPr>
          <w:rFonts w:ascii="Times New Roman" w:hAnsi="Times New Roman" w:cs="Times New Roman"/>
          <w:sz w:val="24"/>
          <w:szCs w:val="24"/>
        </w:rPr>
      </w:pPr>
    </w:p>
    <w:p w:rsidR="004F0794" w:rsidRDefault="003718E6">
      <w:pPr>
        <w:rPr>
          <w:rFonts w:ascii="Times New Roman" w:hAnsi="Times New Roman" w:cs="Times New Roman"/>
          <w:sz w:val="24"/>
          <w:szCs w:val="24"/>
        </w:rPr>
        <w:sectPr w:rsidR="004F0794" w:rsidSect="00A41A1D">
          <w:headerReference w:type="default" r:id="rId10"/>
          <w:footerReference w:type="default" r:id="rId11"/>
          <w:pgSz w:w="11907" w:h="16839" w:code="9"/>
          <w:pgMar w:top="1440" w:right="1440" w:bottom="1440" w:left="1440" w:header="720" w:footer="720" w:gutter="0"/>
          <w:pgNumType w:start="1"/>
          <w:cols w:space="720"/>
          <w:docGrid w:linePitch="360"/>
        </w:sectPr>
      </w:pPr>
      <w:r w:rsidRPr="004F0794">
        <w:rPr>
          <w:rFonts w:ascii="Times New Roman" w:hAnsi="Times New Roman" w:cs="Times New Roman"/>
          <w:sz w:val="24"/>
          <w:szCs w:val="24"/>
        </w:rPr>
        <w:br w:type="page"/>
      </w:r>
    </w:p>
    <w:p w:rsidR="003718E6" w:rsidRPr="004F0794" w:rsidRDefault="003718E6" w:rsidP="001C75F8">
      <w:pPr>
        <w:pStyle w:val="Heading1"/>
      </w:pPr>
      <w:bookmarkStart w:id="105" w:name="_Toc232722546"/>
      <w:r w:rsidRPr="004F0794">
        <w:lastRenderedPageBreak/>
        <w:t>BIBLIOGRAPHY</w:t>
      </w:r>
      <w:bookmarkEnd w:id="105"/>
    </w:p>
    <w:p w:rsidR="00F22632" w:rsidRPr="004F0794" w:rsidRDefault="00F22632" w:rsidP="00F22632">
      <w:pPr>
        <w:pStyle w:val="NormalWeb"/>
        <w:rPr>
          <w:b/>
        </w:rPr>
      </w:pPr>
      <w:r w:rsidRPr="004F0794">
        <w:rPr>
          <w:b/>
        </w:rPr>
        <w:t>Books</w:t>
      </w:r>
    </w:p>
    <w:p w:rsidR="00F22632" w:rsidRPr="004F0794" w:rsidRDefault="00F22632" w:rsidP="00F22632">
      <w:pPr>
        <w:pStyle w:val="NormalWeb"/>
      </w:pPr>
      <w:r w:rsidRPr="004F0794">
        <w:t xml:space="preserve">An-Na’im, A A, ed, </w:t>
      </w:r>
      <w:r w:rsidRPr="004F0794">
        <w:rPr>
          <w:rStyle w:val="Emphasis"/>
        </w:rPr>
        <w:t>Islamic Family Law in a Changing World: A Global Resource Book</w:t>
      </w:r>
      <w:r w:rsidRPr="004F0794">
        <w:t xml:space="preserve"> (Zed Books 2002).</w:t>
      </w:r>
    </w:p>
    <w:p w:rsidR="00F22632" w:rsidRPr="004F0794" w:rsidRDefault="00F22632" w:rsidP="00F22632">
      <w:pPr>
        <w:pStyle w:val="NormalWeb"/>
      </w:pPr>
      <w:r w:rsidRPr="004F0794">
        <w:t xml:space="preserve">Attah, M, </w:t>
      </w:r>
      <w:r w:rsidRPr="004F0794">
        <w:rPr>
          <w:rStyle w:val="Emphasis"/>
        </w:rPr>
        <w:t>Family Welfare Law in Nigeria</w:t>
      </w:r>
      <w:r w:rsidRPr="004F0794">
        <w:t xml:space="preserve"> (Ambik Press Ltd 2016).</w:t>
      </w:r>
    </w:p>
    <w:p w:rsidR="00F22632" w:rsidRPr="004F0794" w:rsidRDefault="00F22632" w:rsidP="00F22632">
      <w:pPr>
        <w:pStyle w:val="NormalWeb"/>
      </w:pPr>
      <w:r w:rsidRPr="004F0794">
        <w:t xml:space="preserve">Bewaji, J A I, </w:t>
      </w:r>
      <w:r w:rsidRPr="004F0794">
        <w:rPr>
          <w:rStyle w:val="Emphasis"/>
        </w:rPr>
        <w:t>The Rule of Law and Governance in Indigenous Yoruba Society: A Study in African Philosophy of Law</w:t>
      </w:r>
      <w:r w:rsidRPr="004F0794">
        <w:t xml:space="preserve"> (Lexington Books 2016).</w:t>
      </w:r>
    </w:p>
    <w:p w:rsidR="00F22632" w:rsidRPr="004F0794" w:rsidRDefault="00F22632" w:rsidP="00F22632">
      <w:pPr>
        <w:pStyle w:val="NormalWeb"/>
      </w:pPr>
      <w:r w:rsidRPr="004F0794">
        <w:t xml:space="preserve">Ekundare, R O, </w:t>
      </w:r>
      <w:r w:rsidRPr="004F0794">
        <w:rPr>
          <w:rStyle w:val="Emphasis"/>
        </w:rPr>
        <w:t>Marriage and Divorce under Yoruba Customary Law</w:t>
      </w:r>
      <w:r w:rsidRPr="004F0794">
        <w:t xml:space="preserve"> (University of Ife Press 1969).</w:t>
      </w:r>
    </w:p>
    <w:p w:rsidR="00F22632" w:rsidRPr="004F0794" w:rsidRDefault="00F22632" w:rsidP="00F22632">
      <w:pPr>
        <w:pStyle w:val="NormalWeb"/>
      </w:pPr>
      <w:r w:rsidRPr="004F0794">
        <w:t xml:space="preserve">Finnis, J, </w:t>
      </w:r>
      <w:r w:rsidRPr="004F0794">
        <w:rPr>
          <w:rStyle w:val="Emphasis"/>
        </w:rPr>
        <w:t>Natural Law and Natural Rights</w:t>
      </w:r>
      <w:r w:rsidRPr="004F0794">
        <w:t xml:space="preserve"> (2nd edn, Oxford University Press 2011).</w:t>
      </w:r>
    </w:p>
    <w:p w:rsidR="00F22632" w:rsidRPr="004F0794" w:rsidRDefault="00F22632" w:rsidP="00F22632">
      <w:pPr>
        <w:pStyle w:val="NormalWeb"/>
      </w:pPr>
      <w:r w:rsidRPr="004F0794">
        <w:t xml:space="preserve">Frank, J, </w:t>
      </w:r>
      <w:r w:rsidRPr="004F0794">
        <w:rPr>
          <w:rStyle w:val="Emphasis"/>
        </w:rPr>
        <w:t>Courts on Trial: Myth and Reality in American Justice</w:t>
      </w:r>
      <w:r w:rsidRPr="004F0794">
        <w:t xml:space="preserve"> (Princeton University Press 1949).</w:t>
      </w:r>
    </w:p>
    <w:p w:rsidR="00F22632" w:rsidRPr="004F0794" w:rsidRDefault="00F22632" w:rsidP="00F22632">
      <w:pPr>
        <w:pStyle w:val="NormalWeb"/>
      </w:pPr>
      <w:r w:rsidRPr="004F0794">
        <w:t xml:space="preserve">Hooker, M B, </w:t>
      </w:r>
      <w:r w:rsidRPr="004F0794">
        <w:rPr>
          <w:rStyle w:val="Emphasis"/>
        </w:rPr>
        <w:t>Legal Pluralism: An Introduction to Colonial and Neo-Colonial Laws</w:t>
      </w:r>
      <w:r w:rsidRPr="004F0794">
        <w:t xml:space="preserve"> (Clarendon Press 1975).</w:t>
      </w:r>
    </w:p>
    <w:p w:rsidR="00F22632" w:rsidRPr="004F0794" w:rsidRDefault="00F22632" w:rsidP="00F22632">
      <w:pPr>
        <w:pStyle w:val="NormalWeb"/>
      </w:pPr>
      <w:r w:rsidRPr="004F0794">
        <w:t xml:space="preserve">Leiter, B, </w:t>
      </w:r>
      <w:r w:rsidRPr="004F0794">
        <w:rPr>
          <w:rStyle w:val="Emphasis"/>
        </w:rPr>
        <w:t>From a Realist Point of View</w:t>
      </w:r>
      <w:r w:rsidRPr="004F0794">
        <w:t xml:space="preserve"> (Oxford University Press 2026).</w:t>
      </w:r>
    </w:p>
    <w:p w:rsidR="00F22632" w:rsidRPr="004F0794" w:rsidRDefault="00F22632" w:rsidP="00F22632">
      <w:pPr>
        <w:pStyle w:val="NormalWeb"/>
      </w:pPr>
      <w:r w:rsidRPr="004F0794">
        <w:t xml:space="preserve">Llewellyn, K N, </w:t>
      </w:r>
      <w:r w:rsidRPr="004F0794">
        <w:rPr>
          <w:rStyle w:val="Emphasis"/>
        </w:rPr>
        <w:t>The Bramble Bush: On Our Law and Its Study</w:t>
      </w:r>
      <w:r w:rsidRPr="004F0794">
        <w:t xml:space="preserve"> (Oxford University Press 2008).</w:t>
      </w:r>
    </w:p>
    <w:p w:rsidR="00F22632" w:rsidRPr="004F0794" w:rsidRDefault="00F22632" w:rsidP="00F22632">
      <w:pPr>
        <w:pStyle w:val="NormalWeb"/>
      </w:pPr>
      <w:r w:rsidRPr="004F0794">
        <w:t xml:space="preserve">McDonald, N R, </w:t>
      </w:r>
      <w:r w:rsidRPr="004F0794">
        <w:rPr>
          <w:rStyle w:val="Emphasis"/>
        </w:rPr>
        <w:t>Customary Marriage and Divorce Law in Nigeria</w:t>
      </w:r>
      <w:r w:rsidRPr="004F0794">
        <w:t xml:space="preserve"> (Law Library, Library of Congress 1973) </w:t>
      </w:r>
      <w:hyperlink r:id="rId12" w:history="1">
        <w:r w:rsidRPr="004F0794">
          <w:rPr>
            <w:rStyle w:val="Hyperlink"/>
          </w:rPr>
          <w:t>https://www.loc.gov/item/2019668919/</w:t>
        </w:r>
      </w:hyperlink>
      <w:r w:rsidRPr="004F0794">
        <w:t xml:space="preserve"> accessed 12 February 2026.</w:t>
      </w:r>
    </w:p>
    <w:p w:rsidR="00F22632" w:rsidRPr="004F0794" w:rsidRDefault="00F22632" w:rsidP="00F22632">
      <w:pPr>
        <w:pStyle w:val="NormalWeb"/>
      </w:pPr>
      <w:r w:rsidRPr="004F0794">
        <w:t xml:space="preserve">Nelson, C E, </w:t>
      </w:r>
      <w:r w:rsidRPr="004F0794">
        <w:rPr>
          <w:rStyle w:val="Emphasis"/>
        </w:rPr>
        <w:t>Legal Research Methodology and Project Writing</w:t>
      </w:r>
      <w:r w:rsidRPr="004F0794">
        <w:t xml:space="preserve"> (Ambrose Alli University Press 2016).</w:t>
      </w:r>
    </w:p>
    <w:p w:rsidR="00F22632" w:rsidRPr="004F0794" w:rsidRDefault="00F22632" w:rsidP="00F22632">
      <w:pPr>
        <w:pStyle w:val="NormalWeb"/>
      </w:pPr>
      <w:r w:rsidRPr="004F0794">
        <w:t xml:space="preserve">Nwogugu, E I, </w:t>
      </w:r>
      <w:r w:rsidRPr="004F0794">
        <w:rPr>
          <w:rStyle w:val="Emphasis"/>
        </w:rPr>
        <w:t>Family Law in Nigeria</w:t>
      </w:r>
      <w:r w:rsidRPr="004F0794">
        <w:t xml:space="preserve"> (3rd edn, HEBN Publishers 2014).</w:t>
      </w:r>
    </w:p>
    <w:p w:rsidR="00F22632" w:rsidRPr="004F0794" w:rsidRDefault="00F22632" w:rsidP="00F22632">
      <w:pPr>
        <w:pStyle w:val="NormalWeb"/>
      </w:pPr>
      <w:r w:rsidRPr="004F0794">
        <w:t xml:space="preserve">Onokah, M C, </w:t>
      </w:r>
      <w:r w:rsidRPr="004F0794">
        <w:rPr>
          <w:rStyle w:val="Emphasis"/>
        </w:rPr>
        <w:t>Family Law</w:t>
      </w:r>
      <w:r w:rsidRPr="004F0794">
        <w:t xml:space="preserve"> (Spectrum Books 2003).</w:t>
      </w:r>
    </w:p>
    <w:p w:rsidR="00F22632" w:rsidRPr="004F0794" w:rsidRDefault="00F22632" w:rsidP="00F22632">
      <w:pPr>
        <w:pStyle w:val="NormalWeb"/>
      </w:pPr>
      <w:r w:rsidRPr="004F0794">
        <w:t xml:space="preserve">Sagay, I E, </w:t>
      </w:r>
      <w:r w:rsidRPr="004F0794">
        <w:rPr>
          <w:rStyle w:val="Emphasis"/>
        </w:rPr>
        <w:t>Nigerian Family Law: Principles, Cases, Statutes and Commentaries</w:t>
      </w:r>
      <w:r w:rsidRPr="004F0794">
        <w:t xml:space="preserve"> (Malthouse Press 1999).</w:t>
      </w:r>
    </w:p>
    <w:p w:rsidR="00F22632" w:rsidRPr="004F0794" w:rsidRDefault="00F22632" w:rsidP="00F22632">
      <w:pPr>
        <w:pStyle w:val="NormalWeb"/>
      </w:pPr>
      <w:r w:rsidRPr="004F0794">
        <w:t xml:space="preserve">Wacks, R, </w:t>
      </w:r>
      <w:r w:rsidRPr="004F0794">
        <w:rPr>
          <w:rStyle w:val="Emphasis"/>
        </w:rPr>
        <w:t>Understanding Jurisprudence: An Introduction to Legal Theory</w:t>
      </w:r>
      <w:r w:rsidRPr="004F0794">
        <w:t xml:space="preserve"> (6th edn, Oxford University Press 2021).</w:t>
      </w:r>
    </w:p>
    <w:p w:rsidR="00F22632" w:rsidRPr="004F0794" w:rsidRDefault="00F22632" w:rsidP="00F22632">
      <w:pPr>
        <w:pStyle w:val="NormalWeb"/>
        <w:rPr>
          <w:b/>
        </w:rPr>
      </w:pPr>
      <w:r w:rsidRPr="004F0794">
        <w:rPr>
          <w:b/>
        </w:rPr>
        <w:t>Journals</w:t>
      </w:r>
    </w:p>
    <w:p w:rsidR="00F22632" w:rsidRPr="004F0794" w:rsidRDefault="00F22632" w:rsidP="00F22632">
      <w:pPr>
        <w:pStyle w:val="NormalWeb"/>
      </w:pPr>
      <w:r w:rsidRPr="004F0794">
        <w:t xml:space="preserve">Abiola, A S and Adisa, A D, ‘Legal and Institutional Frameworks for Effective Application of ADR in Marital Disputes’ [2025] (2)(4) </w:t>
      </w:r>
      <w:r w:rsidRPr="004F0794">
        <w:rPr>
          <w:rStyle w:val="Emphasis"/>
        </w:rPr>
        <w:t>Fountain University Law Journal</w:t>
      </w:r>
      <w:r w:rsidRPr="004F0794">
        <w:t xml:space="preserve"> 69–88 </w:t>
      </w:r>
      <w:hyperlink r:id="rId13" w:history="1">
        <w:r w:rsidRPr="004F0794">
          <w:rPr>
            <w:rStyle w:val="Hyperlink"/>
          </w:rPr>
          <w:t>https://doi.org/10.53704/qmawkd31</w:t>
        </w:r>
      </w:hyperlink>
      <w:r w:rsidRPr="004F0794">
        <w:t xml:space="preserve"> accessed 12 January 2026.</w:t>
      </w:r>
    </w:p>
    <w:p w:rsidR="00F22632" w:rsidRPr="004F0794" w:rsidRDefault="00F22632" w:rsidP="00F22632">
      <w:pPr>
        <w:pStyle w:val="NormalWeb"/>
      </w:pPr>
      <w:r w:rsidRPr="004F0794">
        <w:lastRenderedPageBreak/>
        <w:t xml:space="preserve">Adeniyi, O and Jolaosho, T O, ‘How Practice of Customary Marriage is Navigating Uncharted Waters of the Law in Nigeria’ [2025] (9)(5) </w:t>
      </w:r>
      <w:r w:rsidRPr="004F0794">
        <w:rPr>
          <w:rStyle w:val="Emphasis"/>
        </w:rPr>
        <w:t>Irish International Journal of Law, Political Sciences and Administration</w:t>
      </w:r>
      <w:r w:rsidRPr="004F0794">
        <w:t xml:space="preserve"> 30–50 </w:t>
      </w:r>
      <w:hyperlink r:id="rId14" w:history="1">
        <w:r w:rsidRPr="004F0794">
          <w:rPr>
            <w:rStyle w:val="Hyperlink"/>
          </w:rPr>
          <w:t>https://doi.org/10.5281/zenodo.17078854</w:t>
        </w:r>
      </w:hyperlink>
      <w:r w:rsidRPr="004F0794">
        <w:t xml:space="preserve"> accessed 10 January 2026.</w:t>
      </w:r>
    </w:p>
    <w:p w:rsidR="00F22632" w:rsidRPr="004F0794" w:rsidRDefault="00F22632" w:rsidP="00F22632">
      <w:pPr>
        <w:pStyle w:val="NormalWeb"/>
      </w:pPr>
      <w:r w:rsidRPr="004F0794">
        <w:t xml:space="preserve">Attah, M and Iyamu-Ojo, E, ‘Who Is My Child?—Implications of Judicial Rejection of Commune-Cultural Conceptions of the Family for Children’s Welfare in Nigeria’ [2021] (12)(2) </w:t>
      </w:r>
      <w:r w:rsidRPr="004F0794">
        <w:rPr>
          <w:rStyle w:val="Emphasis"/>
        </w:rPr>
        <w:t>Beijing Law Review</w:t>
      </w:r>
      <w:r w:rsidRPr="004F0794">
        <w:t xml:space="preserve"> 463–484 </w:t>
      </w:r>
      <w:hyperlink r:id="rId15" w:history="1">
        <w:r w:rsidRPr="004F0794">
          <w:rPr>
            <w:rStyle w:val="Hyperlink"/>
          </w:rPr>
          <w:t>https://doi.org/10.4236/blr.2021.122026</w:t>
        </w:r>
      </w:hyperlink>
      <w:r w:rsidRPr="004F0794">
        <w:t xml:space="preserve"> accessed 18 June 2026.</w:t>
      </w:r>
    </w:p>
    <w:p w:rsidR="00F22632" w:rsidRPr="004F0794" w:rsidRDefault="00F22632" w:rsidP="00F22632">
      <w:pPr>
        <w:pStyle w:val="NormalWeb"/>
      </w:pPr>
      <w:r w:rsidRPr="004F0794">
        <w:t xml:space="preserve">Bell, D, ‘Defining Marriage and Legitimacy’ [1997] (38)(2) </w:t>
      </w:r>
      <w:r w:rsidRPr="004F0794">
        <w:rPr>
          <w:rStyle w:val="Emphasis"/>
        </w:rPr>
        <w:t>Current Anthropology</w:t>
      </w:r>
      <w:r w:rsidRPr="004F0794">
        <w:t xml:space="preserve"> 237–253.</w:t>
      </w:r>
    </w:p>
    <w:p w:rsidR="00F22632" w:rsidRPr="004F0794" w:rsidRDefault="00F22632" w:rsidP="00F22632">
      <w:pPr>
        <w:pStyle w:val="NormalWeb"/>
      </w:pPr>
      <w:r w:rsidRPr="004F0794">
        <w:t xml:space="preserve">Braimah, T S, ‘Child Marriage in Northern Nigeria: Section 61 of Part I of the 1999 Constitution and the Protection of Children against Child Marriage’ [2014] (14)(2) </w:t>
      </w:r>
      <w:r w:rsidRPr="004F0794">
        <w:rPr>
          <w:rStyle w:val="Emphasis"/>
        </w:rPr>
        <w:t>African Human Rights Law Journal</w:t>
      </w:r>
      <w:r w:rsidRPr="004F0794">
        <w:t xml:space="preserve"> 474–488 </w:t>
      </w:r>
      <w:hyperlink r:id="rId16" w:history="1">
        <w:r w:rsidRPr="004F0794">
          <w:rPr>
            <w:rStyle w:val="Hyperlink"/>
          </w:rPr>
          <w:t>https://www.saflii.org/za/journals/AHRLJ/2014/24.pdf</w:t>
        </w:r>
      </w:hyperlink>
      <w:r w:rsidRPr="004F0794">
        <w:t xml:space="preserve"> accessed 13 February 2026.</w:t>
      </w:r>
    </w:p>
    <w:p w:rsidR="00F22632" w:rsidRPr="004F0794" w:rsidRDefault="00F22632" w:rsidP="00F22632">
      <w:pPr>
        <w:pStyle w:val="NormalWeb"/>
      </w:pPr>
      <w:r w:rsidRPr="004F0794">
        <w:t xml:space="preserve">Byron, I P, ‘Protection of Women under Customary Law in Nigeria: Taking a Cue from South Africa’ [2021] (3)(1) </w:t>
      </w:r>
      <w:r w:rsidRPr="004F0794">
        <w:rPr>
          <w:rStyle w:val="Emphasis"/>
        </w:rPr>
        <w:t>International Review of Law and Jurisprudence</w:t>
      </w:r>
      <w:r w:rsidRPr="004F0794">
        <w:t xml:space="preserve"> 96–105.</w:t>
      </w:r>
    </w:p>
    <w:p w:rsidR="00F22632" w:rsidRPr="004F0794" w:rsidRDefault="00F22632" w:rsidP="00F22632">
      <w:pPr>
        <w:pStyle w:val="NormalWeb"/>
      </w:pPr>
      <w:r w:rsidRPr="004F0794">
        <w:t xml:space="preserve">Byron, I P and Ajagunna, F O, ‘The Rights of Women to the Custody of Children under Indigenous Customary Law: The Role of the University of Ibadan Women’s Law Clinic’ [2025] (2)(1) </w:t>
      </w:r>
      <w:r w:rsidRPr="004F0794">
        <w:rPr>
          <w:rStyle w:val="Emphasis"/>
        </w:rPr>
        <w:t>Nnamdi Azikiwe University Journal of Private and Property Law</w:t>
      </w:r>
      <w:r w:rsidRPr="004F0794">
        <w:t xml:space="preserve"> 138–147.</w:t>
      </w:r>
    </w:p>
    <w:p w:rsidR="00F22632" w:rsidRPr="004F0794" w:rsidRDefault="00F22632" w:rsidP="00F22632">
      <w:pPr>
        <w:pStyle w:val="NormalWeb"/>
      </w:pPr>
      <w:r w:rsidRPr="004F0794">
        <w:t xml:space="preserve">Chinwuba, N N and Ukam, I P, ‘Colourful and Fascinating: Engaging the Theoretical Legal Framework of African Customary Marriage’ [2020] (2)(3) </w:t>
      </w:r>
      <w:r w:rsidRPr="004F0794">
        <w:rPr>
          <w:rStyle w:val="Emphasis"/>
        </w:rPr>
        <w:t>International Journal of Comparative Law and Legal Philosophy</w:t>
      </w:r>
      <w:r w:rsidRPr="004F0794">
        <w:t xml:space="preserve"> 149–157 </w:t>
      </w:r>
      <w:hyperlink r:id="rId17" w:history="1">
        <w:r w:rsidRPr="004F0794">
          <w:rPr>
            <w:rStyle w:val="Hyperlink"/>
          </w:rPr>
          <w:t>https://nigerianjournalsonline.org/index.php/IJOCLLEP/article/download/4823/4509</w:t>
        </w:r>
      </w:hyperlink>
      <w:r w:rsidRPr="004F0794">
        <w:t xml:space="preserve"> accessed 18 June 2026.</w:t>
      </w:r>
    </w:p>
    <w:p w:rsidR="00F22632" w:rsidRPr="004F0794" w:rsidRDefault="00F22632" w:rsidP="00F22632">
      <w:pPr>
        <w:pStyle w:val="NormalWeb"/>
      </w:pPr>
      <w:r w:rsidRPr="004F0794">
        <w:t xml:space="preserve">Diala, J C, ‘Normative Motivations and Constructions: Reflections on Bridewealth Payment in Africa’ [2025] (12) </w:t>
      </w:r>
      <w:r w:rsidRPr="004F0794">
        <w:rPr>
          <w:rStyle w:val="Emphasis"/>
        </w:rPr>
        <w:t>Journal of Law, Society and Development</w:t>
      </w:r>
      <w:r w:rsidRPr="004F0794">
        <w:t xml:space="preserve"> 1–24 </w:t>
      </w:r>
      <w:hyperlink r:id="rId18" w:history="1">
        <w:r w:rsidRPr="004F0794">
          <w:rPr>
            <w:rStyle w:val="Hyperlink"/>
          </w:rPr>
          <w:t>https://doi.org/10.25159/2520-9515/16952</w:t>
        </w:r>
      </w:hyperlink>
      <w:r w:rsidRPr="004F0794">
        <w:t xml:space="preserve"> accessed 9 December 2025.</w:t>
      </w:r>
    </w:p>
    <w:p w:rsidR="00F22632" w:rsidRPr="004F0794" w:rsidRDefault="00F22632" w:rsidP="00F22632">
      <w:pPr>
        <w:pStyle w:val="NormalWeb"/>
      </w:pPr>
      <w:r w:rsidRPr="004F0794">
        <w:t xml:space="preserve">Enabulele, A O and Bazuaye, B, ‘Validity and Enforceability of Customary Law in Nigeria: Towards a Correct Delimitation of the Province of the Courts’ [2019] (63)(1) </w:t>
      </w:r>
      <w:r w:rsidRPr="004F0794">
        <w:rPr>
          <w:rStyle w:val="Emphasis"/>
        </w:rPr>
        <w:t>Journal of African Law</w:t>
      </w:r>
      <w:r w:rsidRPr="004F0794">
        <w:t xml:space="preserve"> 79–104 </w:t>
      </w:r>
      <w:hyperlink r:id="rId19" w:history="1">
        <w:r w:rsidRPr="004F0794">
          <w:rPr>
            <w:rStyle w:val="Hyperlink"/>
          </w:rPr>
          <w:t>https://doi.org/10.1017/S002185531800030X</w:t>
        </w:r>
      </w:hyperlink>
      <w:r w:rsidRPr="004F0794">
        <w:t xml:space="preserve"> accessed 5 February 2026.</w:t>
      </w:r>
    </w:p>
    <w:p w:rsidR="00F22632" w:rsidRPr="004F0794" w:rsidRDefault="00F22632" w:rsidP="00F22632">
      <w:pPr>
        <w:pStyle w:val="NormalWeb"/>
      </w:pPr>
      <w:r w:rsidRPr="004F0794">
        <w:t xml:space="preserve">Eniola, B O and Aremo, J I, ‘Bride Price and Sexual and Reproductive Rights of Women: A Case Study of South Africa and Nigeria’ [2020] (96) </w:t>
      </w:r>
      <w:r w:rsidRPr="004F0794">
        <w:rPr>
          <w:rStyle w:val="Emphasis"/>
        </w:rPr>
        <w:t>Journal of Law, Policy and Globalization</w:t>
      </w:r>
      <w:r w:rsidRPr="004F0794">
        <w:t xml:space="preserve"> 26–33 </w:t>
      </w:r>
      <w:hyperlink r:id="rId20" w:history="1">
        <w:r w:rsidRPr="004F0794">
          <w:rPr>
            <w:rStyle w:val="Hyperlink"/>
          </w:rPr>
          <w:t>https://www.iiste.org/Journals/index.php/JLPG/article/view/52490</w:t>
        </w:r>
      </w:hyperlink>
      <w:r w:rsidRPr="004F0794">
        <w:t xml:space="preserve"> accessed 18 June 2026.</w:t>
      </w:r>
    </w:p>
    <w:p w:rsidR="00F22632" w:rsidRPr="004F0794" w:rsidRDefault="00F22632" w:rsidP="00F22632">
      <w:pPr>
        <w:pStyle w:val="NormalWeb"/>
      </w:pPr>
      <w:r w:rsidRPr="004F0794">
        <w:t xml:space="preserve">Griffiths, J, ‘What is Legal Pluralism?’ [1986] (18)(24) </w:t>
      </w:r>
      <w:r w:rsidRPr="004F0794">
        <w:rPr>
          <w:rStyle w:val="Emphasis"/>
        </w:rPr>
        <w:t>Journal of Legal Pluralism and Unofficial Law</w:t>
      </w:r>
      <w:r w:rsidRPr="004F0794">
        <w:t xml:space="preserve"> 1–55.</w:t>
      </w:r>
    </w:p>
    <w:p w:rsidR="00F22632" w:rsidRPr="004F0794" w:rsidRDefault="00F22632" w:rsidP="00F22632">
      <w:pPr>
        <w:pStyle w:val="NormalWeb"/>
      </w:pPr>
      <w:r w:rsidRPr="004F0794">
        <w:t xml:space="preserve">Holmes, O W, ‘The Path of the Law’ [1897] (10)(8) </w:t>
      </w:r>
      <w:r w:rsidRPr="004F0794">
        <w:rPr>
          <w:rStyle w:val="Emphasis"/>
        </w:rPr>
        <w:t>Harvard Law Review</w:t>
      </w:r>
      <w:r w:rsidRPr="004F0794">
        <w:t xml:space="preserve"> 457–478.</w:t>
      </w:r>
    </w:p>
    <w:p w:rsidR="00F22632" w:rsidRPr="004F0794" w:rsidRDefault="00F22632" w:rsidP="00F22632">
      <w:pPr>
        <w:pStyle w:val="NormalWeb"/>
      </w:pPr>
      <w:r w:rsidRPr="004F0794">
        <w:lastRenderedPageBreak/>
        <w:t xml:space="preserve">Izuka, T P, ‘Dissolution of Customary and Statutory Marriages with a Single “Stroke”’ [2024] (7)(1) </w:t>
      </w:r>
      <w:r w:rsidRPr="004F0794">
        <w:rPr>
          <w:rStyle w:val="Emphasis"/>
        </w:rPr>
        <w:t>African Journal of Law, Political Research and Administration</w:t>
      </w:r>
      <w:r w:rsidRPr="004F0794">
        <w:t xml:space="preserve"> 66–78 </w:t>
      </w:r>
      <w:hyperlink r:id="rId21" w:history="1">
        <w:r w:rsidRPr="004F0794">
          <w:rPr>
            <w:rStyle w:val="Hyperlink"/>
          </w:rPr>
          <w:t>https://doi.org/10.52589/AJLPRA-3RVIGXUQ</w:t>
        </w:r>
      </w:hyperlink>
      <w:r w:rsidRPr="004F0794">
        <w:t xml:space="preserve"> accessed 14 December 2025.</w:t>
      </w:r>
    </w:p>
    <w:p w:rsidR="00F22632" w:rsidRPr="004F0794" w:rsidRDefault="00F22632" w:rsidP="00F22632">
      <w:pPr>
        <w:pStyle w:val="NormalWeb"/>
      </w:pPr>
      <w:r w:rsidRPr="004F0794">
        <w:t xml:space="preserve">Jonah, G, ‘A Comparative Analysis of Statutory and Customary Marriages in Nigeria: Human Rights Implications’ [2025] </w:t>
      </w:r>
      <w:r w:rsidRPr="004F0794">
        <w:rPr>
          <w:rStyle w:val="Emphasis"/>
        </w:rPr>
        <w:t>SSRN E-Journal</w:t>
      </w:r>
      <w:r w:rsidRPr="004F0794">
        <w:t xml:space="preserve"> </w:t>
      </w:r>
      <w:hyperlink r:id="rId22" w:history="1">
        <w:r w:rsidRPr="004F0794">
          <w:rPr>
            <w:rStyle w:val="Hyperlink"/>
          </w:rPr>
          <w:t>https://ssrn.com/abstract=5381487</w:t>
        </w:r>
      </w:hyperlink>
      <w:r w:rsidRPr="004F0794">
        <w:t xml:space="preserve"> accessed 12 December 2025.</w:t>
      </w:r>
    </w:p>
    <w:p w:rsidR="00F22632" w:rsidRPr="004F0794" w:rsidRDefault="00F22632" w:rsidP="00F22632">
      <w:pPr>
        <w:pStyle w:val="NormalWeb"/>
      </w:pPr>
      <w:r w:rsidRPr="004F0794">
        <w:t xml:space="preserve">Moore, S F, ‘Law and Social Change: The Semi-Autonomous Social Field as an Appropriate Subject of Study’ [1973] (7)(4) </w:t>
      </w:r>
      <w:r w:rsidRPr="004F0794">
        <w:rPr>
          <w:rStyle w:val="Emphasis"/>
        </w:rPr>
        <w:t>Law &amp; Society Review</w:t>
      </w:r>
      <w:r w:rsidRPr="004F0794">
        <w:t xml:space="preserve"> 719–746.</w:t>
      </w:r>
    </w:p>
    <w:p w:rsidR="00F22632" w:rsidRPr="004F0794" w:rsidRDefault="00F22632" w:rsidP="00F22632">
      <w:pPr>
        <w:pStyle w:val="NormalWeb"/>
      </w:pPr>
      <w:r w:rsidRPr="004F0794">
        <w:t xml:space="preserve">Nwaechefu, H, ‘The Subjection of Customary Laws to Repugnancy Tests by Nigerian Courts: The Need to Broaden the Horizon’ [2017] (3)(6) </w:t>
      </w:r>
      <w:r w:rsidRPr="004F0794">
        <w:rPr>
          <w:rStyle w:val="Emphasis"/>
        </w:rPr>
        <w:t>International Journal of Law</w:t>
      </w:r>
      <w:r w:rsidRPr="004F0794">
        <w:t xml:space="preserve"> 70–74 </w:t>
      </w:r>
      <w:hyperlink r:id="rId23" w:history="1">
        <w:r w:rsidRPr="004F0794">
          <w:rPr>
            <w:rStyle w:val="Hyperlink"/>
          </w:rPr>
          <w:t>https://www.lawjournals.org/assets/archives/2017/vol3issue6/3-6-15-612.pdf</w:t>
        </w:r>
      </w:hyperlink>
      <w:r w:rsidRPr="004F0794">
        <w:t xml:space="preserve"> accessed 18 June 2026.</w:t>
      </w:r>
    </w:p>
    <w:p w:rsidR="00F22632" w:rsidRPr="004F0794" w:rsidRDefault="00F22632" w:rsidP="00F22632">
      <w:pPr>
        <w:pStyle w:val="NormalWeb"/>
      </w:pPr>
      <w:r w:rsidRPr="004F0794">
        <w:t xml:space="preserve">Nwaocha, M E, ‘Customary Law, Social Development and Administration of Justice in Nigeria’ [2016] (4)(9) </w:t>
      </w:r>
      <w:r w:rsidRPr="004F0794">
        <w:rPr>
          <w:rStyle w:val="Emphasis"/>
        </w:rPr>
        <w:t>Beijing Law Review</w:t>
      </w:r>
      <w:r w:rsidRPr="004F0794">
        <w:t xml:space="preserve"> 430–442 </w:t>
      </w:r>
      <w:hyperlink r:id="rId24" w:history="1">
        <w:r w:rsidRPr="004F0794">
          <w:rPr>
            <w:rStyle w:val="Hyperlink"/>
          </w:rPr>
          <w:t>https://www.scirp.org/journal/paperinformation?paperid=73207</w:t>
        </w:r>
      </w:hyperlink>
      <w:r w:rsidRPr="004F0794">
        <w:t xml:space="preserve"> accessed 6 February 2026.</w:t>
      </w:r>
    </w:p>
    <w:p w:rsidR="00F22632" w:rsidRPr="004F0794" w:rsidRDefault="00F22632" w:rsidP="00F22632">
      <w:pPr>
        <w:pStyle w:val="NormalWeb"/>
      </w:pPr>
      <w:r w:rsidRPr="004F0794">
        <w:t xml:space="preserve">Oba, A A, ‘Lawyers, Legal Education and the Shari’ah Courts in Nigeria’ [2004] (49) </w:t>
      </w:r>
      <w:r w:rsidRPr="004F0794">
        <w:rPr>
          <w:rStyle w:val="Emphasis"/>
        </w:rPr>
        <w:t>Journal of Legal Pluralism and Unofficial Law</w:t>
      </w:r>
      <w:r w:rsidRPr="004F0794">
        <w:t xml:space="preserve"> 113–161 </w:t>
      </w:r>
      <w:hyperlink r:id="rId25" w:history="1">
        <w:r w:rsidRPr="004F0794">
          <w:rPr>
            <w:rStyle w:val="Hyperlink"/>
          </w:rPr>
          <w:t>https://doi.org/10.1080/07329113.2004.10756575</w:t>
        </w:r>
      </w:hyperlink>
      <w:r w:rsidRPr="004F0794">
        <w:t xml:space="preserve"> accessed 14 January 2026.</w:t>
      </w:r>
    </w:p>
    <w:p w:rsidR="00F22632" w:rsidRPr="004F0794" w:rsidRDefault="00F22632" w:rsidP="00F22632">
      <w:pPr>
        <w:pStyle w:val="NormalWeb"/>
      </w:pPr>
      <w:r w:rsidRPr="004F0794">
        <w:t xml:space="preserve">Obi, H O, ‘Legal and Institutional Framework for Promotion of Rights of Women in Double-Decker Marriages in Nigeria’ [2024] (1)(2) </w:t>
      </w:r>
      <w:r w:rsidRPr="004F0794">
        <w:rPr>
          <w:rStyle w:val="Emphasis"/>
        </w:rPr>
        <w:t>Nnamdi Azikiwe University Journal of Human Rights Law</w:t>
      </w:r>
      <w:r w:rsidRPr="004F0794">
        <w:t xml:space="preserve"> 66–74 </w:t>
      </w:r>
      <w:hyperlink r:id="rId26" w:history="1">
        <w:r w:rsidRPr="004F0794">
          <w:rPr>
            <w:rStyle w:val="Hyperlink"/>
          </w:rPr>
          <w:t>https://www.nigerianjournalsonline.com/index.php/JHRL/article/view/5405</w:t>
        </w:r>
      </w:hyperlink>
      <w:r w:rsidRPr="004F0794">
        <w:t xml:space="preserve"> accessed 12 January 2026.</w:t>
      </w:r>
    </w:p>
    <w:p w:rsidR="00F22632" w:rsidRPr="004F0794" w:rsidRDefault="00F22632" w:rsidP="00F22632">
      <w:pPr>
        <w:pStyle w:val="NormalWeb"/>
      </w:pPr>
      <w:r w:rsidRPr="004F0794">
        <w:t xml:space="preserve">Oboko, U G and Ifeanyichukwu, A C, ‘Genderized Implications of Bride Pricing Culture in Igbo Land: A Sociolinguistic Study’ [2021] (12)(2) </w:t>
      </w:r>
      <w:r w:rsidRPr="004F0794">
        <w:rPr>
          <w:rStyle w:val="Emphasis"/>
        </w:rPr>
        <w:t>Lingual: Journal of Language and Culture</w:t>
      </w:r>
      <w:r w:rsidRPr="004F0794">
        <w:t xml:space="preserve"> 28–39 </w:t>
      </w:r>
      <w:hyperlink r:id="rId27" w:history="1">
        <w:r w:rsidRPr="004F0794">
          <w:rPr>
            <w:rStyle w:val="Hyperlink"/>
          </w:rPr>
          <w:t>https://doi.org/10.24843/LJLC.2021.v12.i02.p05</w:t>
        </w:r>
      </w:hyperlink>
      <w:r w:rsidRPr="004F0794">
        <w:t xml:space="preserve"> accessed 12 February 2026.</w:t>
      </w:r>
    </w:p>
    <w:p w:rsidR="00F22632" w:rsidRPr="004F0794" w:rsidRDefault="00F22632" w:rsidP="00F22632">
      <w:pPr>
        <w:pStyle w:val="NormalWeb"/>
      </w:pPr>
      <w:r w:rsidRPr="004F0794">
        <w:t xml:space="preserve">Okeke-Ogugua, C A, ‘The Uncertainty Poised by “Double-Deck” Marriage in Nigeria’ [2021] (1)(1) </w:t>
      </w:r>
      <w:r w:rsidRPr="004F0794">
        <w:rPr>
          <w:rStyle w:val="Emphasis"/>
        </w:rPr>
        <w:t>Nigerian Current Law Review</w:t>
      </w:r>
      <w:r w:rsidRPr="004F0794">
        <w:t xml:space="preserve"> 275–297.</w:t>
      </w:r>
    </w:p>
    <w:p w:rsidR="00F22632" w:rsidRPr="004F0794" w:rsidRDefault="00F22632" w:rsidP="00F22632">
      <w:pPr>
        <w:pStyle w:val="NormalWeb"/>
      </w:pPr>
      <w:r w:rsidRPr="004F0794">
        <w:t xml:space="preserve">Omotuyi, O Y, ‘Customary Practices and the Conflict with Law: Case Study of Marriage under Selected Native Laws and Customs in Nigeria’ [2019] (7)(1) </w:t>
      </w:r>
      <w:r w:rsidRPr="004F0794">
        <w:rPr>
          <w:rStyle w:val="Emphasis"/>
        </w:rPr>
        <w:t>ABUAD Law Journal</w:t>
      </w:r>
      <w:r w:rsidRPr="004F0794">
        <w:t xml:space="preserve"> 223–244 </w:t>
      </w:r>
      <w:hyperlink r:id="rId28" w:history="1">
        <w:r w:rsidRPr="004F0794">
          <w:rPr>
            <w:rStyle w:val="Hyperlink"/>
          </w:rPr>
          <w:t>https://doi.org/10.53982/alj.2019.0701.10-j</w:t>
        </w:r>
      </w:hyperlink>
      <w:r w:rsidRPr="004F0794">
        <w:t xml:space="preserve"> accessed 12 January 2026.</w:t>
      </w:r>
    </w:p>
    <w:p w:rsidR="00F22632" w:rsidRPr="004F0794" w:rsidRDefault="00F22632" w:rsidP="00F22632">
      <w:pPr>
        <w:pStyle w:val="NormalWeb"/>
      </w:pPr>
      <w:r w:rsidRPr="004F0794">
        <w:t xml:space="preserve">Princewill, C W, Wangmo, T, Jegede, A S, Riecher-Rossler, A and Elger, B S, ‘Bride Price Payment and Women’s Autonomy: Findings from Qualitative Interviews from Nigeria’ [2019] (59)(7) </w:t>
      </w:r>
      <w:r w:rsidRPr="004F0794">
        <w:rPr>
          <w:rStyle w:val="Emphasis"/>
        </w:rPr>
        <w:t>Women &amp; Health</w:t>
      </w:r>
      <w:r w:rsidRPr="004F0794">
        <w:t xml:space="preserve"> 775–788 </w:t>
      </w:r>
      <w:hyperlink r:id="rId29" w:history="1">
        <w:r w:rsidRPr="004F0794">
          <w:rPr>
            <w:rStyle w:val="Hyperlink"/>
          </w:rPr>
          <w:t>https://doi.org/10.1080/03630242.2018.1549645</w:t>
        </w:r>
      </w:hyperlink>
      <w:r w:rsidRPr="004F0794">
        <w:t xml:space="preserve"> accessed 9 December 2025.</w:t>
      </w:r>
    </w:p>
    <w:p w:rsidR="00F22632" w:rsidRPr="004F0794" w:rsidRDefault="00F22632" w:rsidP="00F22632">
      <w:pPr>
        <w:pStyle w:val="NormalWeb"/>
      </w:pPr>
      <w:r w:rsidRPr="004F0794">
        <w:t xml:space="preserve">Wiwoloku, M N, ‘The Role of Customary Law in the Nigerian Judicial System’ [2025] (5)(2) </w:t>
      </w:r>
      <w:r w:rsidRPr="004F0794">
        <w:rPr>
          <w:rStyle w:val="Emphasis"/>
        </w:rPr>
        <w:t>The Obafemi Awolowo University Law Journal</w:t>
      </w:r>
      <w:r w:rsidRPr="004F0794">
        <w:t xml:space="preserve"> 134–146 </w:t>
      </w:r>
      <w:hyperlink r:id="rId30" w:history="1">
        <w:r w:rsidRPr="004F0794">
          <w:rPr>
            <w:rStyle w:val="Hyperlink"/>
          </w:rPr>
          <w:t>https://oaulj.oauife.edu.ng/index.php/oaulj/article/view/13</w:t>
        </w:r>
      </w:hyperlink>
      <w:r w:rsidRPr="004F0794">
        <w:t xml:space="preserve"> accessed 11 January 2026.</w:t>
      </w:r>
    </w:p>
    <w:p w:rsidR="00F22632" w:rsidRPr="004F0794" w:rsidRDefault="00F22632" w:rsidP="00F22632">
      <w:pPr>
        <w:pStyle w:val="NormalWeb"/>
        <w:rPr>
          <w:b/>
        </w:rPr>
      </w:pPr>
      <w:r w:rsidRPr="004F0794">
        <w:rPr>
          <w:b/>
        </w:rPr>
        <w:lastRenderedPageBreak/>
        <w:t>Internet Materials</w:t>
      </w:r>
    </w:p>
    <w:p w:rsidR="00F22632" w:rsidRPr="004F0794" w:rsidRDefault="00F22632" w:rsidP="00F22632">
      <w:pPr>
        <w:pStyle w:val="NormalWeb"/>
      </w:pPr>
      <w:r w:rsidRPr="004F0794">
        <w:t>Ajetomobi, D A, ‘Customary Marriages in Nigeria’ (</w:t>
      </w:r>
      <w:r w:rsidRPr="004F0794">
        <w:rPr>
          <w:rStyle w:val="Emphasis"/>
        </w:rPr>
        <w:t>The Nigeria Lawyer</w:t>
      </w:r>
      <w:r w:rsidRPr="004F0794">
        <w:t xml:space="preserve">, 1 May 2024) </w:t>
      </w:r>
      <w:hyperlink r:id="rId31" w:history="1">
        <w:r w:rsidRPr="004F0794">
          <w:rPr>
            <w:rStyle w:val="Hyperlink"/>
          </w:rPr>
          <w:t>https://thenigerialawyer.com/customary-marriages-in-nigeria-3/</w:t>
        </w:r>
      </w:hyperlink>
      <w:r w:rsidRPr="004F0794">
        <w:t xml:space="preserve"> accessed 18 June 2026.</w:t>
      </w:r>
    </w:p>
    <w:p w:rsidR="00F22632" w:rsidRPr="004F0794" w:rsidRDefault="00F22632" w:rsidP="00F22632">
      <w:pPr>
        <w:pStyle w:val="NormalWeb"/>
      </w:pPr>
      <w:r w:rsidRPr="004F0794">
        <w:t>Oniha, B E, ‘Grounds for Dissolution of Customary Marriages in Nigeria’ (</w:t>
      </w:r>
      <w:r w:rsidRPr="004F0794">
        <w:rPr>
          <w:rStyle w:val="Emphasis"/>
        </w:rPr>
        <w:t>Edo State Judiciary</w:t>
      </w:r>
      <w:r w:rsidRPr="004F0794">
        <w:t xml:space="preserve">, 2021) </w:t>
      </w:r>
      <w:hyperlink r:id="rId32" w:history="1">
        <w:r w:rsidRPr="004F0794">
          <w:rPr>
            <w:rStyle w:val="Hyperlink"/>
          </w:rPr>
          <w:t>https://edojudiciary.gov.ng/wp-content/uploads/2021/11/GROUNDS-FOR-DISSOLUTION-OF-CUSTOMARY-MARRIAGES-IN-NIGERIA.pdf</w:t>
        </w:r>
      </w:hyperlink>
      <w:r w:rsidRPr="004F0794">
        <w:t xml:space="preserve"> accessed 11 January 2026.</w:t>
      </w:r>
    </w:p>
    <w:p w:rsidR="00F22632" w:rsidRPr="004F0794" w:rsidRDefault="00F22632" w:rsidP="00F22632">
      <w:pPr>
        <w:pStyle w:val="NormalWeb"/>
      </w:pPr>
      <w:r w:rsidRPr="004F0794">
        <w:t>Vanguard, ‘High Cost of Traditional Marriage Rites Destroying Marriage Institution in Igbo Land, Cleric Warns’ (</w:t>
      </w:r>
      <w:r w:rsidRPr="004F0794">
        <w:rPr>
          <w:rStyle w:val="Emphasis"/>
        </w:rPr>
        <w:t>Vanguard</w:t>
      </w:r>
      <w:r w:rsidRPr="004F0794">
        <w:t xml:space="preserve">, 13 August 2025) </w:t>
      </w:r>
      <w:hyperlink r:id="rId33" w:history="1">
        <w:r w:rsidRPr="004F0794">
          <w:rPr>
            <w:rStyle w:val="Hyperlink"/>
          </w:rPr>
          <w:t>https://www.vanguardngr.com/2025/08/high-cost-of-traditional-marriage-rites-destroying-marriage-institution-in-igbo-land-cleric-warns/</w:t>
        </w:r>
      </w:hyperlink>
      <w:r w:rsidRPr="004F0794">
        <w:t xml:space="preserve"> accessed 13 March 2026.</w:t>
      </w:r>
    </w:p>
    <w:p w:rsidR="005708B6" w:rsidRPr="004F0794" w:rsidRDefault="005708B6">
      <w:pPr>
        <w:rPr>
          <w:rFonts w:ascii="Times New Roman" w:hAnsi="Times New Roman" w:cs="Times New Roman"/>
          <w:sz w:val="24"/>
          <w:szCs w:val="24"/>
        </w:rPr>
      </w:pPr>
    </w:p>
    <w:p w:rsidR="001C75F8" w:rsidRPr="004F0794" w:rsidRDefault="001C75F8">
      <w:pPr>
        <w:rPr>
          <w:rFonts w:ascii="Times New Roman" w:hAnsi="Times New Roman" w:cs="Times New Roman"/>
          <w:sz w:val="24"/>
          <w:szCs w:val="24"/>
        </w:rPr>
      </w:pPr>
    </w:p>
    <w:p w:rsidR="001C75F8" w:rsidRPr="004F0794" w:rsidRDefault="001C75F8">
      <w:pPr>
        <w:rPr>
          <w:rFonts w:ascii="Times New Roman" w:hAnsi="Times New Roman" w:cs="Times New Roman"/>
          <w:sz w:val="24"/>
          <w:szCs w:val="24"/>
        </w:rPr>
      </w:pPr>
    </w:p>
    <w:p w:rsidR="005708B6" w:rsidRPr="004F0794" w:rsidRDefault="005708B6">
      <w:pPr>
        <w:rPr>
          <w:rFonts w:ascii="Times New Roman" w:hAnsi="Times New Roman" w:cs="Times New Roman"/>
          <w:sz w:val="24"/>
          <w:szCs w:val="24"/>
        </w:rPr>
      </w:pPr>
    </w:p>
    <w:sectPr w:rsidR="005708B6" w:rsidRPr="004F0794" w:rsidSect="00A41A1D">
      <w:headerReference w:type="default" r:id="rId34"/>
      <w:footerReference w:type="default" r:id="rId35"/>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B3A" w:rsidRDefault="00101B3A" w:rsidP="00860B99">
      <w:pPr>
        <w:spacing w:after="0" w:line="240" w:lineRule="auto"/>
      </w:pPr>
      <w:r>
        <w:separator/>
      </w:r>
    </w:p>
  </w:endnote>
  <w:endnote w:type="continuationSeparator" w:id="1">
    <w:p w:rsidR="00101B3A" w:rsidRDefault="00101B3A" w:rsidP="00860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758822664"/>
      <w:docPartObj>
        <w:docPartGallery w:val="Page Numbers (Bottom of Page)"/>
        <w:docPartUnique/>
      </w:docPartObj>
    </w:sdtPr>
    <w:sdtContent>
      <w:p w:rsidR="00A41A1D" w:rsidRPr="00A41A1D" w:rsidRDefault="000B0655">
        <w:pPr>
          <w:pStyle w:val="Footer"/>
          <w:jc w:val="center"/>
          <w:rPr>
            <w:rFonts w:ascii="Times New Roman" w:hAnsi="Times New Roman" w:cs="Times New Roman"/>
            <w:sz w:val="24"/>
            <w:szCs w:val="24"/>
          </w:rPr>
        </w:pPr>
        <w:r w:rsidRPr="00A41A1D">
          <w:rPr>
            <w:rFonts w:ascii="Times New Roman" w:hAnsi="Times New Roman" w:cs="Times New Roman"/>
            <w:sz w:val="24"/>
            <w:szCs w:val="24"/>
          </w:rPr>
          <w:fldChar w:fldCharType="begin"/>
        </w:r>
        <w:r w:rsidR="00A41A1D" w:rsidRPr="00A41A1D">
          <w:rPr>
            <w:rFonts w:ascii="Times New Roman" w:hAnsi="Times New Roman" w:cs="Times New Roman"/>
            <w:sz w:val="24"/>
            <w:szCs w:val="24"/>
          </w:rPr>
          <w:instrText xml:space="preserve"> PAGE   \* MERGEFORMAT </w:instrText>
        </w:r>
        <w:r w:rsidRPr="00A41A1D">
          <w:rPr>
            <w:rFonts w:ascii="Times New Roman" w:hAnsi="Times New Roman" w:cs="Times New Roman"/>
            <w:sz w:val="24"/>
            <w:szCs w:val="24"/>
          </w:rPr>
          <w:fldChar w:fldCharType="separate"/>
        </w:r>
        <w:r w:rsidR="00FB0790">
          <w:rPr>
            <w:rFonts w:ascii="Times New Roman" w:hAnsi="Times New Roman" w:cs="Times New Roman"/>
            <w:noProof/>
            <w:sz w:val="24"/>
            <w:szCs w:val="24"/>
          </w:rPr>
          <w:t>xi</w:t>
        </w:r>
        <w:r w:rsidRPr="00A41A1D">
          <w:rPr>
            <w:rFonts w:ascii="Times New Roman" w:hAnsi="Times New Roman" w:cs="Times New Roman"/>
            <w:sz w:val="24"/>
            <w:szCs w:val="24"/>
          </w:rPr>
          <w:fldChar w:fldCharType="end"/>
        </w:r>
      </w:p>
    </w:sdtContent>
  </w:sdt>
  <w:p w:rsidR="00A41A1D" w:rsidRPr="00A41A1D" w:rsidRDefault="00A41A1D">
    <w:pPr>
      <w:pStyle w:val="Footer"/>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758822668"/>
      <w:docPartObj>
        <w:docPartGallery w:val="Page Numbers (Bottom of Page)"/>
        <w:docPartUnique/>
      </w:docPartObj>
    </w:sdtPr>
    <w:sdtContent>
      <w:p w:rsidR="00A41A1D" w:rsidRPr="00A41A1D" w:rsidRDefault="000B0655">
        <w:pPr>
          <w:pStyle w:val="Footer"/>
          <w:jc w:val="center"/>
          <w:rPr>
            <w:rFonts w:ascii="Times New Roman" w:hAnsi="Times New Roman" w:cs="Times New Roman"/>
            <w:sz w:val="24"/>
            <w:szCs w:val="24"/>
          </w:rPr>
        </w:pPr>
        <w:r w:rsidRPr="00A41A1D">
          <w:rPr>
            <w:rFonts w:ascii="Times New Roman" w:hAnsi="Times New Roman" w:cs="Times New Roman"/>
            <w:sz w:val="24"/>
            <w:szCs w:val="24"/>
          </w:rPr>
          <w:fldChar w:fldCharType="begin"/>
        </w:r>
        <w:r w:rsidR="00A41A1D" w:rsidRPr="00A41A1D">
          <w:rPr>
            <w:rFonts w:ascii="Times New Roman" w:hAnsi="Times New Roman" w:cs="Times New Roman"/>
            <w:sz w:val="24"/>
            <w:szCs w:val="24"/>
          </w:rPr>
          <w:instrText xml:space="preserve"> PAGE   \* MERGEFORMAT </w:instrText>
        </w:r>
        <w:r w:rsidRPr="00A41A1D">
          <w:rPr>
            <w:rFonts w:ascii="Times New Roman" w:hAnsi="Times New Roman" w:cs="Times New Roman"/>
            <w:sz w:val="24"/>
            <w:szCs w:val="24"/>
          </w:rPr>
          <w:fldChar w:fldCharType="separate"/>
        </w:r>
        <w:r w:rsidR="00FB0790">
          <w:rPr>
            <w:rFonts w:ascii="Times New Roman" w:hAnsi="Times New Roman" w:cs="Times New Roman"/>
            <w:noProof/>
            <w:sz w:val="24"/>
            <w:szCs w:val="24"/>
          </w:rPr>
          <w:t>71</w:t>
        </w:r>
        <w:r w:rsidRPr="00A41A1D">
          <w:rPr>
            <w:rFonts w:ascii="Times New Roman" w:hAnsi="Times New Roman" w:cs="Times New Roman"/>
            <w:sz w:val="24"/>
            <w:szCs w:val="24"/>
          </w:rPr>
          <w:fldChar w:fldCharType="end"/>
        </w:r>
      </w:p>
    </w:sdtContent>
  </w:sdt>
  <w:p w:rsidR="00A41A1D" w:rsidRPr="00A41A1D" w:rsidRDefault="00A41A1D">
    <w:pPr>
      <w:pStyle w:val="Footer"/>
      <w:rPr>
        <w:rFonts w:ascii="Times New Roman" w:hAnsi="Times New Roman" w:cs="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ADC" w:rsidRPr="00A41A1D" w:rsidRDefault="00126ADC">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B3A" w:rsidRDefault="00101B3A" w:rsidP="00860B99">
      <w:pPr>
        <w:spacing w:after="0" w:line="240" w:lineRule="auto"/>
      </w:pPr>
      <w:r>
        <w:separator/>
      </w:r>
    </w:p>
  </w:footnote>
  <w:footnote w:type="continuationSeparator" w:id="1">
    <w:p w:rsidR="00101B3A" w:rsidRDefault="00101B3A" w:rsidP="00860B99">
      <w:pPr>
        <w:spacing w:after="0" w:line="240" w:lineRule="auto"/>
      </w:pPr>
      <w:r>
        <w:continuationSeparator/>
      </w:r>
    </w:p>
  </w:footnote>
  <w:footnote w:id="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G Jonah, ‘A Comparative Analysis of Statutory and Customary Marriages in Nigeria: Human Rights Implications’ [2025] </w:t>
      </w:r>
      <w:r w:rsidRPr="00E31245">
        <w:rPr>
          <w:rFonts w:ascii="Times New Roman" w:hAnsi="Times New Roman" w:cs="Times New Roman"/>
          <w:i/>
        </w:rPr>
        <w:t>SSRN E-Journal</w:t>
      </w:r>
      <w:r w:rsidRPr="00E31245">
        <w:rPr>
          <w:rFonts w:ascii="Times New Roman" w:hAnsi="Times New Roman" w:cs="Times New Roman"/>
        </w:rPr>
        <w:t xml:space="preserve"> &lt;https://ssrn.com/abstract=5381487&gt; accessed </w:t>
      </w:r>
      <w:r w:rsidR="00E31245">
        <w:rPr>
          <w:rFonts w:ascii="Times New Roman" w:hAnsi="Times New Roman" w:cs="Times New Roman"/>
        </w:rPr>
        <w:t>12 December 2025</w:t>
      </w:r>
      <w:r w:rsidRPr="00E31245">
        <w:rPr>
          <w:rFonts w:ascii="Times New Roman" w:hAnsi="Times New Roman" w:cs="Times New Roman"/>
        </w:rPr>
        <w:t>.</w:t>
      </w:r>
    </w:p>
  </w:footnote>
  <w:footnote w:id="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T P Izuka, ‘Dissolution of Customary and Statutory Marriages with a Single “Stroke”’ [2024] (7)(1) African </w:t>
      </w:r>
      <w:r w:rsidRPr="00E31245">
        <w:rPr>
          <w:rFonts w:ascii="Times New Roman" w:hAnsi="Times New Roman" w:cs="Times New Roman"/>
          <w:i/>
        </w:rPr>
        <w:t>Journal of Law, Political Research and Administration</w:t>
      </w:r>
      <w:r w:rsidRPr="00E31245">
        <w:rPr>
          <w:rFonts w:ascii="Times New Roman" w:hAnsi="Times New Roman" w:cs="Times New Roman"/>
        </w:rPr>
        <w:t xml:space="preserve"> 66–78 &lt;https://doi.org/10.52589/AJLPRA-3RVIGXUQ&gt; accessed </w:t>
      </w:r>
      <w:r w:rsidR="00E31245">
        <w:rPr>
          <w:rFonts w:ascii="Times New Roman" w:hAnsi="Times New Roman" w:cs="Times New Roman"/>
        </w:rPr>
        <w:t>14 December 2025</w:t>
      </w:r>
      <w:r w:rsidRPr="00E31245">
        <w:rPr>
          <w:rFonts w:ascii="Times New Roman" w:hAnsi="Times New Roman" w:cs="Times New Roman"/>
        </w:rPr>
        <w:t>.</w:t>
      </w:r>
    </w:p>
  </w:footnote>
  <w:footnote w:id="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Jonah (n1).</w:t>
      </w:r>
    </w:p>
  </w:footnote>
  <w:footnote w:id="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Izuka (n4).</w:t>
      </w:r>
    </w:p>
  </w:footnote>
  <w:footnote w:id="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Izuka (n4).</w:t>
      </w:r>
    </w:p>
  </w:footnote>
  <w:footnote w:id="1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D A Ajetomobi, ‘Customary Marriages in Nigeria’ (The Nigeria Lawyer, 1 May 2024) &lt;https://thenigerialawyer.com/customary-marriages-in-nigeria-3/&gt; accessed 18 June 2026.</w:t>
      </w:r>
    </w:p>
  </w:footnote>
  <w:footnote w:id="11">
    <w:p w:rsidR="00F70F75" w:rsidRPr="00E31245" w:rsidRDefault="003F6E7C" w:rsidP="007B4DEE">
      <w:pPr>
        <w:pStyle w:val="FootnoteText"/>
        <w:rPr>
          <w:rFonts w:ascii="Times New Roman" w:hAnsi="Times New Roman" w:cs="Times New Roman"/>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Ezeaku v Okonkwo</w:t>
      </w:r>
      <w:r>
        <w:rPr>
          <w:rFonts w:ascii="Times New Roman" w:hAnsi="Times New Roman" w:cs="Times New Roman"/>
        </w:rPr>
        <w:t xml:space="preserve"> [2012] All FWLR (Pt 654) 128 (CA).</w:t>
      </w:r>
    </w:p>
  </w:footnote>
  <w:footnote w:id="1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 N Chinwuba and I P Ukam, ‘Colourful and Fascinating: Engaging the Theoretical Legal Framework of African Customary Marriage’ [2020] (2)(3) </w:t>
      </w:r>
      <w:r w:rsidRPr="00E31245">
        <w:rPr>
          <w:rFonts w:ascii="Times New Roman" w:hAnsi="Times New Roman" w:cs="Times New Roman"/>
          <w:i/>
        </w:rPr>
        <w:t>International Journal of Comparative Law and Legal Philosophy</w:t>
      </w:r>
      <w:r w:rsidRPr="00E31245">
        <w:rPr>
          <w:rFonts w:ascii="Times New Roman" w:hAnsi="Times New Roman" w:cs="Times New Roman"/>
        </w:rPr>
        <w:t xml:space="preserve"> 149–157 &lt;https://nigerianjournalsonline.org/index.php/IJOCLLEP/article/download/4823/4509&gt; accessed 18 June 2026.</w:t>
      </w:r>
    </w:p>
  </w:footnote>
  <w:footnote w:id="1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 E Nelson, </w:t>
      </w:r>
      <w:r w:rsidRPr="00E31245">
        <w:rPr>
          <w:rFonts w:ascii="Times New Roman" w:hAnsi="Times New Roman" w:cs="Times New Roman"/>
          <w:i/>
        </w:rPr>
        <w:t>Legal Research Methodology and Project Writing</w:t>
      </w:r>
      <w:r w:rsidRPr="00E31245">
        <w:rPr>
          <w:rFonts w:ascii="Times New Roman" w:hAnsi="Times New Roman" w:cs="Times New Roman"/>
        </w:rPr>
        <w:t xml:space="preserve"> (Ekpoma: Ambrose Alli University Press 2016).</w:t>
      </w:r>
    </w:p>
  </w:footnote>
  <w:footnote w:id="1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 A Okeke-Ogugua, ‘The Uncertainty Poised by “Double-Deck” Marriage in Nigeria’ [2021] (1)(1) </w:t>
      </w:r>
      <w:r w:rsidRPr="00E31245">
        <w:rPr>
          <w:rFonts w:ascii="Times New Roman" w:hAnsi="Times New Roman" w:cs="Times New Roman"/>
          <w:i/>
        </w:rPr>
        <w:t>Nigerian Current Law Review</w:t>
      </w:r>
      <w:r w:rsidRPr="00E31245">
        <w:rPr>
          <w:rFonts w:ascii="Times New Roman" w:hAnsi="Times New Roman" w:cs="Times New Roman"/>
        </w:rPr>
        <w:t xml:space="preserve"> 275–297.</w:t>
      </w:r>
    </w:p>
  </w:footnote>
  <w:footnote w:id="1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Izuka (n4) 66–78.</w:t>
      </w:r>
    </w:p>
  </w:footnote>
  <w:footnote w:id="1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Jonah (n1).</w:t>
      </w:r>
    </w:p>
  </w:footnote>
  <w:footnote w:id="1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B O Eniola and J I Aremo, ‘Bride Price and Sexual and Reproductive Rights of Women: A Case Study of South Africa and Nigeria’ [2020] (96) </w:t>
      </w:r>
      <w:r w:rsidRPr="00E31245">
        <w:rPr>
          <w:rFonts w:ascii="Times New Roman" w:hAnsi="Times New Roman" w:cs="Times New Roman"/>
          <w:i/>
        </w:rPr>
        <w:t>Journal of Law, Policy and Globalization</w:t>
      </w:r>
      <w:r w:rsidRPr="00E31245">
        <w:rPr>
          <w:rFonts w:ascii="Times New Roman" w:hAnsi="Times New Roman" w:cs="Times New Roman"/>
        </w:rPr>
        <w:t xml:space="preserve"> 26–33 &lt;https://www.iiste.org/Journals/index.php/JLPG/article/view/52490&gt; accessed 18 June 2026.</w:t>
      </w:r>
    </w:p>
  </w:footnote>
  <w:footnote w:id="1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 W Princewill, T Wangmo, A S Jegede, A Riecher-Rossler and B S Elger, ‘Bride Price Payment and Women’s Autonomy: Findings from Qualitative Interviews from Nigeria’ [2019] (59)(7) </w:t>
      </w:r>
      <w:r w:rsidRPr="00E31245">
        <w:rPr>
          <w:rFonts w:ascii="Times New Roman" w:hAnsi="Times New Roman" w:cs="Times New Roman"/>
          <w:i/>
        </w:rPr>
        <w:t xml:space="preserve">Women &amp; Health </w:t>
      </w:r>
      <w:r w:rsidRPr="00E31245">
        <w:rPr>
          <w:rFonts w:ascii="Times New Roman" w:hAnsi="Times New Roman" w:cs="Times New Roman"/>
        </w:rPr>
        <w:t xml:space="preserve">775–788 &lt;https://doi.org/10.1080/03630242.2018.1549645&gt; </w:t>
      </w:r>
      <w:r w:rsidR="00A236CC" w:rsidRPr="00E31245">
        <w:rPr>
          <w:rFonts w:ascii="Times New Roman" w:hAnsi="Times New Roman" w:cs="Times New Roman"/>
        </w:rPr>
        <w:t>accessed 9 December 2025</w:t>
      </w:r>
      <w:r w:rsidRPr="00E31245">
        <w:rPr>
          <w:rFonts w:ascii="Times New Roman" w:hAnsi="Times New Roman" w:cs="Times New Roman"/>
        </w:rPr>
        <w:t>.</w:t>
      </w:r>
    </w:p>
  </w:footnote>
  <w:footnote w:id="1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J C Diala, ‘Normative Motivations and Constructions: Reflections on Bridewealth Payment in Africa’ [2025] (12) </w:t>
      </w:r>
      <w:r w:rsidRPr="00E31245">
        <w:rPr>
          <w:rFonts w:ascii="Times New Roman" w:hAnsi="Times New Roman" w:cs="Times New Roman"/>
          <w:i/>
        </w:rPr>
        <w:t>Journal of Law, Society and Development</w:t>
      </w:r>
      <w:r w:rsidRPr="00E31245">
        <w:rPr>
          <w:rFonts w:ascii="Times New Roman" w:hAnsi="Times New Roman" w:cs="Times New Roman"/>
        </w:rPr>
        <w:t xml:space="preserve"> 1–24 &lt;https://doi.org/10.25159/2520-9515/16952&gt; </w:t>
      </w:r>
      <w:r w:rsidR="00A236CC" w:rsidRPr="00E31245">
        <w:rPr>
          <w:rFonts w:ascii="Times New Roman" w:hAnsi="Times New Roman" w:cs="Times New Roman"/>
        </w:rPr>
        <w:t>accessed 9 December 2025</w:t>
      </w:r>
      <w:r w:rsidRPr="00E31245">
        <w:rPr>
          <w:rFonts w:ascii="Times New Roman" w:hAnsi="Times New Roman" w:cs="Times New Roman"/>
        </w:rPr>
        <w:t>.</w:t>
      </w:r>
    </w:p>
  </w:footnote>
  <w:footnote w:id="2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 I Nwogugu, </w:t>
      </w:r>
      <w:r w:rsidRPr="0012361E">
        <w:rPr>
          <w:rFonts w:ascii="Times New Roman" w:hAnsi="Times New Roman" w:cs="Times New Roman"/>
          <w:i/>
        </w:rPr>
        <w:t>Family Law in Nigeria</w:t>
      </w:r>
      <w:r w:rsidRPr="00E31245">
        <w:rPr>
          <w:rFonts w:ascii="Times New Roman" w:hAnsi="Times New Roman" w:cs="Times New Roman"/>
        </w:rPr>
        <w:t xml:space="preserve"> (3rd edn, HEBN Publishers 2014) 73.</w:t>
      </w:r>
    </w:p>
  </w:footnote>
  <w:footnote w:id="2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O Y Omotuyi, ‘Customary Practices and the Conflict with Law: Case Study of Marriage under Selected Native Laws and Customs in Nigeria’ [2019] (7)(1) </w:t>
      </w:r>
      <w:r w:rsidRPr="0012361E">
        <w:rPr>
          <w:rFonts w:ascii="Times New Roman" w:hAnsi="Times New Roman" w:cs="Times New Roman"/>
          <w:i/>
        </w:rPr>
        <w:t>ABUAD Law Journal</w:t>
      </w:r>
      <w:r w:rsidRPr="00E31245">
        <w:rPr>
          <w:rFonts w:ascii="Times New Roman" w:hAnsi="Times New Roman" w:cs="Times New Roman"/>
        </w:rPr>
        <w:t xml:space="preserve"> 223–244 &lt;https://doi.org/10.53982/alj.2019.0701.10-j&gt; accessed </w:t>
      </w:r>
      <w:r w:rsidR="00A236CC" w:rsidRPr="00E31245">
        <w:rPr>
          <w:rFonts w:ascii="Times New Roman" w:hAnsi="Times New Roman" w:cs="Times New Roman"/>
        </w:rPr>
        <w:t>12 January</w:t>
      </w:r>
      <w:r w:rsidRPr="00E31245">
        <w:rPr>
          <w:rFonts w:ascii="Times New Roman" w:hAnsi="Times New Roman" w:cs="Times New Roman"/>
        </w:rPr>
        <w:t xml:space="preserve"> 2026.</w:t>
      </w:r>
    </w:p>
  </w:footnote>
  <w:footnote w:id="2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O Adeniyi and T O Jolaosho, ‘How Practice of Customary Marriage is Navigating Uncharted Waters of the Law in Nigeria’ [2025] (9)(5) </w:t>
      </w:r>
      <w:r w:rsidRPr="0012361E">
        <w:rPr>
          <w:rFonts w:ascii="Times New Roman" w:hAnsi="Times New Roman" w:cs="Times New Roman"/>
          <w:i/>
        </w:rPr>
        <w:t>Irish International Journal of Law, Political Sciences and Administration</w:t>
      </w:r>
      <w:r w:rsidRPr="00E31245">
        <w:rPr>
          <w:rFonts w:ascii="Times New Roman" w:hAnsi="Times New Roman" w:cs="Times New Roman"/>
        </w:rPr>
        <w:t xml:space="preserve"> 30–50 &lt;https://doi.org/10.5281/zenodo.17078854&gt; accessed </w:t>
      </w:r>
      <w:r w:rsidR="00A236CC" w:rsidRPr="00E31245">
        <w:rPr>
          <w:rFonts w:ascii="Times New Roman" w:hAnsi="Times New Roman" w:cs="Times New Roman"/>
        </w:rPr>
        <w:t>10 January</w:t>
      </w:r>
      <w:r w:rsidRPr="00E31245">
        <w:rPr>
          <w:rFonts w:ascii="Times New Roman" w:hAnsi="Times New Roman" w:cs="Times New Roman"/>
        </w:rPr>
        <w:t xml:space="preserve"> 2026.</w:t>
      </w:r>
    </w:p>
  </w:footnote>
  <w:footnote w:id="2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B E Oniha, ‘Grounds for Dissolution of Customary Marriages in Nigeria’ (Edo State Judiciary, 2021) &lt;https://edojudiciary.gov.ng/wp-content/uploads/2021/11/GROUNDS-FOR-DISSOLUTION-OF-CUSTOMARY-MARRIAGES-IN-NIGERIA.pdf&gt; accessed </w:t>
      </w:r>
      <w:r w:rsidR="00A236CC" w:rsidRPr="00E31245">
        <w:rPr>
          <w:rFonts w:ascii="Times New Roman" w:hAnsi="Times New Roman" w:cs="Times New Roman"/>
        </w:rPr>
        <w:t>11 January</w:t>
      </w:r>
      <w:r w:rsidRPr="00E31245">
        <w:rPr>
          <w:rFonts w:ascii="Times New Roman" w:hAnsi="Times New Roman" w:cs="Times New Roman"/>
        </w:rPr>
        <w:t xml:space="preserve"> 2026.</w:t>
      </w:r>
    </w:p>
  </w:footnote>
  <w:footnote w:id="2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H O Obi, ‘Legal and Institutional Framework for Promotion of Rights of Women in Double-Decker Marriages in Nigeria’ [2024] (1)(2) </w:t>
      </w:r>
      <w:r w:rsidRPr="0012361E">
        <w:rPr>
          <w:rFonts w:ascii="Times New Roman" w:hAnsi="Times New Roman" w:cs="Times New Roman"/>
          <w:i/>
        </w:rPr>
        <w:t>Nnamdi Azikiwe University Journal of Human Rights Law</w:t>
      </w:r>
      <w:r w:rsidRPr="00E31245">
        <w:rPr>
          <w:rFonts w:ascii="Times New Roman" w:hAnsi="Times New Roman" w:cs="Times New Roman"/>
        </w:rPr>
        <w:t xml:space="preserve"> 66–74 &lt;https://www.nigerianjournalsonline.com/index.php/JHRL/article/view/5405&gt; accessed </w:t>
      </w:r>
      <w:r w:rsidR="00A236CC" w:rsidRPr="00E31245">
        <w:rPr>
          <w:rFonts w:ascii="Times New Roman" w:hAnsi="Times New Roman" w:cs="Times New Roman"/>
        </w:rPr>
        <w:t>12 January</w:t>
      </w:r>
      <w:r w:rsidRPr="00E31245">
        <w:rPr>
          <w:rFonts w:ascii="Times New Roman" w:hAnsi="Times New Roman" w:cs="Times New Roman"/>
        </w:rPr>
        <w:t xml:space="preserve"> 2026.</w:t>
      </w:r>
    </w:p>
  </w:footnote>
  <w:footnote w:id="2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2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 S Abiola and A D Adisa, ‘Legal and Institutional Frameworks for Effective Application of ADR in Marital Disputes’ [2025] (2)(4) </w:t>
      </w:r>
      <w:r w:rsidRPr="0012361E">
        <w:rPr>
          <w:rFonts w:ascii="Times New Roman" w:hAnsi="Times New Roman" w:cs="Times New Roman"/>
          <w:i/>
        </w:rPr>
        <w:t>Fountain University Law Journal</w:t>
      </w:r>
      <w:r w:rsidRPr="00E31245">
        <w:rPr>
          <w:rFonts w:ascii="Times New Roman" w:hAnsi="Times New Roman" w:cs="Times New Roman"/>
        </w:rPr>
        <w:t xml:space="preserve"> 69–88 &lt;https://doi.org/10.53704/qmawkd31&gt; accessed </w:t>
      </w:r>
      <w:r w:rsidR="00A236CC" w:rsidRPr="00E31245">
        <w:rPr>
          <w:rFonts w:ascii="Times New Roman" w:hAnsi="Times New Roman" w:cs="Times New Roman"/>
        </w:rPr>
        <w:t>12 January</w:t>
      </w:r>
      <w:r w:rsidRPr="00E31245">
        <w:rPr>
          <w:rFonts w:ascii="Times New Roman" w:hAnsi="Times New Roman" w:cs="Times New Roman"/>
        </w:rPr>
        <w:t xml:space="preserve"> 2026.</w:t>
      </w:r>
    </w:p>
  </w:footnote>
  <w:footnote w:id="2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 N Wiwoloku, ‘The Role of Customary Law in the Nigerian Judicial System’ [2025] (5)(2) </w:t>
      </w:r>
      <w:r w:rsidRPr="0012361E">
        <w:rPr>
          <w:rFonts w:ascii="Times New Roman" w:hAnsi="Times New Roman" w:cs="Times New Roman"/>
          <w:i/>
        </w:rPr>
        <w:t>The Obafemi Awolowo University Law Journal</w:t>
      </w:r>
      <w:r w:rsidRPr="00E31245">
        <w:rPr>
          <w:rFonts w:ascii="Times New Roman" w:hAnsi="Times New Roman" w:cs="Times New Roman"/>
        </w:rPr>
        <w:t xml:space="preserve"> 134–146 &lt;https://oaulj.oauife.edu.ng/index.php/oaulj/article/view/13&gt; accessed </w:t>
      </w:r>
      <w:r w:rsidR="00A25DD2" w:rsidRPr="00E31245">
        <w:rPr>
          <w:rFonts w:ascii="Times New Roman" w:hAnsi="Times New Roman" w:cs="Times New Roman"/>
        </w:rPr>
        <w:t>11 January</w:t>
      </w:r>
      <w:r w:rsidRPr="00E31245">
        <w:rPr>
          <w:rFonts w:ascii="Times New Roman" w:hAnsi="Times New Roman" w:cs="Times New Roman"/>
        </w:rPr>
        <w:t xml:space="preserve"> 2026.</w:t>
      </w:r>
    </w:p>
  </w:footnote>
  <w:footnote w:id="2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 A Oba, ‘Lawyers, Legal Education and the Shari’ah Courts in Nigeria’ [2004] (49) </w:t>
      </w:r>
      <w:r w:rsidRPr="0012361E">
        <w:rPr>
          <w:rFonts w:ascii="Times New Roman" w:hAnsi="Times New Roman" w:cs="Times New Roman"/>
          <w:i/>
        </w:rPr>
        <w:t>Journal of Legal Pluralism and Unofficial Law</w:t>
      </w:r>
      <w:r w:rsidRPr="00E31245">
        <w:rPr>
          <w:rFonts w:ascii="Times New Roman" w:hAnsi="Times New Roman" w:cs="Times New Roman"/>
        </w:rPr>
        <w:t xml:space="preserve"> 113–161 &lt;https://doi.org/10.1080/07329113.2004.10756575&gt; accessed </w:t>
      </w:r>
      <w:r w:rsidR="00A25DD2" w:rsidRPr="00E31245">
        <w:rPr>
          <w:rFonts w:ascii="Times New Roman" w:hAnsi="Times New Roman" w:cs="Times New Roman"/>
        </w:rPr>
        <w:t>14 January</w:t>
      </w:r>
      <w:r w:rsidRPr="00E31245">
        <w:rPr>
          <w:rFonts w:ascii="Times New Roman" w:hAnsi="Times New Roman" w:cs="Times New Roman"/>
        </w:rPr>
        <w:t xml:space="preserve"> 2026.</w:t>
      </w:r>
    </w:p>
  </w:footnote>
  <w:footnote w:id="2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Hyde v Hyde and Woodmansee</w:t>
      </w:r>
      <w:r>
        <w:rPr>
          <w:rFonts w:ascii="Times New Roman" w:hAnsi="Times New Roman" w:cs="Times New Roman"/>
        </w:rPr>
        <w:t xml:space="preserve"> [1866]</w:t>
      </w:r>
      <w:r w:rsidRPr="00E31245">
        <w:rPr>
          <w:rFonts w:ascii="Times New Roman" w:hAnsi="Times New Roman" w:cs="Times New Roman"/>
        </w:rPr>
        <w:t xml:space="preserve"> LR 1 P &amp; D 130.</w:t>
      </w:r>
    </w:p>
  </w:footnote>
  <w:footnote w:id="3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3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Marriage Act, Cap M6, LFN 2004; Matrimonial Causes Act, Cap M7, LFN 2004.</w:t>
      </w:r>
    </w:p>
  </w:footnote>
  <w:footnote w:id="3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D Bell, ‘Defining Marriage and Legitimacy’ [1997] (38)(2) </w:t>
      </w:r>
      <w:r w:rsidRPr="0012361E">
        <w:rPr>
          <w:rFonts w:ascii="Times New Roman" w:hAnsi="Times New Roman" w:cs="Times New Roman"/>
          <w:i/>
        </w:rPr>
        <w:t>Current Anthropology</w:t>
      </w:r>
      <w:r w:rsidRPr="00E31245">
        <w:rPr>
          <w:rFonts w:ascii="Times New Roman" w:hAnsi="Times New Roman" w:cs="Times New Roman"/>
        </w:rPr>
        <w:t xml:space="preserve"> 237–253.</w:t>
      </w:r>
    </w:p>
  </w:footnote>
  <w:footnote w:id="3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Bell (n31).</w:t>
      </w:r>
    </w:p>
  </w:footnote>
  <w:footnote w:id="3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3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A25DD2" w:rsidRPr="00E31245">
        <w:rPr>
          <w:rFonts w:ascii="Times New Roman" w:hAnsi="Times New Roman" w:cs="Times New Roman"/>
        </w:rPr>
        <w:t>CFRN</w:t>
      </w:r>
      <w:r w:rsidRPr="00E31245">
        <w:rPr>
          <w:rFonts w:ascii="Times New Roman" w:hAnsi="Times New Roman" w:cs="Times New Roman"/>
        </w:rPr>
        <w:t xml:space="preserve"> 1999 (as amended), s 277.</w:t>
      </w:r>
    </w:p>
  </w:footnote>
  <w:footnote w:id="3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 E Nwaocha, ‘Customary Law, Social Development and Administration of Justice in Nigeria’ [2016] (4)(9) </w:t>
      </w:r>
      <w:r w:rsidRPr="00E31245">
        <w:rPr>
          <w:rFonts w:ascii="Times New Roman" w:hAnsi="Times New Roman" w:cs="Times New Roman"/>
          <w:i/>
        </w:rPr>
        <w:t>Beijing Law Review</w:t>
      </w:r>
      <w:r w:rsidRPr="00E31245">
        <w:rPr>
          <w:rFonts w:ascii="Times New Roman" w:hAnsi="Times New Roman" w:cs="Times New Roman"/>
        </w:rPr>
        <w:t xml:space="preserve"> 430–442 &lt;https://www.scirp.org/journal/paperinformation?paperid=73207&gt; accessed </w:t>
      </w:r>
      <w:r w:rsidR="00A25DD2" w:rsidRPr="00E31245">
        <w:rPr>
          <w:rFonts w:ascii="Times New Roman" w:hAnsi="Times New Roman" w:cs="Times New Roman"/>
        </w:rPr>
        <w:t>6 February</w:t>
      </w:r>
      <w:r w:rsidRPr="00E31245">
        <w:rPr>
          <w:rFonts w:ascii="Times New Roman" w:hAnsi="Times New Roman" w:cs="Times New Roman"/>
        </w:rPr>
        <w:t xml:space="preserve"> 2026.</w:t>
      </w:r>
    </w:p>
  </w:footnote>
  <w:footnote w:id="3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Olubodun v Lawal</w:t>
      </w:r>
      <w:r>
        <w:rPr>
          <w:rFonts w:ascii="Times New Roman" w:hAnsi="Times New Roman" w:cs="Times New Roman"/>
        </w:rPr>
        <w:t xml:space="preserve"> [2008] 17 NWLR (Pt 1115) 1 (SC).</w:t>
      </w:r>
    </w:p>
  </w:footnote>
  <w:footnote w:id="3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Nwaigwe v Okere</w:t>
      </w:r>
      <w:r>
        <w:rPr>
          <w:rFonts w:ascii="Times New Roman" w:hAnsi="Times New Roman" w:cs="Times New Roman"/>
        </w:rPr>
        <w:t xml:space="preserve"> [2008] 13 NWLR (Pt 1105) 445 (SC).</w:t>
      </w:r>
    </w:p>
  </w:footnote>
  <w:footnote w:id="3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4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4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Osamwonyi v Osamwonyi</w:t>
      </w:r>
      <w:r>
        <w:rPr>
          <w:rFonts w:ascii="Times New Roman" w:hAnsi="Times New Roman" w:cs="Times New Roman"/>
        </w:rPr>
        <w:t xml:space="preserve"> [1972] LPELR-2789 (SC).</w:t>
      </w:r>
    </w:p>
  </w:footnote>
  <w:footnote w:id="4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Okpanum v Okpanum</w:t>
      </w:r>
      <w:r>
        <w:rPr>
          <w:rFonts w:ascii="Times New Roman" w:hAnsi="Times New Roman" w:cs="Times New Roman"/>
        </w:rPr>
        <w:t xml:space="preserve"> [1972] 2 ECSLR 561.</w:t>
      </w:r>
    </w:p>
  </w:footnote>
  <w:footnote w:id="4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4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4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 E Sagay, </w:t>
      </w:r>
      <w:r w:rsidRPr="00E31245">
        <w:rPr>
          <w:rFonts w:ascii="Times New Roman" w:hAnsi="Times New Roman" w:cs="Times New Roman"/>
          <w:i/>
        </w:rPr>
        <w:t>Nigerian Family Law: Principles, Cases, Statutes and Commentaries</w:t>
      </w:r>
      <w:r w:rsidRPr="00E31245">
        <w:rPr>
          <w:rFonts w:ascii="Times New Roman" w:hAnsi="Times New Roman" w:cs="Times New Roman"/>
        </w:rPr>
        <w:t xml:space="preserve"> (Malthouse Press 1999).</w:t>
      </w:r>
    </w:p>
  </w:footnote>
  <w:footnote w:id="4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4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 Attah, </w:t>
      </w:r>
      <w:r w:rsidRPr="00E31245">
        <w:rPr>
          <w:rFonts w:ascii="Times New Roman" w:hAnsi="Times New Roman" w:cs="Times New Roman"/>
          <w:i/>
        </w:rPr>
        <w:t>Family Welfare Law in Nigeria</w:t>
      </w:r>
      <w:r w:rsidRPr="00E31245">
        <w:rPr>
          <w:rFonts w:ascii="Times New Roman" w:hAnsi="Times New Roman" w:cs="Times New Roman"/>
        </w:rPr>
        <w:t xml:space="preserve"> (Ambik Press Ltd 2016).</w:t>
      </w:r>
    </w:p>
  </w:footnote>
  <w:footnote w:id="4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4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5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Attah (n46).</w:t>
      </w:r>
    </w:p>
  </w:footnote>
  <w:footnote w:id="5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5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Marriage Act, Cap M6, LFN 2004, ss 6(1), 21–27.</w:t>
      </w:r>
    </w:p>
  </w:footnote>
  <w:footnote w:id="5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5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Matrimonial Causes Act, Cap M7, LFN 2004, s 3(1)(a); Criminal Code Act, Cap C38, LFN 2004, s 370.</w:t>
      </w:r>
    </w:p>
  </w:footnote>
  <w:footnote w:id="5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5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Marriage Act, Cap M6, LFN 2004, s 11(1)(b).</w:t>
      </w:r>
    </w:p>
  </w:footnote>
  <w:footnote w:id="5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Attah (n46).</w:t>
      </w:r>
    </w:p>
  </w:footnote>
  <w:footnote w:id="5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 B Hooker, </w:t>
      </w:r>
      <w:r w:rsidRPr="00E31245">
        <w:rPr>
          <w:rFonts w:ascii="Times New Roman" w:hAnsi="Times New Roman" w:cs="Times New Roman"/>
          <w:i/>
        </w:rPr>
        <w:t>Legal Pluralism: An Introduction to Colonial and Neo-Colonial Laws</w:t>
      </w:r>
      <w:r w:rsidRPr="00E31245">
        <w:rPr>
          <w:rFonts w:ascii="Times New Roman" w:hAnsi="Times New Roman" w:cs="Times New Roman"/>
        </w:rPr>
        <w:t xml:space="preserve"> (Clarendon Press 1975).</w:t>
      </w:r>
    </w:p>
  </w:footnote>
  <w:footnote w:id="5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J Griffiths, ‘What is Legal Pluralism?’ [1986] (18)(24) </w:t>
      </w:r>
      <w:r w:rsidRPr="00E31245">
        <w:rPr>
          <w:rFonts w:ascii="Times New Roman" w:hAnsi="Times New Roman" w:cs="Times New Roman"/>
          <w:i/>
        </w:rPr>
        <w:t>Journal of Legal Pluralism and Unofficial Law</w:t>
      </w:r>
      <w:r w:rsidRPr="00E31245">
        <w:rPr>
          <w:rFonts w:ascii="Times New Roman" w:hAnsi="Times New Roman" w:cs="Times New Roman"/>
        </w:rPr>
        <w:t xml:space="preserve"> 1–55.</w:t>
      </w:r>
    </w:p>
  </w:footnote>
  <w:footnote w:id="6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S F Moore, ‘Law and Social Change: The Semi-Autonomous Social Field as an Appropriate Subject of Study’ [1973] (7)(4) </w:t>
      </w:r>
      <w:r w:rsidRPr="00E31245">
        <w:rPr>
          <w:rFonts w:ascii="Times New Roman" w:hAnsi="Times New Roman" w:cs="Times New Roman"/>
          <w:i/>
        </w:rPr>
        <w:t>Law &amp; Society Review</w:t>
      </w:r>
      <w:r w:rsidRPr="00E31245">
        <w:rPr>
          <w:rFonts w:ascii="Times New Roman" w:hAnsi="Times New Roman" w:cs="Times New Roman"/>
        </w:rPr>
        <w:t xml:space="preserve"> 719–746.</w:t>
      </w:r>
    </w:p>
  </w:footnote>
  <w:footnote w:id="6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Hooker (n57) 25.</w:t>
      </w:r>
    </w:p>
  </w:footnote>
  <w:footnote w:id="6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Enacted by the National Assembly and State Houses of Assembly.</w:t>
      </w:r>
    </w:p>
  </w:footnote>
  <w:footnote w:id="6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7F7885" w:rsidRPr="00E31245">
        <w:rPr>
          <w:rFonts w:ascii="Times New Roman" w:hAnsi="Times New Roman" w:cs="Times New Roman"/>
        </w:rPr>
        <w:t>CFRN 1999</w:t>
      </w:r>
      <w:r w:rsidRPr="00E31245">
        <w:rPr>
          <w:rFonts w:ascii="Times New Roman" w:hAnsi="Times New Roman" w:cs="Times New Roman"/>
        </w:rPr>
        <w:t xml:space="preserve"> (as amended), s 280.</w:t>
      </w:r>
    </w:p>
  </w:footnote>
  <w:footnote w:id="6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7F7885" w:rsidRPr="00E31245">
        <w:rPr>
          <w:rFonts w:ascii="Times New Roman" w:hAnsi="Times New Roman" w:cs="Times New Roman"/>
        </w:rPr>
        <w:t>ibid</w:t>
      </w:r>
      <w:r w:rsidRPr="00E31245">
        <w:rPr>
          <w:rFonts w:ascii="Times New Roman" w:hAnsi="Times New Roman" w:cs="Times New Roman"/>
        </w:rPr>
        <w:t>, s 282.</w:t>
      </w:r>
    </w:p>
  </w:footnote>
  <w:footnote w:id="6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Evidence Act 2011, s 16(1).</w:t>
      </w:r>
    </w:p>
  </w:footnote>
  <w:footnote w:id="6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7F7885" w:rsidRPr="00E31245">
        <w:rPr>
          <w:rFonts w:ascii="Times New Roman" w:hAnsi="Times New Roman" w:cs="Times New Roman"/>
        </w:rPr>
        <w:t>ibid</w:t>
      </w:r>
      <w:r w:rsidRPr="00E31245">
        <w:rPr>
          <w:rFonts w:ascii="Times New Roman" w:hAnsi="Times New Roman" w:cs="Times New Roman"/>
        </w:rPr>
        <w:t>, s 17.</w:t>
      </w:r>
    </w:p>
  </w:footnote>
  <w:footnote w:id="6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 O Enabulele and B Bazuaye, ‘Validity and Enforceability of Customary Law in Nigeria: Towards a Correct Delimitation of the Province of the Courts’ [2019] (63)(1) Journal of African Law 79–104 &lt;https://doi.org/10.1017/S002185531800030X&gt; accessed </w:t>
      </w:r>
      <w:r w:rsidR="007F7885" w:rsidRPr="00E31245">
        <w:rPr>
          <w:rFonts w:ascii="Times New Roman" w:hAnsi="Times New Roman" w:cs="Times New Roman"/>
        </w:rPr>
        <w:t>5 February</w:t>
      </w:r>
      <w:r w:rsidRPr="00E31245">
        <w:rPr>
          <w:rFonts w:ascii="Times New Roman" w:hAnsi="Times New Roman" w:cs="Times New Roman"/>
        </w:rPr>
        <w:t xml:space="preserve"> 2026.</w:t>
      </w:r>
    </w:p>
  </w:footnote>
  <w:footnote w:id="6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6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R Wacks, </w:t>
      </w:r>
      <w:r w:rsidRPr="00E31245">
        <w:rPr>
          <w:rFonts w:ascii="Times New Roman" w:hAnsi="Times New Roman" w:cs="Times New Roman"/>
          <w:i/>
        </w:rPr>
        <w:t>Understanding Jurisprudence: An Introduction to Legal Theory</w:t>
      </w:r>
      <w:r w:rsidRPr="00E31245">
        <w:rPr>
          <w:rFonts w:ascii="Times New Roman" w:hAnsi="Times New Roman" w:cs="Times New Roman"/>
        </w:rPr>
        <w:t xml:space="preserve"> (6th edn, Oxford University Press 2021).</w:t>
      </w:r>
    </w:p>
  </w:footnote>
  <w:footnote w:id="7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Wacks (n68) 135.</w:t>
      </w:r>
    </w:p>
  </w:footnote>
  <w:footnote w:id="7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Mojekwu v Mojekwu</w:t>
      </w:r>
      <w:r>
        <w:rPr>
          <w:rFonts w:ascii="Times New Roman" w:hAnsi="Times New Roman" w:cs="Times New Roman"/>
        </w:rPr>
        <w:t xml:space="preserve"> [1997] 7 NWLR (Pt 512) 283 (CA) (per Tobi JCA).</w:t>
      </w:r>
    </w:p>
  </w:footnote>
  <w:footnote w:id="7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J Finnis, </w:t>
      </w:r>
      <w:r w:rsidRPr="00E31245">
        <w:rPr>
          <w:rFonts w:ascii="Times New Roman" w:hAnsi="Times New Roman" w:cs="Times New Roman"/>
          <w:i/>
        </w:rPr>
        <w:t>Natural Law and Natural Rights</w:t>
      </w:r>
      <w:r w:rsidRPr="00E31245">
        <w:rPr>
          <w:rFonts w:ascii="Times New Roman" w:hAnsi="Times New Roman" w:cs="Times New Roman"/>
        </w:rPr>
        <w:t xml:space="preserve"> (2nd edn, Oxford University Press 2011).</w:t>
      </w:r>
    </w:p>
  </w:footnote>
  <w:footnote w:id="7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7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7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B Leiter, </w:t>
      </w:r>
      <w:r w:rsidRPr="00E31245">
        <w:rPr>
          <w:rFonts w:ascii="Times New Roman" w:hAnsi="Times New Roman" w:cs="Times New Roman"/>
          <w:i/>
        </w:rPr>
        <w:t>From a Realist Point of View</w:t>
      </w:r>
      <w:r w:rsidRPr="00E31245">
        <w:rPr>
          <w:rFonts w:ascii="Times New Roman" w:hAnsi="Times New Roman" w:cs="Times New Roman"/>
        </w:rPr>
        <w:t xml:space="preserve"> (Oxford University Press 2026).</w:t>
      </w:r>
    </w:p>
  </w:footnote>
  <w:footnote w:id="7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7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O W Holmes, ‘The Path of the Law’ [1897] (10)(8) </w:t>
      </w:r>
      <w:r w:rsidRPr="00E31245">
        <w:rPr>
          <w:rFonts w:ascii="Times New Roman" w:hAnsi="Times New Roman" w:cs="Times New Roman"/>
          <w:i/>
        </w:rPr>
        <w:t>Harvard Law Review</w:t>
      </w:r>
      <w:r w:rsidRPr="00E31245">
        <w:rPr>
          <w:rFonts w:ascii="Times New Roman" w:hAnsi="Times New Roman" w:cs="Times New Roman"/>
        </w:rPr>
        <w:t xml:space="preserve"> 457–478.</w:t>
      </w:r>
    </w:p>
  </w:footnote>
  <w:footnote w:id="7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K N Llewellyn, </w:t>
      </w:r>
      <w:r w:rsidRPr="00E31245">
        <w:rPr>
          <w:rFonts w:ascii="Times New Roman" w:hAnsi="Times New Roman" w:cs="Times New Roman"/>
          <w:i/>
        </w:rPr>
        <w:t>The Bramble Bush: On Our Law and Its Study</w:t>
      </w:r>
      <w:r w:rsidRPr="00E31245">
        <w:rPr>
          <w:rFonts w:ascii="Times New Roman" w:hAnsi="Times New Roman" w:cs="Times New Roman"/>
        </w:rPr>
        <w:t xml:space="preserve"> (Oxford University Press 2008).</w:t>
      </w:r>
    </w:p>
  </w:footnote>
  <w:footnote w:id="7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J Frank, </w:t>
      </w:r>
      <w:r w:rsidRPr="00E31245">
        <w:rPr>
          <w:rFonts w:ascii="Times New Roman" w:hAnsi="Times New Roman" w:cs="Times New Roman"/>
          <w:i/>
        </w:rPr>
        <w:t>Courts on Trial: Myth and Reality in American Justice</w:t>
      </w:r>
      <w:r w:rsidRPr="00E31245">
        <w:rPr>
          <w:rFonts w:ascii="Times New Roman" w:hAnsi="Times New Roman" w:cs="Times New Roman"/>
        </w:rPr>
        <w:t xml:space="preserve"> (Princeton University Press 1949).</w:t>
      </w:r>
    </w:p>
  </w:footnote>
  <w:footnote w:id="8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Leiter (n74) 56.</w:t>
      </w:r>
    </w:p>
  </w:footnote>
  <w:footnote w:id="8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AD2B7A" w:rsidRPr="00E31245">
        <w:rPr>
          <w:rFonts w:ascii="Times New Roman" w:hAnsi="Times New Roman" w:cs="Times New Roman"/>
        </w:rPr>
        <w:t>CFRN</w:t>
      </w:r>
      <w:r w:rsidRPr="00E31245">
        <w:rPr>
          <w:rFonts w:ascii="Times New Roman" w:hAnsi="Times New Roman" w:cs="Times New Roman"/>
        </w:rPr>
        <w:t xml:space="preserve"> 1999 (as amended), item 61 of Part I of the Second Schedule.</w:t>
      </w:r>
    </w:p>
  </w:footnote>
  <w:footnote w:id="8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7F7885" w:rsidRPr="00E31245">
        <w:rPr>
          <w:rFonts w:ascii="Times New Roman" w:hAnsi="Times New Roman" w:cs="Times New Roman"/>
        </w:rPr>
        <w:t>ibid</w:t>
      </w:r>
      <w:r w:rsidRPr="00E31245">
        <w:rPr>
          <w:rFonts w:ascii="Times New Roman" w:hAnsi="Times New Roman" w:cs="Times New Roman"/>
        </w:rPr>
        <w:t>, s 1(3).</w:t>
      </w:r>
    </w:p>
  </w:footnote>
  <w:footnote w:id="8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Reuben v Reuben</w:t>
      </w:r>
      <w:r>
        <w:rPr>
          <w:rFonts w:ascii="Times New Roman" w:hAnsi="Times New Roman" w:cs="Times New Roman"/>
        </w:rPr>
        <w:t xml:space="preserve"> Suit No UCCG/CV/24/2023 (unreported).</w:t>
      </w:r>
    </w:p>
  </w:footnote>
  <w:footnote w:id="8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7F7885" w:rsidRPr="00E31245">
        <w:rPr>
          <w:rFonts w:ascii="Times New Roman" w:hAnsi="Times New Roman" w:cs="Times New Roman"/>
        </w:rPr>
        <w:t>Ibid,</w:t>
      </w:r>
      <w:r w:rsidRPr="00E31245">
        <w:rPr>
          <w:rFonts w:ascii="Times New Roman" w:hAnsi="Times New Roman" w:cs="Times New Roman"/>
        </w:rPr>
        <w:t xml:space="preserve"> s 34.</w:t>
      </w:r>
    </w:p>
  </w:footnote>
  <w:footnote w:id="8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7F7885" w:rsidRPr="00E31245">
        <w:rPr>
          <w:rFonts w:ascii="Times New Roman" w:hAnsi="Times New Roman" w:cs="Times New Roman"/>
        </w:rPr>
        <w:t>Ibid,</w:t>
      </w:r>
      <w:r w:rsidRPr="00E31245">
        <w:rPr>
          <w:rFonts w:ascii="Times New Roman" w:hAnsi="Times New Roman" w:cs="Times New Roman"/>
        </w:rPr>
        <w:t xml:space="preserve"> ss 1(3), 17(1) and 17(2)(a)–(c).</w:t>
      </w:r>
    </w:p>
  </w:footnote>
  <w:footnote w:id="8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7F7885" w:rsidRPr="00E31245">
        <w:rPr>
          <w:rFonts w:ascii="Times New Roman" w:hAnsi="Times New Roman" w:cs="Times New Roman"/>
        </w:rPr>
        <w:t>Ibid,</w:t>
      </w:r>
      <w:r w:rsidRPr="00E31245">
        <w:rPr>
          <w:rFonts w:ascii="Times New Roman" w:hAnsi="Times New Roman" w:cs="Times New Roman"/>
        </w:rPr>
        <w:t xml:space="preserve"> s 38(1).</w:t>
      </w:r>
    </w:p>
  </w:footnote>
  <w:footnote w:id="8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Marriage Act, Cap M6, LFN 2004, ss 33(1) and 35.</w:t>
      </w:r>
    </w:p>
  </w:footnote>
  <w:footnote w:id="8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Obi (n23).</w:t>
      </w:r>
    </w:p>
  </w:footnote>
  <w:footnote w:id="8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 R McDonald, </w:t>
      </w:r>
      <w:r w:rsidRPr="00E31245">
        <w:rPr>
          <w:rFonts w:ascii="Times New Roman" w:hAnsi="Times New Roman" w:cs="Times New Roman"/>
          <w:i/>
        </w:rPr>
        <w:t>Customary Marriage and Divorce Law in Nigeria</w:t>
      </w:r>
      <w:r w:rsidRPr="00E31245">
        <w:rPr>
          <w:rFonts w:ascii="Times New Roman" w:hAnsi="Times New Roman" w:cs="Times New Roman"/>
        </w:rPr>
        <w:t xml:space="preserve"> (Law Library, Library of Congress 1973) &lt;https://www.loc.gov/item/2019668919/&gt; accessed </w:t>
      </w:r>
      <w:r w:rsidR="00AD2B7A" w:rsidRPr="00E31245">
        <w:rPr>
          <w:rFonts w:ascii="Times New Roman" w:hAnsi="Times New Roman" w:cs="Times New Roman"/>
        </w:rPr>
        <w:t>12 February</w:t>
      </w:r>
      <w:r w:rsidRPr="00E31245">
        <w:rPr>
          <w:rFonts w:ascii="Times New Roman" w:hAnsi="Times New Roman" w:cs="Times New Roman"/>
        </w:rPr>
        <w:t xml:space="preserve"> 2026.</w:t>
      </w:r>
    </w:p>
  </w:footnote>
  <w:footnote w:id="9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Marriage Act, Cap M6, LFN 2004, ss 33(1) and 35.</w:t>
      </w:r>
    </w:p>
  </w:footnote>
  <w:footnote w:id="9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AD2B7A" w:rsidRPr="00E31245">
        <w:rPr>
          <w:rFonts w:ascii="Times New Roman" w:hAnsi="Times New Roman" w:cs="Times New Roman"/>
        </w:rPr>
        <w:t>MCA</w:t>
      </w:r>
      <w:r w:rsidRPr="00E31245">
        <w:rPr>
          <w:rFonts w:ascii="Times New Roman" w:hAnsi="Times New Roman" w:cs="Times New Roman"/>
        </w:rPr>
        <w:t xml:space="preserve"> Cap M7, LFN 2004, s 15.</w:t>
      </w:r>
    </w:p>
  </w:footnote>
  <w:footnote w:id="9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AD2B7A" w:rsidRPr="00E31245">
        <w:rPr>
          <w:rFonts w:ascii="Times New Roman" w:hAnsi="Times New Roman" w:cs="Times New Roman"/>
        </w:rPr>
        <w:t>ibid</w:t>
      </w:r>
      <w:r w:rsidRPr="00E31245">
        <w:rPr>
          <w:rFonts w:ascii="Times New Roman" w:hAnsi="Times New Roman" w:cs="Times New Roman"/>
        </w:rPr>
        <w:t>, ss 70 and 72.</w:t>
      </w:r>
    </w:p>
  </w:footnote>
  <w:footnote w:id="9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Meribe v Egwu</w:t>
      </w:r>
      <w:r>
        <w:rPr>
          <w:rFonts w:ascii="Times New Roman" w:hAnsi="Times New Roman" w:cs="Times New Roman"/>
        </w:rPr>
        <w:t xml:space="preserve"> [1976] 1 All NLR 266 (SC).</w:t>
      </w:r>
    </w:p>
  </w:footnote>
  <w:footnote w:id="9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McDonald (n88).</w:t>
      </w:r>
    </w:p>
  </w:footnote>
  <w:footnote w:id="9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Laws of Eastern Nigeria 1963, ss 83–90.</w:t>
      </w:r>
    </w:p>
  </w:footnote>
  <w:footnote w:id="9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Harmful Widowhood (Prohibition of Obnoxious Practices) Law 2013, Akwa Ibom State.</w:t>
      </w:r>
    </w:p>
  </w:footnote>
  <w:footnote w:id="9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U G Oboko and A C Ifeanyichukwu, ‘Genderized Implications of Bride Pricing Culture in Igbo Land: A Sociolinguistic Study’ [2021] (12)(2) </w:t>
      </w:r>
      <w:r w:rsidRPr="00E31245">
        <w:rPr>
          <w:rFonts w:ascii="Times New Roman" w:hAnsi="Times New Roman" w:cs="Times New Roman"/>
          <w:i/>
        </w:rPr>
        <w:t>Lingual: Journal of Language and Culture</w:t>
      </w:r>
      <w:r w:rsidRPr="00E31245">
        <w:rPr>
          <w:rFonts w:ascii="Times New Roman" w:hAnsi="Times New Roman" w:cs="Times New Roman"/>
        </w:rPr>
        <w:t xml:space="preserve"> 28–39 &lt;https://doi.org/10.24843/LJLC.2021.v12.i02.p05&gt; accessed </w:t>
      </w:r>
      <w:r w:rsidR="00AD2B7A" w:rsidRPr="00E31245">
        <w:rPr>
          <w:rFonts w:ascii="Times New Roman" w:hAnsi="Times New Roman" w:cs="Times New Roman"/>
        </w:rPr>
        <w:t>12 February</w:t>
      </w:r>
      <w:r w:rsidRPr="00E31245">
        <w:rPr>
          <w:rFonts w:ascii="Times New Roman" w:hAnsi="Times New Roman" w:cs="Times New Roman"/>
        </w:rPr>
        <w:t xml:space="preserve"> 2026.</w:t>
      </w:r>
    </w:p>
  </w:footnote>
  <w:footnote w:id="9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Customary Court Law of Lagos State 2011, as amended by the Customary Court (Amendment) Law 2018, Lagos State.</w:t>
      </w:r>
    </w:p>
  </w:footnote>
  <w:footnote w:id="9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H Nwaechefu, ‘The Subjection of Customary Laws to Repugnancy Tests by Nigerian Courts: The Need to Broaden the Horizon’ [2017] (3)(6) </w:t>
      </w:r>
      <w:r w:rsidRPr="00E31245">
        <w:rPr>
          <w:rFonts w:ascii="Times New Roman" w:hAnsi="Times New Roman" w:cs="Times New Roman"/>
          <w:i/>
        </w:rPr>
        <w:t>International Journal of Law</w:t>
      </w:r>
      <w:r w:rsidRPr="00E31245">
        <w:rPr>
          <w:rFonts w:ascii="Times New Roman" w:hAnsi="Times New Roman" w:cs="Times New Roman"/>
        </w:rPr>
        <w:t xml:space="preserve"> 70–74 &lt;https://www.lawjournals.org/assets/archives/2017/vol3issue6/3-6-15-612.pdf&gt; accessed 18 June 2026.</w:t>
      </w:r>
    </w:p>
  </w:footnote>
  <w:footnote w:id="10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10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J A I Bewaji, </w:t>
      </w:r>
      <w:r w:rsidRPr="00E31245">
        <w:rPr>
          <w:rFonts w:ascii="Times New Roman" w:hAnsi="Times New Roman" w:cs="Times New Roman"/>
          <w:i/>
        </w:rPr>
        <w:t xml:space="preserve">The Rule of Law and Governance in Indigenous Yoruba Society: A Study in African Philosophy of Law </w:t>
      </w:r>
      <w:r w:rsidRPr="00E31245">
        <w:rPr>
          <w:rFonts w:ascii="Times New Roman" w:hAnsi="Times New Roman" w:cs="Times New Roman"/>
        </w:rPr>
        <w:t>(Lexington Books 2016).</w:t>
      </w:r>
    </w:p>
  </w:footnote>
  <w:footnote w:id="10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Attah (n46).</w:t>
      </w:r>
    </w:p>
  </w:footnote>
  <w:footnote w:id="10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Sagay (n44).</w:t>
      </w:r>
    </w:p>
  </w:footnote>
  <w:footnote w:id="10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Customary Court Law of Lagos State 2011, as amended by the Customary Court (Amendment) Law 2018, Lagos State.</w:t>
      </w:r>
    </w:p>
  </w:footnote>
  <w:footnote w:id="10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 A An-Na’im (ed), </w:t>
      </w:r>
      <w:r w:rsidRPr="00E31245">
        <w:rPr>
          <w:rFonts w:ascii="Times New Roman" w:hAnsi="Times New Roman" w:cs="Times New Roman"/>
          <w:i/>
        </w:rPr>
        <w:t>Islamic Family Law in a Changing World: A Global Resource Book</w:t>
      </w:r>
      <w:r w:rsidRPr="00E31245">
        <w:rPr>
          <w:rFonts w:ascii="Times New Roman" w:hAnsi="Times New Roman" w:cs="Times New Roman"/>
        </w:rPr>
        <w:t xml:space="preserve"> (Zed Books 2002).</w:t>
      </w:r>
    </w:p>
  </w:footnote>
  <w:footnote w:id="10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CFRN</w:t>
      </w:r>
      <w:r w:rsidRPr="00E31245">
        <w:rPr>
          <w:rFonts w:ascii="Times New Roman" w:hAnsi="Times New Roman" w:cs="Times New Roman"/>
        </w:rPr>
        <w:t xml:space="preserve"> 1999 (as amended), s 282(1).</w:t>
      </w:r>
    </w:p>
  </w:footnote>
  <w:footnote w:id="10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Ibid,</w:t>
      </w:r>
      <w:r w:rsidRPr="00E31245">
        <w:rPr>
          <w:rFonts w:ascii="Times New Roman" w:hAnsi="Times New Roman" w:cs="Times New Roman"/>
        </w:rPr>
        <w:t xml:space="preserve"> s 280.</w:t>
      </w:r>
    </w:p>
  </w:footnote>
  <w:footnote w:id="10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Ibid,</w:t>
      </w:r>
      <w:r w:rsidRPr="00E31245">
        <w:rPr>
          <w:rFonts w:ascii="Times New Roman" w:hAnsi="Times New Roman" w:cs="Times New Roman"/>
        </w:rPr>
        <w:t xml:space="preserve"> s 283.</w:t>
      </w:r>
    </w:p>
  </w:footnote>
  <w:footnote w:id="10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Irabor v Mrs Faith Irabor</w:t>
      </w:r>
      <w:r>
        <w:rPr>
          <w:rFonts w:ascii="Times New Roman" w:hAnsi="Times New Roman" w:cs="Times New Roman"/>
        </w:rPr>
        <w:t xml:space="preserve"> Appeal No CCA/16A/2007.</w:t>
      </w:r>
    </w:p>
  </w:footnote>
  <w:footnote w:id="11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Customary Court of Appeal Rules 2010, Enugu State, Order 4 rr 3–6; Customary Court of Appeal Law No 7 of 2005, s 9(1).</w:t>
      </w:r>
    </w:p>
  </w:footnote>
  <w:footnote w:id="11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Nwigwe v Okolo &amp; Ors</w:t>
      </w:r>
      <w:r>
        <w:rPr>
          <w:rFonts w:ascii="Times New Roman" w:hAnsi="Times New Roman" w:cs="Times New Roman"/>
        </w:rPr>
        <w:t xml:space="preserve"> [2020] LCN/14565 (CA).</w:t>
      </w:r>
    </w:p>
  </w:footnote>
  <w:footnote w:id="11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CFRN</w:t>
      </w:r>
      <w:r w:rsidRPr="00E31245">
        <w:rPr>
          <w:rFonts w:ascii="Times New Roman" w:hAnsi="Times New Roman" w:cs="Times New Roman"/>
        </w:rPr>
        <w:t xml:space="preserve"> 1999 (as amended), ss 277(1) and (2).</w:t>
      </w:r>
    </w:p>
  </w:footnote>
  <w:footnote w:id="11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Ibid,</w:t>
      </w:r>
      <w:r w:rsidRPr="00E31245">
        <w:rPr>
          <w:rFonts w:ascii="Times New Roman" w:hAnsi="Times New Roman" w:cs="Times New Roman"/>
        </w:rPr>
        <w:t xml:space="preserve"> s 275(2).</w:t>
      </w:r>
    </w:p>
  </w:footnote>
  <w:footnote w:id="11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Ibid,</w:t>
      </w:r>
      <w:r w:rsidRPr="00E31245">
        <w:rPr>
          <w:rFonts w:ascii="Times New Roman" w:hAnsi="Times New Roman" w:cs="Times New Roman"/>
        </w:rPr>
        <w:t xml:space="preserve"> s 278.</w:t>
      </w:r>
    </w:p>
  </w:footnote>
  <w:footnote w:id="11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Ibid,</w:t>
      </w:r>
      <w:r w:rsidRPr="00E31245">
        <w:rPr>
          <w:rFonts w:ascii="Times New Roman" w:hAnsi="Times New Roman" w:cs="Times New Roman"/>
        </w:rPr>
        <w:t xml:space="preserve"> s 237.</w:t>
      </w:r>
    </w:p>
  </w:footnote>
  <w:footnote w:id="11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D41342" w:rsidRPr="00E31245">
        <w:rPr>
          <w:rFonts w:ascii="Times New Roman" w:hAnsi="Times New Roman" w:cs="Times New Roman"/>
        </w:rPr>
        <w:t>Ibid,</w:t>
      </w:r>
      <w:r w:rsidRPr="00E31245">
        <w:rPr>
          <w:rFonts w:ascii="Times New Roman" w:hAnsi="Times New Roman" w:cs="Times New Roman"/>
        </w:rPr>
        <w:t xml:space="preserve"> s 247(1).</w:t>
      </w:r>
    </w:p>
  </w:footnote>
  <w:footnote w:id="11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Uzowulu v Uzowulu</w:t>
      </w:r>
      <w:r>
        <w:rPr>
          <w:rFonts w:ascii="Times New Roman" w:hAnsi="Times New Roman" w:cs="Times New Roman"/>
        </w:rPr>
        <w:t xml:space="preserve"> [2020] LCN/15783 (CA), CA/E/295/2017.</w:t>
      </w:r>
    </w:p>
  </w:footnote>
  <w:footnote w:id="11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1328C2" w:rsidRPr="00E31245">
        <w:rPr>
          <w:rFonts w:ascii="Times New Roman" w:hAnsi="Times New Roman" w:cs="Times New Roman"/>
        </w:rPr>
        <w:t>CFRN</w:t>
      </w:r>
      <w:r w:rsidRPr="00E31245">
        <w:rPr>
          <w:rFonts w:ascii="Times New Roman" w:hAnsi="Times New Roman" w:cs="Times New Roman"/>
        </w:rPr>
        <w:t xml:space="preserve"> 1999 (as amended), s 230(2).</w:t>
      </w:r>
    </w:p>
  </w:footnote>
  <w:footnote w:id="11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1328C2" w:rsidRPr="00E31245">
        <w:rPr>
          <w:rFonts w:ascii="Times New Roman" w:hAnsi="Times New Roman" w:cs="Times New Roman"/>
        </w:rPr>
        <w:t>Ibid,</w:t>
      </w:r>
      <w:r w:rsidRPr="00E31245">
        <w:rPr>
          <w:rFonts w:ascii="Times New Roman" w:hAnsi="Times New Roman" w:cs="Times New Roman"/>
        </w:rPr>
        <w:t xml:space="preserve"> s 234.</w:t>
      </w:r>
    </w:p>
  </w:footnote>
  <w:footnote w:id="12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Sagay (n44) 87.</w:t>
      </w:r>
    </w:p>
  </w:footnote>
  <w:footnote w:id="12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Osamwonyi v Osamwonyi</w:t>
      </w:r>
      <w:r>
        <w:rPr>
          <w:rFonts w:ascii="Times New Roman" w:hAnsi="Times New Roman" w:cs="Times New Roman"/>
        </w:rPr>
        <w:t xml:space="preserve"> [1972] LPELR-2789 (SC).</w:t>
      </w:r>
    </w:p>
  </w:footnote>
  <w:footnote w:id="12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46.</w:t>
      </w:r>
    </w:p>
  </w:footnote>
  <w:footnote w:id="12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2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46.</w:t>
      </w:r>
    </w:p>
  </w:footnote>
  <w:footnote w:id="12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Obi &amp; Ors v Bosah &amp; Ors</w:t>
      </w:r>
      <w:r>
        <w:rPr>
          <w:rFonts w:ascii="Times New Roman" w:hAnsi="Times New Roman" w:cs="Times New Roman"/>
        </w:rPr>
        <w:t xml:space="preserve"> [2019] LPELR-47243 (CA).</w:t>
      </w:r>
    </w:p>
  </w:footnote>
  <w:footnote w:id="12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Obi &amp; Ors v Bosah &amp; Ors</w:t>
      </w:r>
      <w:r>
        <w:rPr>
          <w:rFonts w:ascii="Times New Roman" w:hAnsi="Times New Roman" w:cs="Times New Roman"/>
        </w:rPr>
        <w:t xml:space="preserve"> (n124).</w:t>
      </w:r>
    </w:p>
  </w:footnote>
  <w:footnote w:id="12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Adeniyi and Jolaosho (n21) 30–50.</w:t>
      </w:r>
    </w:p>
  </w:footnote>
  <w:footnote w:id="12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Child Rights Act 2003, Cap C50, LFN 2004, s 21.</w:t>
      </w:r>
    </w:p>
  </w:footnote>
  <w:footnote w:id="12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T S Braimah, ‘Child Marriage in Northern Nigeria: Section 61 of Part I of the 1999 Constitution and the Protection of Children against Child Marriage’ [2014] (14)(2) </w:t>
      </w:r>
      <w:r w:rsidRPr="00E31245">
        <w:rPr>
          <w:rFonts w:ascii="Times New Roman" w:hAnsi="Times New Roman" w:cs="Times New Roman"/>
          <w:i/>
        </w:rPr>
        <w:t>African Human Rights Law Journal</w:t>
      </w:r>
      <w:r w:rsidRPr="00E31245">
        <w:rPr>
          <w:rFonts w:ascii="Times New Roman" w:hAnsi="Times New Roman" w:cs="Times New Roman"/>
        </w:rPr>
        <w:t xml:space="preserve"> 474–488 &lt;https://www.saflii.org/za/journals/AHRLJ/2014/24.pdf&gt; accessed </w:t>
      </w:r>
      <w:r w:rsidR="00E31245" w:rsidRPr="00E31245">
        <w:rPr>
          <w:rFonts w:ascii="Times New Roman" w:hAnsi="Times New Roman" w:cs="Times New Roman"/>
        </w:rPr>
        <w:t>13 February</w:t>
      </w:r>
      <w:r w:rsidRPr="00E31245">
        <w:rPr>
          <w:rFonts w:ascii="Times New Roman" w:hAnsi="Times New Roman" w:cs="Times New Roman"/>
        </w:rPr>
        <w:t xml:space="preserve"> 2026.</w:t>
      </w:r>
    </w:p>
  </w:footnote>
  <w:footnote w:id="13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B A Lawal &amp; Ors v Messrs A Younan Sons &amp; Ors</w:t>
      </w:r>
      <w:r>
        <w:rPr>
          <w:rFonts w:ascii="Times New Roman" w:hAnsi="Times New Roman" w:cs="Times New Roman"/>
        </w:rPr>
        <w:t xml:space="preserve"> [1961] All NLR 245.</w:t>
      </w:r>
    </w:p>
  </w:footnote>
  <w:footnote w:id="13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Adeniyi and Jolaosho (n21) 33.</w:t>
      </w:r>
    </w:p>
  </w:footnote>
  <w:footnote w:id="13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E31245" w:rsidRPr="00E31245">
        <w:rPr>
          <w:rFonts w:ascii="Times New Roman" w:hAnsi="Times New Roman" w:cs="Times New Roman"/>
        </w:rPr>
        <w:t>MCA</w:t>
      </w:r>
      <w:r w:rsidRPr="00E31245">
        <w:rPr>
          <w:rFonts w:ascii="Times New Roman" w:hAnsi="Times New Roman" w:cs="Times New Roman"/>
        </w:rPr>
        <w:t>, Cap M7, LFN 2004.</w:t>
      </w:r>
    </w:p>
  </w:footnote>
  <w:footnote w:id="13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Evidence Act 2011, s 165; Constitution of the Federal Republic of Nigeria 1999 (as amended), s 42(2).</w:t>
      </w:r>
    </w:p>
  </w:footnote>
  <w:footnote w:id="13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 Attah and E Iyamu-Ojo, ‘Who Is My Child?—Implications of Judicial Rejection of Commune-Cultural Conceptions of the Family for Children’s Welfare in Nigeria’ [2021] (12)(2) </w:t>
      </w:r>
      <w:r w:rsidRPr="00E31245">
        <w:rPr>
          <w:rFonts w:ascii="Times New Roman" w:hAnsi="Times New Roman" w:cs="Times New Roman"/>
          <w:i/>
        </w:rPr>
        <w:t>Beijing Law Review 463–484</w:t>
      </w:r>
      <w:r w:rsidRPr="00E31245">
        <w:rPr>
          <w:rFonts w:ascii="Times New Roman" w:hAnsi="Times New Roman" w:cs="Times New Roman"/>
        </w:rPr>
        <w:t xml:space="preserve"> &lt;https://doi.org/10.4236/blr.2021.122026&gt; accessed 18 June 2026.</w:t>
      </w:r>
    </w:p>
  </w:footnote>
  <w:footnote w:id="13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Okonkwo v Ezeaku</w:t>
      </w:r>
      <w:r>
        <w:rPr>
          <w:rFonts w:ascii="Times New Roman" w:hAnsi="Times New Roman" w:cs="Times New Roman"/>
        </w:rPr>
        <w:t xml:space="preserve"> [2020] 5 NWLR (Pt 1718) 477 (SC) 489.</w:t>
      </w:r>
    </w:p>
  </w:footnote>
  <w:footnote w:id="13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Adeniyi and Jolaosho (n21) 37.</w:t>
      </w:r>
    </w:p>
  </w:footnote>
  <w:footnote w:id="13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Adeniyi and Jolaosho (n21) 42.</w:t>
      </w:r>
    </w:p>
  </w:footnote>
  <w:footnote w:id="13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An-Na’im (n104).</w:t>
      </w:r>
    </w:p>
  </w:footnote>
  <w:footnote w:id="13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78.</w:t>
      </w:r>
    </w:p>
  </w:footnote>
  <w:footnote w:id="14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4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Vanguard, ‘High Cost of Traditional Marriage Rites Destroying Marriage Institution in Igbo Land, Cleric Warns’ (13 August 2025) &lt;https://www.vanguardngr.com/2025/08/high-cost-of-traditional-marriage-rites-destroying-marriage-institution-in-igbo-land-cleric-warns/&gt; accessed </w:t>
      </w:r>
      <w:r w:rsidR="00E31245" w:rsidRPr="00E31245">
        <w:rPr>
          <w:rFonts w:ascii="Times New Roman" w:hAnsi="Times New Roman" w:cs="Times New Roman"/>
        </w:rPr>
        <w:t>13 March</w:t>
      </w:r>
      <w:r w:rsidRPr="00E31245">
        <w:rPr>
          <w:rFonts w:ascii="Times New Roman" w:hAnsi="Times New Roman" w:cs="Times New Roman"/>
        </w:rPr>
        <w:t xml:space="preserve"> 2026.</w:t>
      </w:r>
    </w:p>
  </w:footnote>
  <w:footnote w:id="14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34.</w:t>
      </w:r>
    </w:p>
  </w:footnote>
  <w:footnote w:id="14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B A Lawal &amp; Ors v Messrs A Younan Sons &amp; Ors</w:t>
      </w:r>
      <w:r>
        <w:rPr>
          <w:rFonts w:ascii="Times New Roman" w:hAnsi="Times New Roman" w:cs="Times New Roman"/>
        </w:rPr>
        <w:t xml:space="preserve"> [1961] All NLR 245.</w:t>
      </w:r>
    </w:p>
  </w:footnote>
  <w:footnote w:id="14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Obi &amp; Ors v Bosah &amp; Ors</w:t>
      </w:r>
      <w:r>
        <w:rPr>
          <w:rFonts w:ascii="Times New Roman" w:hAnsi="Times New Roman" w:cs="Times New Roman"/>
        </w:rPr>
        <w:t xml:space="preserve"> (n124).</w:t>
      </w:r>
    </w:p>
  </w:footnote>
  <w:footnote w:id="14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Adeniyi and Jolaosho (n21) 40.</w:t>
      </w:r>
    </w:p>
  </w:footnote>
  <w:footnote w:id="14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Sagay (n44) 56.</w:t>
      </w:r>
    </w:p>
  </w:footnote>
  <w:footnote w:id="14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4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56.</w:t>
      </w:r>
    </w:p>
  </w:footnote>
  <w:footnote w:id="14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R O Ekundare, </w:t>
      </w:r>
      <w:r w:rsidRPr="00E31245">
        <w:rPr>
          <w:rFonts w:ascii="Times New Roman" w:hAnsi="Times New Roman" w:cs="Times New Roman"/>
          <w:i/>
        </w:rPr>
        <w:t>Marriage and Divorce under Yoruba Customary Law</w:t>
      </w:r>
      <w:r w:rsidRPr="00E31245">
        <w:rPr>
          <w:rFonts w:ascii="Times New Roman" w:hAnsi="Times New Roman" w:cs="Times New Roman"/>
        </w:rPr>
        <w:t xml:space="preserve"> (University of Ife Press 1969) 12.</w:t>
      </w:r>
    </w:p>
  </w:footnote>
  <w:footnote w:id="15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An-Na’im (n104) 56.</w:t>
      </w:r>
    </w:p>
  </w:footnote>
  <w:footnote w:id="15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67.</w:t>
      </w:r>
    </w:p>
  </w:footnote>
  <w:footnote w:id="15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5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5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67.</w:t>
      </w:r>
    </w:p>
  </w:footnote>
  <w:footnote w:id="15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R O Ekundare, </w:t>
      </w:r>
      <w:r w:rsidRPr="00E31245">
        <w:rPr>
          <w:rFonts w:ascii="Times New Roman" w:hAnsi="Times New Roman" w:cs="Times New Roman"/>
          <w:i/>
        </w:rPr>
        <w:t>Marriage and Divorce under Yoruba Customary Law</w:t>
      </w:r>
      <w:r w:rsidRPr="00E31245">
        <w:rPr>
          <w:rFonts w:ascii="Times New Roman" w:hAnsi="Times New Roman" w:cs="Times New Roman"/>
        </w:rPr>
        <w:t xml:space="preserve"> (University of Ife Press 1969).</w:t>
      </w:r>
    </w:p>
  </w:footnote>
  <w:footnote w:id="15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An-Na’im (n104) 112.</w:t>
      </w:r>
    </w:p>
  </w:footnote>
  <w:footnote w:id="15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Ekundare (n154) 56.</w:t>
      </w:r>
    </w:p>
  </w:footnote>
  <w:footnote w:id="15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44.</w:t>
      </w:r>
    </w:p>
  </w:footnote>
  <w:footnote w:id="15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56.</w:t>
      </w:r>
    </w:p>
  </w:footnote>
  <w:footnote w:id="16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6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6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6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Nsirim v Nsirim</w:t>
      </w:r>
      <w:r>
        <w:rPr>
          <w:rFonts w:ascii="Times New Roman" w:hAnsi="Times New Roman" w:cs="Times New Roman"/>
        </w:rPr>
        <w:t xml:space="preserve"> (1995) 9 NWLR (Pt 418) 144 (CA).</w:t>
      </w:r>
    </w:p>
  </w:footnote>
  <w:footnote w:id="16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Okonkwo v Ezeaku</w:t>
      </w:r>
      <w:r>
        <w:rPr>
          <w:rFonts w:ascii="Times New Roman" w:hAnsi="Times New Roman" w:cs="Times New Roman"/>
        </w:rPr>
        <w:t xml:space="preserve"> [2020] 5 NWLR (Pt 1718) 477 (SC).</w:t>
      </w:r>
    </w:p>
  </w:footnote>
  <w:footnote w:id="16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Ruth Reuben v Reuben Ibrahim</w:t>
      </w:r>
      <w:r>
        <w:rPr>
          <w:rFonts w:ascii="Times New Roman" w:hAnsi="Times New Roman" w:cs="Times New Roman"/>
        </w:rPr>
        <w:t>, Suit No UCCG/CV/24/2023 (unreported).</w:t>
      </w:r>
    </w:p>
  </w:footnote>
  <w:footnote w:id="16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6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An-Na’im (n104) 89.</w:t>
      </w:r>
    </w:p>
  </w:footnote>
  <w:footnote w:id="16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w:t>
      </w:r>
    </w:p>
  </w:footnote>
  <w:footnote w:id="16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7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Child Rights Act </w:t>
      </w:r>
      <w:r w:rsidR="00E31245" w:rsidRPr="00E31245">
        <w:rPr>
          <w:rFonts w:ascii="Times New Roman" w:hAnsi="Times New Roman" w:cs="Times New Roman"/>
        </w:rPr>
        <w:t xml:space="preserve">(CRA) </w:t>
      </w:r>
      <w:r w:rsidRPr="00E31245">
        <w:rPr>
          <w:rFonts w:ascii="Times New Roman" w:hAnsi="Times New Roman" w:cs="Times New Roman"/>
        </w:rPr>
        <w:t xml:space="preserve">2003, s 1; </w:t>
      </w:r>
      <w:r w:rsidR="00E31245" w:rsidRPr="00E31245">
        <w:rPr>
          <w:rFonts w:ascii="Times New Roman" w:hAnsi="Times New Roman" w:cs="Times New Roman"/>
        </w:rPr>
        <w:t>MCA</w:t>
      </w:r>
      <w:r w:rsidRPr="00E31245">
        <w:rPr>
          <w:rFonts w:ascii="Times New Roman" w:hAnsi="Times New Roman" w:cs="Times New Roman"/>
        </w:rPr>
        <w:t xml:space="preserve"> 2004, s 71(1).</w:t>
      </w:r>
    </w:p>
  </w:footnote>
  <w:footnote w:id="17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Ebonyi State Customary Court Law, Order 13 r 1.</w:t>
      </w:r>
    </w:p>
  </w:footnote>
  <w:footnote w:id="17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Child Rights Act 2003, s 69.</w:t>
      </w:r>
    </w:p>
  </w:footnote>
  <w:footnote w:id="17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Especially of very young or female children.</w:t>
      </w:r>
    </w:p>
  </w:footnote>
  <w:footnote w:id="17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Edet v Essien</w:t>
      </w:r>
      <w:r>
        <w:rPr>
          <w:rFonts w:ascii="Times New Roman" w:hAnsi="Times New Roman" w:cs="Times New Roman"/>
        </w:rPr>
        <w:t xml:space="preserve"> [1932] 11 NLR 47.</w:t>
      </w:r>
    </w:p>
  </w:footnote>
  <w:footnote w:id="17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An-Na’im (n104) 67.</w:t>
      </w:r>
    </w:p>
  </w:footnote>
  <w:footnote w:id="17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Ekundare (n154) 34.</w:t>
      </w:r>
    </w:p>
  </w:footnote>
  <w:footnote w:id="17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7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M C Onokah, </w:t>
      </w:r>
      <w:r w:rsidRPr="00E31245">
        <w:rPr>
          <w:rFonts w:ascii="Times New Roman" w:hAnsi="Times New Roman" w:cs="Times New Roman"/>
          <w:i/>
        </w:rPr>
        <w:t>Family Law</w:t>
      </w:r>
      <w:r w:rsidRPr="00E31245">
        <w:rPr>
          <w:rFonts w:ascii="Times New Roman" w:hAnsi="Times New Roman" w:cs="Times New Roman"/>
        </w:rPr>
        <w:t xml:space="preserve"> (Spectrum Books 2003) 178–180.</w:t>
      </w:r>
    </w:p>
  </w:footnote>
  <w:footnote w:id="179">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 P Byron, ‘Protection of Women under Customary Law in Nigeria: Taking a Cue from South Africa’ [2021] (3)(1) </w:t>
      </w:r>
      <w:r w:rsidRPr="00E31245">
        <w:rPr>
          <w:rFonts w:ascii="Times New Roman" w:hAnsi="Times New Roman" w:cs="Times New Roman"/>
          <w:i/>
        </w:rPr>
        <w:t>International Review of Law and Jurisprudence</w:t>
      </w:r>
      <w:r w:rsidRPr="00E31245">
        <w:rPr>
          <w:rFonts w:ascii="Times New Roman" w:hAnsi="Times New Roman" w:cs="Times New Roman"/>
        </w:rPr>
        <w:t xml:space="preserve"> 96–105.</w:t>
      </w:r>
    </w:p>
  </w:footnote>
  <w:footnote w:id="180">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w:t>
      </w:r>
      <w:r w:rsidR="00E31245" w:rsidRPr="00E31245">
        <w:rPr>
          <w:rFonts w:ascii="Times New Roman" w:hAnsi="Times New Roman" w:cs="Times New Roman"/>
        </w:rPr>
        <w:t>CRA</w:t>
      </w:r>
      <w:r w:rsidRPr="00E31245">
        <w:rPr>
          <w:rFonts w:ascii="Times New Roman" w:hAnsi="Times New Roman" w:cs="Times New Roman"/>
        </w:rPr>
        <w:t xml:space="preserve"> 2003, s 1; </w:t>
      </w:r>
      <w:r w:rsidR="00E31245" w:rsidRPr="00E31245">
        <w:rPr>
          <w:rFonts w:ascii="Times New Roman" w:hAnsi="Times New Roman" w:cs="Times New Roman"/>
        </w:rPr>
        <w:t>MCA</w:t>
      </w:r>
      <w:r w:rsidRPr="00E31245">
        <w:rPr>
          <w:rFonts w:ascii="Times New Roman" w:hAnsi="Times New Roman" w:cs="Times New Roman"/>
        </w:rPr>
        <w:t xml:space="preserve"> 2004, s 71(1).</w:t>
      </w:r>
    </w:p>
  </w:footnote>
  <w:footnote w:id="181">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 P Byron and F O Ajagunna, ‘The Rights of Women to the Custody of Children under Indigenous Customary Law: The Role of the University of Ibadan Women’s Law Clinic’ [2025] (2)(1) </w:t>
      </w:r>
      <w:r w:rsidRPr="00E31245">
        <w:rPr>
          <w:rFonts w:ascii="Times New Roman" w:hAnsi="Times New Roman" w:cs="Times New Roman"/>
          <w:i/>
        </w:rPr>
        <w:t>Nnamdi Azikiwe University Journal of Private and Property Law</w:t>
      </w:r>
      <w:r w:rsidRPr="00E31245">
        <w:rPr>
          <w:rFonts w:ascii="Times New Roman" w:hAnsi="Times New Roman" w:cs="Times New Roman"/>
        </w:rPr>
        <w:t xml:space="preserve"> 138–147.</w:t>
      </w:r>
    </w:p>
  </w:footnote>
  <w:footnote w:id="182">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Mesike v Mesike</w:t>
      </w:r>
      <w:r>
        <w:rPr>
          <w:rFonts w:ascii="Times New Roman" w:hAnsi="Times New Roman" w:cs="Times New Roman"/>
        </w:rPr>
        <w:t>, Suit No 82/67 (decided 2 February 1968, unreported).</w:t>
      </w:r>
    </w:p>
  </w:footnote>
  <w:footnote w:id="183">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Byron (n178).</w:t>
      </w:r>
    </w:p>
  </w:footnote>
  <w:footnote w:id="184">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Ibid.</w:t>
      </w:r>
    </w:p>
  </w:footnote>
  <w:footnote w:id="185">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Sagay (n44) 56.</w:t>
      </w:r>
    </w:p>
  </w:footnote>
  <w:footnote w:id="186">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sidRPr="00E31245">
        <w:rPr>
          <w:rFonts w:ascii="Times New Roman" w:hAnsi="Times New Roman" w:cs="Times New Roman"/>
        </w:rPr>
        <w:t xml:space="preserve"> Nwogugu (n19) 45.</w:t>
      </w:r>
    </w:p>
  </w:footnote>
  <w:footnote w:id="187">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Osamwonyi v Osamwonyi</w:t>
      </w:r>
      <w:r>
        <w:rPr>
          <w:rFonts w:ascii="Times New Roman" w:hAnsi="Times New Roman" w:cs="Times New Roman"/>
        </w:rPr>
        <w:t xml:space="preserve"> (n120).</w:t>
      </w:r>
    </w:p>
  </w:footnote>
  <w:footnote w:id="188">
    <w:p w:rsidR="00F70F75" w:rsidRPr="00E31245" w:rsidRDefault="003F6E7C" w:rsidP="007B4DEE">
      <w:pPr>
        <w:pStyle w:val="FootnoteText"/>
        <w:rPr>
          <w:rFonts w:ascii="Times New Roman" w:hAnsi="Times New Roman" w:cs="Times New Roman"/>
          <w:lang w:val="en-US"/>
        </w:rPr>
      </w:pPr>
      <w:r w:rsidRPr="00E31245">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Obi &amp; Ors v Bosah &amp; Ors</w:t>
      </w:r>
      <w:r>
        <w:rPr>
          <w:rFonts w:ascii="Times New Roman" w:hAnsi="Times New Roman" w:cs="Times New Roman"/>
        </w:rPr>
        <w:t xml:space="preserve"> (n124).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A1D" w:rsidRDefault="00A41A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A1D" w:rsidRDefault="00A41A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ADC" w:rsidRDefault="00126A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0E99"/>
    <w:multiLevelType w:val="multilevel"/>
    <w:tmpl w:val="8A52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235F69"/>
    <w:multiLevelType w:val="multilevel"/>
    <w:tmpl w:val="1C72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E07FF"/>
    <w:multiLevelType w:val="multilevel"/>
    <w:tmpl w:val="FFFFFFFF"/>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217613"/>
    <w:multiLevelType w:val="hybridMultilevel"/>
    <w:tmpl w:val="2A44FB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62EBB"/>
    <w:multiLevelType w:val="hybridMultilevel"/>
    <w:tmpl w:val="F03843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1045B80"/>
    <w:multiLevelType w:val="hybridMultilevel"/>
    <w:tmpl w:val="15828F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412820"/>
    <w:multiLevelType w:val="hybridMultilevel"/>
    <w:tmpl w:val="FDD0D3A0"/>
    <w:lvl w:ilvl="0" w:tplc="E112F14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E62F5"/>
    <w:multiLevelType w:val="multilevel"/>
    <w:tmpl w:val="4522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0D6F64"/>
    <w:multiLevelType w:val="hybridMultilevel"/>
    <w:tmpl w:val="2DC440C2"/>
    <w:lvl w:ilvl="0" w:tplc="E112F14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7900572"/>
    <w:multiLevelType w:val="multilevel"/>
    <w:tmpl w:val="3B0EE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EB74DA"/>
    <w:multiLevelType w:val="hybridMultilevel"/>
    <w:tmpl w:val="29D42A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EE4C28"/>
    <w:multiLevelType w:val="hybridMultilevel"/>
    <w:tmpl w:val="CCDE0B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
  </w:num>
  <w:num w:numId="4">
    <w:abstractNumId w:val="6"/>
  </w:num>
  <w:num w:numId="5">
    <w:abstractNumId w:val="4"/>
  </w:num>
  <w:num w:numId="6">
    <w:abstractNumId w:val="8"/>
  </w:num>
  <w:num w:numId="7">
    <w:abstractNumId w:val="7"/>
  </w:num>
  <w:num w:numId="8">
    <w:abstractNumId w:val="1"/>
  </w:num>
  <w:num w:numId="9">
    <w:abstractNumId w:val="10"/>
  </w:num>
  <w:num w:numId="10">
    <w:abstractNumId w:val="5"/>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60B99"/>
    <w:rsid w:val="00002243"/>
    <w:rsid w:val="00005C27"/>
    <w:rsid w:val="000066E8"/>
    <w:rsid w:val="00015B7F"/>
    <w:rsid w:val="0004007E"/>
    <w:rsid w:val="000545E1"/>
    <w:rsid w:val="00080D15"/>
    <w:rsid w:val="000A751D"/>
    <w:rsid w:val="000B0655"/>
    <w:rsid w:val="000E59FD"/>
    <w:rsid w:val="00101B3A"/>
    <w:rsid w:val="001214FF"/>
    <w:rsid w:val="0012361E"/>
    <w:rsid w:val="00126ADC"/>
    <w:rsid w:val="00131962"/>
    <w:rsid w:val="001328C2"/>
    <w:rsid w:val="00151757"/>
    <w:rsid w:val="001A6C96"/>
    <w:rsid w:val="001C75F8"/>
    <w:rsid w:val="00247DBA"/>
    <w:rsid w:val="0025018B"/>
    <w:rsid w:val="00267802"/>
    <w:rsid w:val="00270307"/>
    <w:rsid w:val="002A7EFE"/>
    <w:rsid w:val="002E76B6"/>
    <w:rsid w:val="002E7719"/>
    <w:rsid w:val="002F61D8"/>
    <w:rsid w:val="003638D1"/>
    <w:rsid w:val="003654DF"/>
    <w:rsid w:val="003718E6"/>
    <w:rsid w:val="003730E5"/>
    <w:rsid w:val="003C7EC9"/>
    <w:rsid w:val="003F6E7C"/>
    <w:rsid w:val="004207B8"/>
    <w:rsid w:val="004252BC"/>
    <w:rsid w:val="0046155D"/>
    <w:rsid w:val="004B54F6"/>
    <w:rsid w:val="004B5BD8"/>
    <w:rsid w:val="004C706C"/>
    <w:rsid w:val="004D24F6"/>
    <w:rsid w:val="004D7B23"/>
    <w:rsid w:val="004E6436"/>
    <w:rsid w:val="004F0794"/>
    <w:rsid w:val="004F23E8"/>
    <w:rsid w:val="00524C79"/>
    <w:rsid w:val="00530070"/>
    <w:rsid w:val="0053053B"/>
    <w:rsid w:val="005708B6"/>
    <w:rsid w:val="0059578B"/>
    <w:rsid w:val="005B3A4E"/>
    <w:rsid w:val="005C7FC6"/>
    <w:rsid w:val="005F2498"/>
    <w:rsid w:val="0061112B"/>
    <w:rsid w:val="00612298"/>
    <w:rsid w:val="006512D1"/>
    <w:rsid w:val="0065412C"/>
    <w:rsid w:val="006B67AD"/>
    <w:rsid w:val="006D2FE4"/>
    <w:rsid w:val="006E1BDC"/>
    <w:rsid w:val="00704DF7"/>
    <w:rsid w:val="00705143"/>
    <w:rsid w:val="00707227"/>
    <w:rsid w:val="00713244"/>
    <w:rsid w:val="00713DDF"/>
    <w:rsid w:val="007164D2"/>
    <w:rsid w:val="007202B7"/>
    <w:rsid w:val="0072239F"/>
    <w:rsid w:val="0077383F"/>
    <w:rsid w:val="007912B6"/>
    <w:rsid w:val="007915FA"/>
    <w:rsid w:val="007B1792"/>
    <w:rsid w:val="007B4DEE"/>
    <w:rsid w:val="007D2193"/>
    <w:rsid w:val="007F4B07"/>
    <w:rsid w:val="007F7885"/>
    <w:rsid w:val="008075B5"/>
    <w:rsid w:val="008262A3"/>
    <w:rsid w:val="0084229D"/>
    <w:rsid w:val="00857B73"/>
    <w:rsid w:val="00860B99"/>
    <w:rsid w:val="00876728"/>
    <w:rsid w:val="0089391B"/>
    <w:rsid w:val="008A5B84"/>
    <w:rsid w:val="008B551D"/>
    <w:rsid w:val="008E427A"/>
    <w:rsid w:val="00913899"/>
    <w:rsid w:val="00932B8F"/>
    <w:rsid w:val="00942163"/>
    <w:rsid w:val="009560DC"/>
    <w:rsid w:val="00966C60"/>
    <w:rsid w:val="009870A0"/>
    <w:rsid w:val="00A1688B"/>
    <w:rsid w:val="00A236CC"/>
    <w:rsid w:val="00A25DD2"/>
    <w:rsid w:val="00A27C35"/>
    <w:rsid w:val="00A3353C"/>
    <w:rsid w:val="00A34559"/>
    <w:rsid w:val="00A3479D"/>
    <w:rsid w:val="00A41A1D"/>
    <w:rsid w:val="00A504F3"/>
    <w:rsid w:val="00A709DE"/>
    <w:rsid w:val="00A71BFE"/>
    <w:rsid w:val="00A907F1"/>
    <w:rsid w:val="00AB60F5"/>
    <w:rsid w:val="00AD2B7A"/>
    <w:rsid w:val="00AD68DD"/>
    <w:rsid w:val="00AE2EA6"/>
    <w:rsid w:val="00AF0A7A"/>
    <w:rsid w:val="00B05A6B"/>
    <w:rsid w:val="00B10387"/>
    <w:rsid w:val="00B22380"/>
    <w:rsid w:val="00B22EC7"/>
    <w:rsid w:val="00B25413"/>
    <w:rsid w:val="00B67188"/>
    <w:rsid w:val="00B80238"/>
    <w:rsid w:val="00B85719"/>
    <w:rsid w:val="00B91951"/>
    <w:rsid w:val="00BA38E6"/>
    <w:rsid w:val="00BD5982"/>
    <w:rsid w:val="00C51B07"/>
    <w:rsid w:val="00C55EF0"/>
    <w:rsid w:val="00CB4DFC"/>
    <w:rsid w:val="00D30385"/>
    <w:rsid w:val="00D31D1B"/>
    <w:rsid w:val="00D41342"/>
    <w:rsid w:val="00D415A2"/>
    <w:rsid w:val="00D5452B"/>
    <w:rsid w:val="00D901F9"/>
    <w:rsid w:val="00D95571"/>
    <w:rsid w:val="00DB2257"/>
    <w:rsid w:val="00DB3203"/>
    <w:rsid w:val="00DB5F1E"/>
    <w:rsid w:val="00DC4033"/>
    <w:rsid w:val="00E159F0"/>
    <w:rsid w:val="00E17067"/>
    <w:rsid w:val="00E31245"/>
    <w:rsid w:val="00E31341"/>
    <w:rsid w:val="00E44058"/>
    <w:rsid w:val="00E61F6A"/>
    <w:rsid w:val="00E92598"/>
    <w:rsid w:val="00F22632"/>
    <w:rsid w:val="00F418D6"/>
    <w:rsid w:val="00F47DB7"/>
    <w:rsid w:val="00F70F75"/>
    <w:rsid w:val="00F806F7"/>
    <w:rsid w:val="00F84856"/>
    <w:rsid w:val="00F91321"/>
    <w:rsid w:val="00F913E2"/>
    <w:rsid w:val="00FB0790"/>
    <w:rsid w:val="00FB2E91"/>
    <w:rsid w:val="00FE2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2D1"/>
    <w:rPr>
      <w:lang w:val="en-GB"/>
    </w:rPr>
  </w:style>
  <w:style w:type="paragraph" w:styleId="Heading1">
    <w:name w:val="heading 1"/>
    <w:basedOn w:val="Normal"/>
    <w:link w:val="Heading1Char"/>
    <w:uiPriority w:val="9"/>
    <w:qFormat/>
    <w:rsid w:val="00A41A1D"/>
    <w:pPr>
      <w:spacing w:line="480" w:lineRule="auto"/>
      <w:jc w:val="center"/>
      <w:outlineLvl w:val="0"/>
    </w:pPr>
    <w:rPr>
      <w:rFonts w:ascii="Times New Roman" w:hAnsi="Times New Roman" w:cs="Times New Roman"/>
      <w:b/>
      <w:sz w:val="24"/>
      <w:szCs w:val="24"/>
    </w:rPr>
  </w:style>
  <w:style w:type="paragraph" w:styleId="Heading2">
    <w:name w:val="heading 2"/>
    <w:basedOn w:val="Normal"/>
    <w:link w:val="Heading2Char"/>
    <w:uiPriority w:val="9"/>
    <w:qFormat/>
    <w:rsid w:val="001C75F8"/>
    <w:pPr>
      <w:spacing w:line="480" w:lineRule="auto"/>
      <w:jc w:val="both"/>
      <w:outlineLvl w:val="1"/>
    </w:pPr>
    <w:rPr>
      <w:rFonts w:ascii="Times New Roman" w:hAnsi="Times New Roman" w:cs="Times New Roman"/>
      <w:b/>
      <w:color w:val="000000" w:themeColor="text1"/>
      <w:sz w:val="24"/>
      <w:szCs w:val="24"/>
    </w:rPr>
  </w:style>
  <w:style w:type="paragraph" w:styleId="Heading3">
    <w:name w:val="heading 3"/>
    <w:basedOn w:val="Normal"/>
    <w:link w:val="Heading3Char"/>
    <w:uiPriority w:val="9"/>
    <w:qFormat/>
    <w:rsid w:val="001C75F8"/>
    <w:pPr>
      <w:spacing w:after="100" w:afterAutospacing="1" w:line="480" w:lineRule="auto"/>
      <w:jc w:val="both"/>
      <w:outlineLvl w:val="2"/>
    </w:pPr>
    <w:rPr>
      <w:rFonts w:ascii="Times New Roman" w:eastAsia="Times New Roman" w:hAnsi="Times New Roman" w:cs="Times New Roman"/>
      <w:b/>
      <w:bCs/>
      <w:color w:val="000000" w:themeColor="text1"/>
      <w:sz w:val="24"/>
      <w:szCs w:val="24"/>
    </w:rPr>
  </w:style>
  <w:style w:type="paragraph" w:styleId="Heading4">
    <w:name w:val="heading 4"/>
    <w:basedOn w:val="Normal"/>
    <w:link w:val="Heading4Char"/>
    <w:uiPriority w:val="9"/>
    <w:qFormat/>
    <w:rsid w:val="001C75F8"/>
    <w:pPr>
      <w:spacing w:line="480" w:lineRule="auto"/>
      <w:jc w:val="both"/>
      <w:outlineLvl w:val="3"/>
    </w:pPr>
    <w:rPr>
      <w:rFonts w:ascii="Times New Roman" w:eastAsia="Times New Roman" w:hAnsi="Times New Roman" w:cs="Times New Roma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laiseStyle1">
    <w:name w:val="Blaise Style1"/>
    <w:basedOn w:val="TableNormal"/>
    <w:uiPriority w:val="99"/>
    <w:qFormat/>
    <w:rsid w:val="00A71BFE"/>
    <w:pPr>
      <w:spacing w:after="0" w:line="240" w:lineRule="auto"/>
    </w:pPr>
    <w:tblPr>
      <w:tblInd w:w="0" w:type="dxa"/>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CellMar>
        <w:top w:w="0" w:type="dxa"/>
        <w:left w:w="108" w:type="dxa"/>
        <w:bottom w:w="0" w:type="dxa"/>
        <w:right w:w="108" w:type="dxa"/>
      </w:tblCellMar>
    </w:tblPr>
    <w:tcPr>
      <w:shd w:val="clear" w:color="auto" w:fill="auto"/>
    </w:tcPr>
  </w:style>
  <w:style w:type="paragraph" w:styleId="ListParagraph">
    <w:name w:val="List Paragraph"/>
    <w:basedOn w:val="Normal"/>
    <w:uiPriority w:val="34"/>
    <w:qFormat/>
    <w:rsid w:val="00860B99"/>
    <w:pPr>
      <w:ind w:left="720"/>
      <w:contextualSpacing/>
    </w:pPr>
  </w:style>
  <w:style w:type="paragraph" w:styleId="FootnoteText">
    <w:name w:val="footnote text"/>
    <w:basedOn w:val="Normal"/>
    <w:link w:val="FootnoteTextChar"/>
    <w:uiPriority w:val="99"/>
    <w:unhideWhenUsed/>
    <w:rsid w:val="00860B99"/>
    <w:pPr>
      <w:spacing w:after="0" w:line="240" w:lineRule="auto"/>
    </w:pPr>
    <w:rPr>
      <w:sz w:val="20"/>
      <w:szCs w:val="20"/>
    </w:rPr>
  </w:style>
  <w:style w:type="character" w:customStyle="1" w:styleId="FootnoteTextChar">
    <w:name w:val="Footnote Text Char"/>
    <w:basedOn w:val="DefaultParagraphFont"/>
    <w:link w:val="FootnoteText"/>
    <w:uiPriority w:val="99"/>
    <w:rsid w:val="00860B99"/>
    <w:rPr>
      <w:sz w:val="20"/>
      <w:szCs w:val="20"/>
      <w:lang w:val="en-GB"/>
    </w:rPr>
  </w:style>
  <w:style w:type="character" w:styleId="FootnoteReference">
    <w:name w:val="footnote reference"/>
    <w:basedOn w:val="DefaultParagraphFont"/>
    <w:uiPriority w:val="99"/>
    <w:unhideWhenUsed/>
    <w:rsid w:val="00860B99"/>
    <w:rPr>
      <w:vertAlign w:val="superscript"/>
    </w:rPr>
  </w:style>
  <w:style w:type="paragraph" w:styleId="NormalWeb">
    <w:name w:val="Normal (Web)"/>
    <w:basedOn w:val="Normal"/>
    <w:uiPriority w:val="99"/>
    <w:unhideWhenUsed/>
    <w:rsid w:val="00860B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60B99"/>
    <w:rPr>
      <w:b/>
      <w:bCs/>
    </w:rPr>
  </w:style>
  <w:style w:type="character" w:styleId="Emphasis">
    <w:name w:val="Emphasis"/>
    <w:basedOn w:val="DefaultParagraphFont"/>
    <w:uiPriority w:val="20"/>
    <w:qFormat/>
    <w:rsid w:val="00860B99"/>
    <w:rPr>
      <w:i/>
      <w:iCs/>
    </w:rPr>
  </w:style>
  <w:style w:type="character" w:styleId="Hyperlink">
    <w:name w:val="Hyperlink"/>
    <w:basedOn w:val="DefaultParagraphFont"/>
    <w:uiPriority w:val="99"/>
    <w:unhideWhenUsed/>
    <w:rsid w:val="00860B99"/>
    <w:rPr>
      <w:color w:val="0000FF"/>
      <w:u w:val="single"/>
    </w:rPr>
  </w:style>
  <w:style w:type="character" w:customStyle="1" w:styleId="Heading1Char">
    <w:name w:val="Heading 1 Char"/>
    <w:basedOn w:val="DefaultParagraphFont"/>
    <w:link w:val="Heading1"/>
    <w:uiPriority w:val="9"/>
    <w:rsid w:val="00A41A1D"/>
    <w:rPr>
      <w:rFonts w:ascii="Times New Roman" w:hAnsi="Times New Roman" w:cs="Times New Roman"/>
      <w:b/>
      <w:sz w:val="24"/>
      <w:szCs w:val="24"/>
      <w:lang w:val="en-GB"/>
    </w:rPr>
  </w:style>
  <w:style w:type="character" w:customStyle="1" w:styleId="Heading2Char">
    <w:name w:val="Heading 2 Char"/>
    <w:basedOn w:val="DefaultParagraphFont"/>
    <w:link w:val="Heading2"/>
    <w:uiPriority w:val="9"/>
    <w:rsid w:val="001C75F8"/>
    <w:rPr>
      <w:rFonts w:ascii="Times New Roman" w:hAnsi="Times New Roman" w:cs="Times New Roman"/>
      <w:b/>
      <w:color w:val="000000" w:themeColor="text1"/>
      <w:sz w:val="24"/>
      <w:szCs w:val="24"/>
      <w:lang w:val="en-GB"/>
    </w:rPr>
  </w:style>
  <w:style w:type="character" w:customStyle="1" w:styleId="Heading3Char">
    <w:name w:val="Heading 3 Char"/>
    <w:basedOn w:val="DefaultParagraphFont"/>
    <w:link w:val="Heading3"/>
    <w:uiPriority w:val="9"/>
    <w:rsid w:val="001C75F8"/>
    <w:rPr>
      <w:rFonts w:ascii="Times New Roman" w:eastAsia="Times New Roman" w:hAnsi="Times New Roman" w:cs="Times New Roman"/>
      <w:b/>
      <w:bCs/>
      <w:color w:val="000000" w:themeColor="text1"/>
      <w:sz w:val="24"/>
      <w:szCs w:val="24"/>
      <w:lang w:val="en-GB"/>
    </w:rPr>
  </w:style>
  <w:style w:type="character" w:customStyle="1" w:styleId="Heading4Char">
    <w:name w:val="Heading 4 Char"/>
    <w:basedOn w:val="DefaultParagraphFont"/>
    <w:link w:val="Heading4"/>
    <w:uiPriority w:val="9"/>
    <w:rsid w:val="001C75F8"/>
    <w:rPr>
      <w:rFonts w:ascii="Times New Roman" w:eastAsia="Times New Roman" w:hAnsi="Times New Roman" w:cs="Times New Roman"/>
      <w:b/>
      <w:bCs/>
      <w:color w:val="000000" w:themeColor="text1"/>
      <w:sz w:val="24"/>
      <w:szCs w:val="24"/>
      <w:lang w:val="en-GB"/>
    </w:rPr>
  </w:style>
  <w:style w:type="character" w:customStyle="1" w:styleId="ms-1">
    <w:name w:val="ms-1"/>
    <w:basedOn w:val="DefaultParagraphFont"/>
    <w:rsid w:val="00A41A1D"/>
  </w:style>
  <w:style w:type="character" w:customStyle="1" w:styleId="max-w-15ch">
    <w:name w:val="max-w-[15ch]"/>
    <w:basedOn w:val="DefaultParagraphFont"/>
    <w:rsid w:val="00A41A1D"/>
  </w:style>
  <w:style w:type="paragraph" w:styleId="Header">
    <w:name w:val="header"/>
    <w:basedOn w:val="Normal"/>
    <w:link w:val="HeaderChar"/>
    <w:uiPriority w:val="99"/>
    <w:semiHidden/>
    <w:unhideWhenUsed/>
    <w:rsid w:val="00A41A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A1D"/>
    <w:rPr>
      <w:lang w:val="en-GB"/>
    </w:rPr>
  </w:style>
  <w:style w:type="paragraph" w:styleId="Footer">
    <w:name w:val="footer"/>
    <w:basedOn w:val="Normal"/>
    <w:link w:val="FooterChar"/>
    <w:uiPriority w:val="99"/>
    <w:unhideWhenUsed/>
    <w:rsid w:val="00A41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A1D"/>
    <w:rPr>
      <w:lang w:val="en-GB"/>
    </w:rPr>
  </w:style>
  <w:style w:type="character" w:styleId="FollowedHyperlink">
    <w:name w:val="FollowedHyperlink"/>
    <w:basedOn w:val="DefaultParagraphFont"/>
    <w:uiPriority w:val="99"/>
    <w:semiHidden/>
    <w:unhideWhenUsed/>
    <w:rsid w:val="00A41A1D"/>
    <w:rPr>
      <w:color w:val="800080" w:themeColor="followedHyperlink"/>
      <w:u w:val="single"/>
    </w:rPr>
  </w:style>
  <w:style w:type="paragraph" w:styleId="TOCHeading">
    <w:name w:val="TOC Heading"/>
    <w:basedOn w:val="Heading1"/>
    <w:next w:val="Normal"/>
    <w:uiPriority w:val="39"/>
    <w:unhideWhenUsed/>
    <w:qFormat/>
    <w:rsid w:val="00A41A1D"/>
    <w:pPr>
      <w:keepNext/>
      <w:keepLines/>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A41A1D"/>
    <w:pPr>
      <w:spacing w:after="100"/>
    </w:pPr>
  </w:style>
  <w:style w:type="paragraph" w:styleId="TOC2">
    <w:name w:val="toc 2"/>
    <w:basedOn w:val="Normal"/>
    <w:next w:val="Normal"/>
    <w:autoRedefine/>
    <w:uiPriority w:val="39"/>
    <w:unhideWhenUsed/>
    <w:rsid w:val="00A41A1D"/>
    <w:pPr>
      <w:spacing w:after="100"/>
      <w:ind w:left="220"/>
    </w:pPr>
  </w:style>
  <w:style w:type="paragraph" w:styleId="TOC3">
    <w:name w:val="toc 3"/>
    <w:basedOn w:val="Normal"/>
    <w:next w:val="Normal"/>
    <w:autoRedefine/>
    <w:uiPriority w:val="39"/>
    <w:unhideWhenUsed/>
    <w:rsid w:val="00A41A1D"/>
    <w:pPr>
      <w:spacing w:after="100"/>
      <w:ind w:left="440"/>
    </w:pPr>
  </w:style>
  <w:style w:type="paragraph" w:styleId="TOC4">
    <w:name w:val="toc 4"/>
    <w:basedOn w:val="Normal"/>
    <w:next w:val="Normal"/>
    <w:autoRedefine/>
    <w:uiPriority w:val="39"/>
    <w:unhideWhenUsed/>
    <w:rsid w:val="00A41A1D"/>
    <w:pPr>
      <w:spacing w:after="100"/>
      <w:ind w:left="660"/>
    </w:pPr>
    <w:rPr>
      <w:rFonts w:eastAsiaTheme="minorEastAsia"/>
      <w:lang w:val="en-US"/>
    </w:rPr>
  </w:style>
  <w:style w:type="paragraph" w:styleId="TOC5">
    <w:name w:val="toc 5"/>
    <w:basedOn w:val="Normal"/>
    <w:next w:val="Normal"/>
    <w:autoRedefine/>
    <w:uiPriority w:val="39"/>
    <w:unhideWhenUsed/>
    <w:rsid w:val="00A41A1D"/>
    <w:pPr>
      <w:spacing w:after="100"/>
      <w:ind w:left="880"/>
    </w:pPr>
    <w:rPr>
      <w:rFonts w:eastAsiaTheme="minorEastAsia"/>
      <w:lang w:val="en-US"/>
    </w:rPr>
  </w:style>
  <w:style w:type="paragraph" w:styleId="TOC6">
    <w:name w:val="toc 6"/>
    <w:basedOn w:val="Normal"/>
    <w:next w:val="Normal"/>
    <w:autoRedefine/>
    <w:uiPriority w:val="39"/>
    <w:unhideWhenUsed/>
    <w:rsid w:val="00A41A1D"/>
    <w:pPr>
      <w:spacing w:after="100"/>
      <w:ind w:left="1100"/>
    </w:pPr>
    <w:rPr>
      <w:rFonts w:eastAsiaTheme="minorEastAsia"/>
      <w:lang w:val="en-US"/>
    </w:rPr>
  </w:style>
  <w:style w:type="paragraph" w:styleId="TOC7">
    <w:name w:val="toc 7"/>
    <w:basedOn w:val="Normal"/>
    <w:next w:val="Normal"/>
    <w:autoRedefine/>
    <w:uiPriority w:val="39"/>
    <w:unhideWhenUsed/>
    <w:rsid w:val="00A41A1D"/>
    <w:pPr>
      <w:spacing w:after="100"/>
      <w:ind w:left="1320"/>
    </w:pPr>
    <w:rPr>
      <w:rFonts w:eastAsiaTheme="minorEastAsia"/>
      <w:lang w:val="en-US"/>
    </w:rPr>
  </w:style>
  <w:style w:type="paragraph" w:styleId="TOC8">
    <w:name w:val="toc 8"/>
    <w:basedOn w:val="Normal"/>
    <w:next w:val="Normal"/>
    <w:autoRedefine/>
    <w:uiPriority w:val="39"/>
    <w:unhideWhenUsed/>
    <w:rsid w:val="00A41A1D"/>
    <w:pPr>
      <w:spacing w:after="100"/>
      <w:ind w:left="1540"/>
    </w:pPr>
    <w:rPr>
      <w:rFonts w:eastAsiaTheme="minorEastAsia"/>
      <w:lang w:val="en-US"/>
    </w:rPr>
  </w:style>
  <w:style w:type="paragraph" w:styleId="TOC9">
    <w:name w:val="toc 9"/>
    <w:basedOn w:val="Normal"/>
    <w:next w:val="Normal"/>
    <w:autoRedefine/>
    <w:uiPriority w:val="39"/>
    <w:unhideWhenUsed/>
    <w:rsid w:val="00A41A1D"/>
    <w:pPr>
      <w:spacing w:after="100"/>
      <w:ind w:left="1760"/>
    </w:pPr>
    <w:rPr>
      <w:rFonts w:eastAsiaTheme="minorEastAsia"/>
      <w:lang w:val="en-US"/>
    </w:rPr>
  </w:style>
  <w:style w:type="paragraph" w:styleId="BalloonText">
    <w:name w:val="Balloon Text"/>
    <w:basedOn w:val="Normal"/>
    <w:link w:val="BalloonTextChar"/>
    <w:uiPriority w:val="99"/>
    <w:semiHidden/>
    <w:unhideWhenUsed/>
    <w:rsid w:val="00A41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A1D"/>
    <w:rPr>
      <w:rFonts w:ascii="Tahoma" w:hAnsi="Tahoma" w:cs="Tahoma"/>
      <w:sz w:val="16"/>
      <w:szCs w:val="16"/>
      <w:lang w:val="en-GB"/>
    </w:rPr>
  </w:style>
  <w:style w:type="paragraph" w:styleId="NoSpacing">
    <w:name w:val="No Spacing"/>
    <w:uiPriority w:val="1"/>
    <w:qFormat/>
    <w:rsid w:val="00A41A1D"/>
    <w:pPr>
      <w:spacing w:after="0" w:line="240" w:lineRule="auto"/>
    </w:pPr>
    <w:rPr>
      <w:lang w:val="en-GB"/>
    </w:rPr>
  </w:style>
</w:styles>
</file>

<file path=word/webSettings.xml><?xml version="1.0" encoding="utf-8"?>
<w:webSettings xmlns:r="http://schemas.openxmlformats.org/officeDocument/2006/relationships" xmlns:w="http://schemas.openxmlformats.org/wordprocessingml/2006/main">
  <w:divs>
    <w:div w:id="139423757">
      <w:bodyDiv w:val="1"/>
      <w:marLeft w:val="0"/>
      <w:marRight w:val="0"/>
      <w:marTop w:val="0"/>
      <w:marBottom w:val="0"/>
      <w:divBdr>
        <w:top w:val="none" w:sz="0" w:space="0" w:color="auto"/>
        <w:left w:val="none" w:sz="0" w:space="0" w:color="auto"/>
        <w:bottom w:val="none" w:sz="0" w:space="0" w:color="auto"/>
        <w:right w:val="none" w:sz="0" w:space="0" w:color="auto"/>
      </w:divBdr>
    </w:div>
    <w:div w:id="826895969">
      <w:bodyDiv w:val="1"/>
      <w:marLeft w:val="0"/>
      <w:marRight w:val="0"/>
      <w:marTop w:val="0"/>
      <w:marBottom w:val="0"/>
      <w:divBdr>
        <w:top w:val="none" w:sz="0" w:space="0" w:color="auto"/>
        <w:left w:val="none" w:sz="0" w:space="0" w:color="auto"/>
        <w:bottom w:val="none" w:sz="0" w:space="0" w:color="auto"/>
        <w:right w:val="none" w:sz="0" w:space="0" w:color="auto"/>
      </w:divBdr>
    </w:div>
    <w:div w:id="934677808">
      <w:bodyDiv w:val="1"/>
      <w:marLeft w:val="0"/>
      <w:marRight w:val="0"/>
      <w:marTop w:val="0"/>
      <w:marBottom w:val="0"/>
      <w:divBdr>
        <w:top w:val="none" w:sz="0" w:space="0" w:color="auto"/>
        <w:left w:val="none" w:sz="0" w:space="0" w:color="auto"/>
        <w:bottom w:val="none" w:sz="0" w:space="0" w:color="auto"/>
        <w:right w:val="none" w:sz="0" w:space="0" w:color="auto"/>
      </w:divBdr>
    </w:div>
    <w:div w:id="1526551994">
      <w:bodyDiv w:val="1"/>
      <w:marLeft w:val="0"/>
      <w:marRight w:val="0"/>
      <w:marTop w:val="0"/>
      <w:marBottom w:val="0"/>
      <w:divBdr>
        <w:top w:val="none" w:sz="0" w:space="0" w:color="auto"/>
        <w:left w:val="none" w:sz="0" w:space="0" w:color="auto"/>
        <w:bottom w:val="none" w:sz="0" w:space="0" w:color="auto"/>
        <w:right w:val="none" w:sz="0" w:space="0" w:color="auto"/>
      </w:divBdr>
    </w:div>
    <w:div w:id="186720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53704/qmawkd31" TargetMode="External"/><Relationship Id="rId18" Type="http://schemas.openxmlformats.org/officeDocument/2006/relationships/hyperlink" Target="https://doi.org/10.25159/2520-9515/16952" TargetMode="External"/><Relationship Id="rId26" Type="http://schemas.openxmlformats.org/officeDocument/2006/relationships/hyperlink" Target="https://www.nigerianjournalsonline.com/index.php/JHRL/article/view/5405" TargetMode="External"/><Relationship Id="rId3" Type="http://schemas.openxmlformats.org/officeDocument/2006/relationships/styles" Target="styles.xml"/><Relationship Id="rId21" Type="http://schemas.openxmlformats.org/officeDocument/2006/relationships/hyperlink" Target="https://doi.org/10.52589/AJLPRA-3RVIGXUQ"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loc.gov/item/2019668919/" TargetMode="External"/><Relationship Id="rId17" Type="http://schemas.openxmlformats.org/officeDocument/2006/relationships/hyperlink" Target="https://nigerianjournalsonline.org/index.php/IJOCLLEP/article/download/4823/4509" TargetMode="External"/><Relationship Id="rId25" Type="http://schemas.openxmlformats.org/officeDocument/2006/relationships/hyperlink" Target="https://doi.org/10.1080/07329113.2004.10756575" TargetMode="External"/><Relationship Id="rId33" Type="http://schemas.openxmlformats.org/officeDocument/2006/relationships/hyperlink" Target="https://www.vanguardngr.com/2025/08/high-cost-of-traditional-marriage-rites-destroying-marriage-institution-in-igbo-land-cleric-warns/" TargetMode="External"/><Relationship Id="rId2" Type="http://schemas.openxmlformats.org/officeDocument/2006/relationships/numbering" Target="numbering.xml"/><Relationship Id="rId16" Type="http://schemas.openxmlformats.org/officeDocument/2006/relationships/hyperlink" Target="https://www.saflii.org/za/journals/AHRLJ/2014/24.pdf" TargetMode="External"/><Relationship Id="rId20" Type="http://schemas.openxmlformats.org/officeDocument/2006/relationships/hyperlink" Target="https://www.iiste.org/Journals/index.php/JLPG/article/view/52490" TargetMode="External"/><Relationship Id="rId29" Type="http://schemas.openxmlformats.org/officeDocument/2006/relationships/hyperlink" Target="https://doi.org/10.1080/03630242.2018.15496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cirp.org/journal/paperinformation?paperid=73207" TargetMode="External"/><Relationship Id="rId32" Type="http://schemas.openxmlformats.org/officeDocument/2006/relationships/hyperlink" Target="https://edojudiciary.gov.ng/wp-content/uploads/2021/11/GROUNDS-FOR-DISSOLUTION-OF-CUSTOMARY-MARRIAGES-IN-NIGERIA.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4236/blr.2021.122026" TargetMode="External"/><Relationship Id="rId23" Type="http://schemas.openxmlformats.org/officeDocument/2006/relationships/hyperlink" Target="https://www.lawjournals.org/assets/archives/2017/vol3issue6/3-6-15-612.pdf" TargetMode="External"/><Relationship Id="rId28" Type="http://schemas.openxmlformats.org/officeDocument/2006/relationships/hyperlink" Target="https://doi.org/10.53982/alj.2019.0701.10-j"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oi.org/10.1017/S002185531800030X" TargetMode="External"/><Relationship Id="rId31" Type="http://schemas.openxmlformats.org/officeDocument/2006/relationships/hyperlink" Target="https://thenigerialawyer.com/customary-marriages-in-nigeria-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5281/zenodo.17078854" TargetMode="External"/><Relationship Id="rId22" Type="http://schemas.openxmlformats.org/officeDocument/2006/relationships/hyperlink" Target="https://ssrn.com/abstract=5381487" TargetMode="External"/><Relationship Id="rId27" Type="http://schemas.openxmlformats.org/officeDocument/2006/relationships/hyperlink" Target="https://doi.org/10.24843/LJLC.2021.v12.i02.p05" TargetMode="External"/><Relationship Id="rId30" Type="http://schemas.openxmlformats.org/officeDocument/2006/relationships/hyperlink" Target="https://oaulj.oauife.edu.ng/index.php/oaulj/article/view/13"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16EA2-80D8-48A6-8DA3-80D6DB1CA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19813</Words>
  <Characters>128789</Characters>
  <Application>Microsoft Office Word</Application>
  <DocSecurity>0</DocSecurity>
  <Lines>1694</Lines>
  <Paragraphs>180</Paragraphs>
  <ScaleCrop>false</ScaleCrop>
  <Company/>
  <LinksUpToDate>false</LinksUpToDate>
  <CharactersWithSpaces>148422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2026-07-14T19:36:00Z</dcterms:created>
  <dcterms:modified xsi:type="dcterms:W3CDTF">2026-07-14T19:36:00Z</dcterms:modified>
</cp:coreProperties>
</file>